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2A63FDC">
      <w:pPr>
        <w:pStyle w:val="3"/>
        <w:spacing w:line="245" w:lineRule="auto"/>
        <w:rPr>
          <w:color w:val="auto"/>
          <w:highlight w:val="none"/>
        </w:rPr>
      </w:pPr>
    </w:p>
    <w:p w14:paraId="262D5AB0">
      <w:pPr>
        <w:pStyle w:val="3"/>
        <w:spacing w:line="245" w:lineRule="auto"/>
        <w:rPr>
          <w:color w:val="auto"/>
          <w:highlight w:val="none"/>
        </w:rPr>
      </w:pPr>
    </w:p>
    <w:p w14:paraId="179FFDD4">
      <w:pPr>
        <w:pStyle w:val="3"/>
        <w:spacing w:line="245" w:lineRule="auto"/>
        <w:rPr>
          <w:color w:val="auto"/>
          <w:highlight w:val="none"/>
        </w:rPr>
      </w:pPr>
    </w:p>
    <w:p w14:paraId="3D0584AD">
      <w:pPr>
        <w:pStyle w:val="3"/>
        <w:spacing w:line="245" w:lineRule="auto"/>
        <w:rPr>
          <w:color w:val="auto"/>
          <w:highlight w:val="none"/>
        </w:rPr>
      </w:pPr>
    </w:p>
    <w:p w14:paraId="3F02ED58">
      <w:pPr>
        <w:pStyle w:val="3"/>
        <w:spacing w:line="246" w:lineRule="auto"/>
        <w:rPr>
          <w:color w:val="auto"/>
          <w:highlight w:val="none"/>
        </w:rPr>
      </w:pPr>
    </w:p>
    <w:p w14:paraId="2C8151CA">
      <w:pPr>
        <w:pStyle w:val="3"/>
        <w:spacing w:line="246" w:lineRule="auto"/>
        <w:rPr>
          <w:color w:val="auto"/>
          <w:highlight w:val="none"/>
        </w:rPr>
      </w:pPr>
    </w:p>
    <w:p w14:paraId="2386E9B4">
      <w:pPr>
        <w:pStyle w:val="3"/>
        <w:spacing w:line="246" w:lineRule="auto"/>
        <w:rPr>
          <w:color w:val="auto"/>
          <w:highlight w:val="none"/>
        </w:rPr>
      </w:pPr>
    </w:p>
    <w:p w14:paraId="31041CBC">
      <w:pPr>
        <w:spacing w:before="189" w:line="200" w:lineRule="auto"/>
        <w:ind w:left="1908"/>
        <w:outlineLvl w:val="0"/>
        <w:rPr>
          <w:rFonts w:ascii="华文仿宋" w:hAnsi="华文仿宋" w:eastAsia="华文仿宋" w:cs="华文仿宋"/>
          <w:color w:val="auto"/>
          <w:sz w:val="52"/>
          <w:szCs w:val="52"/>
          <w:highlight w:val="none"/>
        </w:rPr>
      </w:pPr>
      <w:bookmarkStart w:id="0" w:name="_Toc12169"/>
      <w:bookmarkStart w:id="1" w:name="_Toc6918"/>
      <w:r>
        <w:rPr>
          <w:rFonts w:ascii="华文仿宋" w:hAnsi="华文仿宋" w:eastAsia="华文仿宋" w:cs="华文仿宋"/>
          <w:b/>
          <w:bCs/>
          <w:color w:val="auto"/>
          <w:spacing w:val="-11"/>
          <w:sz w:val="52"/>
          <w:szCs w:val="52"/>
          <w:highlight w:val="none"/>
        </w:rPr>
        <w:t>浙江省水利水电工程</w:t>
      </w:r>
      <w:bookmarkEnd w:id="0"/>
      <w:bookmarkEnd w:id="1"/>
    </w:p>
    <w:p w14:paraId="40889319">
      <w:pPr>
        <w:spacing w:before="369" w:line="200" w:lineRule="auto"/>
        <w:ind w:left="1633"/>
        <w:rPr>
          <w:rFonts w:ascii="华文仿宋" w:hAnsi="华文仿宋" w:eastAsia="华文仿宋" w:cs="华文仿宋"/>
          <w:color w:val="auto"/>
          <w:sz w:val="52"/>
          <w:szCs w:val="52"/>
          <w:highlight w:val="none"/>
        </w:rPr>
      </w:pPr>
      <w:r>
        <w:rPr>
          <w:rFonts w:ascii="华文仿宋" w:hAnsi="华文仿宋" w:eastAsia="华文仿宋" w:cs="华文仿宋"/>
          <w:b/>
          <w:bCs/>
          <w:color w:val="auto"/>
          <w:spacing w:val="-9"/>
          <w:sz w:val="52"/>
          <w:szCs w:val="52"/>
          <w:highlight w:val="none"/>
        </w:rPr>
        <w:t>施工招标文件示范文本</w:t>
      </w:r>
    </w:p>
    <w:p w14:paraId="1E52C87A">
      <w:pPr>
        <w:spacing w:before="329" w:line="212" w:lineRule="auto"/>
        <w:ind w:left="2872"/>
        <w:rPr>
          <w:color w:val="auto"/>
          <w:highlight w:val="none"/>
        </w:rPr>
      </w:pPr>
      <w:r>
        <w:rPr>
          <w:rFonts w:ascii="黑体" w:hAnsi="黑体" w:eastAsia="黑体" w:cs="黑体"/>
          <w:color w:val="auto"/>
          <w:spacing w:val="8"/>
          <w:sz w:val="52"/>
          <w:szCs w:val="52"/>
          <w:highlight w:val="none"/>
        </w:rPr>
        <w:t>（</w:t>
      </w:r>
      <w:r>
        <w:rPr>
          <w:rFonts w:ascii="Times New Roman" w:hAnsi="Times New Roman" w:eastAsia="Times New Roman" w:cs="Times New Roman"/>
          <w:color w:val="auto"/>
          <w:spacing w:val="8"/>
          <w:sz w:val="52"/>
          <w:szCs w:val="52"/>
          <w:highlight w:val="none"/>
        </w:rPr>
        <w:t>2025</w:t>
      </w:r>
      <w:r>
        <w:rPr>
          <w:rFonts w:ascii="华文仿宋" w:hAnsi="华文仿宋" w:eastAsia="华文仿宋" w:cs="华文仿宋"/>
          <w:b/>
          <w:bCs/>
          <w:color w:val="auto"/>
          <w:spacing w:val="8"/>
          <w:sz w:val="52"/>
          <w:szCs w:val="52"/>
          <w:highlight w:val="none"/>
        </w:rPr>
        <w:t>年</w:t>
      </w:r>
      <w:r>
        <w:rPr>
          <w:rFonts w:ascii="黑体" w:hAnsi="黑体" w:eastAsia="黑体" w:cs="黑体"/>
          <w:color w:val="auto"/>
          <w:spacing w:val="8"/>
          <w:sz w:val="52"/>
          <w:szCs w:val="52"/>
          <w:highlight w:val="none"/>
        </w:rPr>
        <w:t>）</w:t>
      </w:r>
    </w:p>
    <w:p w14:paraId="2E7D0827">
      <w:pPr>
        <w:spacing w:before="380" w:line="221" w:lineRule="auto"/>
        <w:ind w:left="3445"/>
        <w:outlineLvl w:val="0"/>
        <w:rPr>
          <w:rFonts w:ascii="仿宋" w:hAnsi="仿宋" w:eastAsia="仿宋" w:cs="仿宋"/>
          <w:sz w:val="51"/>
          <w:szCs w:val="51"/>
        </w:rPr>
      </w:pPr>
      <w:bookmarkStart w:id="2" w:name="_Toc6622"/>
      <w:r>
        <w:rPr>
          <w:rFonts w:ascii="仿宋" w:hAnsi="仿宋" w:eastAsia="仿宋" w:cs="仿宋"/>
          <w:b/>
          <w:bCs/>
          <w:spacing w:val="-5"/>
          <w:sz w:val="51"/>
          <w:szCs w:val="51"/>
        </w:rPr>
        <w:t>修订稿</w:t>
      </w:r>
      <w:bookmarkEnd w:id="2"/>
    </w:p>
    <w:p w14:paraId="0FA730A8">
      <w:pPr>
        <w:pStyle w:val="3"/>
        <w:spacing w:line="245" w:lineRule="auto"/>
        <w:rPr>
          <w:color w:val="auto"/>
          <w:highlight w:val="none"/>
        </w:rPr>
      </w:pPr>
    </w:p>
    <w:p w14:paraId="136C0439">
      <w:pPr>
        <w:pStyle w:val="3"/>
        <w:spacing w:line="245" w:lineRule="auto"/>
        <w:rPr>
          <w:color w:val="auto"/>
          <w:highlight w:val="none"/>
        </w:rPr>
      </w:pPr>
    </w:p>
    <w:p w14:paraId="1E71B0CE">
      <w:pPr>
        <w:pStyle w:val="3"/>
        <w:spacing w:line="245" w:lineRule="auto"/>
        <w:rPr>
          <w:color w:val="auto"/>
          <w:highlight w:val="none"/>
        </w:rPr>
      </w:pPr>
    </w:p>
    <w:p w14:paraId="76682D1F">
      <w:pPr>
        <w:pStyle w:val="3"/>
        <w:spacing w:line="245" w:lineRule="auto"/>
        <w:rPr>
          <w:color w:val="auto"/>
          <w:highlight w:val="none"/>
        </w:rPr>
      </w:pPr>
    </w:p>
    <w:p w14:paraId="70AAB980">
      <w:pPr>
        <w:pStyle w:val="3"/>
        <w:spacing w:line="245" w:lineRule="auto"/>
        <w:rPr>
          <w:color w:val="auto"/>
          <w:highlight w:val="none"/>
        </w:rPr>
      </w:pPr>
    </w:p>
    <w:p w14:paraId="58DBA2A6">
      <w:pPr>
        <w:pStyle w:val="3"/>
        <w:spacing w:line="245" w:lineRule="auto"/>
        <w:rPr>
          <w:color w:val="auto"/>
          <w:highlight w:val="none"/>
        </w:rPr>
      </w:pPr>
    </w:p>
    <w:p w14:paraId="067E8328">
      <w:pPr>
        <w:pStyle w:val="3"/>
        <w:spacing w:line="245" w:lineRule="auto"/>
        <w:rPr>
          <w:color w:val="auto"/>
          <w:highlight w:val="none"/>
        </w:rPr>
      </w:pPr>
    </w:p>
    <w:p w14:paraId="3D3975A8">
      <w:pPr>
        <w:pStyle w:val="3"/>
        <w:spacing w:line="245" w:lineRule="auto"/>
        <w:rPr>
          <w:color w:val="auto"/>
          <w:highlight w:val="none"/>
        </w:rPr>
      </w:pPr>
    </w:p>
    <w:p w14:paraId="786D8528">
      <w:pPr>
        <w:pStyle w:val="3"/>
        <w:spacing w:line="245" w:lineRule="auto"/>
        <w:rPr>
          <w:color w:val="auto"/>
          <w:highlight w:val="none"/>
        </w:rPr>
      </w:pPr>
    </w:p>
    <w:p w14:paraId="7A0D7FBE">
      <w:pPr>
        <w:pStyle w:val="3"/>
        <w:spacing w:line="245" w:lineRule="auto"/>
        <w:rPr>
          <w:color w:val="auto"/>
          <w:highlight w:val="none"/>
        </w:rPr>
      </w:pPr>
    </w:p>
    <w:p w14:paraId="100B6D63">
      <w:pPr>
        <w:pStyle w:val="3"/>
        <w:spacing w:line="245" w:lineRule="auto"/>
        <w:rPr>
          <w:color w:val="auto"/>
          <w:highlight w:val="none"/>
        </w:rPr>
      </w:pPr>
    </w:p>
    <w:p w14:paraId="59DFB5EB">
      <w:pPr>
        <w:pStyle w:val="3"/>
        <w:spacing w:line="245" w:lineRule="auto"/>
        <w:rPr>
          <w:color w:val="auto"/>
          <w:highlight w:val="none"/>
        </w:rPr>
      </w:pPr>
    </w:p>
    <w:p w14:paraId="7B165A5E">
      <w:pPr>
        <w:pStyle w:val="3"/>
        <w:spacing w:line="246" w:lineRule="auto"/>
        <w:rPr>
          <w:color w:val="auto"/>
          <w:highlight w:val="none"/>
        </w:rPr>
      </w:pPr>
    </w:p>
    <w:p w14:paraId="057FF504">
      <w:pPr>
        <w:pStyle w:val="3"/>
        <w:spacing w:line="246" w:lineRule="auto"/>
        <w:rPr>
          <w:color w:val="auto"/>
          <w:highlight w:val="none"/>
        </w:rPr>
      </w:pPr>
    </w:p>
    <w:p w14:paraId="0D5D96C3">
      <w:pPr>
        <w:pStyle w:val="3"/>
        <w:spacing w:line="246" w:lineRule="auto"/>
        <w:rPr>
          <w:color w:val="auto"/>
          <w:highlight w:val="none"/>
        </w:rPr>
      </w:pPr>
    </w:p>
    <w:p w14:paraId="5B8B8731">
      <w:pPr>
        <w:pStyle w:val="3"/>
        <w:spacing w:line="246" w:lineRule="auto"/>
        <w:rPr>
          <w:color w:val="auto"/>
          <w:highlight w:val="none"/>
        </w:rPr>
      </w:pPr>
    </w:p>
    <w:p w14:paraId="50D00702">
      <w:pPr>
        <w:pStyle w:val="3"/>
        <w:spacing w:line="246" w:lineRule="auto"/>
        <w:rPr>
          <w:color w:val="auto"/>
          <w:highlight w:val="none"/>
        </w:rPr>
      </w:pPr>
    </w:p>
    <w:p w14:paraId="277B69A5">
      <w:pPr>
        <w:pStyle w:val="3"/>
        <w:spacing w:line="246" w:lineRule="auto"/>
        <w:rPr>
          <w:color w:val="auto"/>
          <w:highlight w:val="none"/>
        </w:rPr>
      </w:pPr>
    </w:p>
    <w:p w14:paraId="2583ACA5">
      <w:pPr>
        <w:pStyle w:val="3"/>
        <w:spacing w:line="246" w:lineRule="auto"/>
        <w:rPr>
          <w:color w:val="auto"/>
          <w:highlight w:val="none"/>
        </w:rPr>
      </w:pPr>
    </w:p>
    <w:p w14:paraId="6AFE4022">
      <w:pPr>
        <w:pStyle w:val="3"/>
        <w:spacing w:line="246" w:lineRule="auto"/>
        <w:rPr>
          <w:color w:val="auto"/>
          <w:highlight w:val="none"/>
        </w:rPr>
      </w:pPr>
    </w:p>
    <w:p w14:paraId="0B7C5D95">
      <w:pPr>
        <w:pStyle w:val="3"/>
        <w:spacing w:line="246" w:lineRule="auto"/>
        <w:rPr>
          <w:color w:val="auto"/>
          <w:highlight w:val="none"/>
        </w:rPr>
      </w:pPr>
    </w:p>
    <w:p w14:paraId="7D0351B6">
      <w:pPr>
        <w:pStyle w:val="3"/>
        <w:spacing w:line="246" w:lineRule="auto"/>
        <w:rPr>
          <w:color w:val="auto"/>
          <w:highlight w:val="none"/>
        </w:rPr>
      </w:pPr>
    </w:p>
    <w:p w14:paraId="706EB6A9">
      <w:pPr>
        <w:pStyle w:val="3"/>
        <w:spacing w:line="246" w:lineRule="auto"/>
        <w:rPr>
          <w:color w:val="auto"/>
          <w:highlight w:val="none"/>
        </w:rPr>
      </w:pPr>
    </w:p>
    <w:p w14:paraId="08C8C666">
      <w:pPr>
        <w:pStyle w:val="3"/>
        <w:spacing w:line="246" w:lineRule="auto"/>
        <w:rPr>
          <w:color w:val="auto"/>
          <w:highlight w:val="none"/>
        </w:rPr>
      </w:pPr>
    </w:p>
    <w:p w14:paraId="716AA69C">
      <w:pPr>
        <w:pStyle w:val="3"/>
        <w:spacing w:line="246" w:lineRule="auto"/>
        <w:rPr>
          <w:color w:val="auto"/>
          <w:highlight w:val="none"/>
        </w:rPr>
      </w:pPr>
    </w:p>
    <w:p w14:paraId="58C8E326">
      <w:pPr>
        <w:pStyle w:val="3"/>
        <w:spacing w:line="246" w:lineRule="auto"/>
        <w:rPr>
          <w:color w:val="auto"/>
          <w:highlight w:val="none"/>
        </w:rPr>
      </w:pPr>
    </w:p>
    <w:p w14:paraId="7F6DE9B6">
      <w:pPr>
        <w:pStyle w:val="3"/>
        <w:spacing w:line="246" w:lineRule="auto"/>
        <w:rPr>
          <w:color w:val="auto"/>
          <w:highlight w:val="none"/>
        </w:rPr>
      </w:pPr>
    </w:p>
    <w:p w14:paraId="2F6A815B">
      <w:pPr>
        <w:spacing w:before="117" w:line="217" w:lineRule="auto"/>
        <w:ind w:left="2767"/>
        <w:outlineLvl w:val="1"/>
        <w:rPr>
          <w:rFonts w:ascii="楷体" w:hAnsi="楷体" w:eastAsia="楷体" w:cs="楷体"/>
          <w:sz w:val="36"/>
          <w:szCs w:val="36"/>
        </w:rPr>
      </w:pPr>
      <w:bookmarkStart w:id="3" w:name="_Toc504"/>
      <w:r>
        <w:rPr>
          <w:rFonts w:ascii="楷体" w:hAnsi="楷体" w:eastAsia="楷体" w:cs="楷体"/>
          <w:b/>
          <w:bCs/>
          <w:spacing w:val="-1"/>
          <w:sz w:val="36"/>
          <w:szCs w:val="36"/>
        </w:rPr>
        <w:t>二〇二五年十二月</w:t>
      </w:r>
      <w:bookmarkEnd w:id="3"/>
    </w:p>
    <w:p w14:paraId="5DE4722D">
      <w:pPr>
        <w:spacing w:line="220" w:lineRule="auto"/>
        <w:rPr>
          <w:rFonts w:ascii="宋体" w:hAnsi="宋体" w:eastAsia="宋体" w:cs="宋体"/>
          <w:color w:val="auto"/>
          <w:sz w:val="36"/>
          <w:szCs w:val="36"/>
          <w:highlight w:val="none"/>
        </w:rPr>
        <w:sectPr>
          <w:pgSz w:w="11905" w:h="16843"/>
          <w:pgMar w:top="1429" w:right="1361" w:bottom="1253" w:left="1621" w:header="0" w:footer="1094" w:gutter="0"/>
          <w:cols w:space="0" w:num="1"/>
          <w:rtlGutter w:val="0"/>
          <w:docGrid w:linePitch="0" w:charSpace="0"/>
        </w:sectPr>
      </w:pPr>
    </w:p>
    <w:p w14:paraId="52FFAA57">
      <w:pPr>
        <w:spacing w:before="71" w:line="220" w:lineRule="auto"/>
        <w:ind w:left="3423"/>
        <w:outlineLvl w:val="0"/>
        <w:rPr>
          <w:rFonts w:ascii="宋体" w:hAnsi="宋体" w:eastAsia="宋体" w:cs="宋体"/>
          <w:color w:val="auto"/>
          <w:sz w:val="36"/>
          <w:szCs w:val="36"/>
          <w:highlight w:val="none"/>
        </w:rPr>
      </w:pPr>
      <w:bookmarkStart w:id="4" w:name="_Toc16503"/>
      <w:bookmarkStart w:id="5" w:name="_Toc28322"/>
      <w:r>
        <w:rPr>
          <w:rFonts w:ascii="宋体" w:hAnsi="宋体" w:eastAsia="宋体" w:cs="宋体"/>
          <w:b/>
          <w:bCs/>
          <w:color w:val="auto"/>
          <w:spacing w:val="-17"/>
          <w:sz w:val="36"/>
          <w:szCs w:val="36"/>
          <w:highlight w:val="none"/>
        </w:rPr>
        <w:t>使</w:t>
      </w:r>
      <w:r>
        <w:rPr>
          <w:rFonts w:ascii="宋体" w:hAnsi="宋体" w:eastAsia="宋体" w:cs="宋体"/>
          <w:color w:val="auto"/>
          <w:spacing w:val="20"/>
          <w:sz w:val="36"/>
          <w:szCs w:val="36"/>
          <w:highlight w:val="none"/>
        </w:rPr>
        <w:t xml:space="preserve"> </w:t>
      </w:r>
      <w:r>
        <w:rPr>
          <w:rFonts w:ascii="宋体" w:hAnsi="宋体" w:eastAsia="宋体" w:cs="宋体"/>
          <w:b/>
          <w:bCs/>
          <w:color w:val="auto"/>
          <w:spacing w:val="-17"/>
          <w:sz w:val="36"/>
          <w:szCs w:val="36"/>
          <w:highlight w:val="none"/>
        </w:rPr>
        <w:t>用</w:t>
      </w:r>
      <w:r>
        <w:rPr>
          <w:rFonts w:ascii="宋体" w:hAnsi="宋体" w:eastAsia="宋体" w:cs="宋体"/>
          <w:color w:val="auto"/>
          <w:spacing w:val="21"/>
          <w:sz w:val="36"/>
          <w:szCs w:val="36"/>
          <w:highlight w:val="none"/>
        </w:rPr>
        <w:t xml:space="preserve"> </w:t>
      </w:r>
      <w:r>
        <w:rPr>
          <w:rFonts w:ascii="宋体" w:hAnsi="宋体" w:eastAsia="宋体" w:cs="宋体"/>
          <w:b/>
          <w:bCs/>
          <w:color w:val="auto"/>
          <w:spacing w:val="-17"/>
          <w:sz w:val="36"/>
          <w:szCs w:val="36"/>
          <w:highlight w:val="none"/>
        </w:rPr>
        <w:t>说</w:t>
      </w:r>
      <w:r>
        <w:rPr>
          <w:rFonts w:ascii="宋体" w:hAnsi="宋体" w:eastAsia="宋体" w:cs="宋体"/>
          <w:color w:val="auto"/>
          <w:spacing w:val="50"/>
          <w:sz w:val="36"/>
          <w:szCs w:val="36"/>
          <w:highlight w:val="none"/>
        </w:rPr>
        <w:t xml:space="preserve"> </w:t>
      </w:r>
      <w:r>
        <w:rPr>
          <w:rFonts w:ascii="宋体" w:hAnsi="宋体" w:eastAsia="宋体" w:cs="宋体"/>
          <w:b/>
          <w:bCs/>
          <w:color w:val="auto"/>
          <w:spacing w:val="-17"/>
          <w:sz w:val="36"/>
          <w:szCs w:val="36"/>
          <w:highlight w:val="none"/>
        </w:rPr>
        <w:t>明</w:t>
      </w:r>
      <w:bookmarkEnd w:id="4"/>
      <w:bookmarkEnd w:id="5"/>
    </w:p>
    <w:p w14:paraId="1AB3F9DB">
      <w:pPr>
        <w:pStyle w:val="3"/>
        <w:spacing w:line="271" w:lineRule="auto"/>
        <w:rPr>
          <w:color w:val="auto"/>
          <w:highlight w:val="none"/>
        </w:rPr>
      </w:pPr>
    </w:p>
    <w:p w14:paraId="0A9AF3BD">
      <w:pPr>
        <w:spacing w:before="78" w:line="319" w:lineRule="auto"/>
        <w:ind w:left="17"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《浙江省水利水电工程施工招标文件示范文本》（</w:t>
      </w:r>
      <w:r>
        <w:rPr>
          <w:rFonts w:ascii="Times New Roman" w:hAnsi="Times New Roman" w:eastAsia="Times New Roman" w:cs="Times New Roman"/>
          <w:color w:val="auto"/>
          <w:spacing w:val="-3"/>
          <w:sz w:val="24"/>
          <w:szCs w:val="24"/>
          <w:highlight w:val="none"/>
        </w:rPr>
        <w:t>2025</w:t>
      </w:r>
      <w:r>
        <w:rPr>
          <w:rFonts w:ascii="宋体" w:hAnsi="宋体" w:eastAsia="宋体" w:cs="宋体"/>
          <w:color w:val="auto"/>
          <w:spacing w:val="-3"/>
          <w:sz w:val="24"/>
          <w:szCs w:val="24"/>
          <w:highlight w:val="none"/>
        </w:rPr>
        <w:t>年）以下简称</w:t>
      </w:r>
      <w:r>
        <w:rPr>
          <w:rFonts w:ascii="宋体" w:hAnsi="宋体" w:eastAsia="宋体" w:cs="宋体"/>
          <w:color w:val="auto"/>
          <w:spacing w:val="-4"/>
          <w:sz w:val="24"/>
          <w:szCs w:val="24"/>
          <w:highlight w:val="none"/>
        </w:rPr>
        <w:t>《招标文件</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示范文本》</w:t>
      </w:r>
      <w:r>
        <w:rPr>
          <w:rFonts w:ascii="宋体" w:hAnsi="宋体" w:eastAsia="宋体" w:cs="宋体"/>
          <w:color w:val="auto"/>
          <w:spacing w:val="-23"/>
          <w:sz w:val="24"/>
          <w:szCs w:val="24"/>
          <w:highlight w:val="none"/>
        </w:rPr>
        <w:t>）</w:t>
      </w:r>
      <w:r>
        <w:rPr>
          <w:rFonts w:ascii="宋体" w:hAnsi="宋体" w:eastAsia="宋体" w:cs="宋体"/>
          <w:color w:val="auto"/>
          <w:spacing w:val="33"/>
          <w:sz w:val="24"/>
          <w:szCs w:val="24"/>
          <w:highlight w:val="none"/>
        </w:rPr>
        <w:t xml:space="preserve"> </w:t>
      </w:r>
      <w:r>
        <w:rPr>
          <w:rFonts w:ascii="宋体" w:hAnsi="宋体" w:eastAsia="宋体" w:cs="宋体"/>
          <w:color w:val="auto"/>
          <w:spacing w:val="-23"/>
          <w:sz w:val="24"/>
          <w:szCs w:val="24"/>
          <w:highlight w:val="none"/>
        </w:rPr>
        <w:t>，</w:t>
      </w:r>
      <w:r>
        <w:rPr>
          <w:rFonts w:ascii="宋体" w:hAnsi="宋体" w:eastAsia="宋体" w:cs="宋体"/>
          <w:color w:val="auto"/>
          <w:spacing w:val="-6"/>
          <w:sz w:val="24"/>
          <w:szCs w:val="24"/>
          <w:highlight w:val="none"/>
        </w:rPr>
        <w:t>根据《中华人民共和国招标投标法》、《中华人民共和国招标投标法</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实施条例》以及浙江省现行的有关条例、规章等， 以《中华人民共和国标准施工招标</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文件》（</w:t>
      </w:r>
      <w:r>
        <w:rPr>
          <w:rFonts w:ascii="Times New Roman" w:hAnsi="Times New Roman" w:eastAsia="Times New Roman" w:cs="Times New Roman"/>
          <w:color w:val="auto"/>
          <w:spacing w:val="-3"/>
          <w:sz w:val="24"/>
          <w:szCs w:val="24"/>
          <w:highlight w:val="none"/>
        </w:rPr>
        <w:t>2007</w:t>
      </w:r>
      <w:r>
        <w:rPr>
          <w:rFonts w:ascii="宋体" w:hAnsi="宋体" w:eastAsia="宋体" w:cs="宋体"/>
          <w:color w:val="auto"/>
          <w:spacing w:val="-3"/>
          <w:sz w:val="24"/>
          <w:szCs w:val="24"/>
          <w:highlight w:val="none"/>
        </w:rPr>
        <w:t>年版）、《水利水电工程标准施工招标文件》（</w:t>
      </w:r>
      <w:r>
        <w:rPr>
          <w:rFonts w:ascii="Times New Roman" w:hAnsi="Times New Roman" w:eastAsia="Times New Roman" w:cs="Times New Roman"/>
          <w:color w:val="auto"/>
          <w:spacing w:val="-3"/>
          <w:sz w:val="24"/>
          <w:szCs w:val="24"/>
          <w:highlight w:val="none"/>
        </w:rPr>
        <w:t>2009</w:t>
      </w:r>
      <w:r>
        <w:rPr>
          <w:rFonts w:ascii="宋体" w:hAnsi="宋体" w:eastAsia="宋体" w:cs="宋体"/>
          <w:color w:val="auto"/>
          <w:spacing w:val="-3"/>
          <w:sz w:val="24"/>
          <w:szCs w:val="24"/>
          <w:highlight w:val="none"/>
        </w:rPr>
        <w:t>年版）、</w:t>
      </w:r>
      <w:r>
        <w:rPr>
          <w:rFonts w:ascii="宋体" w:hAnsi="宋体" w:eastAsia="宋体" w:cs="宋体"/>
          <w:color w:val="auto"/>
          <w:spacing w:val="-4"/>
          <w:sz w:val="24"/>
          <w:szCs w:val="24"/>
          <w:highlight w:val="none"/>
        </w:rPr>
        <w:t>《浙江省</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水利水电工程施工招标文件示范文本》（</w:t>
      </w:r>
      <w:r>
        <w:rPr>
          <w:rFonts w:ascii="Times New Roman" w:hAnsi="Times New Roman" w:eastAsia="Times New Roman" w:cs="Times New Roman"/>
          <w:color w:val="auto"/>
          <w:spacing w:val="-3"/>
          <w:sz w:val="24"/>
          <w:szCs w:val="24"/>
          <w:highlight w:val="none"/>
        </w:rPr>
        <w:t>2023</w:t>
      </w:r>
      <w:r>
        <w:rPr>
          <w:rFonts w:ascii="宋体" w:hAnsi="宋体" w:eastAsia="宋体" w:cs="宋体"/>
          <w:color w:val="auto"/>
          <w:spacing w:val="-3"/>
          <w:sz w:val="24"/>
          <w:szCs w:val="24"/>
          <w:highlight w:val="none"/>
        </w:rPr>
        <w:t>版）为基础，结合浙江省水利水电工程</w:t>
      </w:r>
      <w:r>
        <w:rPr>
          <w:rFonts w:ascii="宋体" w:hAnsi="宋体" w:eastAsia="宋体" w:cs="宋体"/>
          <w:color w:val="auto"/>
          <w:spacing w:val="14"/>
          <w:sz w:val="24"/>
          <w:szCs w:val="24"/>
          <w:highlight w:val="none"/>
        </w:rPr>
        <w:t xml:space="preserve"> </w:t>
      </w:r>
      <w:r>
        <w:rPr>
          <w:rFonts w:ascii="宋体" w:hAnsi="宋体" w:eastAsia="宋体" w:cs="宋体"/>
          <w:color w:val="auto"/>
          <w:spacing w:val="-4"/>
          <w:sz w:val="24"/>
          <w:szCs w:val="24"/>
          <w:highlight w:val="none"/>
        </w:rPr>
        <w:t>建设实际编制，具体使用说明如下：</w:t>
      </w:r>
    </w:p>
    <w:p w14:paraId="7D569348">
      <w:pPr>
        <w:spacing w:before="32" w:line="306" w:lineRule="auto"/>
        <w:ind w:left="15" w:firstLine="48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一、《招标文件示范文本》适用于电子招投标， 若采</w:t>
      </w:r>
      <w:r>
        <w:rPr>
          <w:rFonts w:ascii="宋体" w:hAnsi="宋体" w:eastAsia="宋体" w:cs="宋体"/>
          <w:color w:val="auto"/>
          <w:spacing w:val="-7"/>
          <w:sz w:val="24"/>
          <w:szCs w:val="24"/>
          <w:highlight w:val="none"/>
        </w:rPr>
        <w:t>用非电子招投标的，招标人</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应根据实际需要进行修改使用。投标格式文件中要求法定代表人签字或盖章的，电子</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投标文件应使用</w:t>
      </w:r>
      <w:r>
        <w:rPr>
          <w:rFonts w:ascii="Times New Roman" w:hAnsi="Times New Roman" w:eastAsia="Times New Roman" w:cs="Times New Roman"/>
          <w:b/>
          <w:bCs/>
          <w:color w:val="auto"/>
          <w:sz w:val="24"/>
          <w:szCs w:val="24"/>
          <w:highlight w:val="none"/>
        </w:rPr>
        <w:t>CA</w:t>
      </w:r>
      <w:r>
        <w:rPr>
          <w:rFonts w:ascii="宋体" w:hAnsi="宋体" w:eastAsia="宋体" w:cs="宋体"/>
          <w:color w:val="auto"/>
          <w:spacing w:val="1"/>
          <w:sz w:val="24"/>
          <w:szCs w:val="24"/>
          <w:highlight w:val="none"/>
        </w:rPr>
        <w:t>数字证书加盖法定代表人个人电子印章；投标格式文</w:t>
      </w:r>
      <w:r>
        <w:rPr>
          <w:rFonts w:ascii="宋体" w:hAnsi="宋体" w:eastAsia="宋体" w:cs="宋体"/>
          <w:color w:val="auto"/>
          <w:sz w:val="24"/>
          <w:szCs w:val="24"/>
          <w:highlight w:val="none"/>
        </w:rPr>
        <w:t>件中要求投 标人单位盖章的，电子投标文件应使用</w:t>
      </w:r>
      <w:r>
        <w:rPr>
          <w:rFonts w:ascii="Times New Roman" w:hAnsi="Times New Roman" w:eastAsia="Times New Roman" w:cs="Times New Roman"/>
          <w:b/>
          <w:bCs/>
          <w:color w:val="auto"/>
          <w:sz w:val="24"/>
          <w:szCs w:val="24"/>
          <w:highlight w:val="none"/>
        </w:rPr>
        <w:t>CA</w:t>
      </w:r>
      <w:r>
        <w:rPr>
          <w:rFonts w:ascii="宋体" w:hAnsi="宋体" w:eastAsia="宋体" w:cs="宋体"/>
          <w:color w:val="auto"/>
          <w:sz w:val="24"/>
          <w:szCs w:val="24"/>
          <w:highlight w:val="none"/>
        </w:rPr>
        <w:t>数字证书加盖投标人单位电子印章。使用</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rPr>
        <w:t>的电子招标工具应及时更新，并选择与本项目相匹配的招标工具模式 （如：招标文</w:t>
      </w:r>
      <w:r>
        <w:rPr>
          <w:rFonts w:ascii="宋体" w:hAnsi="宋体" w:eastAsia="宋体" w:cs="宋体"/>
          <w:color w:val="auto"/>
          <w:spacing w:val="14"/>
          <w:sz w:val="24"/>
          <w:szCs w:val="24"/>
          <w:highlight w:val="none"/>
        </w:rPr>
        <w:t xml:space="preserve"> </w:t>
      </w:r>
      <w:r>
        <w:rPr>
          <w:rFonts w:ascii="宋体" w:hAnsi="宋体" w:eastAsia="宋体" w:cs="宋体"/>
          <w:color w:val="auto"/>
          <w:spacing w:val="-2"/>
          <w:sz w:val="24"/>
          <w:szCs w:val="24"/>
          <w:highlight w:val="none"/>
        </w:rPr>
        <w:t>件获取、澄清、修改、评标办法、电子标书递交方式等）。</w:t>
      </w:r>
    </w:p>
    <w:p w14:paraId="473BBDA2">
      <w:pPr>
        <w:spacing w:before="135" w:line="297" w:lineRule="auto"/>
        <w:ind w:left="15" w:right="148"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二、依法必须招标的浙江省范围内水利水电</w:t>
      </w:r>
      <w:r>
        <w:rPr>
          <w:rFonts w:ascii="宋体" w:hAnsi="宋体" w:eastAsia="宋体" w:cs="宋体"/>
          <w:color w:val="auto"/>
          <w:spacing w:val="-1"/>
          <w:sz w:val="24"/>
          <w:szCs w:val="24"/>
          <w:highlight w:val="none"/>
        </w:rPr>
        <w:t>工程项目，应按照《招标文件示范</w:t>
      </w:r>
      <w:r>
        <w:rPr>
          <w:rFonts w:ascii="宋体" w:hAnsi="宋体" w:eastAsia="宋体" w:cs="宋体"/>
          <w:color w:val="auto"/>
          <w:sz w:val="24"/>
          <w:szCs w:val="24"/>
          <w:highlight w:val="none"/>
        </w:rPr>
        <w:t xml:space="preserve"> 文本》编制施工招标文件，其他水利水电工程项目可参照编</w:t>
      </w:r>
      <w:r>
        <w:rPr>
          <w:rFonts w:ascii="宋体" w:hAnsi="宋体" w:eastAsia="宋体" w:cs="宋体"/>
          <w:color w:val="auto"/>
          <w:spacing w:val="-1"/>
          <w:sz w:val="24"/>
          <w:szCs w:val="24"/>
          <w:highlight w:val="none"/>
        </w:rPr>
        <w:t>制。水利水电工程中涉</w:t>
      </w:r>
      <w:r>
        <w:rPr>
          <w:rFonts w:ascii="宋体" w:hAnsi="宋体" w:eastAsia="宋体" w:cs="宋体"/>
          <w:color w:val="auto"/>
          <w:sz w:val="24"/>
          <w:szCs w:val="24"/>
          <w:highlight w:val="none"/>
        </w:rPr>
        <w:t xml:space="preserve"> 及房屋建筑和市政基础设施工程、园林绿化工程等需要单独</w:t>
      </w:r>
      <w:r>
        <w:rPr>
          <w:rFonts w:ascii="宋体" w:hAnsi="宋体" w:eastAsia="宋体" w:cs="宋体"/>
          <w:color w:val="auto"/>
          <w:spacing w:val="-1"/>
          <w:sz w:val="24"/>
          <w:szCs w:val="24"/>
          <w:highlight w:val="none"/>
        </w:rPr>
        <w:t>招标的应采用相应专业</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施工招标文件范本。</w:t>
      </w:r>
    </w:p>
    <w:p w14:paraId="014F17EB">
      <w:pPr>
        <w:spacing w:before="133" w:line="289" w:lineRule="auto"/>
        <w:ind w:left="16" w:firstLine="48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三、采用公开招标方式的，</w:t>
      </w:r>
      <w:r>
        <w:rPr>
          <w:rFonts w:ascii="宋体" w:hAnsi="宋体" w:eastAsia="宋体" w:cs="宋体"/>
          <w:color w:val="auto"/>
          <w:spacing w:val="-47"/>
          <w:sz w:val="24"/>
          <w:szCs w:val="24"/>
          <w:highlight w:val="none"/>
        </w:rPr>
        <w:t xml:space="preserve"> </w:t>
      </w:r>
      <w:r>
        <w:rPr>
          <w:rFonts w:ascii="宋体" w:hAnsi="宋体" w:eastAsia="宋体" w:cs="宋体"/>
          <w:color w:val="auto"/>
          <w:spacing w:val="-5"/>
          <w:sz w:val="24"/>
          <w:szCs w:val="24"/>
          <w:highlight w:val="none"/>
        </w:rPr>
        <w:t>招标人应在招标公告前将拟发布的招标文件在省公共</w:t>
      </w:r>
      <w:r>
        <w:rPr>
          <w:rFonts w:ascii="宋体" w:hAnsi="宋体" w:eastAsia="宋体" w:cs="宋体"/>
          <w:color w:val="auto"/>
          <w:sz w:val="24"/>
          <w:szCs w:val="24"/>
          <w:highlight w:val="none"/>
        </w:rPr>
        <w:t xml:space="preserve"> 资源交易服务平台上公示不少于</w:t>
      </w:r>
      <w:r>
        <w:rPr>
          <w:rFonts w:ascii="Times New Roman" w:hAnsi="Times New Roman" w:eastAsia="Times New Roman" w:cs="Times New Roman"/>
          <w:color w:val="auto"/>
          <w:sz w:val="24"/>
          <w:szCs w:val="24"/>
          <w:highlight w:val="none"/>
        </w:rPr>
        <w:t>5</w:t>
      </w:r>
      <w:r>
        <w:rPr>
          <w:rFonts w:ascii="宋体" w:hAnsi="宋体" w:eastAsia="宋体" w:cs="宋体"/>
          <w:color w:val="auto"/>
          <w:sz w:val="24"/>
          <w:szCs w:val="24"/>
          <w:highlight w:val="none"/>
        </w:rPr>
        <w:t>日，征求潜在投标人和社会公众意见建议。招标人</w:t>
      </w:r>
      <w:r>
        <w:rPr>
          <w:rFonts w:ascii="宋体" w:hAnsi="宋体" w:eastAsia="宋体" w:cs="宋体"/>
          <w:color w:val="auto"/>
          <w:spacing w:val="13"/>
          <w:sz w:val="24"/>
          <w:szCs w:val="24"/>
          <w:highlight w:val="none"/>
        </w:rPr>
        <w:t xml:space="preserve"> </w:t>
      </w:r>
      <w:r>
        <w:rPr>
          <w:rFonts w:ascii="宋体" w:hAnsi="宋体" w:eastAsia="宋体" w:cs="宋体"/>
          <w:color w:val="auto"/>
          <w:spacing w:val="-2"/>
          <w:sz w:val="24"/>
          <w:szCs w:val="24"/>
          <w:highlight w:val="none"/>
        </w:rPr>
        <w:t>应将公示意见反馈情况递交给招标投标行政监督部门。</w:t>
      </w:r>
    </w:p>
    <w:p w14:paraId="5771F5E3">
      <w:pPr>
        <w:spacing w:before="134" w:line="271" w:lineRule="auto"/>
        <w:ind w:left="16" w:firstLine="502"/>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四、</w:t>
      </w:r>
      <w:r>
        <w:rPr>
          <w:rFonts w:hint="eastAsia" w:ascii="宋体" w:hAnsi="宋体" w:eastAsia="宋体" w:cs="宋体"/>
          <w:color w:val="auto"/>
          <w:spacing w:val="-6"/>
          <w:sz w:val="24"/>
          <w:szCs w:val="24"/>
          <w:highlight w:val="none"/>
        </w:rPr>
        <w:t>招标人编制依法必须招标项目的招标文件时，参照《浙江省招标投标领域公平竞争审查细则》开展公平竞争审查。</w:t>
      </w:r>
    </w:p>
    <w:p w14:paraId="55455B5A">
      <w:pPr>
        <w:spacing w:before="138" w:line="302" w:lineRule="auto"/>
        <w:ind w:right="43" w:firstLine="50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五、《招标文件示范文本》用相同序号标示章、节、条、款、项、目时，</w:t>
      </w:r>
      <w:r>
        <w:rPr>
          <w:rFonts w:ascii="宋体" w:hAnsi="宋体" w:eastAsia="宋体" w:cs="宋体"/>
          <w:color w:val="auto"/>
          <w:spacing w:val="-2"/>
          <w:sz w:val="24"/>
          <w:szCs w:val="24"/>
          <w:highlight w:val="none"/>
        </w:rPr>
        <w:t>或以</w:t>
      </w:r>
      <w:r>
        <w:rPr>
          <w:rFonts w:ascii="宋体" w:hAnsi="宋体" w:eastAsia="宋体" w:cs="宋体"/>
          <w:color w:val="auto"/>
          <w:sz w:val="24"/>
          <w:szCs w:val="24"/>
          <w:highlight w:val="none"/>
        </w:rPr>
        <w:t xml:space="preserve">  “□</w:t>
      </w:r>
      <w:r>
        <w:rPr>
          <w:rFonts w:ascii="Times New Roman" w:hAnsi="Times New Roman" w:eastAsia="Times New Roman" w:cs="Times New Roman"/>
          <w:color w:val="auto"/>
          <w:sz w:val="24"/>
          <w:szCs w:val="24"/>
          <w:highlight w:val="none"/>
        </w:rPr>
        <w:t>”</w:t>
      </w:r>
      <w:r>
        <w:rPr>
          <w:rFonts w:ascii="宋体" w:hAnsi="宋体" w:eastAsia="宋体" w:cs="宋体"/>
          <w:color w:val="auto"/>
          <w:sz w:val="24"/>
          <w:szCs w:val="24"/>
          <w:highlight w:val="none"/>
        </w:rPr>
        <w:t>标示时，招标人可选择使用；以空格标示时，招标人应根据招标项目具体特点</w:t>
      </w:r>
      <w:r>
        <w:rPr>
          <w:rFonts w:ascii="宋体" w:hAnsi="宋体" w:eastAsia="宋体" w:cs="宋体"/>
          <w:color w:val="auto"/>
          <w:spacing w:val="5"/>
          <w:sz w:val="24"/>
          <w:szCs w:val="24"/>
          <w:highlight w:val="none"/>
        </w:rPr>
        <w:t xml:space="preserve"> </w:t>
      </w:r>
      <w:r>
        <w:rPr>
          <w:rFonts w:ascii="宋体" w:hAnsi="宋体" w:eastAsia="宋体" w:cs="宋体"/>
          <w:color w:val="auto"/>
          <w:sz w:val="24"/>
          <w:szCs w:val="24"/>
          <w:highlight w:val="none"/>
        </w:rPr>
        <w:t>和实际需要填写，确实不需要填写具体内容时，可在空格中用“</w:t>
      </w:r>
      <w:r>
        <w:rPr>
          <w:rFonts w:ascii="Times New Roman" w:hAnsi="Times New Roman" w:eastAsia="Times New Roman" w:cs="Times New Roman"/>
          <w:color w:val="auto"/>
          <w:sz w:val="24"/>
          <w:szCs w:val="24"/>
          <w:highlight w:val="none"/>
        </w:rPr>
        <w:t>/</w:t>
      </w:r>
      <w:r>
        <w:rPr>
          <w:rFonts w:ascii="宋体" w:hAnsi="宋体" w:eastAsia="宋体" w:cs="宋体"/>
          <w:color w:val="auto"/>
          <w:sz w:val="24"/>
          <w:szCs w:val="24"/>
          <w:highlight w:val="none"/>
        </w:rPr>
        <w:t>”标示。文中隶书</w:t>
      </w:r>
      <w:r>
        <w:rPr>
          <w:rFonts w:ascii="宋体" w:hAnsi="宋体" w:eastAsia="宋体" w:cs="宋体"/>
          <w:color w:val="auto"/>
          <w:spacing w:val="6"/>
          <w:sz w:val="24"/>
          <w:szCs w:val="24"/>
          <w:highlight w:val="none"/>
        </w:rPr>
        <w:t xml:space="preserve"> </w:t>
      </w:r>
      <w:r>
        <w:rPr>
          <w:rFonts w:ascii="宋体" w:hAnsi="宋体" w:eastAsia="宋体" w:cs="宋体"/>
          <w:color w:val="auto"/>
          <w:sz w:val="24"/>
          <w:szCs w:val="24"/>
          <w:highlight w:val="none"/>
        </w:rPr>
        <w:t>体内容可根据项目实际情况进行删减或选择，斜体字内容为解释、说明，使用时应</w:t>
      </w:r>
      <w:r>
        <w:rPr>
          <w:rFonts w:ascii="宋体" w:hAnsi="宋体" w:eastAsia="宋体" w:cs="宋体"/>
          <w:color w:val="auto"/>
          <w:spacing w:val="3"/>
          <w:sz w:val="24"/>
          <w:szCs w:val="24"/>
          <w:highlight w:val="none"/>
        </w:rPr>
        <w:t xml:space="preserve">  </w:t>
      </w:r>
      <w:r>
        <w:rPr>
          <w:rFonts w:ascii="宋体" w:hAnsi="宋体" w:eastAsia="宋体" w:cs="宋体"/>
          <w:color w:val="auto"/>
          <w:spacing w:val="-5"/>
          <w:sz w:val="24"/>
          <w:szCs w:val="24"/>
          <w:highlight w:val="none"/>
        </w:rPr>
        <w:t>自行删除。</w:t>
      </w:r>
    </w:p>
    <w:p w14:paraId="532A4673">
      <w:pPr>
        <w:keepNext w:val="0"/>
        <w:keepLines w:val="0"/>
        <w:pageBreakBefore w:val="0"/>
        <w:widowControl/>
        <w:kinsoku w:val="0"/>
        <w:wordWrap/>
        <w:overflowPunct/>
        <w:topLinePunct w:val="0"/>
        <w:autoSpaceDE w:val="0"/>
        <w:autoSpaceDN w:val="0"/>
        <w:bidi w:val="0"/>
        <w:adjustRightInd w:val="0"/>
        <w:snapToGrid w:val="0"/>
        <w:spacing w:before="137" w:line="302" w:lineRule="auto"/>
        <w:ind w:left="15" w:firstLine="482"/>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六、第一章招标公告或投标邀请书格式供参考，投标</w:t>
      </w:r>
      <w:r>
        <w:rPr>
          <w:rFonts w:ascii="宋体" w:hAnsi="宋体" w:eastAsia="宋体" w:cs="宋体"/>
          <w:color w:val="auto"/>
          <w:spacing w:val="-4"/>
          <w:sz w:val="24"/>
          <w:szCs w:val="24"/>
          <w:highlight w:val="none"/>
        </w:rPr>
        <w:t>人资格条件应按《招标文件</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示范文本》的要求填写。招标公告或投标邀请书发布后， 应编入招标文件中，作为投</w:t>
      </w:r>
      <w:r>
        <w:rPr>
          <w:rFonts w:ascii="宋体" w:hAnsi="宋体" w:eastAsia="宋体" w:cs="宋体"/>
          <w:color w:val="auto"/>
          <w:spacing w:val="4"/>
          <w:sz w:val="24"/>
          <w:szCs w:val="24"/>
          <w:highlight w:val="none"/>
        </w:rPr>
        <w:t xml:space="preserve"> </w:t>
      </w:r>
      <w:r>
        <w:rPr>
          <w:rFonts w:ascii="宋体" w:hAnsi="宋体" w:eastAsia="宋体" w:cs="宋体"/>
          <w:color w:val="auto"/>
          <w:spacing w:val="-6"/>
          <w:sz w:val="24"/>
          <w:szCs w:val="24"/>
          <w:highlight w:val="none"/>
        </w:rPr>
        <w:t>标邀请。其中， 招标公告应同时注明该公告发布的所有媒介名称。投标资格条件或资</w:t>
      </w:r>
      <w:r>
        <w:rPr>
          <w:rFonts w:ascii="宋体" w:hAnsi="宋体" w:eastAsia="宋体" w:cs="宋体"/>
          <w:color w:val="auto"/>
          <w:spacing w:val="7"/>
          <w:sz w:val="24"/>
          <w:szCs w:val="24"/>
          <w:highlight w:val="none"/>
        </w:rPr>
        <w:t xml:space="preserve"> </w:t>
      </w:r>
      <w:r>
        <w:rPr>
          <w:rFonts w:ascii="宋体" w:hAnsi="宋体" w:eastAsia="宋体" w:cs="宋体"/>
          <w:color w:val="auto"/>
          <w:spacing w:val="-1"/>
          <w:sz w:val="24"/>
          <w:szCs w:val="24"/>
          <w:highlight w:val="none"/>
        </w:rPr>
        <w:t>信设置类似业绩要求的，应当符合附表</w:t>
      </w:r>
      <w:r>
        <w:rPr>
          <w:rFonts w:ascii="Times New Roman" w:hAnsi="Times New Roman" w:eastAsia="Times New Roman" w:cs="Times New Roman"/>
          <w:color w:val="auto"/>
          <w:spacing w:val="-1"/>
          <w:sz w:val="24"/>
          <w:szCs w:val="24"/>
          <w:highlight w:val="none"/>
        </w:rPr>
        <w:t>1</w:t>
      </w:r>
      <w:r>
        <w:rPr>
          <w:rFonts w:ascii="Times New Roman" w:hAnsi="Times New Roman" w:eastAsia="Times New Roman" w:cs="Times New Roman"/>
          <w:color w:val="auto"/>
          <w:spacing w:val="-9"/>
          <w:sz w:val="24"/>
          <w:szCs w:val="24"/>
          <w:highlight w:val="none"/>
        </w:rPr>
        <w:t xml:space="preserve"> </w:t>
      </w:r>
      <w:r>
        <w:rPr>
          <w:rFonts w:ascii="宋体" w:hAnsi="宋体" w:eastAsia="宋体" w:cs="宋体"/>
          <w:color w:val="auto"/>
          <w:spacing w:val="-1"/>
          <w:sz w:val="24"/>
          <w:szCs w:val="24"/>
          <w:highlight w:val="none"/>
        </w:rPr>
        <w:t>。拟派项目负责人设置类似业绩的，原则上</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业绩内容应与投标人业绩要求一致，时限可以适当延长。</w:t>
      </w:r>
    </w:p>
    <w:p w14:paraId="3A4ED72F">
      <w:pPr>
        <w:keepNext w:val="0"/>
        <w:keepLines w:val="0"/>
        <w:pageBreakBefore w:val="0"/>
        <w:widowControl/>
        <w:kinsoku w:val="0"/>
        <w:wordWrap/>
        <w:overflowPunct/>
        <w:topLinePunct w:val="0"/>
        <w:autoSpaceDE w:val="0"/>
        <w:autoSpaceDN w:val="0"/>
        <w:bidi w:val="0"/>
        <w:adjustRightInd w:val="0"/>
        <w:snapToGrid w:val="0"/>
        <w:spacing w:line="302" w:lineRule="auto"/>
        <w:textAlignment w:val="baseline"/>
        <w:rPr>
          <w:rFonts w:ascii="宋体" w:hAnsi="宋体" w:eastAsia="宋体" w:cs="宋体"/>
          <w:color w:val="auto"/>
          <w:sz w:val="24"/>
          <w:szCs w:val="24"/>
          <w:highlight w:val="none"/>
        </w:rPr>
        <w:sectPr>
          <w:footerReference r:id="rId5" w:type="default"/>
          <w:pgSz w:w="11905" w:h="16843"/>
          <w:pgMar w:top="1429" w:right="1361" w:bottom="1253" w:left="1621" w:header="0" w:footer="1094" w:gutter="0"/>
          <w:pgNumType w:fmt="decimal" w:start="1"/>
          <w:cols w:space="0" w:num="1"/>
          <w:rtlGutter w:val="0"/>
          <w:docGrid w:linePitch="0" w:charSpace="0"/>
        </w:sectPr>
      </w:pPr>
    </w:p>
    <w:p w14:paraId="341CE035">
      <w:pPr>
        <w:keepNext w:val="0"/>
        <w:keepLines w:val="0"/>
        <w:pageBreakBefore w:val="0"/>
        <w:widowControl/>
        <w:kinsoku w:val="0"/>
        <w:wordWrap/>
        <w:overflowPunct/>
        <w:topLinePunct w:val="0"/>
        <w:autoSpaceDE w:val="0"/>
        <w:autoSpaceDN w:val="0"/>
        <w:bidi w:val="0"/>
        <w:adjustRightInd w:val="0"/>
        <w:snapToGrid w:val="0"/>
        <w:spacing w:before="138" w:line="297" w:lineRule="auto"/>
        <w:ind w:left="1" w:right="66" w:firstLine="478"/>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七、第二章投标人须知正文应全文引用。“投标人须知前附表”是对“投标人须</w:t>
      </w:r>
      <w:r>
        <w:rPr>
          <w:rFonts w:ascii="宋体" w:hAnsi="宋体" w:eastAsia="宋体" w:cs="宋体"/>
          <w:color w:val="auto"/>
          <w:spacing w:val="4"/>
          <w:sz w:val="24"/>
          <w:szCs w:val="24"/>
          <w:highlight w:val="none"/>
        </w:rPr>
        <w:t xml:space="preserve"> </w:t>
      </w:r>
      <w:r>
        <w:rPr>
          <w:rFonts w:ascii="宋体" w:hAnsi="宋体" w:eastAsia="宋体" w:cs="宋体"/>
          <w:color w:val="auto"/>
          <w:spacing w:val="-3"/>
          <w:sz w:val="24"/>
          <w:szCs w:val="24"/>
          <w:highlight w:val="none"/>
        </w:rPr>
        <w:t>知”正文中未尽事宜进一步明确及重点内容的概括，招标人应结合招标项目具体特点</w:t>
      </w:r>
      <w:r>
        <w:rPr>
          <w:rFonts w:ascii="宋体" w:hAnsi="宋体" w:eastAsia="宋体" w:cs="宋体"/>
          <w:color w:val="auto"/>
          <w:spacing w:val="8"/>
          <w:sz w:val="24"/>
          <w:szCs w:val="24"/>
          <w:highlight w:val="none"/>
        </w:rPr>
        <w:t xml:space="preserve"> </w:t>
      </w:r>
      <w:r>
        <w:rPr>
          <w:rFonts w:ascii="宋体" w:hAnsi="宋体" w:eastAsia="宋体" w:cs="宋体"/>
          <w:color w:val="auto"/>
          <w:spacing w:val="-3"/>
          <w:sz w:val="24"/>
          <w:szCs w:val="24"/>
          <w:highlight w:val="none"/>
        </w:rPr>
        <w:t>和实际需要编制和填写，但不应与“投标人须知”正文内容相抵触，否则抵触内容无</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效。“投标人须知”附件所提供的格式文件供招标人参考使用。</w:t>
      </w:r>
    </w:p>
    <w:p w14:paraId="2FF8515E">
      <w:pPr>
        <w:keepNext w:val="0"/>
        <w:keepLines w:val="0"/>
        <w:pageBreakBefore w:val="0"/>
        <w:widowControl/>
        <w:kinsoku w:val="0"/>
        <w:wordWrap/>
        <w:overflowPunct/>
        <w:topLinePunct w:val="0"/>
        <w:autoSpaceDE w:val="0"/>
        <w:autoSpaceDN w:val="0"/>
        <w:bidi w:val="0"/>
        <w:adjustRightInd w:val="0"/>
        <w:snapToGrid w:val="0"/>
        <w:spacing w:before="134" w:line="306" w:lineRule="auto"/>
        <w:ind w:right="66" w:firstLine="484"/>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八、第三章评标办法分别提供“综合评估法”和“经评审的最低投标价法</w:t>
      </w:r>
      <w:r>
        <w:rPr>
          <w:rFonts w:ascii="宋体" w:hAnsi="宋体" w:eastAsia="宋体" w:cs="宋体"/>
          <w:color w:val="auto"/>
          <w:spacing w:val="-4"/>
          <w:sz w:val="24"/>
          <w:szCs w:val="24"/>
          <w:highlight w:val="none"/>
        </w:rPr>
        <w:t>”两种</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评标办法，适用于浙江省水利水电工程施工公开招标或邀请招标，其中综合评估法包</w:t>
      </w:r>
      <w:r>
        <w:rPr>
          <w:rFonts w:ascii="宋体" w:hAnsi="宋体" w:eastAsia="宋体" w:cs="宋体"/>
          <w:color w:val="auto"/>
          <w:spacing w:val="10"/>
          <w:sz w:val="24"/>
          <w:szCs w:val="24"/>
          <w:highlight w:val="none"/>
        </w:rPr>
        <w:t xml:space="preserve"> </w:t>
      </w:r>
      <w:r>
        <w:rPr>
          <w:rFonts w:ascii="宋体" w:hAnsi="宋体" w:eastAsia="宋体" w:cs="宋体"/>
          <w:color w:val="auto"/>
          <w:spacing w:val="-5"/>
          <w:sz w:val="24"/>
          <w:szCs w:val="24"/>
          <w:highlight w:val="none"/>
        </w:rPr>
        <w:t>括技术通过制、技术打分制两种方式，</w:t>
      </w:r>
      <w:r>
        <w:rPr>
          <w:rFonts w:ascii="宋体" w:hAnsi="宋体" w:eastAsia="宋体" w:cs="宋体"/>
          <w:color w:val="auto"/>
          <w:spacing w:val="-36"/>
          <w:sz w:val="24"/>
          <w:szCs w:val="24"/>
          <w:highlight w:val="none"/>
        </w:rPr>
        <w:t xml:space="preserve"> </w:t>
      </w:r>
      <w:r>
        <w:rPr>
          <w:rFonts w:ascii="宋体" w:hAnsi="宋体" w:eastAsia="宋体" w:cs="宋体"/>
          <w:color w:val="auto"/>
          <w:spacing w:val="-5"/>
          <w:sz w:val="24"/>
          <w:szCs w:val="24"/>
          <w:highlight w:val="none"/>
        </w:rPr>
        <w:t>招标人应根据项目具体特点和实际需要选择使</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用。鼓励选用技术通过制的综合评估法， 控制选用技术打分制的综合评估法，谨慎选</w:t>
      </w:r>
      <w:r>
        <w:rPr>
          <w:rFonts w:ascii="宋体" w:hAnsi="宋体" w:eastAsia="宋体" w:cs="宋体"/>
          <w:color w:val="auto"/>
          <w:spacing w:val="4"/>
          <w:sz w:val="24"/>
          <w:szCs w:val="24"/>
          <w:highlight w:val="none"/>
        </w:rPr>
        <w:t xml:space="preserve"> </w:t>
      </w:r>
      <w:r>
        <w:rPr>
          <w:rFonts w:ascii="宋体" w:hAnsi="宋体" w:eastAsia="宋体" w:cs="宋体"/>
          <w:color w:val="auto"/>
          <w:spacing w:val="-3"/>
          <w:sz w:val="24"/>
          <w:szCs w:val="24"/>
          <w:highlight w:val="none"/>
        </w:rPr>
        <w:t>用经评审的最低投标价法。经评审的最低投标价法适用于具有通用技术、性能标准或</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者招标人对其技术、性能没有特殊要求的招标项目。</w:t>
      </w:r>
    </w:p>
    <w:p w14:paraId="42321513">
      <w:pPr>
        <w:keepNext w:val="0"/>
        <w:keepLines w:val="0"/>
        <w:pageBreakBefore w:val="0"/>
        <w:widowControl/>
        <w:kinsoku w:val="0"/>
        <w:wordWrap/>
        <w:overflowPunct/>
        <w:topLinePunct w:val="0"/>
        <w:autoSpaceDE w:val="0"/>
        <w:autoSpaceDN w:val="0"/>
        <w:bidi w:val="0"/>
        <w:adjustRightInd w:val="0"/>
        <w:snapToGrid w:val="0"/>
        <w:spacing w:before="132" w:line="318" w:lineRule="auto"/>
        <w:ind w:left="1" w:right="66" w:firstLine="480"/>
        <w:jc w:val="both"/>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技术标打分制的综合评估法适用于采用新工艺、技术复杂或具有特殊专业技术要</w:t>
      </w:r>
      <w:r>
        <w:rPr>
          <w:rFonts w:ascii="宋体" w:hAnsi="宋体" w:eastAsia="宋体" w:cs="宋体"/>
          <w:color w:val="auto"/>
          <w:spacing w:val="2"/>
          <w:sz w:val="24"/>
          <w:szCs w:val="24"/>
          <w:highlight w:val="none"/>
        </w:rPr>
        <w:t xml:space="preserve"> </w:t>
      </w:r>
      <w:r>
        <w:rPr>
          <w:rFonts w:ascii="宋体" w:hAnsi="宋体" w:eastAsia="宋体" w:cs="宋体"/>
          <w:color w:val="auto"/>
          <w:sz w:val="24"/>
          <w:szCs w:val="24"/>
          <w:highlight w:val="none"/>
        </w:rPr>
        <w:t>求的招标项目。招标项目的规模或特性符合附表</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规定的，招标人可选用技术打分制</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的综合评估法。“规模或特征表”规定以外且技术特别复杂，确需选用技术打分制综</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合评估法的施工招标项目，应由招标人提出申请，经水行政主管部门认定后，由招标</w:t>
      </w:r>
      <w:r>
        <w:rPr>
          <w:rFonts w:ascii="宋体" w:hAnsi="宋体" w:eastAsia="宋体" w:cs="宋体"/>
          <w:color w:val="auto"/>
          <w:spacing w:val="6"/>
          <w:sz w:val="24"/>
          <w:szCs w:val="24"/>
          <w:highlight w:val="none"/>
        </w:rPr>
        <w:t xml:space="preserve"> </w:t>
      </w:r>
      <w:r>
        <w:rPr>
          <w:rFonts w:ascii="宋体" w:hAnsi="宋体" w:eastAsia="宋体" w:cs="宋体"/>
          <w:color w:val="auto"/>
          <w:spacing w:val="-4"/>
          <w:sz w:val="24"/>
          <w:szCs w:val="24"/>
          <w:highlight w:val="none"/>
        </w:rPr>
        <w:t>投标行政监督部门确认。</w:t>
      </w:r>
    </w:p>
    <w:p w14:paraId="6F6BD3A4">
      <w:pPr>
        <w:keepNext w:val="0"/>
        <w:keepLines w:val="0"/>
        <w:pageBreakBefore w:val="0"/>
        <w:widowControl/>
        <w:kinsoku w:val="0"/>
        <w:wordWrap/>
        <w:overflowPunct/>
        <w:topLinePunct w:val="0"/>
        <w:autoSpaceDE w:val="0"/>
        <w:autoSpaceDN w:val="0"/>
        <w:bidi w:val="0"/>
        <w:adjustRightInd w:val="0"/>
        <w:snapToGrid w:val="0"/>
        <w:spacing w:before="36" w:line="314" w:lineRule="auto"/>
        <w:ind w:left="3" w:right="64" w:firstLine="476"/>
        <w:jc w:val="both"/>
        <w:textAlignment w:val="baseline"/>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采用“评定分离</w:t>
      </w:r>
      <w:r>
        <w:rPr>
          <w:rFonts w:ascii="宋体" w:hAnsi="宋体" w:eastAsia="宋体" w:cs="宋体"/>
          <w:color w:val="auto"/>
          <w:spacing w:val="-83"/>
          <w:sz w:val="24"/>
          <w:szCs w:val="24"/>
          <w:highlight w:val="none"/>
        </w:rPr>
        <w:t xml:space="preserve"> </w:t>
      </w:r>
      <w:r>
        <w:rPr>
          <w:rFonts w:ascii="宋体" w:hAnsi="宋体" w:eastAsia="宋体" w:cs="宋体"/>
          <w:color w:val="auto"/>
          <w:spacing w:val="-4"/>
          <w:sz w:val="24"/>
          <w:szCs w:val="24"/>
          <w:highlight w:val="none"/>
        </w:rPr>
        <w:t>”方式招标的项目，不受“规模或特性表”的限制，可选择技术</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打分制的综合评估法。不满足“规模或特性表</w:t>
      </w:r>
      <w:r>
        <w:rPr>
          <w:rFonts w:ascii="宋体" w:hAnsi="宋体" w:eastAsia="宋体" w:cs="宋体"/>
          <w:color w:val="auto"/>
          <w:spacing w:val="-75"/>
          <w:sz w:val="24"/>
          <w:szCs w:val="24"/>
          <w:highlight w:val="none"/>
        </w:rPr>
        <w:t xml:space="preserve"> </w:t>
      </w:r>
      <w:r>
        <w:rPr>
          <w:rFonts w:ascii="宋体" w:hAnsi="宋体" w:eastAsia="宋体" w:cs="宋体"/>
          <w:color w:val="auto"/>
          <w:spacing w:val="-4"/>
          <w:sz w:val="24"/>
          <w:szCs w:val="24"/>
          <w:highlight w:val="none"/>
        </w:rPr>
        <w:t>”时，不得设置资质、业绩、奖项等加</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分项。</w:t>
      </w:r>
    </w:p>
    <w:p w14:paraId="37EE031E">
      <w:pPr>
        <w:keepNext w:val="0"/>
        <w:keepLines w:val="0"/>
        <w:pageBreakBefore w:val="0"/>
        <w:widowControl/>
        <w:kinsoku w:val="0"/>
        <w:wordWrap/>
        <w:overflowPunct/>
        <w:topLinePunct w:val="0"/>
        <w:autoSpaceDE w:val="0"/>
        <w:autoSpaceDN w:val="0"/>
        <w:bidi w:val="0"/>
        <w:adjustRightInd w:val="0"/>
        <w:snapToGrid w:val="0"/>
        <w:spacing w:before="34" w:line="310" w:lineRule="auto"/>
        <w:ind w:left="6" w:right="66" w:firstLine="473"/>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评分基准价计算方法，由招标人在招标文件中直接确定或在开标现场随机抽取确</w:t>
      </w:r>
      <w:r>
        <w:rPr>
          <w:rFonts w:ascii="宋体" w:hAnsi="宋体" w:eastAsia="宋体" w:cs="宋体"/>
          <w:color w:val="auto"/>
          <w:spacing w:val="4"/>
          <w:sz w:val="24"/>
          <w:szCs w:val="24"/>
          <w:highlight w:val="none"/>
        </w:rPr>
        <w:t xml:space="preserve"> </w:t>
      </w:r>
      <w:r>
        <w:rPr>
          <w:rFonts w:ascii="宋体" w:hAnsi="宋体" w:eastAsia="宋体" w:cs="宋体"/>
          <w:color w:val="auto"/>
          <w:spacing w:val="-8"/>
          <w:sz w:val="24"/>
          <w:szCs w:val="24"/>
          <w:highlight w:val="none"/>
        </w:rPr>
        <w:t>定。</w:t>
      </w:r>
    </w:p>
    <w:p w14:paraId="282939E4">
      <w:pPr>
        <w:keepNext w:val="0"/>
        <w:keepLines w:val="0"/>
        <w:pageBreakBefore w:val="0"/>
        <w:widowControl/>
        <w:kinsoku w:val="0"/>
        <w:wordWrap/>
        <w:overflowPunct/>
        <w:topLinePunct w:val="0"/>
        <w:autoSpaceDE w:val="0"/>
        <w:autoSpaceDN w:val="0"/>
        <w:bidi w:val="0"/>
        <w:adjustRightInd w:val="0"/>
        <w:snapToGrid w:val="0"/>
        <w:spacing w:before="33" w:line="310" w:lineRule="auto"/>
        <w:ind w:left="1" w:right="66" w:firstLine="462"/>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“评标办法”及所提供的格式文件供招标人结</w:t>
      </w:r>
      <w:r>
        <w:rPr>
          <w:rFonts w:ascii="宋体" w:hAnsi="宋体" w:eastAsia="宋体" w:cs="宋体"/>
          <w:color w:val="auto"/>
          <w:spacing w:val="-3"/>
          <w:sz w:val="24"/>
          <w:szCs w:val="24"/>
          <w:highlight w:val="none"/>
        </w:rPr>
        <w:t>合项目所属行政监督部门要求参考</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使用。</w:t>
      </w:r>
    </w:p>
    <w:p w14:paraId="4148F391">
      <w:pPr>
        <w:keepNext w:val="0"/>
        <w:keepLines w:val="0"/>
        <w:pageBreakBefore w:val="0"/>
        <w:widowControl/>
        <w:kinsoku w:val="0"/>
        <w:wordWrap/>
        <w:overflowPunct/>
        <w:topLinePunct w:val="0"/>
        <w:autoSpaceDE w:val="0"/>
        <w:autoSpaceDN w:val="0"/>
        <w:bidi w:val="0"/>
        <w:adjustRightInd w:val="0"/>
        <w:snapToGrid w:val="0"/>
        <w:spacing w:before="34" w:line="297" w:lineRule="auto"/>
        <w:ind w:left="1" w:right="66" w:firstLine="484"/>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九、第四章合同条款及格式中通用合同条款应全文引用。专用合同条款系</w:t>
      </w:r>
      <w:r>
        <w:rPr>
          <w:rFonts w:ascii="宋体" w:hAnsi="宋体" w:eastAsia="宋体" w:cs="宋体"/>
          <w:color w:val="auto"/>
          <w:spacing w:val="-4"/>
          <w:sz w:val="24"/>
          <w:szCs w:val="24"/>
          <w:highlight w:val="none"/>
        </w:rPr>
        <w:t>对通用</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合同条款进行补充、细化。通用合同条款内容不得删减。除通用合同条款明确专用合</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同条款可作出不同约定外，补充细化的内容不得与通用合同条款规定相抵触，不得违</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反法律、法规和行业规章的有关规定和平等、自愿、</w:t>
      </w:r>
      <w:r>
        <w:rPr>
          <w:rFonts w:ascii="宋体" w:hAnsi="宋体" w:eastAsia="宋体" w:cs="宋体"/>
          <w:color w:val="auto"/>
          <w:spacing w:val="-2"/>
          <w:sz w:val="24"/>
          <w:szCs w:val="24"/>
          <w:highlight w:val="none"/>
        </w:rPr>
        <w:t>公平以及诚实信用原则。</w:t>
      </w:r>
    </w:p>
    <w:p w14:paraId="1702826E">
      <w:pPr>
        <w:keepNext w:val="0"/>
        <w:keepLines w:val="0"/>
        <w:pageBreakBefore w:val="0"/>
        <w:widowControl/>
        <w:kinsoku w:val="0"/>
        <w:wordWrap/>
        <w:overflowPunct/>
        <w:topLinePunct w:val="0"/>
        <w:autoSpaceDE w:val="0"/>
        <w:autoSpaceDN w:val="0"/>
        <w:bidi w:val="0"/>
        <w:adjustRightInd w:val="0"/>
        <w:snapToGrid w:val="0"/>
        <w:spacing w:before="132" w:line="306" w:lineRule="auto"/>
        <w:ind w:left="1" w:firstLine="480"/>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十、第五章工程量清单按照《浙江省水利水电工程工程量清单计价办法》编</w:t>
      </w:r>
      <w:r>
        <w:rPr>
          <w:rFonts w:ascii="宋体" w:hAnsi="宋体" w:eastAsia="宋体" w:cs="宋体"/>
          <w:color w:val="auto"/>
          <w:spacing w:val="-2"/>
          <w:sz w:val="24"/>
          <w:szCs w:val="24"/>
          <w:highlight w:val="none"/>
        </w:rPr>
        <w:t>制，</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招标人在使用时应注意与“投标人须知”“通用合同条款”“专用合同条款”“技术</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标准和要求（合同技术条款）”“图纸（招标图纸）及其他资料”相衔接。预留金不</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得超过标段工程造价的</w:t>
      </w:r>
      <w:r>
        <w:rPr>
          <w:rFonts w:ascii="Times New Roman" w:hAnsi="Times New Roman" w:eastAsia="Times New Roman" w:cs="Times New Roman"/>
          <w:color w:val="auto"/>
          <w:spacing w:val="-3"/>
          <w:sz w:val="24"/>
          <w:szCs w:val="24"/>
          <w:highlight w:val="none"/>
        </w:rPr>
        <w:t>X%</w:t>
      </w: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X%</w:t>
      </w:r>
      <w:r>
        <w:rPr>
          <w:rFonts w:ascii="宋体" w:hAnsi="宋体" w:eastAsia="宋体" w:cs="宋体"/>
          <w:color w:val="auto"/>
          <w:spacing w:val="-3"/>
          <w:sz w:val="24"/>
          <w:szCs w:val="24"/>
          <w:highlight w:val="none"/>
        </w:rPr>
        <w:t>为批复概算基本</w:t>
      </w:r>
      <w:r>
        <w:rPr>
          <w:rFonts w:ascii="宋体" w:hAnsi="宋体" w:eastAsia="宋体" w:cs="宋体"/>
          <w:color w:val="auto"/>
          <w:spacing w:val="-4"/>
          <w:sz w:val="24"/>
          <w:szCs w:val="24"/>
          <w:highlight w:val="none"/>
        </w:rPr>
        <w:t>预备费费率）。严格控制招标文件中</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设立暂估价的数额，根据水利工程招标阶段的实际情况，由于设计深度原因，对于启</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闭机房、栏杆等项目，可设立暂估价。</w:t>
      </w:r>
    </w:p>
    <w:p w14:paraId="0B09EECE">
      <w:pPr>
        <w:keepNext w:val="0"/>
        <w:keepLines w:val="0"/>
        <w:pageBreakBefore w:val="0"/>
        <w:widowControl/>
        <w:kinsoku w:val="0"/>
        <w:wordWrap/>
        <w:overflowPunct/>
        <w:topLinePunct w:val="0"/>
        <w:autoSpaceDE w:val="0"/>
        <w:autoSpaceDN w:val="0"/>
        <w:bidi w:val="0"/>
        <w:adjustRightInd w:val="0"/>
        <w:snapToGrid w:val="0"/>
        <w:spacing w:before="137" w:line="219" w:lineRule="auto"/>
        <w:ind w:left="481"/>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十一、第六章图纸（招标图纸）及其他资料提出了图纸</w:t>
      </w:r>
      <w:r>
        <w:rPr>
          <w:rFonts w:ascii="宋体" w:hAnsi="宋体" w:eastAsia="宋体" w:cs="宋体"/>
          <w:color w:val="auto"/>
          <w:spacing w:val="-4"/>
          <w:sz w:val="24"/>
          <w:szCs w:val="24"/>
          <w:highlight w:val="none"/>
        </w:rPr>
        <w:t>有关要求，招标人应根据</w:t>
      </w:r>
    </w:p>
    <w:p w14:paraId="46B7C835">
      <w:pPr>
        <w:keepNext w:val="0"/>
        <w:keepLines w:val="0"/>
        <w:pageBreakBefore w:val="0"/>
        <w:widowControl/>
        <w:kinsoku w:val="0"/>
        <w:wordWrap/>
        <w:overflowPunct/>
        <w:topLinePunct w:val="0"/>
        <w:autoSpaceDE w:val="0"/>
        <w:autoSpaceDN w:val="0"/>
        <w:bidi w:val="0"/>
        <w:adjustRightInd w:val="0"/>
        <w:snapToGrid w:val="0"/>
        <w:spacing w:line="219" w:lineRule="auto"/>
        <w:textAlignment w:val="baseline"/>
        <w:rPr>
          <w:rFonts w:ascii="宋体" w:hAnsi="宋体" w:eastAsia="宋体" w:cs="宋体"/>
          <w:color w:val="auto"/>
          <w:sz w:val="24"/>
          <w:szCs w:val="24"/>
          <w:highlight w:val="none"/>
        </w:rPr>
        <w:sectPr>
          <w:footerReference r:id="rId6" w:type="default"/>
          <w:pgSz w:w="11905" w:h="16843"/>
          <w:pgMar w:top="1429" w:right="1361" w:bottom="1253" w:left="1621" w:header="0" w:footer="1094" w:gutter="0"/>
          <w:pgNumType w:fmt="decimal"/>
          <w:cols w:space="0" w:num="1"/>
          <w:rtlGutter w:val="0"/>
          <w:docGrid w:linePitch="0" w:charSpace="0"/>
        </w:sectPr>
      </w:pPr>
    </w:p>
    <w:p w14:paraId="45CEEDBF">
      <w:pPr>
        <w:keepNext w:val="0"/>
        <w:keepLines w:val="0"/>
        <w:pageBreakBefore w:val="0"/>
        <w:widowControl/>
        <w:kinsoku w:val="0"/>
        <w:wordWrap/>
        <w:overflowPunct/>
        <w:topLinePunct w:val="0"/>
        <w:autoSpaceDE w:val="0"/>
        <w:autoSpaceDN w:val="0"/>
        <w:bidi w:val="0"/>
        <w:adjustRightInd w:val="0"/>
        <w:snapToGrid w:val="0"/>
        <w:spacing w:before="137" w:line="310" w:lineRule="auto"/>
        <w:ind w:left="1" w:right="207"/>
        <w:textAlignment w:val="baseline"/>
        <w:rPr>
          <w:rFonts w:hint="eastAsia" w:ascii="宋体" w:hAnsi="宋体" w:eastAsia="宋体" w:cs="宋体"/>
          <w:color w:val="auto"/>
          <w:sz w:val="24"/>
          <w:szCs w:val="24"/>
          <w:highlight w:val="none"/>
          <w:lang w:val="en-US" w:eastAsia="zh-CN"/>
        </w:rPr>
      </w:pPr>
      <w:r>
        <w:rPr>
          <w:rFonts w:ascii="宋体" w:hAnsi="宋体" w:eastAsia="宋体" w:cs="宋体"/>
          <w:color w:val="auto"/>
          <w:spacing w:val="-3"/>
          <w:sz w:val="24"/>
          <w:szCs w:val="24"/>
          <w:highlight w:val="none"/>
        </w:rPr>
        <w:t>招标项目具体特点和实际需要，参考本章要求编制，但应注意与“投标人须知”“通</w:t>
      </w:r>
      <w:r>
        <w:rPr>
          <w:rFonts w:ascii="宋体" w:hAnsi="宋体" w:eastAsia="宋体" w:cs="宋体"/>
          <w:color w:val="auto"/>
          <w:spacing w:val="6"/>
          <w:sz w:val="24"/>
          <w:szCs w:val="24"/>
          <w:highlight w:val="none"/>
        </w:rPr>
        <w:t xml:space="preserve"> </w:t>
      </w:r>
      <w:r>
        <w:rPr>
          <w:rFonts w:ascii="宋体" w:hAnsi="宋体" w:eastAsia="宋体" w:cs="宋体"/>
          <w:color w:val="auto"/>
          <w:spacing w:val="-1"/>
          <w:sz w:val="24"/>
          <w:szCs w:val="24"/>
          <w:highlight w:val="none"/>
        </w:rPr>
        <w:t>用合同条款”“专用合同条款”“技术标准和要求（合</w:t>
      </w:r>
      <w:r>
        <w:rPr>
          <w:rFonts w:ascii="宋体" w:hAnsi="宋体" w:eastAsia="宋体" w:cs="宋体"/>
          <w:color w:val="auto"/>
          <w:spacing w:val="-2"/>
          <w:sz w:val="24"/>
          <w:szCs w:val="24"/>
          <w:highlight w:val="none"/>
        </w:rPr>
        <w:t>同技术条款）”相衔接</w:t>
      </w:r>
      <w:r>
        <w:rPr>
          <w:rFonts w:hint="eastAsia" w:ascii="宋体" w:hAnsi="宋体" w:eastAsia="宋体" w:cs="宋体"/>
          <w:color w:val="auto"/>
          <w:spacing w:val="-2"/>
          <w:sz w:val="24"/>
          <w:szCs w:val="24"/>
          <w:highlight w:val="none"/>
          <w:lang w:eastAsia="zh-CN"/>
        </w:rPr>
        <w:t>。</w:t>
      </w:r>
    </w:p>
    <w:p w14:paraId="3FDF0097">
      <w:pPr>
        <w:keepNext w:val="0"/>
        <w:keepLines w:val="0"/>
        <w:pageBreakBefore w:val="0"/>
        <w:widowControl/>
        <w:kinsoku w:val="0"/>
        <w:wordWrap/>
        <w:overflowPunct/>
        <w:topLinePunct w:val="0"/>
        <w:autoSpaceDE w:val="0"/>
        <w:autoSpaceDN w:val="0"/>
        <w:bidi w:val="0"/>
        <w:adjustRightInd w:val="0"/>
        <w:snapToGrid w:val="0"/>
        <w:spacing w:before="28" w:line="314" w:lineRule="auto"/>
        <w:ind w:firstLine="481"/>
        <w:textAlignment w:val="baseline"/>
        <w:rPr>
          <w:rFonts w:hint="eastAsia" w:ascii="宋体" w:hAnsi="宋体" w:eastAsia="宋体" w:cs="宋体"/>
          <w:color w:val="auto"/>
          <w:sz w:val="24"/>
          <w:szCs w:val="24"/>
          <w:highlight w:val="none"/>
          <w:lang w:eastAsia="zh-CN"/>
        </w:rPr>
      </w:pPr>
      <w:r>
        <w:rPr>
          <w:rFonts w:ascii="宋体" w:hAnsi="宋体" w:eastAsia="宋体" w:cs="宋体"/>
          <w:color w:val="auto"/>
          <w:spacing w:val="-3"/>
          <w:sz w:val="24"/>
          <w:szCs w:val="24"/>
          <w:highlight w:val="none"/>
        </w:rPr>
        <w:t>十二、第七章技术标准和要求（合同技术条款）汇集了浙江省水利水电工程施工</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中常用的施工方法、安装技术以及材料和工艺， 具有普遍性和通用性。招标人可根据</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招标项目的特点、规模大小以及对材料和工艺的不同要求及工程量清单，</w:t>
      </w:r>
      <w:r>
        <w:rPr>
          <w:rFonts w:ascii="宋体" w:hAnsi="宋体" w:eastAsia="宋体" w:cs="宋体"/>
          <w:color w:val="auto"/>
          <w:spacing w:val="-36"/>
          <w:sz w:val="24"/>
          <w:szCs w:val="24"/>
          <w:highlight w:val="none"/>
        </w:rPr>
        <w:t xml:space="preserve"> </w:t>
      </w:r>
      <w:r>
        <w:rPr>
          <w:rFonts w:ascii="宋体" w:hAnsi="宋体" w:eastAsia="宋体" w:cs="宋体"/>
          <w:color w:val="auto"/>
          <w:spacing w:val="-5"/>
          <w:sz w:val="24"/>
          <w:szCs w:val="24"/>
          <w:highlight w:val="none"/>
        </w:rPr>
        <w:t>对技术条款</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各章相应的内容（包括计量和支付）条款进行修改补充和增删取舍，使之符合招标项</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目的施工要求，但应注意与“通用合同条款”“专用合同条款”“工程量清单”相衔</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接。“技术标准和要求（合同技术条款）”应符合国家强制性标准，不得要求或标明</w:t>
      </w:r>
      <w:r>
        <w:rPr>
          <w:rFonts w:ascii="宋体" w:hAnsi="宋体" w:eastAsia="宋体" w:cs="宋体"/>
          <w:color w:val="auto"/>
          <w:spacing w:val="5"/>
          <w:sz w:val="24"/>
          <w:szCs w:val="24"/>
          <w:highlight w:val="none"/>
        </w:rPr>
        <w:t xml:space="preserve">  </w:t>
      </w:r>
      <w:r>
        <w:rPr>
          <w:rFonts w:ascii="宋体" w:hAnsi="宋体" w:eastAsia="宋体" w:cs="宋体"/>
          <w:color w:val="auto"/>
          <w:spacing w:val="-3"/>
          <w:sz w:val="24"/>
          <w:szCs w:val="24"/>
          <w:highlight w:val="none"/>
        </w:rPr>
        <w:t>某一特定的专利、商标、名称、设计、原产地或生产供应者，不得含有倾向或者排斥</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投标人的其他内容。如果必须引用某一生产供应者的技术标准才能准确或清楚地说明</w:t>
      </w:r>
      <w:r>
        <w:rPr>
          <w:rFonts w:ascii="宋体" w:hAnsi="宋体" w:eastAsia="宋体" w:cs="宋体"/>
          <w:color w:val="auto"/>
          <w:spacing w:val="5"/>
          <w:sz w:val="24"/>
          <w:szCs w:val="24"/>
          <w:highlight w:val="none"/>
        </w:rPr>
        <w:t xml:space="preserve">  </w:t>
      </w:r>
      <w:r>
        <w:rPr>
          <w:rFonts w:ascii="宋体" w:hAnsi="宋体" w:eastAsia="宋体" w:cs="宋体"/>
          <w:color w:val="auto"/>
          <w:spacing w:val="-3"/>
          <w:sz w:val="24"/>
          <w:szCs w:val="24"/>
          <w:highlight w:val="none"/>
        </w:rPr>
        <w:t>拟招标项目的技术标准时，则应当采用“参照或相当于×××技术标准”字样。“技</w:t>
      </w:r>
      <w:r>
        <w:rPr>
          <w:rFonts w:ascii="宋体" w:hAnsi="宋体" w:eastAsia="宋体" w:cs="宋体"/>
          <w:color w:val="auto"/>
          <w:spacing w:val="4"/>
          <w:sz w:val="24"/>
          <w:szCs w:val="24"/>
          <w:highlight w:val="none"/>
        </w:rPr>
        <w:t xml:space="preserve">  </w:t>
      </w:r>
      <w:r>
        <w:rPr>
          <w:rFonts w:ascii="宋体" w:hAnsi="宋体" w:eastAsia="宋体" w:cs="宋体"/>
          <w:color w:val="auto"/>
          <w:spacing w:val="-3"/>
          <w:sz w:val="24"/>
          <w:szCs w:val="24"/>
          <w:highlight w:val="none"/>
        </w:rPr>
        <w:t>术标准和要求（合同技术条款）”有关竣工验收（验收）以及质量评定内容与第四章</w:t>
      </w:r>
      <w:r>
        <w:rPr>
          <w:rFonts w:ascii="宋体" w:hAnsi="宋体" w:eastAsia="宋体" w:cs="宋体"/>
          <w:color w:val="auto"/>
          <w:spacing w:val="5"/>
          <w:sz w:val="24"/>
          <w:szCs w:val="24"/>
          <w:highlight w:val="none"/>
        </w:rPr>
        <w:t xml:space="preserve">  </w:t>
      </w:r>
      <w:r>
        <w:rPr>
          <w:rFonts w:ascii="宋体" w:hAnsi="宋体" w:eastAsia="宋体" w:cs="宋体"/>
          <w:color w:val="auto"/>
          <w:spacing w:val="-4"/>
          <w:sz w:val="24"/>
          <w:szCs w:val="24"/>
          <w:highlight w:val="none"/>
        </w:rPr>
        <w:t>合同条款及格式相关条款不一致时，以第四章合同条款及格式中采用的有关条款为准</w:t>
      </w:r>
      <w:r>
        <w:rPr>
          <w:rFonts w:hint="eastAsia" w:ascii="宋体" w:hAnsi="宋体" w:eastAsia="宋体" w:cs="宋体"/>
          <w:color w:val="auto"/>
          <w:spacing w:val="-4"/>
          <w:sz w:val="24"/>
          <w:szCs w:val="24"/>
          <w:highlight w:val="none"/>
          <w:lang w:eastAsia="zh-CN"/>
        </w:rPr>
        <w:t>。</w:t>
      </w:r>
    </w:p>
    <w:p w14:paraId="3DE744BA">
      <w:pPr>
        <w:keepNext w:val="0"/>
        <w:keepLines w:val="0"/>
        <w:pageBreakBefore w:val="0"/>
        <w:widowControl/>
        <w:kinsoku w:val="0"/>
        <w:wordWrap/>
        <w:overflowPunct/>
        <w:topLinePunct w:val="0"/>
        <w:autoSpaceDE w:val="0"/>
        <w:autoSpaceDN w:val="0"/>
        <w:bidi w:val="0"/>
        <w:adjustRightInd w:val="0"/>
        <w:snapToGrid w:val="0"/>
        <w:spacing w:before="135" w:line="219" w:lineRule="auto"/>
        <w:ind w:left="481"/>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十三、第八章投标文件格式供招标人参考使</w:t>
      </w:r>
      <w:r>
        <w:rPr>
          <w:rFonts w:ascii="宋体" w:hAnsi="宋体" w:eastAsia="宋体" w:cs="宋体"/>
          <w:color w:val="auto"/>
          <w:spacing w:val="-3"/>
          <w:sz w:val="24"/>
          <w:szCs w:val="24"/>
          <w:highlight w:val="none"/>
        </w:rPr>
        <w:t>用。</w:t>
      </w:r>
    </w:p>
    <w:p w14:paraId="76AD5922">
      <w:pPr>
        <w:keepNext w:val="0"/>
        <w:keepLines w:val="0"/>
        <w:pageBreakBefore w:val="0"/>
        <w:widowControl/>
        <w:kinsoku w:val="0"/>
        <w:wordWrap/>
        <w:overflowPunct/>
        <w:topLinePunct w:val="0"/>
        <w:autoSpaceDE w:val="0"/>
        <w:autoSpaceDN w:val="0"/>
        <w:bidi w:val="0"/>
        <w:adjustRightInd w:val="0"/>
        <w:snapToGrid w:val="0"/>
        <w:spacing w:before="135" w:line="271" w:lineRule="auto"/>
        <w:ind w:left="1" w:right="205" w:firstLine="480"/>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十四、</w:t>
      </w:r>
      <w:r>
        <w:rPr>
          <w:rFonts w:hint="eastAsia" w:ascii="宋体" w:hAnsi="宋体" w:eastAsia="宋体" w:cs="宋体"/>
          <w:color w:val="auto"/>
          <w:spacing w:val="-3"/>
          <w:sz w:val="24"/>
          <w:szCs w:val="24"/>
          <w:highlight w:val="none"/>
        </w:rPr>
        <w:t>本省行政区域内依法必须进行招标项目的评标专家，从省综合评标专家库中随机抽取。法律、法规另有规定的，从其规定。</w:t>
      </w:r>
    </w:p>
    <w:p w14:paraId="71FAB030">
      <w:pPr>
        <w:keepNext w:val="0"/>
        <w:keepLines w:val="0"/>
        <w:pageBreakBefore w:val="0"/>
        <w:widowControl/>
        <w:kinsoku w:val="0"/>
        <w:wordWrap/>
        <w:overflowPunct/>
        <w:topLinePunct w:val="0"/>
        <w:autoSpaceDE w:val="0"/>
        <w:autoSpaceDN w:val="0"/>
        <w:bidi w:val="0"/>
        <w:adjustRightInd w:val="0"/>
        <w:snapToGrid w:val="0"/>
        <w:spacing w:before="135" w:line="271" w:lineRule="auto"/>
        <w:ind w:left="5" w:right="368" w:firstLine="476"/>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十五、《招标文件示范文本》中有关招标人的约定除特别声明外，同时适用于</w:t>
      </w:r>
      <w:r>
        <w:rPr>
          <w:rFonts w:ascii="宋体" w:hAnsi="宋体" w:eastAsia="宋体" w:cs="宋体"/>
          <w:color w:val="auto"/>
          <w:spacing w:val="-3"/>
          <w:sz w:val="24"/>
          <w:szCs w:val="24"/>
          <w:highlight w:val="none"/>
        </w:rPr>
        <w:t>受其委托承担招标代理任务的招标代理机构。</w:t>
      </w:r>
    </w:p>
    <w:p w14:paraId="0806D961">
      <w:pPr>
        <w:keepNext w:val="0"/>
        <w:keepLines w:val="0"/>
        <w:pageBreakBefore w:val="0"/>
        <w:widowControl/>
        <w:kinsoku w:val="0"/>
        <w:wordWrap/>
        <w:overflowPunct/>
        <w:topLinePunct w:val="0"/>
        <w:autoSpaceDE w:val="0"/>
        <w:autoSpaceDN w:val="0"/>
        <w:bidi w:val="0"/>
        <w:adjustRightInd w:val="0"/>
        <w:snapToGrid w:val="0"/>
        <w:spacing w:before="136" w:line="271" w:lineRule="auto"/>
        <w:ind w:left="1" w:right="234" w:firstLine="479"/>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十六、超过</w:t>
      </w:r>
      <w:r>
        <w:rPr>
          <w:rFonts w:ascii="宋体" w:hAnsi="宋体" w:eastAsia="宋体" w:cs="宋体"/>
          <w:color w:val="auto"/>
          <w:spacing w:val="-51"/>
          <w:sz w:val="24"/>
          <w:szCs w:val="24"/>
          <w:highlight w:val="none"/>
        </w:rPr>
        <w:t xml:space="preserve"> </w:t>
      </w:r>
      <w:r>
        <w:rPr>
          <w:rFonts w:ascii="Times New Roman" w:hAnsi="Times New Roman" w:eastAsia="Times New Roman" w:cs="Times New Roman"/>
          <w:color w:val="auto"/>
          <w:spacing w:val="-1"/>
          <w:sz w:val="24"/>
          <w:szCs w:val="24"/>
          <w:highlight w:val="none"/>
        </w:rPr>
        <w:t>400</w:t>
      </w:r>
      <w:r>
        <w:rPr>
          <w:rFonts w:ascii="Times New Roman" w:hAnsi="Times New Roman" w:eastAsia="Times New Roman" w:cs="Times New Roman"/>
          <w:color w:val="auto"/>
          <w:spacing w:val="15"/>
          <w:w w:val="101"/>
          <w:sz w:val="24"/>
          <w:szCs w:val="24"/>
          <w:highlight w:val="none"/>
        </w:rPr>
        <w:t xml:space="preserve"> </w:t>
      </w:r>
      <w:r>
        <w:rPr>
          <w:rFonts w:ascii="宋体" w:hAnsi="宋体" w:eastAsia="宋体" w:cs="宋体"/>
          <w:color w:val="auto"/>
          <w:spacing w:val="-1"/>
          <w:sz w:val="24"/>
          <w:szCs w:val="24"/>
          <w:highlight w:val="none"/>
        </w:rPr>
        <w:t>万元的政府采购工程中适宜由中小企业提供的,应根据相关文件要求预留额度专门面向中小企业采购。</w:t>
      </w:r>
    </w:p>
    <w:p w14:paraId="46BFE718">
      <w:pPr>
        <w:keepNext w:val="0"/>
        <w:keepLines w:val="0"/>
        <w:pageBreakBefore w:val="0"/>
        <w:widowControl/>
        <w:kinsoku w:val="0"/>
        <w:wordWrap/>
        <w:overflowPunct/>
        <w:topLinePunct w:val="0"/>
        <w:autoSpaceDE w:val="0"/>
        <w:autoSpaceDN w:val="0"/>
        <w:bidi w:val="0"/>
        <w:adjustRightInd w:val="0"/>
        <w:snapToGrid w:val="0"/>
        <w:spacing w:before="135" w:line="286" w:lineRule="auto"/>
        <w:ind w:right="234" w:firstLine="481"/>
        <w:textAlignment w:val="baseline"/>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十七、招标人在招投标过程中不准限定投标人的所</w:t>
      </w:r>
      <w:r>
        <w:rPr>
          <w:rFonts w:ascii="宋体" w:hAnsi="宋体" w:eastAsia="宋体" w:cs="宋体"/>
          <w:color w:val="auto"/>
          <w:spacing w:val="-1"/>
          <w:sz w:val="24"/>
          <w:szCs w:val="24"/>
          <w:highlight w:val="none"/>
        </w:rPr>
        <w:t>有制形式、组织形式或者股</w:t>
      </w:r>
      <w:r>
        <w:rPr>
          <w:rFonts w:ascii="宋体" w:hAnsi="宋体" w:eastAsia="宋体" w:cs="宋体"/>
          <w:color w:val="auto"/>
          <w:sz w:val="24"/>
          <w:szCs w:val="24"/>
          <w:highlight w:val="none"/>
        </w:rPr>
        <w:t xml:space="preserve">  权结构;不准设定与招标项目的具体特点和实际需要不相适应</w:t>
      </w:r>
      <w:r>
        <w:rPr>
          <w:rFonts w:ascii="宋体" w:hAnsi="宋体" w:eastAsia="宋体" w:cs="宋体"/>
          <w:color w:val="auto"/>
          <w:spacing w:val="-1"/>
          <w:sz w:val="24"/>
          <w:szCs w:val="24"/>
          <w:highlight w:val="none"/>
        </w:rPr>
        <w:t>或者与合同履行无关的</w:t>
      </w:r>
      <w:r>
        <w:rPr>
          <w:rFonts w:ascii="宋体" w:hAnsi="宋体" w:eastAsia="宋体" w:cs="宋体"/>
          <w:color w:val="auto"/>
          <w:spacing w:val="-7"/>
          <w:sz w:val="24"/>
          <w:szCs w:val="24"/>
          <w:highlight w:val="none"/>
        </w:rPr>
        <w:t>资格</w:t>
      </w:r>
      <w:r>
        <w:rPr>
          <w:rFonts w:ascii="微软雅黑" w:hAnsi="微软雅黑" w:eastAsia="微软雅黑" w:cs="微软雅黑"/>
          <w:color w:val="auto"/>
          <w:spacing w:val="-7"/>
          <w:sz w:val="24"/>
          <w:szCs w:val="24"/>
          <w:highlight w:val="none"/>
        </w:rPr>
        <w:t>、</w:t>
      </w:r>
      <w:r>
        <w:rPr>
          <w:rFonts w:ascii="宋体" w:hAnsi="宋体" w:eastAsia="宋体" w:cs="宋体"/>
          <w:color w:val="auto"/>
          <w:spacing w:val="-7"/>
          <w:sz w:val="24"/>
          <w:szCs w:val="24"/>
          <w:highlight w:val="none"/>
        </w:rPr>
        <w:t>技术</w:t>
      </w:r>
      <w:r>
        <w:rPr>
          <w:rFonts w:ascii="微软雅黑" w:hAnsi="微软雅黑" w:eastAsia="微软雅黑" w:cs="微软雅黑"/>
          <w:color w:val="auto"/>
          <w:spacing w:val="-7"/>
          <w:sz w:val="24"/>
          <w:szCs w:val="24"/>
          <w:highlight w:val="none"/>
        </w:rPr>
        <w:t>、</w:t>
      </w:r>
      <w:r>
        <w:rPr>
          <w:rFonts w:ascii="宋体" w:hAnsi="宋体" w:eastAsia="宋体" w:cs="宋体"/>
          <w:color w:val="auto"/>
          <w:spacing w:val="-7"/>
          <w:sz w:val="24"/>
          <w:szCs w:val="24"/>
          <w:highlight w:val="none"/>
        </w:rPr>
        <w:t>商务条件;不准设置或者变相设置与业务无关的规模、成立年限和明显超</w:t>
      </w:r>
      <w:r>
        <w:rPr>
          <w:rFonts w:ascii="宋体" w:hAnsi="宋体" w:eastAsia="宋体" w:cs="宋体"/>
          <w:color w:val="auto"/>
          <w:sz w:val="24"/>
          <w:szCs w:val="24"/>
          <w:highlight w:val="none"/>
        </w:rPr>
        <w:t>过项目要求的业绩要求等门槛限制潜在投标人;不准在采用通</w:t>
      </w:r>
      <w:r>
        <w:rPr>
          <w:rFonts w:ascii="宋体" w:hAnsi="宋体" w:eastAsia="宋体" w:cs="宋体"/>
          <w:color w:val="auto"/>
          <w:spacing w:val="-1"/>
          <w:sz w:val="24"/>
          <w:szCs w:val="24"/>
          <w:highlight w:val="none"/>
        </w:rPr>
        <w:t>用技术标准的一般项目</w:t>
      </w:r>
      <w:r>
        <w:rPr>
          <w:rFonts w:ascii="宋体" w:hAnsi="宋体" w:eastAsia="宋体" w:cs="宋体"/>
          <w:color w:val="auto"/>
          <w:sz w:val="24"/>
          <w:szCs w:val="24"/>
          <w:highlight w:val="none"/>
        </w:rPr>
        <w:t>中设置资质、业绩、奖项等加分项;不准明示或者暗示评标专</w:t>
      </w:r>
      <w:r>
        <w:rPr>
          <w:rFonts w:ascii="宋体" w:hAnsi="宋体" w:eastAsia="宋体" w:cs="宋体"/>
          <w:color w:val="auto"/>
          <w:spacing w:val="-1"/>
          <w:sz w:val="24"/>
          <w:szCs w:val="24"/>
          <w:highlight w:val="none"/>
        </w:rPr>
        <w:t>家对不同所有制投标人</w:t>
      </w:r>
      <w:r>
        <w:rPr>
          <w:rFonts w:ascii="宋体" w:hAnsi="宋体" w:eastAsia="宋体" w:cs="宋体"/>
          <w:color w:val="auto"/>
          <w:sz w:val="24"/>
          <w:szCs w:val="24"/>
          <w:highlight w:val="none"/>
        </w:rPr>
        <w:t>采用不同的评价标准;不准对不同所有制投标人设置或采用不</w:t>
      </w:r>
      <w:r>
        <w:rPr>
          <w:rFonts w:ascii="宋体" w:hAnsi="宋体" w:eastAsia="宋体" w:cs="宋体"/>
          <w:color w:val="auto"/>
          <w:spacing w:val="-1"/>
          <w:sz w:val="24"/>
          <w:szCs w:val="24"/>
          <w:highlight w:val="none"/>
        </w:rPr>
        <w:t>同的信用评价指标;不</w:t>
      </w:r>
      <w:r>
        <w:rPr>
          <w:rFonts w:ascii="宋体" w:hAnsi="宋体" w:eastAsia="宋体" w:cs="宋体"/>
          <w:color w:val="auto"/>
          <w:spacing w:val="-4"/>
          <w:sz w:val="24"/>
          <w:szCs w:val="24"/>
          <w:highlight w:val="none"/>
        </w:rPr>
        <w:t>准有其他违反法律</w:t>
      </w:r>
      <w:r>
        <w:rPr>
          <w:rFonts w:ascii="微软雅黑" w:hAnsi="微软雅黑" w:eastAsia="微软雅黑" w:cs="微软雅黑"/>
          <w:color w:val="auto"/>
          <w:spacing w:val="-4"/>
          <w:sz w:val="24"/>
          <w:szCs w:val="24"/>
          <w:highlight w:val="none"/>
        </w:rPr>
        <w:t>、</w:t>
      </w:r>
      <w:r>
        <w:rPr>
          <w:rFonts w:ascii="宋体" w:hAnsi="宋体" w:eastAsia="宋体" w:cs="宋体"/>
          <w:color w:val="auto"/>
          <w:spacing w:val="-4"/>
          <w:sz w:val="24"/>
          <w:szCs w:val="24"/>
          <w:highlight w:val="none"/>
        </w:rPr>
        <w:t>法规规定,限制或者排斥民营企业参与投标的行</w:t>
      </w:r>
      <w:r>
        <w:rPr>
          <w:rFonts w:ascii="宋体" w:hAnsi="宋体" w:eastAsia="宋体" w:cs="宋体"/>
          <w:color w:val="auto"/>
          <w:spacing w:val="-5"/>
          <w:sz w:val="24"/>
          <w:szCs w:val="24"/>
          <w:highlight w:val="none"/>
        </w:rPr>
        <w:t>为</w:t>
      </w:r>
      <w:r>
        <w:rPr>
          <w:rFonts w:hint="eastAsia" w:ascii="宋体" w:hAnsi="宋体" w:eastAsia="宋体" w:cs="宋体"/>
          <w:color w:val="auto"/>
          <w:spacing w:val="-5"/>
          <w:sz w:val="24"/>
          <w:szCs w:val="24"/>
          <w:highlight w:val="none"/>
          <w:lang w:eastAsia="zh-CN"/>
        </w:rPr>
        <w:t>。</w:t>
      </w:r>
    </w:p>
    <w:p w14:paraId="0988561E">
      <w:pPr>
        <w:keepNext w:val="0"/>
        <w:keepLines w:val="0"/>
        <w:pageBreakBefore w:val="0"/>
        <w:widowControl/>
        <w:kinsoku w:val="0"/>
        <w:wordWrap/>
        <w:overflowPunct/>
        <w:topLinePunct w:val="0"/>
        <w:autoSpaceDE w:val="0"/>
        <w:autoSpaceDN w:val="0"/>
        <w:bidi w:val="0"/>
        <w:adjustRightInd w:val="0"/>
        <w:snapToGrid w:val="0"/>
        <w:spacing w:before="99" w:line="217" w:lineRule="auto"/>
        <w:ind w:left="481"/>
        <w:textAlignment w:val="baseline"/>
        <w:rPr>
          <w:rFonts w:ascii="宋体" w:hAnsi="宋体" w:eastAsia="宋体" w:cs="宋体"/>
          <w:color w:val="auto"/>
          <w:sz w:val="24"/>
          <w:szCs w:val="24"/>
          <w:highlight w:val="none"/>
        </w:rPr>
      </w:pPr>
      <w:r>
        <w:rPr>
          <w:rFonts w:ascii="宋体" w:hAnsi="宋体" w:eastAsia="宋体" w:cs="宋体"/>
          <w:color w:val="auto"/>
          <w:sz w:val="24"/>
          <w:szCs w:val="24"/>
          <w:highlight w:val="none"/>
        </w:rPr>
        <w:t>十八、投标人资质条件应满足资质标准要求,并提</w:t>
      </w:r>
      <w:r>
        <w:rPr>
          <w:rFonts w:ascii="宋体" w:hAnsi="宋体" w:eastAsia="宋体" w:cs="宋体"/>
          <w:color w:val="auto"/>
          <w:spacing w:val="-1"/>
          <w:sz w:val="24"/>
          <w:szCs w:val="24"/>
          <w:highlight w:val="none"/>
        </w:rPr>
        <w:t>供“资质动态核查结果证</w:t>
      </w:r>
    </w:p>
    <w:p w14:paraId="32698B1E">
      <w:pPr>
        <w:keepNext w:val="0"/>
        <w:keepLines w:val="0"/>
        <w:pageBreakBefore w:val="0"/>
        <w:widowControl/>
        <w:kinsoku w:val="0"/>
        <w:wordWrap/>
        <w:overflowPunct/>
        <w:topLinePunct w:val="0"/>
        <w:autoSpaceDE w:val="0"/>
        <w:autoSpaceDN w:val="0"/>
        <w:bidi w:val="0"/>
        <w:adjustRightInd w:val="0"/>
        <w:snapToGrid w:val="0"/>
        <w:spacing w:before="139" w:line="271" w:lineRule="auto"/>
        <w:ind w:left="8" w:right="234" w:firstLine="15"/>
        <w:textAlignment w:val="baseline"/>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明”</w:t>
      </w:r>
      <w:r>
        <w:rPr>
          <w:rFonts w:ascii="宋体" w:hAnsi="宋体" w:eastAsia="宋体" w:cs="宋体"/>
          <w:color w:val="auto"/>
          <w:spacing w:val="-72"/>
          <w:sz w:val="24"/>
          <w:szCs w:val="24"/>
          <w:highlight w:val="none"/>
        </w:rPr>
        <w:t xml:space="preserve"> </w:t>
      </w:r>
      <w:r>
        <w:rPr>
          <w:rFonts w:ascii="宋体" w:hAnsi="宋体" w:eastAsia="宋体" w:cs="宋体"/>
          <w:color w:val="auto"/>
          <w:spacing w:val="-2"/>
          <w:sz w:val="24"/>
          <w:szCs w:val="24"/>
          <w:highlight w:val="none"/>
        </w:rPr>
        <w:t>;招标人在制定招标文件时,应明确“资质动态核查结果证明”下载时</w:t>
      </w:r>
      <w:r>
        <w:rPr>
          <w:rFonts w:ascii="宋体" w:hAnsi="宋体" w:eastAsia="宋体" w:cs="宋体"/>
          <w:color w:val="auto"/>
          <w:spacing w:val="-3"/>
          <w:sz w:val="24"/>
          <w:szCs w:val="24"/>
          <w:highlight w:val="none"/>
        </w:rPr>
        <w:t>间,充分给</w:t>
      </w:r>
      <w:r>
        <w:rPr>
          <w:rFonts w:ascii="宋体" w:hAnsi="宋体" w:eastAsia="宋体" w:cs="宋体"/>
          <w:color w:val="auto"/>
          <w:spacing w:val="-2"/>
          <w:sz w:val="24"/>
          <w:szCs w:val="24"/>
          <w:highlight w:val="none"/>
        </w:rPr>
        <w:t>予投标人编制投标文件时间。</w:t>
      </w:r>
    </w:p>
    <w:p w14:paraId="519DB4BD">
      <w:pPr>
        <w:keepNext w:val="0"/>
        <w:keepLines w:val="0"/>
        <w:pageBreakBefore w:val="0"/>
        <w:widowControl/>
        <w:kinsoku w:val="0"/>
        <w:wordWrap/>
        <w:overflowPunct/>
        <w:topLinePunct w:val="0"/>
        <w:autoSpaceDE w:val="0"/>
        <w:autoSpaceDN w:val="0"/>
        <w:bidi w:val="0"/>
        <w:adjustRightInd w:val="0"/>
        <w:snapToGrid w:val="0"/>
        <w:spacing w:before="136" w:line="271" w:lineRule="auto"/>
        <w:ind w:left="7" w:right="433" w:firstLine="395"/>
        <w:textAlignment w:val="baseline"/>
        <w:rPr>
          <w:rFonts w:hint="eastAsia" w:ascii="宋体" w:hAnsi="宋体" w:eastAsia="宋体" w:cs="宋体"/>
          <w:color w:val="auto"/>
          <w:sz w:val="24"/>
          <w:szCs w:val="24"/>
          <w:highlight w:val="none"/>
          <w:lang w:eastAsia="zh-CN"/>
        </w:rPr>
      </w:pPr>
      <w:r>
        <w:rPr>
          <w:rFonts w:ascii="宋体" w:hAnsi="宋体" w:eastAsia="宋体" w:cs="宋体"/>
          <w:color w:val="auto"/>
          <w:sz w:val="24"/>
          <w:szCs w:val="24"/>
          <w:highlight w:val="none"/>
        </w:rPr>
        <w:t>十九、国有资金占控股或者主导地位的企业招标投</w:t>
      </w:r>
      <w:r>
        <w:rPr>
          <w:rFonts w:ascii="宋体" w:hAnsi="宋体" w:eastAsia="宋体" w:cs="宋体"/>
          <w:color w:val="auto"/>
          <w:spacing w:val="-1"/>
          <w:sz w:val="24"/>
          <w:szCs w:val="24"/>
          <w:highlight w:val="none"/>
        </w:rPr>
        <w:t>标项目，招标人应支持首台（套）重大技术装备平等参与投标，支持中小企业、民营企业平等参与投标</w:t>
      </w:r>
      <w:r>
        <w:rPr>
          <w:rFonts w:hint="eastAsia" w:ascii="宋体" w:hAnsi="宋体" w:eastAsia="宋体" w:cs="宋体"/>
          <w:color w:val="auto"/>
          <w:spacing w:val="-1"/>
          <w:sz w:val="24"/>
          <w:szCs w:val="24"/>
          <w:highlight w:val="none"/>
          <w:lang w:eastAsia="zh-CN"/>
        </w:rPr>
        <w:t>。</w:t>
      </w:r>
    </w:p>
    <w:p w14:paraId="499F1AEC">
      <w:pPr>
        <w:keepNext w:val="0"/>
        <w:keepLines w:val="0"/>
        <w:pageBreakBefore w:val="0"/>
        <w:widowControl/>
        <w:kinsoku w:val="0"/>
        <w:wordWrap/>
        <w:overflowPunct/>
        <w:topLinePunct w:val="0"/>
        <w:autoSpaceDE w:val="0"/>
        <w:autoSpaceDN w:val="0"/>
        <w:bidi w:val="0"/>
        <w:adjustRightInd w:val="0"/>
        <w:snapToGrid w:val="0"/>
        <w:spacing w:before="136" w:line="271" w:lineRule="auto"/>
        <w:ind w:left="7" w:right="433" w:firstLine="395"/>
        <w:textAlignment w:val="baseline"/>
        <w:rPr>
          <w:rFonts w:ascii="宋体" w:hAnsi="宋体" w:eastAsia="宋体" w:cs="宋体"/>
          <w:color w:val="auto"/>
          <w:sz w:val="24"/>
          <w:szCs w:val="24"/>
          <w:highlight w:val="none"/>
        </w:rPr>
        <w:sectPr>
          <w:footerReference r:id="rId7" w:type="default"/>
          <w:pgSz w:w="11905" w:h="16843"/>
          <w:pgMar w:top="1429" w:right="1361" w:bottom="1253" w:left="1621" w:header="0" w:footer="1094" w:gutter="0"/>
          <w:pgNumType w:fmt="decimal"/>
          <w:cols w:space="0" w:num="1"/>
          <w:rtlGutter w:val="0"/>
          <w:docGrid w:linePitch="0" w:charSpace="0"/>
        </w:sectPr>
      </w:pPr>
      <w:r>
        <w:rPr>
          <w:rFonts w:ascii="宋体" w:hAnsi="宋体" w:eastAsia="宋体" w:cs="宋体"/>
          <w:color w:val="auto"/>
          <w:spacing w:val="-1"/>
          <w:sz w:val="24"/>
          <w:szCs w:val="24"/>
          <w:highlight w:val="none"/>
        </w:rPr>
        <w:t>二十、《招标文件示范文本》与国家或行政主</w:t>
      </w:r>
      <w:r>
        <w:rPr>
          <w:rFonts w:ascii="宋体" w:hAnsi="宋体" w:eastAsia="宋体" w:cs="宋体"/>
          <w:color w:val="auto"/>
          <w:spacing w:val="-2"/>
          <w:sz w:val="24"/>
          <w:szCs w:val="24"/>
          <w:highlight w:val="none"/>
        </w:rPr>
        <w:t>管部门出台的法律法规、规章、</w:t>
      </w:r>
      <w:r>
        <w:rPr>
          <w:rFonts w:ascii="宋体" w:hAnsi="宋体" w:eastAsia="宋体" w:cs="宋体"/>
          <w:color w:val="auto"/>
          <w:spacing w:val="-1"/>
          <w:sz w:val="24"/>
          <w:szCs w:val="24"/>
          <w:highlight w:val="none"/>
        </w:rPr>
        <w:t>规范性文件不一致时，招标人应按法律法规、规</w:t>
      </w:r>
      <w:r>
        <w:rPr>
          <w:rFonts w:ascii="宋体" w:hAnsi="宋体" w:eastAsia="宋体" w:cs="宋体"/>
          <w:color w:val="auto"/>
          <w:spacing w:val="-2"/>
          <w:sz w:val="24"/>
          <w:szCs w:val="24"/>
          <w:highlight w:val="none"/>
        </w:rPr>
        <w:t>章、规范性文件调整修改。</w:t>
      </w:r>
    </w:p>
    <w:p w14:paraId="48888129">
      <w:pPr>
        <w:spacing w:before="57" w:line="221" w:lineRule="auto"/>
        <w:ind w:left="103"/>
        <w:rPr>
          <w:rFonts w:ascii="黑体" w:hAnsi="黑体" w:eastAsia="黑体" w:cs="黑体"/>
          <w:color w:val="auto"/>
          <w:sz w:val="28"/>
          <w:szCs w:val="28"/>
          <w:highlight w:val="none"/>
        </w:rPr>
      </w:pPr>
      <w:r>
        <w:rPr>
          <w:rFonts w:ascii="黑体" w:hAnsi="黑体" w:eastAsia="黑体" w:cs="黑体"/>
          <w:b/>
          <w:bCs/>
          <w:color w:val="auto"/>
          <w:spacing w:val="-6"/>
          <w:sz w:val="28"/>
          <w:szCs w:val="28"/>
          <w:highlight w:val="none"/>
        </w:rPr>
        <w:t>附表</w:t>
      </w:r>
      <w:r>
        <w:rPr>
          <w:rFonts w:ascii="Times New Roman" w:hAnsi="Times New Roman" w:eastAsia="Times New Roman" w:cs="Times New Roman"/>
          <w:b/>
          <w:bCs/>
          <w:color w:val="auto"/>
          <w:spacing w:val="-6"/>
          <w:sz w:val="28"/>
          <w:szCs w:val="28"/>
          <w:highlight w:val="none"/>
        </w:rPr>
        <w:t>1</w:t>
      </w:r>
      <w:r>
        <w:rPr>
          <w:rFonts w:ascii="黑体" w:hAnsi="黑体" w:eastAsia="黑体" w:cs="黑体"/>
          <w:b/>
          <w:bCs/>
          <w:color w:val="auto"/>
          <w:spacing w:val="-6"/>
          <w:sz w:val="28"/>
          <w:szCs w:val="28"/>
          <w:highlight w:val="none"/>
        </w:rPr>
        <w:t>：类似业绩设置标准</w:t>
      </w:r>
    </w:p>
    <w:p w14:paraId="0A90D087">
      <w:pPr>
        <w:spacing w:before="182" w:line="220" w:lineRule="auto"/>
        <w:ind w:left="3356"/>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类似业绩设置标准</w:t>
      </w:r>
    </w:p>
    <w:p w14:paraId="75404069">
      <w:pPr>
        <w:spacing w:before="49"/>
        <w:rPr>
          <w:color w:val="auto"/>
          <w:highlight w:val="none"/>
        </w:rPr>
      </w:pPr>
    </w:p>
    <w:tbl>
      <w:tblPr>
        <w:tblStyle w:val="32"/>
        <w:tblW w:w="8935"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878"/>
        <w:gridCol w:w="2833"/>
        <w:gridCol w:w="2372"/>
        <w:gridCol w:w="1852"/>
      </w:tblGrid>
      <w:tr w14:paraId="3EAF4D9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5" w:hRule="atLeast"/>
        </w:trPr>
        <w:tc>
          <w:tcPr>
            <w:tcW w:w="1878" w:type="dxa"/>
            <w:vAlign w:val="top"/>
          </w:tcPr>
          <w:p w14:paraId="17901F7F">
            <w:pPr>
              <w:pStyle w:val="33"/>
              <w:spacing w:before="236" w:line="220" w:lineRule="auto"/>
              <w:ind w:left="493"/>
              <w:rPr>
                <w:color w:val="auto"/>
                <w:sz w:val="18"/>
                <w:szCs w:val="18"/>
                <w:highlight w:val="none"/>
              </w:rPr>
            </w:pPr>
            <w:r>
              <w:rPr>
                <w:b/>
                <w:bCs/>
                <w:color w:val="auto"/>
                <w:spacing w:val="-4"/>
                <w:sz w:val="18"/>
                <w:szCs w:val="18"/>
                <w:highlight w:val="none"/>
              </w:rPr>
              <w:t>建筑物形式</w:t>
            </w:r>
          </w:p>
        </w:tc>
        <w:tc>
          <w:tcPr>
            <w:tcW w:w="2833" w:type="dxa"/>
            <w:vAlign w:val="top"/>
          </w:tcPr>
          <w:p w14:paraId="559A8280">
            <w:pPr>
              <w:pStyle w:val="33"/>
              <w:spacing w:before="235" w:line="220" w:lineRule="auto"/>
              <w:ind w:left="966"/>
              <w:rPr>
                <w:color w:val="auto"/>
                <w:sz w:val="18"/>
                <w:szCs w:val="18"/>
                <w:highlight w:val="none"/>
              </w:rPr>
            </w:pPr>
            <w:r>
              <w:rPr>
                <w:b/>
                <w:bCs/>
                <w:color w:val="auto"/>
                <w:spacing w:val="-3"/>
                <w:sz w:val="18"/>
                <w:szCs w:val="18"/>
                <w:highlight w:val="none"/>
              </w:rPr>
              <w:t>规模或特性</w:t>
            </w:r>
          </w:p>
        </w:tc>
        <w:tc>
          <w:tcPr>
            <w:tcW w:w="2372" w:type="dxa"/>
            <w:vAlign w:val="top"/>
          </w:tcPr>
          <w:p w14:paraId="4D369E9C">
            <w:pPr>
              <w:pStyle w:val="33"/>
              <w:spacing w:before="119" w:line="229" w:lineRule="auto"/>
              <w:ind w:left="652" w:right="187" w:hanging="446"/>
              <w:rPr>
                <w:color w:val="auto"/>
                <w:sz w:val="18"/>
                <w:szCs w:val="18"/>
                <w:highlight w:val="none"/>
              </w:rPr>
            </w:pPr>
            <w:r>
              <w:rPr>
                <w:b/>
                <w:bCs/>
                <w:color w:val="auto"/>
                <w:spacing w:val="-3"/>
                <w:sz w:val="18"/>
                <w:szCs w:val="18"/>
                <w:highlight w:val="none"/>
              </w:rPr>
              <w:t>资格条件或资信类似业绩</w:t>
            </w:r>
            <w:r>
              <w:rPr>
                <w:color w:val="auto"/>
                <w:spacing w:val="3"/>
                <w:sz w:val="18"/>
                <w:szCs w:val="18"/>
                <w:highlight w:val="none"/>
              </w:rPr>
              <w:t xml:space="preserve"> </w:t>
            </w:r>
            <w:r>
              <w:rPr>
                <w:b/>
                <w:bCs/>
                <w:color w:val="auto"/>
                <w:spacing w:val="-3"/>
                <w:sz w:val="18"/>
                <w:szCs w:val="18"/>
                <w:highlight w:val="none"/>
              </w:rPr>
              <w:t>设置最高要求</w:t>
            </w:r>
          </w:p>
        </w:tc>
        <w:tc>
          <w:tcPr>
            <w:tcW w:w="1852" w:type="dxa"/>
            <w:vAlign w:val="top"/>
          </w:tcPr>
          <w:p w14:paraId="7900C4AB">
            <w:pPr>
              <w:pStyle w:val="33"/>
              <w:spacing w:before="236" w:line="221" w:lineRule="auto"/>
              <w:ind w:left="749"/>
              <w:rPr>
                <w:color w:val="auto"/>
                <w:sz w:val="18"/>
                <w:szCs w:val="18"/>
                <w:highlight w:val="none"/>
              </w:rPr>
            </w:pPr>
            <w:r>
              <w:rPr>
                <w:b/>
                <w:bCs/>
                <w:color w:val="auto"/>
                <w:spacing w:val="-4"/>
                <w:sz w:val="18"/>
                <w:szCs w:val="18"/>
                <w:highlight w:val="none"/>
              </w:rPr>
              <w:t>备注</w:t>
            </w:r>
          </w:p>
        </w:tc>
      </w:tr>
      <w:tr w14:paraId="441426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8935" w:type="dxa"/>
            <w:gridSpan w:val="4"/>
            <w:vAlign w:val="top"/>
          </w:tcPr>
          <w:p w14:paraId="6A5DD416">
            <w:pPr>
              <w:pStyle w:val="33"/>
              <w:spacing w:before="77" w:line="220" w:lineRule="auto"/>
              <w:ind w:left="3931"/>
              <w:rPr>
                <w:color w:val="auto"/>
                <w:sz w:val="18"/>
                <w:szCs w:val="18"/>
                <w:highlight w:val="none"/>
              </w:rPr>
            </w:pPr>
            <w:r>
              <w:rPr>
                <w:b/>
                <w:bCs/>
                <w:color w:val="auto"/>
                <w:spacing w:val="-5"/>
                <w:sz w:val="18"/>
                <w:szCs w:val="18"/>
                <w:highlight w:val="none"/>
              </w:rPr>
              <w:t>一、水库大坝</w:t>
            </w:r>
          </w:p>
        </w:tc>
      </w:tr>
      <w:tr w14:paraId="6E7C46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43F6AB1B">
            <w:pPr>
              <w:spacing w:line="257" w:lineRule="auto"/>
              <w:rPr>
                <w:rFonts w:ascii="Arial"/>
                <w:color w:val="auto"/>
                <w:sz w:val="21"/>
                <w:highlight w:val="none"/>
              </w:rPr>
            </w:pPr>
          </w:p>
          <w:p w14:paraId="113C0F81">
            <w:pPr>
              <w:pStyle w:val="33"/>
              <w:spacing w:before="59" w:line="221" w:lineRule="auto"/>
              <w:ind w:left="672"/>
              <w:rPr>
                <w:color w:val="auto"/>
                <w:sz w:val="18"/>
                <w:szCs w:val="18"/>
                <w:highlight w:val="none"/>
              </w:rPr>
            </w:pPr>
            <w:r>
              <w:rPr>
                <w:color w:val="auto"/>
                <w:spacing w:val="-2"/>
                <w:sz w:val="18"/>
                <w:szCs w:val="18"/>
                <w:highlight w:val="none"/>
              </w:rPr>
              <w:t>土石坝</w:t>
            </w:r>
          </w:p>
        </w:tc>
        <w:tc>
          <w:tcPr>
            <w:tcW w:w="2833" w:type="dxa"/>
            <w:vAlign w:val="top"/>
          </w:tcPr>
          <w:p w14:paraId="52871C85">
            <w:pPr>
              <w:pStyle w:val="33"/>
              <w:spacing w:before="79" w:line="220" w:lineRule="auto"/>
              <w:ind w:left="737"/>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1"/>
                <w:sz w:val="18"/>
                <w:szCs w:val="18"/>
                <w:highlight w:val="none"/>
              </w:rPr>
              <w:t>70m</w:t>
            </w:r>
            <w:r>
              <w:rPr>
                <w:color w:val="auto"/>
                <w:spacing w:val="-1"/>
                <w:sz w:val="18"/>
                <w:szCs w:val="18"/>
                <w:highlight w:val="none"/>
              </w:rPr>
              <w:t>＞坝高≥</w:t>
            </w:r>
            <w:r>
              <w:rPr>
                <w:rFonts w:ascii="Times New Roman" w:hAnsi="Times New Roman" w:eastAsia="Times New Roman" w:cs="Times New Roman"/>
                <w:color w:val="auto"/>
                <w:spacing w:val="-1"/>
                <w:sz w:val="18"/>
                <w:szCs w:val="18"/>
                <w:highlight w:val="none"/>
              </w:rPr>
              <w:t>20m</w:t>
            </w:r>
          </w:p>
        </w:tc>
        <w:tc>
          <w:tcPr>
            <w:tcW w:w="2372" w:type="dxa"/>
            <w:vAlign w:val="top"/>
          </w:tcPr>
          <w:p w14:paraId="272404EA">
            <w:pPr>
              <w:pStyle w:val="33"/>
              <w:spacing w:before="79" w:line="220" w:lineRule="auto"/>
              <w:ind w:left="578"/>
              <w:rPr>
                <w:rFonts w:ascii="Times New Roman" w:hAnsi="Times New Roman" w:eastAsia="Times New Roman" w:cs="Times New Roman"/>
                <w:color w:val="auto"/>
                <w:sz w:val="18"/>
                <w:szCs w:val="18"/>
                <w:highlight w:val="none"/>
              </w:rPr>
            </w:pPr>
            <w:r>
              <w:rPr>
                <w:color w:val="auto"/>
                <w:spacing w:val="-1"/>
                <w:sz w:val="18"/>
                <w:szCs w:val="18"/>
                <w:highlight w:val="none"/>
              </w:rPr>
              <w:t>不超过坝高</w:t>
            </w:r>
            <w:r>
              <w:rPr>
                <w:rFonts w:ascii="Times New Roman" w:hAnsi="Times New Roman" w:eastAsia="Times New Roman" w:cs="Times New Roman"/>
                <w:color w:val="auto"/>
                <w:spacing w:val="-1"/>
                <w:sz w:val="18"/>
                <w:szCs w:val="18"/>
                <w:highlight w:val="none"/>
              </w:rPr>
              <w:t>80%</w:t>
            </w:r>
          </w:p>
        </w:tc>
        <w:tc>
          <w:tcPr>
            <w:tcW w:w="1852" w:type="dxa"/>
            <w:vAlign w:val="top"/>
          </w:tcPr>
          <w:p w14:paraId="44C45335">
            <w:pPr>
              <w:rPr>
                <w:rFonts w:ascii="Arial"/>
                <w:color w:val="auto"/>
                <w:sz w:val="21"/>
                <w:highlight w:val="none"/>
              </w:rPr>
            </w:pPr>
          </w:p>
        </w:tc>
      </w:tr>
      <w:tr w14:paraId="5FFBB4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1878" w:type="dxa"/>
            <w:vMerge w:val="continue"/>
            <w:tcBorders>
              <w:top w:val="nil"/>
            </w:tcBorders>
            <w:vAlign w:val="top"/>
          </w:tcPr>
          <w:p w14:paraId="0672ACBC">
            <w:pPr>
              <w:rPr>
                <w:rFonts w:ascii="Arial"/>
                <w:color w:val="auto"/>
                <w:sz w:val="21"/>
                <w:highlight w:val="none"/>
              </w:rPr>
            </w:pPr>
          </w:p>
        </w:tc>
        <w:tc>
          <w:tcPr>
            <w:tcW w:w="2833" w:type="dxa"/>
            <w:vAlign w:val="top"/>
          </w:tcPr>
          <w:p w14:paraId="5B9D6ADC">
            <w:pPr>
              <w:pStyle w:val="33"/>
              <w:spacing w:before="142" w:line="220" w:lineRule="auto"/>
              <w:ind w:left="986"/>
              <w:rPr>
                <w:rFonts w:ascii="Times New Roman" w:hAnsi="Times New Roman" w:eastAsia="Times New Roman" w:cs="Times New Roman"/>
                <w:color w:val="auto"/>
                <w:sz w:val="18"/>
                <w:szCs w:val="18"/>
                <w:highlight w:val="none"/>
              </w:rPr>
            </w:pPr>
            <w:r>
              <w:rPr>
                <w:color w:val="auto"/>
                <w:spacing w:val="-1"/>
                <w:sz w:val="18"/>
                <w:szCs w:val="18"/>
                <w:highlight w:val="none"/>
              </w:rPr>
              <w:t>坝高≥</w:t>
            </w:r>
            <w:r>
              <w:rPr>
                <w:rFonts w:ascii="Times New Roman" w:hAnsi="Times New Roman" w:eastAsia="Times New Roman" w:cs="Times New Roman"/>
                <w:color w:val="auto"/>
                <w:spacing w:val="-1"/>
                <w:sz w:val="18"/>
                <w:szCs w:val="18"/>
                <w:highlight w:val="none"/>
              </w:rPr>
              <w:t>70m</w:t>
            </w:r>
          </w:p>
        </w:tc>
        <w:tc>
          <w:tcPr>
            <w:tcW w:w="2372" w:type="dxa"/>
            <w:vAlign w:val="top"/>
          </w:tcPr>
          <w:p w14:paraId="5710261E">
            <w:pPr>
              <w:pStyle w:val="33"/>
              <w:spacing w:before="26" w:line="224" w:lineRule="auto"/>
              <w:ind w:left="743" w:right="121" w:hanging="612"/>
              <w:rPr>
                <w:color w:val="auto"/>
                <w:sz w:val="18"/>
                <w:szCs w:val="18"/>
                <w:highlight w:val="none"/>
              </w:rPr>
            </w:pPr>
            <w:r>
              <w:rPr>
                <w:color w:val="auto"/>
                <w:spacing w:val="-2"/>
                <w:sz w:val="18"/>
                <w:szCs w:val="18"/>
                <w:highlight w:val="none"/>
              </w:rPr>
              <w:t>原则上不超过坝高</w:t>
            </w:r>
            <w:r>
              <w:rPr>
                <w:rFonts w:ascii="Times New Roman" w:hAnsi="Times New Roman" w:eastAsia="Times New Roman" w:cs="Times New Roman"/>
                <w:color w:val="auto"/>
                <w:spacing w:val="-2"/>
                <w:sz w:val="18"/>
                <w:szCs w:val="18"/>
                <w:highlight w:val="none"/>
              </w:rPr>
              <w:t>80%</w:t>
            </w:r>
            <w:r>
              <w:rPr>
                <w:color w:val="auto"/>
                <w:spacing w:val="-2"/>
                <w:sz w:val="18"/>
                <w:szCs w:val="18"/>
                <w:highlight w:val="none"/>
              </w:rPr>
              <w:t>，可</w:t>
            </w:r>
            <w:r>
              <w:rPr>
                <w:color w:val="auto"/>
                <w:spacing w:val="9"/>
                <w:sz w:val="18"/>
                <w:szCs w:val="18"/>
                <w:highlight w:val="none"/>
              </w:rPr>
              <w:t xml:space="preserve"> </w:t>
            </w:r>
            <w:r>
              <w:rPr>
                <w:color w:val="auto"/>
                <w:spacing w:val="-2"/>
                <w:sz w:val="18"/>
                <w:szCs w:val="18"/>
                <w:highlight w:val="none"/>
              </w:rPr>
              <w:t>设高坝业绩</w:t>
            </w:r>
          </w:p>
        </w:tc>
        <w:tc>
          <w:tcPr>
            <w:tcW w:w="1852" w:type="dxa"/>
            <w:vAlign w:val="top"/>
          </w:tcPr>
          <w:p w14:paraId="3AA3C901">
            <w:pPr>
              <w:rPr>
                <w:rFonts w:ascii="Arial"/>
                <w:color w:val="auto"/>
                <w:sz w:val="21"/>
                <w:highlight w:val="none"/>
              </w:rPr>
            </w:pPr>
          </w:p>
        </w:tc>
      </w:tr>
      <w:tr w14:paraId="61C19C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395B02B7">
            <w:pPr>
              <w:spacing w:line="257" w:lineRule="auto"/>
              <w:rPr>
                <w:rFonts w:ascii="Arial"/>
                <w:color w:val="auto"/>
                <w:sz w:val="21"/>
                <w:highlight w:val="none"/>
              </w:rPr>
            </w:pPr>
          </w:p>
          <w:p w14:paraId="53A97CD5">
            <w:pPr>
              <w:pStyle w:val="33"/>
              <w:spacing w:before="59" w:line="221" w:lineRule="auto"/>
              <w:ind w:left="584"/>
              <w:rPr>
                <w:color w:val="auto"/>
                <w:sz w:val="18"/>
                <w:szCs w:val="18"/>
                <w:highlight w:val="none"/>
              </w:rPr>
            </w:pPr>
            <w:r>
              <w:rPr>
                <w:color w:val="auto"/>
                <w:spacing w:val="-2"/>
                <w:sz w:val="18"/>
                <w:szCs w:val="18"/>
                <w:highlight w:val="none"/>
              </w:rPr>
              <w:t>混凝土坝</w:t>
            </w:r>
          </w:p>
        </w:tc>
        <w:tc>
          <w:tcPr>
            <w:tcW w:w="2833" w:type="dxa"/>
            <w:vAlign w:val="top"/>
          </w:tcPr>
          <w:p w14:paraId="4B0B06FA">
            <w:pPr>
              <w:pStyle w:val="33"/>
              <w:spacing w:before="77" w:line="220" w:lineRule="auto"/>
              <w:ind w:left="737"/>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1"/>
                <w:sz w:val="18"/>
                <w:szCs w:val="18"/>
                <w:highlight w:val="none"/>
              </w:rPr>
              <w:t>70m</w:t>
            </w:r>
            <w:r>
              <w:rPr>
                <w:color w:val="auto"/>
                <w:spacing w:val="-1"/>
                <w:sz w:val="18"/>
                <w:szCs w:val="18"/>
                <w:highlight w:val="none"/>
              </w:rPr>
              <w:t>＞坝高≥</w:t>
            </w:r>
            <w:r>
              <w:rPr>
                <w:rFonts w:ascii="Times New Roman" w:hAnsi="Times New Roman" w:eastAsia="Times New Roman" w:cs="Times New Roman"/>
                <w:color w:val="auto"/>
                <w:spacing w:val="-1"/>
                <w:sz w:val="18"/>
                <w:szCs w:val="18"/>
                <w:highlight w:val="none"/>
              </w:rPr>
              <w:t>40m</w:t>
            </w:r>
          </w:p>
        </w:tc>
        <w:tc>
          <w:tcPr>
            <w:tcW w:w="2372" w:type="dxa"/>
            <w:vAlign w:val="top"/>
          </w:tcPr>
          <w:p w14:paraId="1FD7F88F">
            <w:pPr>
              <w:pStyle w:val="33"/>
              <w:spacing w:before="77" w:line="220" w:lineRule="auto"/>
              <w:ind w:left="578"/>
              <w:rPr>
                <w:rFonts w:ascii="Times New Roman" w:hAnsi="Times New Roman" w:eastAsia="Times New Roman" w:cs="Times New Roman"/>
                <w:color w:val="auto"/>
                <w:sz w:val="18"/>
                <w:szCs w:val="18"/>
                <w:highlight w:val="none"/>
              </w:rPr>
            </w:pPr>
            <w:r>
              <w:rPr>
                <w:color w:val="auto"/>
                <w:spacing w:val="-1"/>
                <w:sz w:val="18"/>
                <w:szCs w:val="18"/>
                <w:highlight w:val="none"/>
              </w:rPr>
              <w:t>不超过坝高</w:t>
            </w:r>
            <w:r>
              <w:rPr>
                <w:rFonts w:ascii="Times New Roman" w:hAnsi="Times New Roman" w:eastAsia="Times New Roman" w:cs="Times New Roman"/>
                <w:color w:val="auto"/>
                <w:spacing w:val="-1"/>
                <w:sz w:val="18"/>
                <w:szCs w:val="18"/>
                <w:highlight w:val="none"/>
              </w:rPr>
              <w:t>80%</w:t>
            </w:r>
          </w:p>
        </w:tc>
        <w:tc>
          <w:tcPr>
            <w:tcW w:w="1852" w:type="dxa"/>
            <w:vAlign w:val="top"/>
          </w:tcPr>
          <w:p w14:paraId="4A9E2300">
            <w:pPr>
              <w:rPr>
                <w:rFonts w:ascii="Arial"/>
                <w:color w:val="auto"/>
                <w:sz w:val="21"/>
                <w:highlight w:val="none"/>
              </w:rPr>
            </w:pPr>
          </w:p>
        </w:tc>
      </w:tr>
      <w:tr w14:paraId="18BEE7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1878" w:type="dxa"/>
            <w:vMerge w:val="continue"/>
            <w:tcBorders>
              <w:top w:val="nil"/>
            </w:tcBorders>
            <w:vAlign w:val="top"/>
          </w:tcPr>
          <w:p w14:paraId="27193031">
            <w:pPr>
              <w:rPr>
                <w:rFonts w:ascii="Arial"/>
                <w:color w:val="auto"/>
                <w:sz w:val="21"/>
                <w:highlight w:val="none"/>
              </w:rPr>
            </w:pPr>
          </w:p>
        </w:tc>
        <w:tc>
          <w:tcPr>
            <w:tcW w:w="2833" w:type="dxa"/>
            <w:vAlign w:val="top"/>
          </w:tcPr>
          <w:p w14:paraId="3A806A90">
            <w:pPr>
              <w:pStyle w:val="33"/>
              <w:spacing w:before="142" w:line="220" w:lineRule="auto"/>
              <w:ind w:left="986"/>
              <w:rPr>
                <w:rFonts w:ascii="Times New Roman" w:hAnsi="Times New Roman" w:eastAsia="Times New Roman" w:cs="Times New Roman"/>
                <w:color w:val="auto"/>
                <w:sz w:val="18"/>
                <w:szCs w:val="18"/>
                <w:highlight w:val="none"/>
              </w:rPr>
            </w:pPr>
            <w:r>
              <w:rPr>
                <w:color w:val="auto"/>
                <w:spacing w:val="-1"/>
                <w:sz w:val="18"/>
                <w:szCs w:val="18"/>
                <w:highlight w:val="none"/>
              </w:rPr>
              <w:t>坝高≥</w:t>
            </w:r>
            <w:r>
              <w:rPr>
                <w:rFonts w:ascii="Times New Roman" w:hAnsi="Times New Roman" w:eastAsia="Times New Roman" w:cs="Times New Roman"/>
                <w:color w:val="auto"/>
                <w:spacing w:val="-1"/>
                <w:sz w:val="18"/>
                <w:szCs w:val="18"/>
                <w:highlight w:val="none"/>
              </w:rPr>
              <w:t>70m</w:t>
            </w:r>
          </w:p>
        </w:tc>
        <w:tc>
          <w:tcPr>
            <w:tcW w:w="2372" w:type="dxa"/>
            <w:vAlign w:val="top"/>
          </w:tcPr>
          <w:p w14:paraId="69251016">
            <w:pPr>
              <w:pStyle w:val="33"/>
              <w:spacing w:before="25" w:line="223" w:lineRule="auto"/>
              <w:ind w:left="743" w:right="121" w:hanging="612"/>
              <w:rPr>
                <w:color w:val="auto"/>
                <w:sz w:val="18"/>
                <w:szCs w:val="18"/>
                <w:highlight w:val="none"/>
              </w:rPr>
            </w:pPr>
            <w:r>
              <w:rPr>
                <w:color w:val="auto"/>
                <w:spacing w:val="-2"/>
                <w:sz w:val="18"/>
                <w:szCs w:val="18"/>
                <w:highlight w:val="none"/>
              </w:rPr>
              <w:t>原则上不超过坝高</w:t>
            </w:r>
            <w:r>
              <w:rPr>
                <w:rFonts w:ascii="Times New Roman" w:hAnsi="Times New Roman" w:eastAsia="Times New Roman" w:cs="Times New Roman"/>
                <w:color w:val="auto"/>
                <w:spacing w:val="-2"/>
                <w:sz w:val="18"/>
                <w:szCs w:val="18"/>
                <w:highlight w:val="none"/>
              </w:rPr>
              <w:t>80%</w:t>
            </w:r>
            <w:r>
              <w:rPr>
                <w:color w:val="auto"/>
                <w:spacing w:val="-2"/>
                <w:sz w:val="18"/>
                <w:szCs w:val="18"/>
                <w:highlight w:val="none"/>
              </w:rPr>
              <w:t>，可</w:t>
            </w:r>
            <w:r>
              <w:rPr>
                <w:color w:val="auto"/>
                <w:spacing w:val="9"/>
                <w:sz w:val="18"/>
                <w:szCs w:val="18"/>
                <w:highlight w:val="none"/>
              </w:rPr>
              <w:t xml:space="preserve"> </w:t>
            </w:r>
            <w:r>
              <w:rPr>
                <w:color w:val="auto"/>
                <w:spacing w:val="-2"/>
                <w:sz w:val="18"/>
                <w:szCs w:val="18"/>
                <w:highlight w:val="none"/>
              </w:rPr>
              <w:t>设高坝业绩</w:t>
            </w:r>
          </w:p>
        </w:tc>
        <w:tc>
          <w:tcPr>
            <w:tcW w:w="1852" w:type="dxa"/>
            <w:vAlign w:val="top"/>
          </w:tcPr>
          <w:p w14:paraId="0FCB9E76">
            <w:pPr>
              <w:rPr>
                <w:rFonts w:ascii="Arial"/>
                <w:color w:val="auto"/>
                <w:sz w:val="21"/>
                <w:highlight w:val="none"/>
              </w:rPr>
            </w:pPr>
          </w:p>
        </w:tc>
      </w:tr>
      <w:tr w14:paraId="756365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935" w:type="dxa"/>
            <w:gridSpan w:val="4"/>
            <w:vAlign w:val="top"/>
          </w:tcPr>
          <w:p w14:paraId="68ADA8CD">
            <w:pPr>
              <w:pStyle w:val="33"/>
              <w:spacing w:before="80" w:line="220" w:lineRule="auto"/>
              <w:ind w:left="4113"/>
              <w:rPr>
                <w:color w:val="auto"/>
                <w:sz w:val="18"/>
                <w:szCs w:val="18"/>
                <w:highlight w:val="none"/>
              </w:rPr>
            </w:pPr>
            <w:r>
              <w:rPr>
                <w:b/>
                <w:bCs/>
                <w:color w:val="auto"/>
                <w:spacing w:val="-3"/>
                <w:sz w:val="18"/>
                <w:szCs w:val="18"/>
                <w:highlight w:val="none"/>
              </w:rPr>
              <w:t>二、水闸</w:t>
            </w:r>
          </w:p>
        </w:tc>
      </w:tr>
      <w:tr w14:paraId="534734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2FB3F6E3">
            <w:pPr>
              <w:pStyle w:val="33"/>
              <w:spacing w:before="256" w:line="220" w:lineRule="auto"/>
              <w:ind w:left="764"/>
              <w:rPr>
                <w:color w:val="auto"/>
                <w:sz w:val="18"/>
                <w:szCs w:val="18"/>
                <w:highlight w:val="none"/>
              </w:rPr>
            </w:pPr>
            <w:r>
              <w:rPr>
                <w:color w:val="auto"/>
                <w:spacing w:val="-3"/>
                <w:sz w:val="18"/>
                <w:szCs w:val="18"/>
                <w:highlight w:val="none"/>
              </w:rPr>
              <w:t>水闸</w:t>
            </w:r>
          </w:p>
        </w:tc>
        <w:tc>
          <w:tcPr>
            <w:tcW w:w="2833" w:type="dxa"/>
            <w:vAlign w:val="top"/>
          </w:tcPr>
          <w:p w14:paraId="27EECD80">
            <w:pPr>
              <w:pStyle w:val="33"/>
              <w:spacing w:before="80" w:line="220" w:lineRule="auto"/>
              <w:ind w:left="553"/>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1"/>
                <w:sz w:val="18"/>
                <w:szCs w:val="18"/>
                <w:highlight w:val="none"/>
              </w:rPr>
              <w:t>40m</w:t>
            </w:r>
            <w:r>
              <w:rPr>
                <w:color w:val="auto"/>
                <w:spacing w:val="-1"/>
                <w:sz w:val="18"/>
                <w:szCs w:val="18"/>
                <w:highlight w:val="none"/>
              </w:rPr>
              <w:t>＞水闸净宽≥</w:t>
            </w:r>
            <w:r>
              <w:rPr>
                <w:rFonts w:ascii="Times New Roman" w:hAnsi="Times New Roman" w:eastAsia="Times New Roman" w:cs="Times New Roman"/>
                <w:color w:val="auto"/>
                <w:spacing w:val="-1"/>
                <w:sz w:val="18"/>
                <w:szCs w:val="18"/>
                <w:highlight w:val="none"/>
              </w:rPr>
              <w:t>20m</w:t>
            </w:r>
          </w:p>
        </w:tc>
        <w:tc>
          <w:tcPr>
            <w:tcW w:w="2372" w:type="dxa"/>
            <w:vAlign w:val="top"/>
          </w:tcPr>
          <w:p w14:paraId="37FD8086">
            <w:pPr>
              <w:pStyle w:val="33"/>
              <w:spacing w:before="80" w:line="220" w:lineRule="auto"/>
              <w:ind w:left="585"/>
              <w:rPr>
                <w:rFonts w:ascii="Times New Roman" w:hAnsi="Times New Roman" w:eastAsia="Times New Roman" w:cs="Times New Roman"/>
                <w:color w:val="auto"/>
                <w:sz w:val="18"/>
                <w:szCs w:val="18"/>
                <w:highlight w:val="none"/>
              </w:rPr>
            </w:pPr>
            <w:r>
              <w:rPr>
                <w:color w:val="auto"/>
                <w:spacing w:val="-1"/>
                <w:sz w:val="18"/>
                <w:szCs w:val="18"/>
                <w:highlight w:val="none"/>
              </w:rPr>
              <w:t>水闸净宽≤</w:t>
            </w:r>
            <w:r>
              <w:rPr>
                <w:rFonts w:ascii="Times New Roman" w:hAnsi="Times New Roman" w:eastAsia="Times New Roman" w:cs="Times New Roman"/>
                <w:color w:val="auto"/>
                <w:spacing w:val="-1"/>
                <w:sz w:val="18"/>
                <w:szCs w:val="18"/>
                <w:highlight w:val="none"/>
              </w:rPr>
              <w:t>16m</w:t>
            </w:r>
          </w:p>
        </w:tc>
        <w:tc>
          <w:tcPr>
            <w:tcW w:w="1852" w:type="dxa"/>
            <w:vAlign w:val="top"/>
          </w:tcPr>
          <w:p w14:paraId="06DEDA51">
            <w:pPr>
              <w:rPr>
                <w:rFonts w:ascii="Arial"/>
                <w:color w:val="auto"/>
                <w:sz w:val="21"/>
                <w:highlight w:val="none"/>
              </w:rPr>
            </w:pPr>
          </w:p>
        </w:tc>
      </w:tr>
      <w:tr w14:paraId="6245D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continue"/>
            <w:tcBorders>
              <w:top w:val="nil"/>
            </w:tcBorders>
            <w:vAlign w:val="top"/>
          </w:tcPr>
          <w:p w14:paraId="35EC9E6B">
            <w:pPr>
              <w:rPr>
                <w:rFonts w:ascii="Arial"/>
                <w:color w:val="auto"/>
                <w:sz w:val="21"/>
                <w:highlight w:val="none"/>
              </w:rPr>
            </w:pPr>
          </w:p>
        </w:tc>
        <w:tc>
          <w:tcPr>
            <w:tcW w:w="2833" w:type="dxa"/>
            <w:vAlign w:val="top"/>
          </w:tcPr>
          <w:p w14:paraId="22AFB6BD">
            <w:pPr>
              <w:pStyle w:val="33"/>
              <w:spacing w:before="78" w:line="220" w:lineRule="auto"/>
              <w:ind w:left="809"/>
              <w:rPr>
                <w:rFonts w:ascii="Times New Roman" w:hAnsi="Times New Roman" w:eastAsia="Times New Roman" w:cs="Times New Roman"/>
                <w:color w:val="auto"/>
                <w:sz w:val="18"/>
                <w:szCs w:val="18"/>
                <w:highlight w:val="none"/>
              </w:rPr>
            </w:pPr>
            <w:r>
              <w:rPr>
                <w:color w:val="auto"/>
                <w:spacing w:val="-1"/>
                <w:sz w:val="18"/>
                <w:szCs w:val="18"/>
                <w:highlight w:val="none"/>
              </w:rPr>
              <w:t>水闸净宽≥</w:t>
            </w:r>
            <w:r>
              <w:rPr>
                <w:rFonts w:ascii="Times New Roman" w:hAnsi="Times New Roman" w:eastAsia="Times New Roman" w:cs="Times New Roman"/>
                <w:color w:val="auto"/>
                <w:spacing w:val="-1"/>
                <w:sz w:val="18"/>
                <w:szCs w:val="18"/>
                <w:highlight w:val="none"/>
              </w:rPr>
              <w:t>40m</w:t>
            </w:r>
          </w:p>
        </w:tc>
        <w:tc>
          <w:tcPr>
            <w:tcW w:w="2372" w:type="dxa"/>
            <w:vAlign w:val="top"/>
          </w:tcPr>
          <w:p w14:paraId="1730FAB5">
            <w:pPr>
              <w:pStyle w:val="33"/>
              <w:spacing w:before="78" w:line="220" w:lineRule="auto"/>
              <w:ind w:left="585"/>
              <w:rPr>
                <w:rFonts w:ascii="Times New Roman" w:hAnsi="Times New Roman" w:eastAsia="Times New Roman" w:cs="Times New Roman"/>
                <w:color w:val="auto"/>
                <w:sz w:val="18"/>
                <w:szCs w:val="18"/>
                <w:highlight w:val="none"/>
              </w:rPr>
            </w:pPr>
            <w:r>
              <w:rPr>
                <w:color w:val="auto"/>
                <w:spacing w:val="-1"/>
                <w:sz w:val="18"/>
                <w:szCs w:val="18"/>
                <w:highlight w:val="none"/>
              </w:rPr>
              <w:t>水闸净宽≤</w:t>
            </w:r>
            <w:r>
              <w:rPr>
                <w:rFonts w:ascii="Times New Roman" w:hAnsi="Times New Roman" w:eastAsia="Times New Roman" w:cs="Times New Roman"/>
                <w:color w:val="auto"/>
                <w:spacing w:val="-1"/>
                <w:sz w:val="18"/>
                <w:szCs w:val="18"/>
                <w:highlight w:val="none"/>
              </w:rPr>
              <w:t>32m</w:t>
            </w:r>
          </w:p>
        </w:tc>
        <w:tc>
          <w:tcPr>
            <w:tcW w:w="1852" w:type="dxa"/>
            <w:vAlign w:val="top"/>
          </w:tcPr>
          <w:p w14:paraId="570A3BE1">
            <w:pPr>
              <w:rPr>
                <w:rFonts w:ascii="Arial"/>
                <w:color w:val="auto"/>
                <w:sz w:val="21"/>
                <w:highlight w:val="none"/>
              </w:rPr>
            </w:pPr>
          </w:p>
        </w:tc>
      </w:tr>
      <w:tr w14:paraId="23C6E7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935" w:type="dxa"/>
            <w:gridSpan w:val="4"/>
            <w:vAlign w:val="top"/>
          </w:tcPr>
          <w:p w14:paraId="771AC721">
            <w:pPr>
              <w:pStyle w:val="33"/>
              <w:spacing w:before="79" w:line="220" w:lineRule="auto"/>
              <w:ind w:left="4110"/>
              <w:rPr>
                <w:color w:val="auto"/>
                <w:sz w:val="18"/>
                <w:szCs w:val="18"/>
                <w:highlight w:val="none"/>
              </w:rPr>
            </w:pPr>
            <w:r>
              <w:rPr>
                <w:b/>
                <w:bCs/>
                <w:color w:val="auto"/>
                <w:spacing w:val="-3"/>
                <w:sz w:val="18"/>
                <w:szCs w:val="18"/>
                <w:highlight w:val="none"/>
              </w:rPr>
              <w:t>三、泵站</w:t>
            </w:r>
          </w:p>
        </w:tc>
      </w:tr>
      <w:tr w14:paraId="577DF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411072E4">
            <w:pPr>
              <w:spacing w:line="271" w:lineRule="auto"/>
              <w:rPr>
                <w:rFonts w:ascii="Arial"/>
                <w:color w:val="auto"/>
                <w:sz w:val="21"/>
                <w:highlight w:val="none"/>
              </w:rPr>
            </w:pPr>
          </w:p>
          <w:p w14:paraId="32A2501A">
            <w:pPr>
              <w:spacing w:line="272" w:lineRule="auto"/>
              <w:rPr>
                <w:rFonts w:ascii="Arial"/>
                <w:color w:val="auto"/>
                <w:sz w:val="21"/>
                <w:highlight w:val="none"/>
              </w:rPr>
            </w:pPr>
          </w:p>
          <w:p w14:paraId="42667309">
            <w:pPr>
              <w:pStyle w:val="33"/>
              <w:spacing w:before="58" w:line="220" w:lineRule="auto"/>
              <w:ind w:left="763"/>
              <w:rPr>
                <w:color w:val="auto"/>
                <w:sz w:val="18"/>
                <w:szCs w:val="18"/>
                <w:highlight w:val="none"/>
              </w:rPr>
            </w:pPr>
            <w:r>
              <w:rPr>
                <w:color w:val="auto"/>
                <w:spacing w:val="-2"/>
                <w:sz w:val="18"/>
                <w:szCs w:val="18"/>
                <w:highlight w:val="none"/>
              </w:rPr>
              <w:t>泵站</w:t>
            </w:r>
          </w:p>
        </w:tc>
        <w:tc>
          <w:tcPr>
            <w:tcW w:w="2833" w:type="dxa"/>
            <w:vAlign w:val="top"/>
          </w:tcPr>
          <w:p w14:paraId="7CF20C1E">
            <w:pPr>
              <w:pStyle w:val="33"/>
              <w:spacing w:before="80" w:line="221" w:lineRule="auto"/>
              <w:ind w:left="374"/>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1"/>
                <w:sz w:val="18"/>
                <w:szCs w:val="18"/>
                <w:highlight w:val="none"/>
              </w:rPr>
              <w:t>20m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10m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2372" w:type="dxa"/>
            <w:vAlign w:val="top"/>
          </w:tcPr>
          <w:p w14:paraId="571003CA">
            <w:pPr>
              <w:pStyle w:val="33"/>
              <w:spacing w:before="80" w:line="221" w:lineRule="auto"/>
              <w:ind w:left="540"/>
              <w:rPr>
                <w:rFonts w:ascii="Times New Roman" w:hAnsi="Times New Roman" w:eastAsia="Times New Roman" w:cs="Times New Roman"/>
                <w:color w:val="auto"/>
                <w:sz w:val="18"/>
                <w:szCs w:val="18"/>
                <w:highlight w:val="none"/>
              </w:rPr>
            </w:pP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8m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1852" w:type="dxa"/>
            <w:vMerge w:val="restart"/>
            <w:tcBorders>
              <w:bottom w:val="nil"/>
            </w:tcBorders>
            <w:vAlign w:val="top"/>
          </w:tcPr>
          <w:p w14:paraId="2329FBE0">
            <w:pPr>
              <w:spacing w:line="313" w:lineRule="auto"/>
              <w:rPr>
                <w:rFonts w:ascii="Arial"/>
                <w:color w:val="auto"/>
                <w:sz w:val="21"/>
                <w:highlight w:val="none"/>
              </w:rPr>
            </w:pPr>
          </w:p>
          <w:p w14:paraId="166699B2">
            <w:pPr>
              <w:pStyle w:val="33"/>
              <w:spacing w:before="58" w:line="234" w:lineRule="auto"/>
              <w:ind w:left="112" w:right="105" w:firstLine="1"/>
              <w:jc w:val="both"/>
              <w:rPr>
                <w:color w:val="auto"/>
                <w:sz w:val="18"/>
                <w:szCs w:val="18"/>
                <w:highlight w:val="none"/>
              </w:rPr>
            </w:pPr>
            <w:r>
              <w:rPr>
                <w:color w:val="auto"/>
                <w:sz w:val="18"/>
                <w:szCs w:val="18"/>
                <w:highlight w:val="none"/>
              </w:rPr>
              <w:t>加分业绩可按单机设</w:t>
            </w:r>
            <w:r>
              <w:rPr>
                <w:color w:val="auto"/>
                <w:spacing w:val="6"/>
                <w:sz w:val="18"/>
                <w:szCs w:val="18"/>
                <w:highlight w:val="none"/>
              </w:rPr>
              <w:t xml:space="preserve"> </w:t>
            </w:r>
            <w:r>
              <w:rPr>
                <w:color w:val="auto"/>
                <w:spacing w:val="-4"/>
                <w:sz w:val="18"/>
                <w:szCs w:val="18"/>
                <w:highlight w:val="none"/>
              </w:rPr>
              <w:t>计</w:t>
            </w:r>
            <w:r>
              <w:rPr>
                <w:color w:val="auto"/>
                <w:spacing w:val="-29"/>
                <w:sz w:val="18"/>
                <w:szCs w:val="18"/>
                <w:highlight w:val="none"/>
              </w:rPr>
              <w:t xml:space="preserve"> </w:t>
            </w:r>
            <w:r>
              <w:rPr>
                <w:color w:val="auto"/>
                <w:spacing w:val="-4"/>
                <w:sz w:val="18"/>
                <w:szCs w:val="18"/>
                <w:highlight w:val="none"/>
              </w:rPr>
              <w:t>流</w:t>
            </w:r>
            <w:r>
              <w:rPr>
                <w:color w:val="auto"/>
                <w:spacing w:val="-35"/>
                <w:sz w:val="18"/>
                <w:szCs w:val="18"/>
                <w:highlight w:val="none"/>
              </w:rPr>
              <w:t xml:space="preserve"> </w:t>
            </w:r>
            <w:r>
              <w:rPr>
                <w:color w:val="auto"/>
                <w:spacing w:val="-4"/>
                <w:sz w:val="18"/>
                <w:szCs w:val="18"/>
                <w:highlight w:val="none"/>
              </w:rPr>
              <w:t>量</w:t>
            </w:r>
            <w:r>
              <w:rPr>
                <w:color w:val="auto"/>
                <w:spacing w:val="-34"/>
                <w:sz w:val="18"/>
                <w:szCs w:val="18"/>
                <w:highlight w:val="none"/>
              </w:rPr>
              <w:t xml:space="preserve"> </w:t>
            </w:r>
            <w:r>
              <w:rPr>
                <w:rFonts w:ascii="Times New Roman" w:hAnsi="Times New Roman" w:eastAsia="Times New Roman" w:cs="Times New Roman"/>
                <w:color w:val="auto"/>
                <w:spacing w:val="-4"/>
                <w:sz w:val="18"/>
                <w:szCs w:val="18"/>
                <w:highlight w:val="none"/>
              </w:rPr>
              <w:t>60%-80%</w:t>
            </w:r>
            <w:r>
              <w:rPr>
                <w:rFonts w:ascii="Times New Roman" w:hAnsi="Times New Roman" w:eastAsia="Times New Roman" w:cs="Times New Roman"/>
                <w:color w:val="auto"/>
                <w:spacing w:val="14"/>
                <w:w w:val="102"/>
                <w:sz w:val="18"/>
                <w:szCs w:val="18"/>
                <w:highlight w:val="none"/>
              </w:rPr>
              <w:t xml:space="preserve"> </w:t>
            </w:r>
            <w:r>
              <w:rPr>
                <w:color w:val="auto"/>
                <w:spacing w:val="-4"/>
                <w:sz w:val="18"/>
                <w:szCs w:val="18"/>
                <w:highlight w:val="none"/>
              </w:rPr>
              <w:t>设</w:t>
            </w:r>
            <w:r>
              <w:rPr>
                <w:color w:val="auto"/>
                <w:sz w:val="18"/>
                <w:szCs w:val="18"/>
                <w:highlight w:val="none"/>
              </w:rPr>
              <w:t xml:space="preserve"> </w:t>
            </w:r>
            <w:r>
              <w:rPr>
                <w:color w:val="auto"/>
                <w:spacing w:val="-8"/>
                <w:sz w:val="18"/>
                <w:szCs w:val="18"/>
                <w:highlight w:val="none"/>
              </w:rPr>
              <w:t>置。</w:t>
            </w:r>
          </w:p>
        </w:tc>
      </w:tr>
      <w:tr w14:paraId="75075C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878" w:type="dxa"/>
            <w:vMerge w:val="continue"/>
            <w:tcBorders>
              <w:top w:val="nil"/>
              <w:bottom w:val="nil"/>
            </w:tcBorders>
            <w:vAlign w:val="top"/>
          </w:tcPr>
          <w:p w14:paraId="68EC47FB">
            <w:pPr>
              <w:rPr>
                <w:rFonts w:ascii="Arial"/>
                <w:color w:val="auto"/>
                <w:sz w:val="21"/>
                <w:highlight w:val="none"/>
              </w:rPr>
            </w:pPr>
          </w:p>
        </w:tc>
        <w:tc>
          <w:tcPr>
            <w:tcW w:w="2833" w:type="dxa"/>
            <w:vAlign w:val="top"/>
          </w:tcPr>
          <w:p w14:paraId="1734FC18">
            <w:pPr>
              <w:pStyle w:val="33"/>
              <w:spacing w:before="80" w:line="221" w:lineRule="auto"/>
              <w:ind w:left="379"/>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1"/>
                <w:sz w:val="18"/>
                <w:szCs w:val="18"/>
                <w:highlight w:val="none"/>
              </w:rPr>
              <w:t>50m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20m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2372" w:type="dxa"/>
            <w:vAlign w:val="top"/>
          </w:tcPr>
          <w:p w14:paraId="0CB1616B">
            <w:pPr>
              <w:pStyle w:val="33"/>
              <w:spacing w:before="80" w:line="221" w:lineRule="auto"/>
              <w:ind w:left="494"/>
              <w:rPr>
                <w:rFonts w:ascii="Times New Roman" w:hAnsi="Times New Roman" w:eastAsia="Times New Roman" w:cs="Times New Roman"/>
                <w:color w:val="auto"/>
                <w:sz w:val="18"/>
                <w:szCs w:val="18"/>
                <w:highlight w:val="none"/>
              </w:rPr>
            </w:pP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16m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1852" w:type="dxa"/>
            <w:vMerge w:val="continue"/>
            <w:tcBorders>
              <w:top w:val="nil"/>
              <w:bottom w:val="nil"/>
            </w:tcBorders>
            <w:vAlign w:val="top"/>
          </w:tcPr>
          <w:p w14:paraId="22D585B6">
            <w:pPr>
              <w:rPr>
                <w:rFonts w:ascii="Arial"/>
                <w:color w:val="auto"/>
                <w:sz w:val="21"/>
                <w:highlight w:val="none"/>
              </w:rPr>
            </w:pPr>
          </w:p>
        </w:tc>
      </w:tr>
      <w:tr w14:paraId="04A9387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continue"/>
            <w:tcBorders>
              <w:top w:val="nil"/>
              <w:bottom w:val="nil"/>
            </w:tcBorders>
            <w:vAlign w:val="top"/>
          </w:tcPr>
          <w:p w14:paraId="5B7DED29">
            <w:pPr>
              <w:rPr>
                <w:rFonts w:ascii="Arial"/>
                <w:color w:val="auto"/>
                <w:sz w:val="21"/>
                <w:highlight w:val="none"/>
              </w:rPr>
            </w:pPr>
          </w:p>
        </w:tc>
        <w:tc>
          <w:tcPr>
            <w:tcW w:w="2833" w:type="dxa"/>
            <w:vAlign w:val="top"/>
          </w:tcPr>
          <w:p w14:paraId="7AB61A44">
            <w:pPr>
              <w:pStyle w:val="33"/>
              <w:spacing w:before="82" w:line="221" w:lineRule="auto"/>
              <w:ind w:left="307"/>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1"/>
                <w:sz w:val="18"/>
                <w:szCs w:val="18"/>
                <w:highlight w:val="none"/>
              </w:rPr>
              <w:t>200m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50 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2372" w:type="dxa"/>
            <w:vAlign w:val="top"/>
          </w:tcPr>
          <w:p w14:paraId="1BF30802">
            <w:pPr>
              <w:pStyle w:val="33"/>
              <w:spacing w:before="82" w:line="221" w:lineRule="auto"/>
              <w:ind w:left="494"/>
              <w:rPr>
                <w:rFonts w:ascii="Times New Roman" w:hAnsi="Times New Roman" w:eastAsia="Times New Roman" w:cs="Times New Roman"/>
                <w:color w:val="auto"/>
                <w:sz w:val="18"/>
                <w:szCs w:val="18"/>
                <w:highlight w:val="none"/>
              </w:rPr>
            </w:pP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40m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1852" w:type="dxa"/>
            <w:vMerge w:val="continue"/>
            <w:tcBorders>
              <w:top w:val="nil"/>
              <w:bottom w:val="nil"/>
            </w:tcBorders>
            <w:vAlign w:val="top"/>
          </w:tcPr>
          <w:p w14:paraId="08016BE3">
            <w:pPr>
              <w:rPr>
                <w:rFonts w:ascii="Arial"/>
                <w:color w:val="auto"/>
                <w:sz w:val="21"/>
                <w:highlight w:val="none"/>
              </w:rPr>
            </w:pPr>
          </w:p>
        </w:tc>
      </w:tr>
      <w:tr w14:paraId="03751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continue"/>
            <w:tcBorders>
              <w:top w:val="nil"/>
            </w:tcBorders>
            <w:vAlign w:val="top"/>
          </w:tcPr>
          <w:p w14:paraId="0C53720F">
            <w:pPr>
              <w:rPr>
                <w:rFonts w:ascii="Arial"/>
                <w:color w:val="auto"/>
                <w:sz w:val="21"/>
                <w:highlight w:val="none"/>
              </w:rPr>
            </w:pPr>
          </w:p>
        </w:tc>
        <w:tc>
          <w:tcPr>
            <w:tcW w:w="2833" w:type="dxa"/>
            <w:vAlign w:val="top"/>
          </w:tcPr>
          <w:p w14:paraId="64E57553">
            <w:pPr>
              <w:pStyle w:val="33"/>
              <w:spacing w:before="83" w:line="221" w:lineRule="auto"/>
              <w:ind w:left="651"/>
              <w:rPr>
                <w:rFonts w:ascii="Times New Roman" w:hAnsi="Times New Roman" w:eastAsia="Times New Roman" w:cs="Times New Roman"/>
                <w:color w:val="auto"/>
                <w:sz w:val="18"/>
                <w:szCs w:val="18"/>
                <w:highlight w:val="none"/>
              </w:rPr>
            </w:pP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200 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2372" w:type="dxa"/>
            <w:vAlign w:val="top"/>
          </w:tcPr>
          <w:p w14:paraId="3BF9F261">
            <w:pPr>
              <w:pStyle w:val="33"/>
              <w:spacing w:before="83" w:line="221" w:lineRule="auto"/>
              <w:ind w:left="449"/>
              <w:rPr>
                <w:rFonts w:ascii="Times New Roman" w:hAnsi="Times New Roman" w:eastAsia="Times New Roman" w:cs="Times New Roman"/>
                <w:color w:val="auto"/>
                <w:sz w:val="18"/>
                <w:szCs w:val="18"/>
                <w:highlight w:val="none"/>
              </w:rPr>
            </w:pPr>
            <w:r>
              <w:rPr>
                <w:color w:val="auto"/>
                <w:spacing w:val="-1"/>
                <w:sz w:val="18"/>
                <w:szCs w:val="18"/>
                <w:highlight w:val="none"/>
              </w:rPr>
              <w:t>设计流量≤</w:t>
            </w:r>
            <w:r>
              <w:rPr>
                <w:rFonts w:ascii="Times New Roman" w:hAnsi="Times New Roman" w:eastAsia="Times New Roman" w:cs="Times New Roman"/>
                <w:color w:val="auto"/>
                <w:spacing w:val="-1"/>
                <w:sz w:val="18"/>
                <w:szCs w:val="18"/>
                <w:highlight w:val="none"/>
              </w:rPr>
              <w:t>160m</w:t>
            </w:r>
            <w:r>
              <w:rPr>
                <w:rFonts w:ascii="Times New Roman" w:hAnsi="Times New Roman" w:eastAsia="Times New Roman" w:cs="Times New Roman"/>
                <w:color w:val="auto"/>
                <w:spacing w:val="-1"/>
                <w:position w:val="5"/>
                <w:sz w:val="12"/>
                <w:szCs w:val="12"/>
                <w:highlight w:val="none"/>
              </w:rPr>
              <w:t>3</w:t>
            </w:r>
            <w:r>
              <w:rPr>
                <w:rFonts w:ascii="Times New Roman" w:hAnsi="Times New Roman" w:eastAsia="Times New Roman" w:cs="Times New Roman"/>
                <w:color w:val="auto"/>
                <w:spacing w:val="-1"/>
                <w:sz w:val="18"/>
                <w:szCs w:val="18"/>
                <w:highlight w:val="none"/>
              </w:rPr>
              <w:t>/s</w:t>
            </w:r>
          </w:p>
        </w:tc>
        <w:tc>
          <w:tcPr>
            <w:tcW w:w="1852" w:type="dxa"/>
            <w:vMerge w:val="continue"/>
            <w:tcBorders>
              <w:top w:val="nil"/>
            </w:tcBorders>
            <w:vAlign w:val="top"/>
          </w:tcPr>
          <w:p w14:paraId="3EEE160C">
            <w:pPr>
              <w:rPr>
                <w:rFonts w:ascii="Arial"/>
                <w:color w:val="auto"/>
                <w:sz w:val="21"/>
                <w:highlight w:val="none"/>
              </w:rPr>
            </w:pPr>
          </w:p>
        </w:tc>
      </w:tr>
      <w:tr w14:paraId="1C1C3A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935" w:type="dxa"/>
            <w:gridSpan w:val="4"/>
            <w:vAlign w:val="top"/>
          </w:tcPr>
          <w:p w14:paraId="0B8609F6">
            <w:pPr>
              <w:pStyle w:val="33"/>
              <w:spacing w:before="80" w:line="220" w:lineRule="auto"/>
              <w:ind w:left="3945"/>
              <w:rPr>
                <w:color w:val="auto"/>
                <w:sz w:val="18"/>
                <w:szCs w:val="18"/>
                <w:highlight w:val="none"/>
              </w:rPr>
            </w:pPr>
            <w:r>
              <w:rPr>
                <w:b/>
                <w:bCs/>
                <w:color w:val="auto"/>
                <w:spacing w:val="-6"/>
                <w:sz w:val="18"/>
                <w:szCs w:val="18"/>
                <w:highlight w:val="none"/>
              </w:rPr>
              <w:t>四、水工隧洞</w:t>
            </w:r>
          </w:p>
        </w:tc>
      </w:tr>
      <w:tr w14:paraId="3AC6BA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50FD40FD">
            <w:pPr>
              <w:spacing w:line="370" w:lineRule="auto"/>
              <w:rPr>
                <w:rFonts w:ascii="Arial"/>
                <w:color w:val="auto"/>
                <w:sz w:val="21"/>
                <w:highlight w:val="none"/>
              </w:rPr>
            </w:pPr>
          </w:p>
          <w:p w14:paraId="408F0A95">
            <w:pPr>
              <w:pStyle w:val="33"/>
              <w:spacing w:before="59" w:line="220" w:lineRule="auto"/>
              <w:ind w:left="584"/>
              <w:rPr>
                <w:color w:val="auto"/>
                <w:sz w:val="18"/>
                <w:szCs w:val="18"/>
                <w:highlight w:val="none"/>
              </w:rPr>
            </w:pPr>
            <w:r>
              <w:rPr>
                <w:color w:val="auto"/>
                <w:spacing w:val="-2"/>
                <w:sz w:val="18"/>
                <w:szCs w:val="18"/>
                <w:highlight w:val="none"/>
              </w:rPr>
              <w:t>水工隧洞</w:t>
            </w:r>
          </w:p>
        </w:tc>
        <w:tc>
          <w:tcPr>
            <w:tcW w:w="2833" w:type="dxa"/>
            <w:vAlign w:val="top"/>
          </w:tcPr>
          <w:p w14:paraId="1C6E44D5">
            <w:pPr>
              <w:pStyle w:val="33"/>
              <w:spacing w:before="81" w:line="220" w:lineRule="auto"/>
              <w:ind w:left="301"/>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1"/>
                <w:sz w:val="18"/>
                <w:szCs w:val="18"/>
                <w:highlight w:val="none"/>
              </w:rPr>
              <w:t>3000 m</w:t>
            </w:r>
            <w:r>
              <w:rPr>
                <w:color w:val="auto"/>
                <w:spacing w:val="-1"/>
                <w:sz w:val="18"/>
                <w:szCs w:val="18"/>
                <w:highlight w:val="none"/>
              </w:rPr>
              <w:t>＞隧洞长度</w:t>
            </w:r>
            <w:r>
              <w:rPr>
                <w:rFonts w:ascii="Times New Roman" w:hAnsi="Times New Roman" w:eastAsia="Times New Roman" w:cs="Times New Roman"/>
                <w:color w:val="auto"/>
                <w:spacing w:val="-1"/>
                <w:sz w:val="18"/>
                <w:szCs w:val="18"/>
                <w:highlight w:val="none"/>
              </w:rPr>
              <w:t>L</w:t>
            </w:r>
            <w:r>
              <w:rPr>
                <w:color w:val="auto"/>
                <w:spacing w:val="-1"/>
                <w:sz w:val="18"/>
                <w:szCs w:val="18"/>
                <w:highlight w:val="none"/>
              </w:rPr>
              <w:t>≥</w:t>
            </w:r>
            <w:r>
              <w:rPr>
                <w:rFonts w:ascii="Times New Roman" w:hAnsi="Times New Roman" w:eastAsia="Times New Roman" w:cs="Times New Roman"/>
                <w:color w:val="auto"/>
                <w:spacing w:val="-1"/>
                <w:sz w:val="18"/>
                <w:szCs w:val="18"/>
                <w:highlight w:val="none"/>
              </w:rPr>
              <w:t>1000m</w:t>
            </w:r>
          </w:p>
        </w:tc>
        <w:tc>
          <w:tcPr>
            <w:tcW w:w="2372" w:type="dxa"/>
            <w:vAlign w:val="top"/>
          </w:tcPr>
          <w:p w14:paraId="4127D9F4">
            <w:pPr>
              <w:pStyle w:val="33"/>
              <w:spacing w:before="81" w:line="220" w:lineRule="auto"/>
              <w:ind w:left="491"/>
              <w:rPr>
                <w:rFonts w:ascii="Times New Roman" w:hAnsi="Times New Roman" w:eastAsia="Times New Roman" w:cs="Times New Roman"/>
                <w:color w:val="auto"/>
                <w:sz w:val="18"/>
                <w:szCs w:val="18"/>
                <w:highlight w:val="none"/>
              </w:rPr>
            </w:pPr>
            <w:r>
              <w:rPr>
                <w:color w:val="auto"/>
                <w:spacing w:val="-2"/>
                <w:sz w:val="18"/>
                <w:szCs w:val="18"/>
                <w:highlight w:val="none"/>
              </w:rPr>
              <w:t>隧洞长度</w:t>
            </w:r>
            <w:r>
              <w:rPr>
                <w:rFonts w:ascii="Times New Roman" w:hAnsi="Times New Roman" w:eastAsia="Times New Roman" w:cs="Times New Roman"/>
                <w:color w:val="auto"/>
                <w:spacing w:val="-2"/>
                <w:sz w:val="18"/>
                <w:szCs w:val="18"/>
                <w:highlight w:val="none"/>
              </w:rPr>
              <w:t>L</w:t>
            </w:r>
            <w:r>
              <w:rPr>
                <w:color w:val="auto"/>
                <w:spacing w:val="-2"/>
                <w:sz w:val="18"/>
                <w:szCs w:val="18"/>
                <w:highlight w:val="none"/>
              </w:rPr>
              <w:t>≤</w:t>
            </w:r>
            <w:r>
              <w:rPr>
                <w:rFonts w:ascii="Times New Roman" w:hAnsi="Times New Roman" w:eastAsia="Times New Roman" w:cs="Times New Roman"/>
                <w:color w:val="auto"/>
                <w:spacing w:val="-2"/>
                <w:sz w:val="18"/>
                <w:szCs w:val="18"/>
                <w:highlight w:val="none"/>
              </w:rPr>
              <w:t>800m</w:t>
            </w:r>
          </w:p>
        </w:tc>
        <w:tc>
          <w:tcPr>
            <w:tcW w:w="1852" w:type="dxa"/>
            <w:vMerge w:val="restart"/>
            <w:tcBorders>
              <w:bottom w:val="nil"/>
            </w:tcBorders>
            <w:vAlign w:val="top"/>
          </w:tcPr>
          <w:p w14:paraId="46A7DF14">
            <w:pPr>
              <w:spacing w:line="256" w:lineRule="auto"/>
              <w:rPr>
                <w:rFonts w:ascii="Arial"/>
                <w:color w:val="auto"/>
                <w:sz w:val="21"/>
                <w:highlight w:val="none"/>
              </w:rPr>
            </w:pPr>
          </w:p>
          <w:p w14:paraId="5FA90795">
            <w:pPr>
              <w:pStyle w:val="33"/>
              <w:spacing w:before="59" w:line="230" w:lineRule="auto"/>
              <w:ind w:left="122" w:right="119"/>
              <w:rPr>
                <w:color w:val="auto"/>
                <w:sz w:val="18"/>
                <w:szCs w:val="18"/>
                <w:highlight w:val="none"/>
              </w:rPr>
            </w:pPr>
            <w:r>
              <w:rPr>
                <w:color w:val="auto"/>
                <w:spacing w:val="-2"/>
                <w:sz w:val="18"/>
                <w:szCs w:val="18"/>
                <w:highlight w:val="none"/>
              </w:rPr>
              <w:t>隧洞长度、洞径可同</w:t>
            </w:r>
            <w:r>
              <w:rPr>
                <w:color w:val="auto"/>
                <w:sz w:val="18"/>
                <w:szCs w:val="18"/>
                <w:highlight w:val="none"/>
              </w:rPr>
              <w:t xml:space="preserve"> </w:t>
            </w:r>
            <w:r>
              <w:rPr>
                <w:color w:val="auto"/>
                <w:spacing w:val="-4"/>
                <w:sz w:val="18"/>
                <w:szCs w:val="18"/>
                <w:highlight w:val="none"/>
              </w:rPr>
              <w:t>时设置</w:t>
            </w:r>
          </w:p>
        </w:tc>
      </w:tr>
      <w:tr w14:paraId="0D1602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continue"/>
            <w:tcBorders>
              <w:top w:val="nil"/>
              <w:bottom w:val="nil"/>
            </w:tcBorders>
            <w:vAlign w:val="top"/>
          </w:tcPr>
          <w:p w14:paraId="274731AC">
            <w:pPr>
              <w:rPr>
                <w:rFonts w:ascii="Arial"/>
                <w:color w:val="auto"/>
                <w:sz w:val="21"/>
                <w:highlight w:val="none"/>
              </w:rPr>
            </w:pPr>
          </w:p>
        </w:tc>
        <w:tc>
          <w:tcPr>
            <w:tcW w:w="2833" w:type="dxa"/>
            <w:vAlign w:val="top"/>
          </w:tcPr>
          <w:p w14:paraId="7FFB05CA">
            <w:pPr>
              <w:pStyle w:val="33"/>
              <w:spacing w:before="82" w:line="220" w:lineRule="auto"/>
              <w:ind w:left="672"/>
              <w:rPr>
                <w:rFonts w:ascii="Times New Roman" w:hAnsi="Times New Roman" w:eastAsia="Times New Roman" w:cs="Times New Roman"/>
                <w:color w:val="auto"/>
                <w:sz w:val="18"/>
                <w:szCs w:val="18"/>
                <w:highlight w:val="none"/>
              </w:rPr>
            </w:pPr>
            <w:r>
              <w:rPr>
                <w:color w:val="auto"/>
                <w:spacing w:val="-2"/>
                <w:sz w:val="18"/>
                <w:szCs w:val="18"/>
                <w:highlight w:val="none"/>
              </w:rPr>
              <w:t>隧洞长度</w:t>
            </w:r>
            <w:r>
              <w:rPr>
                <w:rFonts w:ascii="Times New Roman" w:hAnsi="Times New Roman" w:eastAsia="Times New Roman" w:cs="Times New Roman"/>
                <w:color w:val="auto"/>
                <w:spacing w:val="-2"/>
                <w:sz w:val="18"/>
                <w:szCs w:val="18"/>
                <w:highlight w:val="none"/>
              </w:rPr>
              <w:t>L</w:t>
            </w:r>
            <w:r>
              <w:rPr>
                <w:color w:val="auto"/>
                <w:spacing w:val="-2"/>
                <w:sz w:val="18"/>
                <w:szCs w:val="18"/>
                <w:highlight w:val="none"/>
              </w:rPr>
              <w:t>≥</w:t>
            </w:r>
            <w:r>
              <w:rPr>
                <w:rFonts w:ascii="Times New Roman" w:hAnsi="Times New Roman" w:eastAsia="Times New Roman" w:cs="Times New Roman"/>
                <w:color w:val="auto"/>
                <w:spacing w:val="-2"/>
                <w:sz w:val="18"/>
                <w:szCs w:val="18"/>
                <w:highlight w:val="none"/>
              </w:rPr>
              <w:t>3000m</w:t>
            </w:r>
          </w:p>
        </w:tc>
        <w:tc>
          <w:tcPr>
            <w:tcW w:w="2372" w:type="dxa"/>
            <w:vAlign w:val="top"/>
          </w:tcPr>
          <w:p w14:paraId="15D8037C">
            <w:pPr>
              <w:pStyle w:val="33"/>
              <w:spacing w:before="82" w:line="220" w:lineRule="auto"/>
              <w:ind w:left="445"/>
              <w:rPr>
                <w:rFonts w:ascii="Times New Roman" w:hAnsi="Times New Roman" w:eastAsia="Times New Roman" w:cs="Times New Roman"/>
                <w:color w:val="auto"/>
                <w:sz w:val="18"/>
                <w:szCs w:val="18"/>
                <w:highlight w:val="none"/>
              </w:rPr>
            </w:pPr>
            <w:r>
              <w:rPr>
                <w:color w:val="auto"/>
                <w:spacing w:val="-2"/>
                <w:sz w:val="18"/>
                <w:szCs w:val="18"/>
                <w:highlight w:val="none"/>
              </w:rPr>
              <w:t>隧洞长度</w:t>
            </w:r>
            <w:r>
              <w:rPr>
                <w:rFonts w:ascii="Times New Roman" w:hAnsi="Times New Roman" w:eastAsia="Times New Roman" w:cs="Times New Roman"/>
                <w:color w:val="auto"/>
                <w:spacing w:val="-2"/>
                <w:sz w:val="18"/>
                <w:szCs w:val="18"/>
                <w:highlight w:val="none"/>
              </w:rPr>
              <w:t>L</w:t>
            </w:r>
            <w:r>
              <w:rPr>
                <w:color w:val="auto"/>
                <w:spacing w:val="-2"/>
                <w:sz w:val="18"/>
                <w:szCs w:val="18"/>
                <w:highlight w:val="none"/>
              </w:rPr>
              <w:t>≤</w:t>
            </w:r>
            <w:r>
              <w:rPr>
                <w:rFonts w:ascii="Times New Roman" w:hAnsi="Times New Roman" w:eastAsia="Times New Roman" w:cs="Times New Roman"/>
                <w:color w:val="auto"/>
                <w:spacing w:val="-2"/>
                <w:sz w:val="18"/>
                <w:szCs w:val="18"/>
                <w:highlight w:val="none"/>
              </w:rPr>
              <w:t>2400m</w:t>
            </w:r>
          </w:p>
        </w:tc>
        <w:tc>
          <w:tcPr>
            <w:tcW w:w="1852" w:type="dxa"/>
            <w:vMerge w:val="continue"/>
            <w:tcBorders>
              <w:top w:val="nil"/>
              <w:bottom w:val="nil"/>
            </w:tcBorders>
            <w:vAlign w:val="top"/>
          </w:tcPr>
          <w:p w14:paraId="09324B74">
            <w:pPr>
              <w:rPr>
                <w:rFonts w:ascii="Arial"/>
                <w:color w:val="auto"/>
                <w:sz w:val="21"/>
                <w:highlight w:val="none"/>
              </w:rPr>
            </w:pPr>
          </w:p>
        </w:tc>
      </w:tr>
      <w:tr w14:paraId="0D3EBC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878" w:type="dxa"/>
            <w:vMerge w:val="continue"/>
            <w:tcBorders>
              <w:top w:val="nil"/>
            </w:tcBorders>
            <w:vAlign w:val="top"/>
          </w:tcPr>
          <w:p w14:paraId="48EF9B46">
            <w:pPr>
              <w:rPr>
                <w:rFonts w:ascii="Arial"/>
                <w:color w:val="auto"/>
                <w:sz w:val="21"/>
                <w:highlight w:val="none"/>
              </w:rPr>
            </w:pPr>
          </w:p>
        </w:tc>
        <w:tc>
          <w:tcPr>
            <w:tcW w:w="2833" w:type="dxa"/>
            <w:vAlign w:val="top"/>
          </w:tcPr>
          <w:p w14:paraId="430120AE">
            <w:pPr>
              <w:pStyle w:val="33"/>
              <w:spacing w:before="82" w:line="220" w:lineRule="auto"/>
              <w:ind w:left="1033"/>
              <w:rPr>
                <w:rFonts w:ascii="Times New Roman" w:hAnsi="Times New Roman" w:eastAsia="Times New Roman" w:cs="Times New Roman"/>
                <w:color w:val="auto"/>
                <w:sz w:val="18"/>
                <w:szCs w:val="18"/>
                <w:highlight w:val="none"/>
              </w:rPr>
            </w:pPr>
            <w:r>
              <w:rPr>
                <w:color w:val="auto"/>
                <w:spacing w:val="-2"/>
                <w:sz w:val="18"/>
                <w:szCs w:val="18"/>
                <w:highlight w:val="none"/>
              </w:rPr>
              <w:t>洞径≥</w:t>
            </w:r>
            <w:r>
              <w:rPr>
                <w:rFonts w:ascii="Times New Roman" w:hAnsi="Times New Roman" w:eastAsia="Times New Roman" w:cs="Times New Roman"/>
                <w:color w:val="auto"/>
                <w:spacing w:val="-2"/>
                <w:sz w:val="18"/>
                <w:szCs w:val="18"/>
                <w:highlight w:val="none"/>
              </w:rPr>
              <w:t>8m</w:t>
            </w:r>
          </w:p>
        </w:tc>
        <w:tc>
          <w:tcPr>
            <w:tcW w:w="2372" w:type="dxa"/>
            <w:vAlign w:val="top"/>
          </w:tcPr>
          <w:p w14:paraId="4B56C9F0">
            <w:pPr>
              <w:pStyle w:val="33"/>
              <w:spacing w:before="82" w:line="220" w:lineRule="auto"/>
              <w:ind w:left="806"/>
              <w:rPr>
                <w:rFonts w:ascii="Times New Roman" w:hAnsi="Times New Roman" w:eastAsia="Times New Roman" w:cs="Times New Roman"/>
                <w:color w:val="auto"/>
                <w:sz w:val="18"/>
                <w:szCs w:val="18"/>
                <w:highlight w:val="none"/>
              </w:rPr>
            </w:pPr>
            <w:r>
              <w:rPr>
                <w:color w:val="auto"/>
                <w:spacing w:val="-2"/>
                <w:sz w:val="18"/>
                <w:szCs w:val="18"/>
                <w:highlight w:val="none"/>
              </w:rPr>
              <w:t>洞径≤</w:t>
            </w:r>
            <w:r>
              <w:rPr>
                <w:rFonts w:ascii="Times New Roman" w:hAnsi="Times New Roman" w:eastAsia="Times New Roman" w:cs="Times New Roman"/>
                <w:color w:val="auto"/>
                <w:spacing w:val="-2"/>
                <w:sz w:val="18"/>
                <w:szCs w:val="18"/>
                <w:highlight w:val="none"/>
              </w:rPr>
              <w:t>6m</w:t>
            </w:r>
          </w:p>
        </w:tc>
        <w:tc>
          <w:tcPr>
            <w:tcW w:w="1852" w:type="dxa"/>
            <w:vMerge w:val="continue"/>
            <w:tcBorders>
              <w:top w:val="nil"/>
            </w:tcBorders>
            <w:vAlign w:val="top"/>
          </w:tcPr>
          <w:p w14:paraId="7EFE6050">
            <w:pPr>
              <w:rPr>
                <w:rFonts w:ascii="Arial"/>
                <w:color w:val="auto"/>
                <w:sz w:val="21"/>
                <w:highlight w:val="none"/>
              </w:rPr>
            </w:pPr>
          </w:p>
        </w:tc>
      </w:tr>
      <w:tr w14:paraId="2C8F61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935" w:type="dxa"/>
            <w:gridSpan w:val="4"/>
            <w:vAlign w:val="top"/>
          </w:tcPr>
          <w:p w14:paraId="5FF27770">
            <w:pPr>
              <w:pStyle w:val="33"/>
              <w:spacing w:before="85" w:line="220" w:lineRule="auto"/>
              <w:ind w:left="3931"/>
              <w:rPr>
                <w:color w:val="auto"/>
                <w:sz w:val="18"/>
                <w:szCs w:val="18"/>
                <w:highlight w:val="none"/>
              </w:rPr>
            </w:pPr>
            <w:r>
              <w:rPr>
                <w:b/>
                <w:bCs/>
                <w:color w:val="auto"/>
                <w:spacing w:val="-3"/>
                <w:sz w:val="18"/>
                <w:szCs w:val="18"/>
                <w:highlight w:val="none"/>
              </w:rPr>
              <w:t>五、堤防工程</w:t>
            </w:r>
          </w:p>
        </w:tc>
      </w:tr>
      <w:tr w14:paraId="0824F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7" w:hRule="atLeast"/>
        </w:trPr>
        <w:tc>
          <w:tcPr>
            <w:tcW w:w="1878" w:type="dxa"/>
            <w:vAlign w:val="top"/>
          </w:tcPr>
          <w:p w14:paraId="46CAF5DE">
            <w:pPr>
              <w:pStyle w:val="33"/>
              <w:spacing w:before="129" w:line="229" w:lineRule="auto"/>
              <w:ind w:left="407" w:right="128" w:hanging="276"/>
              <w:rPr>
                <w:color w:val="auto"/>
                <w:sz w:val="18"/>
                <w:szCs w:val="18"/>
                <w:highlight w:val="none"/>
              </w:rPr>
            </w:pPr>
            <w:r>
              <w:rPr>
                <w:color w:val="auto"/>
                <w:spacing w:val="-1"/>
                <w:sz w:val="18"/>
                <w:szCs w:val="18"/>
                <w:highlight w:val="none"/>
              </w:rPr>
              <w:t>堤防工程［不含海塘</w:t>
            </w:r>
            <w:r>
              <w:rPr>
                <w:color w:val="auto"/>
                <w:sz w:val="18"/>
                <w:szCs w:val="18"/>
                <w:highlight w:val="none"/>
              </w:rPr>
              <w:t xml:space="preserve"> </w:t>
            </w:r>
            <w:r>
              <w:rPr>
                <w:color w:val="auto"/>
                <w:spacing w:val="-2"/>
                <w:sz w:val="18"/>
                <w:szCs w:val="18"/>
                <w:highlight w:val="none"/>
              </w:rPr>
              <w:t>（堤）工程］</w:t>
            </w:r>
          </w:p>
        </w:tc>
        <w:tc>
          <w:tcPr>
            <w:tcW w:w="2833" w:type="dxa"/>
            <w:vAlign w:val="top"/>
          </w:tcPr>
          <w:p w14:paraId="6783C9A1">
            <w:pPr>
              <w:pStyle w:val="33"/>
              <w:spacing w:before="245" w:line="220" w:lineRule="auto"/>
              <w:ind w:left="302"/>
              <w:rPr>
                <w:color w:val="auto"/>
                <w:sz w:val="18"/>
                <w:szCs w:val="18"/>
                <w:highlight w:val="none"/>
              </w:rPr>
            </w:pPr>
            <w:r>
              <w:rPr>
                <w:color w:val="auto"/>
                <w:spacing w:val="-2"/>
                <w:sz w:val="18"/>
                <w:szCs w:val="18"/>
                <w:highlight w:val="none"/>
              </w:rPr>
              <w:t>防洪标准≥</w:t>
            </w:r>
            <w:r>
              <w:rPr>
                <w:rFonts w:ascii="Times New Roman" w:hAnsi="Times New Roman" w:eastAsia="Times New Roman" w:cs="Times New Roman"/>
                <w:color w:val="auto"/>
                <w:spacing w:val="-2"/>
                <w:sz w:val="18"/>
                <w:szCs w:val="18"/>
                <w:highlight w:val="none"/>
              </w:rPr>
              <w:t>100</w:t>
            </w:r>
            <w:r>
              <w:rPr>
                <w:color w:val="auto"/>
                <w:spacing w:val="-2"/>
                <w:sz w:val="18"/>
                <w:szCs w:val="18"/>
                <w:highlight w:val="none"/>
              </w:rPr>
              <w:t>年一遇及以上</w:t>
            </w:r>
          </w:p>
        </w:tc>
        <w:tc>
          <w:tcPr>
            <w:tcW w:w="2372" w:type="dxa"/>
            <w:vAlign w:val="top"/>
          </w:tcPr>
          <w:p w14:paraId="5C233410">
            <w:pPr>
              <w:pStyle w:val="33"/>
              <w:spacing w:before="245" w:line="220" w:lineRule="auto"/>
              <w:ind w:left="392"/>
              <w:rPr>
                <w:color w:val="auto"/>
                <w:sz w:val="18"/>
                <w:szCs w:val="18"/>
                <w:highlight w:val="none"/>
              </w:rPr>
            </w:pPr>
            <w:r>
              <w:rPr>
                <w:color w:val="auto"/>
                <w:spacing w:val="-2"/>
                <w:sz w:val="18"/>
                <w:szCs w:val="18"/>
                <w:highlight w:val="none"/>
              </w:rPr>
              <w:t>防洪标准≤</w:t>
            </w:r>
            <w:r>
              <w:rPr>
                <w:rFonts w:ascii="Times New Roman" w:hAnsi="Times New Roman" w:eastAsia="Times New Roman" w:cs="Times New Roman"/>
                <w:color w:val="auto"/>
                <w:spacing w:val="-2"/>
                <w:sz w:val="18"/>
                <w:szCs w:val="18"/>
                <w:highlight w:val="none"/>
              </w:rPr>
              <w:t>50</w:t>
            </w:r>
            <w:r>
              <w:rPr>
                <w:color w:val="auto"/>
                <w:spacing w:val="-2"/>
                <w:sz w:val="18"/>
                <w:szCs w:val="18"/>
                <w:highlight w:val="none"/>
              </w:rPr>
              <w:t>年一遇</w:t>
            </w:r>
          </w:p>
        </w:tc>
        <w:tc>
          <w:tcPr>
            <w:tcW w:w="1852" w:type="dxa"/>
            <w:vAlign w:val="top"/>
          </w:tcPr>
          <w:p w14:paraId="6FC4EC6F">
            <w:pPr>
              <w:rPr>
                <w:rFonts w:ascii="Arial"/>
                <w:color w:val="auto"/>
                <w:sz w:val="21"/>
                <w:highlight w:val="none"/>
              </w:rPr>
            </w:pPr>
          </w:p>
        </w:tc>
      </w:tr>
      <w:tr w14:paraId="41D5F2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5B2858C7">
            <w:pPr>
              <w:pStyle w:val="33"/>
              <w:spacing w:before="265" w:line="220" w:lineRule="auto"/>
              <w:ind w:left="310"/>
              <w:rPr>
                <w:color w:val="auto"/>
                <w:sz w:val="18"/>
                <w:szCs w:val="18"/>
                <w:highlight w:val="none"/>
              </w:rPr>
            </w:pPr>
            <w:r>
              <w:rPr>
                <w:color w:val="auto"/>
                <w:spacing w:val="-1"/>
                <w:sz w:val="18"/>
                <w:szCs w:val="18"/>
                <w:highlight w:val="none"/>
              </w:rPr>
              <w:t>海塘（堤）工程</w:t>
            </w:r>
          </w:p>
        </w:tc>
        <w:tc>
          <w:tcPr>
            <w:tcW w:w="2833" w:type="dxa"/>
            <w:vAlign w:val="top"/>
          </w:tcPr>
          <w:p w14:paraId="17D638BC">
            <w:pPr>
              <w:pStyle w:val="33"/>
              <w:spacing w:before="84" w:line="220" w:lineRule="auto"/>
              <w:ind w:left="112"/>
              <w:rPr>
                <w:color w:val="auto"/>
                <w:sz w:val="18"/>
                <w:szCs w:val="18"/>
                <w:highlight w:val="none"/>
              </w:rPr>
            </w:pPr>
            <w:r>
              <w:rPr>
                <w:rFonts w:ascii="Times New Roman" w:hAnsi="Times New Roman" w:eastAsia="Times New Roman" w:cs="Times New Roman"/>
                <w:color w:val="auto"/>
                <w:spacing w:val="-1"/>
                <w:sz w:val="18"/>
                <w:szCs w:val="18"/>
                <w:highlight w:val="none"/>
              </w:rPr>
              <w:t>50</w:t>
            </w:r>
            <w:r>
              <w:rPr>
                <w:color w:val="auto"/>
                <w:spacing w:val="-1"/>
                <w:sz w:val="18"/>
                <w:szCs w:val="18"/>
                <w:highlight w:val="none"/>
              </w:rPr>
              <w:t>年一遇＜防潮标准≤</w:t>
            </w:r>
            <w:r>
              <w:rPr>
                <w:rFonts w:ascii="Times New Roman" w:hAnsi="Times New Roman" w:eastAsia="Times New Roman" w:cs="Times New Roman"/>
                <w:color w:val="auto"/>
                <w:spacing w:val="-1"/>
                <w:sz w:val="18"/>
                <w:szCs w:val="18"/>
                <w:highlight w:val="none"/>
              </w:rPr>
              <w:t>100</w:t>
            </w:r>
            <w:r>
              <w:rPr>
                <w:color w:val="auto"/>
                <w:spacing w:val="-1"/>
                <w:sz w:val="18"/>
                <w:szCs w:val="18"/>
                <w:highlight w:val="none"/>
              </w:rPr>
              <w:t>年一遇</w:t>
            </w:r>
          </w:p>
        </w:tc>
        <w:tc>
          <w:tcPr>
            <w:tcW w:w="2372" w:type="dxa"/>
            <w:vAlign w:val="top"/>
          </w:tcPr>
          <w:p w14:paraId="66FA3E2C">
            <w:pPr>
              <w:pStyle w:val="33"/>
              <w:spacing w:before="84" w:line="220" w:lineRule="auto"/>
              <w:ind w:left="392"/>
              <w:rPr>
                <w:color w:val="auto"/>
                <w:sz w:val="18"/>
                <w:szCs w:val="18"/>
                <w:highlight w:val="none"/>
              </w:rPr>
            </w:pPr>
            <w:r>
              <w:rPr>
                <w:color w:val="auto"/>
                <w:spacing w:val="-2"/>
                <w:sz w:val="18"/>
                <w:szCs w:val="18"/>
                <w:highlight w:val="none"/>
              </w:rPr>
              <w:t>防潮标准≤</w:t>
            </w:r>
            <w:r>
              <w:rPr>
                <w:rFonts w:ascii="Times New Roman" w:hAnsi="Times New Roman" w:eastAsia="Times New Roman" w:cs="Times New Roman"/>
                <w:color w:val="auto"/>
                <w:spacing w:val="-2"/>
                <w:sz w:val="18"/>
                <w:szCs w:val="18"/>
                <w:highlight w:val="none"/>
              </w:rPr>
              <w:t>50</w:t>
            </w:r>
            <w:r>
              <w:rPr>
                <w:color w:val="auto"/>
                <w:spacing w:val="-2"/>
                <w:sz w:val="18"/>
                <w:szCs w:val="18"/>
                <w:highlight w:val="none"/>
              </w:rPr>
              <w:t>年一遇</w:t>
            </w:r>
          </w:p>
        </w:tc>
        <w:tc>
          <w:tcPr>
            <w:tcW w:w="1852" w:type="dxa"/>
            <w:vMerge w:val="restart"/>
            <w:tcBorders>
              <w:bottom w:val="nil"/>
            </w:tcBorders>
            <w:vAlign w:val="top"/>
          </w:tcPr>
          <w:p w14:paraId="361CFE3B">
            <w:pPr>
              <w:pStyle w:val="33"/>
              <w:spacing w:before="30" w:line="230" w:lineRule="auto"/>
              <w:ind w:left="115" w:right="119" w:hanging="1"/>
              <w:rPr>
                <w:color w:val="auto"/>
                <w:sz w:val="18"/>
                <w:szCs w:val="18"/>
                <w:highlight w:val="none"/>
              </w:rPr>
            </w:pPr>
            <w:r>
              <w:rPr>
                <w:color w:val="auto"/>
                <w:spacing w:val="-1"/>
                <w:sz w:val="18"/>
                <w:szCs w:val="18"/>
                <w:highlight w:val="none"/>
              </w:rPr>
              <w:t>拟建工程同时具有防</w:t>
            </w:r>
            <w:r>
              <w:rPr>
                <w:color w:val="auto"/>
                <w:sz w:val="18"/>
                <w:szCs w:val="18"/>
                <w:highlight w:val="none"/>
              </w:rPr>
              <w:t xml:space="preserve"> </w:t>
            </w:r>
            <w:r>
              <w:rPr>
                <w:color w:val="auto"/>
                <w:spacing w:val="-1"/>
                <w:sz w:val="18"/>
                <w:szCs w:val="18"/>
                <w:highlight w:val="none"/>
              </w:rPr>
              <w:t>洪和防潮标准要求</w:t>
            </w:r>
          </w:p>
          <w:p w14:paraId="41F7287D">
            <w:pPr>
              <w:pStyle w:val="33"/>
              <w:spacing w:before="18" w:line="202" w:lineRule="auto"/>
              <w:ind w:left="128"/>
              <w:rPr>
                <w:color w:val="auto"/>
                <w:sz w:val="18"/>
                <w:szCs w:val="18"/>
                <w:highlight w:val="none"/>
              </w:rPr>
            </w:pPr>
            <w:r>
              <w:rPr>
                <w:color w:val="auto"/>
                <w:spacing w:val="-3"/>
                <w:sz w:val="18"/>
                <w:szCs w:val="18"/>
                <w:highlight w:val="none"/>
              </w:rPr>
              <w:t>的，按防潮标准设置</w:t>
            </w:r>
          </w:p>
        </w:tc>
      </w:tr>
      <w:tr w14:paraId="642212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5" w:hRule="atLeast"/>
        </w:trPr>
        <w:tc>
          <w:tcPr>
            <w:tcW w:w="1878" w:type="dxa"/>
            <w:vMerge w:val="continue"/>
            <w:tcBorders>
              <w:top w:val="nil"/>
            </w:tcBorders>
            <w:vAlign w:val="top"/>
          </w:tcPr>
          <w:p w14:paraId="4CC4CDC1">
            <w:pPr>
              <w:rPr>
                <w:rFonts w:ascii="Arial"/>
                <w:color w:val="auto"/>
                <w:sz w:val="21"/>
                <w:highlight w:val="none"/>
              </w:rPr>
            </w:pPr>
          </w:p>
        </w:tc>
        <w:tc>
          <w:tcPr>
            <w:tcW w:w="2833" w:type="dxa"/>
            <w:vAlign w:val="top"/>
          </w:tcPr>
          <w:p w14:paraId="68248AA4">
            <w:pPr>
              <w:pStyle w:val="33"/>
              <w:spacing w:before="90" w:line="220" w:lineRule="auto"/>
              <w:ind w:left="302"/>
              <w:rPr>
                <w:color w:val="auto"/>
                <w:sz w:val="18"/>
                <w:szCs w:val="18"/>
                <w:highlight w:val="none"/>
              </w:rPr>
            </w:pPr>
            <w:r>
              <w:rPr>
                <w:color w:val="auto"/>
                <w:spacing w:val="-2"/>
                <w:sz w:val="18"/>
                <w:szCs w:val="18"/>
                <w:highlight w:val="none"/>
              </w:rPr>
              <w:t>防潮标准＞</w:t>
            </w:r>
            <w:r>
              <w:rPr>
                <w:rFonts w:ascii="Times New Roman" w:hAnsi="Times New Roman" w:eastAsia="Times New Roman" w:cs="Times New Roman"/>
                <w:color w:val="auto"/>
                <w:spacing w:val="-2"/>
                <w:sz w:val="18"/>
                <w:szCs w:val="18"/>
                <w:highlight w:val="none"/>
              </w:rPr>
              <w:t>100</w:t>
            </w:r>
            <w:r>
              <w:rPr>
                <w:color w:val="auto"/>
                <w:spacing w:val="-2"/>
                <w:sz w:val="18"/>
                <w:szCs w:val="18"/>
                <w:highlight w:val="none"/>
              </w:rPr>
              <w:t>年一遇及以上</w:t>
            </w:r>
          </w:p>
        </w:tc>
        <w:tc>
          <w:tcPr>
            <w:tcW w:w="2372" w:type="dxa"/>
            <w:vAlign w:val="top"/>
          </w:tcPr>
          <w:p w14:paraId="2844A111">
            <w:pPr>
              <w:pStyle w:val="33"/>
              <w:spacing w:before="90" w:line="220" w:lineRule="auto"/>
              <w:ind w:left="347"/>
              <w:rPr>
                <w:color w:val="auto"/>
                <w:sz w:val="18"/>
                <w:szCs w:val="18"/>
                <w:highlight w:val="none"/>
              </w:rPr>
            </w:pPr>
            <w:r>
              <w:rPr>
                <w:color w:val="auto"/>
                <w:spacing w:val="-2"/>
                <w:sz w:val="18"/>
                <w:szCs w:val="18"/>
                <w:highlight w:val="none"/>
              </w:rPr>
              <w:t>防潮标准≤</w:t>
            </w:r>
            <w:r>
              <w:rPr>
                <w:rFonts w:ascii="Times New Roman" w:hAnsi="Times New Roman" w:eastAsia="Times New Roman" w:cs="Times New Roman"/>
                <w:color w:val="auto"/>
                <w:spacing w:val="-2"/>
                <w:sz w:val="18"/>
                <w:szCs w:val="18"/>
                <w:highlight w:val="none"/>
              </w:rPr>
              <w:t>100</w:t>
            </w:r>
            <w:r>
              <w:rPr>
                <w:color w:val="auto"/>
                <w:spacing w:val="-2"/>
                <w:sz w:val="18"/>
                <w:szCs w:val="18"/>
                <w:highlight w:val="none"/>
              </w:rPr>
              <w:t>年一遇</w:t>
            </w:r>
          </w:p>
        </w:tc>
        <w:tc>
          <w:tcPr>
            <w:tcW w:w="1852" w:type="dxa"/>
            <w:vMerge w:val="continue"/>
            <w:tcBorders>
              <w:top w:val="nil"/>
            </w:tcBorders>
            <w:vAlign w:val="top"/>
          </w:tcPr>
          <w:p w14:paraId="16CEF290">
            <w:pPr>
              <w:rPr>
                <w:rFonts w:ascii="Arial"/>
                <w:color w:val="auto"/>
                <w:sz w:val="21"/>
                <w:highlight w:val="none"/>
              </w:rPr>
            </w:pPr>
          </w:p>
        </w:tc>
      </w:tr>
      <w:tr w14:paraId="476D80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7" w:hRule="atLeast"/>
        </w:trPr>
        <w:tc>
          <w:tcPr>
            <w:tcW w:w="8935" w:type="dxa"/>
            <w:gridSpan w:val="4"/>
            <w:vAlign w:val="top"/>
          </w:tcPr>
          <w:p w14:paraId="41B5179E">
            <w:pPr>
              <w:pStyle w:val="33"/>
              <w:spacing w:before="154" w:line="220" w:lineRule="auto"/>
              <w:ind w:left="3569"/>
              <w:rPr>
                <w:color w:val="auto"/>
                <w:sz w:val="18"/>
                <w:szCs w:val="18"/>
                <w:highlight w:val="none"/>
              </w:rPr>
            </w:pPr>
            <w:r>
              <w:rPr>
                <w:b/>
                <w:bCs/>
                <w:color w:val="auto"/>
                <w:spacing w:val="-3"/>
                <w:sz w:val="18"/>
                <w:szCs w:val="18"/>
                <w:highlight w:val="none"/>
              </w:rPr>
              <w:t>六、水工建筑物深基坑</w:t>
            </w:r>
          </w:p>
        </w:tc>
      </w:tr>
      <w:tr w14:paraId="49FA38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63EFB99B">
            <w:pPr>
              <w:pStyle w:val="33"/>
              <w:spacing w:before="258" w:line="220" w:lineRule="auto"/>
              <w:ind w:left="493"/>
              <w:rPr>
                <w:color w:val="auto"/>
                <w:sz w:val="18"/>
                <w:szCs w:val="18"/>
                <w:highlight w:val="none"/>
              </w:rPr>
            </w:pPr>
            <w:r>
              <w:rPr>
                <w:color w:val="auto"/>
                <w:spacing w:val="-2"/>
                <w:sz w:val="18"/>
                <w:szCs w:val="18"/>
                <w:highlight w:val="none"/>
              </w:rPr>
              <w:t>水工建筑物</w:t>
            </w:r>
          </w:p>
        </w:tc>
        <w:tc>
          <w:tcPr>
            <w:tcW w:w="2833" w:type="dxa"/>
            <w:vAlign w:val="top"/>
          </w:tcPr>
          <w:p w14:paraId="73EBD00D">
            <w:pPr>
              <w:pStyle w:val="33"/>
              <w:spacing w:before="83" w:line="220" w:lineRule="auto"/>
              <w:ind w:left="571"/>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2"/>
                <w:sz w:val="18"/>
                <w:szCs w:val="18"/>
                <w:highlight w:val="none"/>
              </w:rPr>
              <w:t>15m</w:t>
            </w:r>
            <w:r>
              <w:rPr>
                <w:color w:val="auto"/>
                <w:spacing w:val="-2"/>
                <w:sz w:val="18"/>
                <w:szCs w:val="18"/>
                <w:highlight w:val="none"/>
              </w:rPr>
              <w:t>＞基坑深度≥</w:t>
            </w:r>
            <w:r>
              <w:rPr>
                <w:rFonts w:ascii="Times New Roman" w:hAnsi="Times New Roman" w:eastAsia="Times New Roman" w:cs="Times New Roman"/>
                <w:color w:val="auto"/>
                <w:spacing w:val="-2"/>
                <w:sz w:val="18"/>
                <w:szCs w:val="18"/>
                <w:highlight w:val="none"/>
              </w:rPr>
              <w:t>10m</w:t>
            </w:r>
          </w:p>
        </w:tc>
        <w:tc>
          <w:tcPr>
            <w:tcW w:w="2372" w:type="dxa"/>
            <w:vAlign w:val="top"/>
          </w:tcPr>
          <w:p w14:paraId="147A821F">
            <w:pPr>
              <w:pStyle w:val="33"/>
              <w:spacing w:before="83" w:line="220" w:lineRule="auto"/>
              <w:ind w:left="626"/>
              <w:rPr>
                <w:rFonts w:ascii="Times New Roman" w:hAnsi="Times New Roman" w:eastAsia="Times New Roman" w:cs="Times New Roman"/>
                <w:color w:val="auto"/>
                <w:sz w:val="18"/>
                <w:szCs w:val="18"/>
                <w:highlight w:val="none"/>
              </w:rPr>
            </w:pPr>
            <w:r>
              <w:rPr>
                <w:color w:val="auto"/>
                <w:spacing w:val="-1"/>
                <w:sz w:val="18"/>
                <w:szCs w:val="18"/>
                <w:highlight w:val="none"/>
              </w:rPr>
              <w:t>基坑深度≤</w:t>
            </w:r>
            <w:r>
              <w:rPr>
                <w:rFonts w:ascii="Times New Roman" w:hAnsi="Times New Roman" w:eastAsia="Times New Roman" w:cs="Times New Roman"/>
                <w:color w:val="auto"/>
                <w:spacing w:val="-1"/>
                <w:sz w:val="18"/>
                <w:szCs w:val="18"/>
                <w:highlight w:val="none"/>
              </w:rPr>
              <w:t>5m</w:t>
            </w:r>
          </w:p>
        </w:tc>
        <w:tc>
          <w:tcPr>
            <w:tcW w:w="1852" w:type="dxa"/>
            <w:vAlign w:val="top"/>
          </w:tcPr>
          <w:p w14:paraId="04F2CD6D">
            <w:pPr>
              <w:rPr>
                <w:rFonts w:ascii="Arial"/>
                <w:color w:val="auto"/>
                <w:sz w:val="21"/>
                <w:highlight w:val="none"/>
              </w:rPr>
            </w:pPr>
          </w:p>
        </w:tc>
      </w:tr>
      <w:tr w14:paraId="0679B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3" w:hRule="atLeast"/>
        </w:trPr>
        <w:tc>
          <w:tcPr>
            <w:tcW w:w="1878" w:type="dxa"/>
            <w:vMerge w:val="continue"/>
            <w:tcBorders>
              <w:top w:val="nil"/>
            </w:tcBorders>
            <w:vAlign w:val="top"/>
          </w:tcPr>
          <w:p w14:paraId="52405D15">
            <w:pPr>
              <w:rPr>
                <w:rFonts w:ascii="Arial"/>
                <w:color w:val="auto"/>
                <w:sz w:val="21"/>
                <w:highlight w:val="none"/>
              </w:rPr>
            </w:pPr>
          </w:p>
        </w:tc>
        <w:tc>
          <w:tcPr>
            <w:tcW w:w="2833" w:type="dxa"/>
            <w:vAlign w:val="top"/>
          </w:tcPr>
          <w:p w14:paraId="6F256AE5">
            <w:pPr>
              <w:pStyle w:val="33"/>
              <w:spacing w:before="84" w:line="220" w:lineRule="auto"/>
              <w:ind w:left="807"/>
              <w:rPr>
                <w:rFonts w:ascii="Times New Roman" w:hAnsi="Times New Roman" w:eastAsia="Times New Roman" w:cs="Times New Roman"/>
                <w:color w:val="auto"/>
                <w:sz w:val="18"/>
                <w:szCs w:val="18"/>
                <w:highlight w:val="none"/>
              </w:rPr>
            </w:pPr>
            <w:r>
              <w:rPr>
                <w:color w:val="auto"/>
                <w:spacing w:val="-1"/>
                <w:sz w:val="18"/>
                <w:szCs w:val="18"/>
                <w:highlight w:val="none"/>
              </w:rPr>
              <w:t>基坑深度≥</w:t>
            </w:r>
            <w:r>
              <w:rPr>
                <w:rFonts w:ascii="Times New Roman" w:hAnsi="Times New Roman" w:eastAsia="Times New Roman" w:cs="Times New Roman"/>
                <w:color w:val="auto"/>
                <w:spacing w:val="-1"/>
                <w:sz w:val="18"/>
                <w:szCs w:val="18"/>
                <w:highlight w:val="none"/>
              </w:rPr>
              <w:t>15m</w:t>
            </w:r>
          </w:p>
        </w:tc>
        <w:tc>
          <w:tcPr>
            <w:tcW w:w="2372" w:type="dxa"/>
            <w:vAlign w:val="top"/>
          </w:tcPr>
          <w:p w14:paraId="339FA400">
            <w:pPr>
              <w:pStyle w:val="33"/>
              <w:spacing w:before="84" w:line="220" w:lineRule="auto"/>
              <w:ind w:left="582"/>
              <w:rPr>
                <w:rFonts w:ascii="Times New Roman" w:hAnsi="Times New Roman" w:eastAsia="Times New Roman" w:cs="Times New Roman"/>
                <w:color w:val="auto"/>
                <w:sz w:val="18"/>
                <w:szCs w:val="18"/>
                <w:highlight w:val="none"/>
              </w:rPr>
            </w:pPr>
            <w:r>
              <w:rPr>
                <w:color w:val="auto"/>
                <w:spacing w:val="-1"/>
                <w:sz w:val="18"/>
                <w:szCs w:val="18"/>
                <w:highlight w:val="none"/>
              </w:rPr>
              <w:t>基坑深度≤</w:t>
            </w:r>
            <w:r>
              <w:rPr>
                <w:rFonts w:ascii="Times New Roman" w:hAnsi="Times New Roman" w:eastAsia="Times New Roman" w:cs="Times New Roman"/>
                <w:color w:val="auto"/>
                <w:spacing w:val="-1"/>
                <w:sz w:val="18"/>
                <w:szCs w:val="18"/>
                <w:highlight w:val="none"/>
              </w:rPr>
              <w:t>10m</w:t>
            </w:r>
          </w:p>
        </w:tc>
        <w:tc>
          <w:tcPr>
            <w:tcW w:w="1852" w:type="dxa"/>
            <w:vAlign w:val="top"/>
          </w:tcPr>
          <w:p w14:paraId="5355E5F4">
            <w:pPr>
              <w:rPr>
                <w:rFonts w:ascii="Arial"/>
                <w:color w:val="auto"/>
                <w:sz w:val="21"/>
                <w:highlight w:val="none"/>
              </w:rPr>
            </w:pPr>
          </w:p>
        </w:tc>
      </w:tr>
      <w:tr w14:paraId="47613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8935" w:type="dxa"/>
            <w:gridSpan w:val="4"/>
            <w:vAlign w:val="top"/>
          </w:tcPr>
          <w:p w14:paraId="23819254">
            <w:pPr>
              <w:pStyle w:val="33"/>
              <w:spacing w:before="85" w:line="220" w:lineRule="auto"/>
              <w:ind w:left="3927"/>
              <w:rPr>
                <w:color w:val="auto"/>
                <w:sz w:val="18"/>
                <w:szCs w:val="18"/>
                <w:highlight w:val="none"/>
              </w:rPr>
            </w:pPr>
            <w:r>
              <w:rPr>
                <w:b/>
                <w:bCs/>
                <w:color w:val="auto"/>
                <w:spacing w:val="-3"/>
                <w:sz w:val="18"/>
                <w:szCs w:val="18"/>
                <w:highlight w:val="none"/>
              </w:rPr>
              <w:t>七、管道工程</w:t>
            </w:r>
          </w:p>
        </w:tc>
      </w:tr>
      <w:tr w14:paraId="0F3A3B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restart"/>
            <w:tcBorders>
              <w:bottom w:val="nil"/>
            </w:tcBorders>
            <w:vAlign w:val="top"/>
          </w:tcPr>
          <w:p w14:paraId="66B93B3B">
            <w:pPr>
              <w:spacing w:line="375" w:lineRule="auto"/>
              <w:rPr>
                <w:rFonts w:ascii="Arial"/>
                <w:color w:val="auto"/>
                <w:sz w:val="21"/>
                <w:highlight w:val="none"/>
              </w:rPr>
            </w:pPr>
          </w:p>
          <w:p w14:paraId="0B25793A">
            <w:pPr>
              <w:pStyle w:val="33"/>
              <w:spacing w:before="59" w:line="220" w:lineRule="auto"/>
              <w:ind w:left="587"/>
              <w:rPr>
                <w:color w:val="auto"/>
                <w:sz w:val="18"/>
                <w:szCs w:val="18"/>
                <w:highlight w:val="none"/>
              </w:rPr>
            </w:pPr>
            <w:r>
              <w:rPr>
                <w:color w:val="auto"/>
                <w:spacing w:val="-3"/>
                <w:sz w:val="18"/>
                <w:szCs w:val="18"/>
                <w:highlight w:val="none"/>
              </w:rPr>
              <w:t>管道工程</w:t>
            </w:r>
          </w:p>
        </w:tc>
        <w:tc>
          <w:tcPr>
            <w:tcW w:w="2833" w:type="dxa"/>
            <w:vAlign w:val="top"/>
          </w:tcPr>
          <w:p w14:paraId="4DC63D54">
            <w:pPr>
              <w:pStyle w:val="33"/>
              <w:spacing w:before="86" w:line="220" w:lineRule="auto"/>
              <w:ind w:left="969"/>
              <w:rPr>
                <w:rFonts w:ascii="Times New Roman" w:hAnsi="Times New Roman" w:eastAsia="Times New Roman" w:cs="Times New Roman"/>
                <w:color w:val="auto"/>
                <w:sz w:val="18"/>
                <w:szCs w:val="18"/>
                <w:highlight w:val="none"/>
              </w:rPr>
            </w:pPr>
            <w:r>
              <w:rPr>
                <w:color w:val="auto"/>
                <w:spacing w:val="-2"/>
                <w:sz w:val="18"/>
                <w:szCs w:val="18"/>
                <w:highlight w:val="none"/>
              </w:rPr>
              <w:t>管径≥</w:t>
            </w:r>
            <w:r>
              <w:rPr>
                <w:rFonts w:ascii="Times New Roman" w:hAnsi="Times New Roman" w:eastAsia="Times New Roman" w:cs="Times New Roman"/>
                <w:color w:val="auto"/>
                <w:spacing w:val="-2"/>
                <w:sz w:val="18"/>
                <w:szCs w:val="18"/>
                <w:highlight w:val="none"/>
              </w:rPr>
              <w:t>1.8m</w:t>
            </w:r>
          </w:p>
        </w:tc>
        <w:tc>
          <w:tcPr>
            <w:tcW w:w="2372" w:type="dxa"/>
            <w:vAlign w:val="top"/>
          </w:tcPr>
          <w:p w14:paraId="0C3DA2DD">
            <w:pPr>
              <w:pStyle w:val="33"/>
              <w:spacing w:before="86" w:line="220" w:lineRule="auto"/>
              <w:ind w:left="743"/>
              <w:rPr>
                <w:rFonts w:ascii="Times New Roman" w:hAnsi="Times New Roman" w:eastAsia="Times New Roman" w:cs="Times New Roman"/>
                <w:color w:val="auto"/>
                <w:sz w:val="18"/>
                <w:szCs w:val="18"/>
                <w:highlight w:val="none"/>
              </w:rPr>
            </w:pPr>
            <w:r>
              <w:rPr>
                <w:color w:val="auto"/>
                <w:spacing w:val="-2"/>
                <w:sz w:val="18"/>
                <w:szCs w:val="18"/>
                <w:highlight w:val="none"/>
              </w:rPr>
              <w:t>管径≤</w:t>
            </w:r>
            <w:r>
              <w:rPr>
                <w:rFonts w:ascii="Times New Roman" w:hAnsi="Times New Roman" w:eastAsia="Times New Roman" w:cs="Times New Roman"/>
                <w:color w:val="auto"/>
                <w:spacing w:val="-2"/>
                <w:sz w:val="18"/>
                <w:szCs w:val="18"/>
                <w:highlight w:val="none"/>
              </w:rPr>
              <w:t>1.5m</w:t>
            </w:r>
          </w:p>
        </w:tc>
        <w:tc>
          <w:tcPr>
            <w:tcW w:w="1852" w:type="dxa"/>
            <w:vAlign w:val="top"/>
          </w:tcPr>
          <w:p w14:paraId="2A70A9B0">
            <w:pPr>
              <w:rPr>
                <w:rFonts w:ascii="Arial"/>
                <w:color w:val="auto"/>
                <w:sz w:val="21"/>
                <w:highlight w:val="none"/>
              </w:rPr>
            </w:pPr>
          </w:p>
        </w:tc>
      </w:tr>
      <w:tr w14:paraId="0E4F38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6" w:hRule="atLeast"/>
        </w:trPr>
        <w:tc>
          <w:tcPr>
            <w:tcW w:w="1878" w:type="dxa"/>
            <w:vMerge w:val="continue"/>
            <w:tcBorders>
              <w:top w:val="nil"/>
              <w:bottom w:val="nil"/>
            </w:tcBorders>
            <w:vAlign w:val="top"/>
          </w:tcPr>
          <w:p w14:paraId="780E0370">
            <w:pPr>
              <w:rPr>
                <w:rFonts w:ascii="Arial"/>
                <w:color w:val="auto"/>
                <w:sz w:val="21"/>
                <w:highlight w:val="none"/>
              </w:rPr>
            </w:pPr>
          </w:p>
        </w:tc>
        <w:tc>
          <w:tcPr>
            <w:tcW w:w="2833" w:type="dxa"/>
            <w:vAlign w:val="top"/>
          </w:tcPr>
          <w:p w14:paraId="5FE5AE93">
            <w:pPr>
              <w:pStyle w:val="33"/>
              <w:spacing w:before="86" w:line="220" w:lineRule="auto"/>
              <w:ind w:left="706"/>
              <w:rPr>
                <w:rFonts w:ascii="Times New Roman" w:hAnsi="Times New Roman" w:eastAsia="Times New Roman" w:cs="Times New Roman"/>
                <w:color w:val="auto"/>
                <w:sz w:val="18"/>
                <w:szCs w:val="18"/>
                <w:highlight w:val="none"/>
              </w:rPr>
            </w:pPr>
            <w:r>
              <w:rPr>
                <w:rFonts w:ascii="Times New Roman" w:hAnsi="Times New Roman" w:eastAsia="Times New Roman" w:cs="Times New Roman"/>
                <w:color w:val="auto"/>
                <w:spacing w:val="-2"/>
                <w:sz w:val="18"/>
                <w:szCs w:val="18"/>
                <w:highlight w:val="none"/>
              </w:rPr>
              <w:t>1.8m</w:t>
            </w:r>
            <w:r>
              <w:rPr>
                <w:color w:val="auto"/>
                <w:spacing w:val="-2"/>
                <w:sz w:val="18"/>
                <w:szCs w:val="18"/>
                <w:highlight w:val="none"/>
              </w:rPr>
              <w:t>＞管径≥</w:t>
            </w:r>
            <w:r>
              <w:rPr>
                <w:rFonts w:ascii="Times New Roman" w:hAnsi="Times New Roman" w:eastAsia="Times New Roman" w:cs="Times New Roman"/>
                <w:color w:val="auto"/>
                <w:spacing w:val="-2"/>
                <w:sz w:val="18"/>
                <w:szCs w:val="18"/>
                <w:highlight w:val="none"/>
              </w:rPr>
              <w:t>1.2m</w:t>
            </w:r>
          </w:p>
        </w:tc>
        <w:tc>
          <w:tcPr>
            <w:tcW w:w="2372" w:type="dxa"/>
            <w:vAlign w:val="top"/>
          </w:tcPr>
          <w:p w14:paraId="2C637129">
            <w:pPr>
              <w:pStyle w:val="33"/>
              <w:spacing w:before="86" w:line="220" w:lineRule="auto"/>
              <w:ind w:left="743"/>
              <w:rPr>
                <w:rFonts w:ascii="Times New Roman" w:hAnsi="Times New Roman" w:eastAsia="Times New Roman" w:cs="Times New Roman"/>
                <w:color w:val="auto"/>
                <w:sz w:val="18"/>
                <w:szCs w:val="18"/>
                <w:highlight w:val="none"/>
              </w:rPr>
            </w:pPr>
            <w:r>
              <w:rPr>
                <w:color w:val="auto"/>
                <w:spacing w:val="-2"/>
                <w:sz w:val="18"/>
                <w:szCs w:val="18"/>
                <w:highlight w:val="none"/>
              </w:rPr>
              <w:t>管径≤</w:t>
            </w:r>
            <w:r>
              <w:rPr>
                <w:rFonts w:ascii="Times New Roman" w:hAnsi="Times New Roman" w:eastAsia="Times New Roman" w:cs="Times New Roman"/>
                <w:color w:val="auto"/>
                <w:spacing w:val="-2"/>
                <w:sz w:val="18"/>
                <w:szCs w:val="18"/>
                <w:highlight w:val="none"/>
              </w:rPr>
              <w:t>1.0m</w:t>
            </w:r>
          </w:p>
        </w:tc>
        <w:tc>
          <w:tcPr>
            <w:tcW w:w="1852" w:type="dxa"/>
            <w:vAlign w:val="top"/>
          </w:tcPr>
          <w:p w14:paraId="3B047DD8">
            <w:pPr>
              <w:rPr>
                <w:rFonts w:ascii="Arial"/>
                <w:color w:val="auto"/>
                <w:sz w:val="21"/>
                <w:highlight w:val="none"/>
              </w:rPr>
            </w:pPr>
          </w:p>
        </w:tc>
      </w:tr>
      <w:tr w14:paraId="5C5212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45" w:hRule="atLeast"/>
        </w:trPr>
        <w:tc>
          <w:tcPr>
            <w:tcW w:w="1878" w:type="dxa"/>
            <w:vMerge w:val="continue"/>
            <w:tcBorders>
              <w:top w:val="nil"/>
            </w:tcBorders>
            <w:vAlign w:val="top"/>
          </w:tcPr>
          <w:p w14:paraId="5EE222BA">
            <w:pPr>
              <w:rPr>
                <w:rFonts w:ascii="Arial"/>
                <w:color w:val="auto"/>
                <w:sz w:val="21"/>
                <w:highlight w:val="none"/>
              </w:rPr>
            </w:pPr>
          </w:p>
        </w:tc>
        <w:tc>
          <w:tcPr>
            <w:tcW w:w="2833" w:type="dxa"/>
            <w:vAlign w:val="top"/>
          </w:tcPr>
          <w:p w14:paraId="7FDCAB7F">
            <w:pPr>
              <w:pStyle w:val="33"/>
              <w:spacing w:before="83" w:line="220" w:lineRule="auto"/>
              <w:ind w:left="1056"/>
              <w:rPr>
                <w:color w:val="auto"/>
                <w:sz w:val="18"/>
                <w:szCs w:val="18"/>
                <w:highlight w:val="none"/>
              </w:rPr>
            </w:pPr>
            <w:r>
              <w:rPr>
                <w:color w:val="auto"/>
                <w:spacing w:val="-2"/>
                <w:sz w:val="18"/>
                <w:szCs w:val="18"/>
                <w:highlight w:val="none"/>
              </w:rPr>
              <w:t>跨海管道</w:t>
            </w:r>
          </w:p>
        </w:tc>
        <w:tc>
          <w:tcPr>
            <w:tcW w:w="2372" w:type="dxa"/>
            <w:vAlign w:val="top"/>
          </w:tcPr>
          <w:p w14:paraId="14664B69">
            <w:pPr>
              <w:pStyle w:val="33"/>
              <w:spacing w:before="83" w:line="220" w:lineRule="auto"/>
              <w:ind w:left="476"/>
              <w:rPr>
                <w:color w:val="auto"/>
                <w:sz w:val="18"/>
                <w:szCs w:val="18"/>
                <w:highlight w:val="none"/>
              </w:rPr>
            </w:pPr>
            <w:r>
              <w:rPr>
                <w:color w:val="auto"/>
                <w:spacing w:val="-2"/>
                <w:sz w:val="18"/>
                <w:szCs w:val="18"/>
                <w:highlight w:val="none"/>
              </w:rPr>
              <w:t>具有跨海管道业绩</w:t>
            </w:r>
          </w:p>
        </w:tc>
        <w:tc>
          <w:tcPr>
            <w:tcW w:w="1852" w:type="dxa"/>
            <w:vAlign w:val="top"/>
          </w:tcPr>
          <w:p w14:paraId="568C54E2">
            <w:pPr>
              <w:rPr>
                <w:rFonts w:ascii="Arial"/>
                <w:color w:val="auto"/>
                <w:sz w:val="21"/>
                <w:highlight w:val="none"/>
              </w:rPr>
            </w:pPr>
          </w:p>
        </w:tc>
      </w:tr>
      <w:tr w14:paraId="3F3127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7" w:hRule="atLeast"/>
        </w:trPr>
        <w:tc>
          <w:tcPr>
            <w:tcW w:w="8935" w:type="dxa"/>
            <w:gridSpan w:val="4"/>
            <w:vAlign w:val="top"/>
          </w:tcPr>
          <w:p w14:paraId="7E5FB72D">
            <w:pPr>
              <w:pStyle w:val="33"/>
              <w:spacing w:before="129" w:line="220" w:lineRule="auto"/>
              <w:ind w:left="3842"/>
              <w:rPr>
                <w:color w:val="auto"/>
                <w:sz w:val="18"/>
                <w:szCs w:val="18"/>
                <w:highlight w:val="none"/>
              </w:rPr>
            </w:pPr>
            <w:r>
              <w:rPr>
                <w:b/>
                <w:bCs/>
                <w:color w:val="auto"/>
                <w:spacing w:val="-3"/>
                <w:sz w:val="18"/>
                <w:szCs w:val="18"/>
                <w:highlight w:val="none"/>
              </w:rPr>
              <w:t>八、合同额设置</w:t>
            </w:r>
          </w:p>
        </w:tc>
      </w:tr>
      <w:tr w14:paraId="6E27E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3" w:hRule="atLeast"/>
        </w:trPr>
        <w:tc>
          <w:tcPr>
            <w:tcW w:w="8935" w:type="dxa"/>
            <w:gridSpan w:val="4"/>
            <w:vAlign w:val="top"/>
          </w:tcPr>
          <w:p w14:paraId="4D64BBDC">
            <w:pPr>
              <w:pStyle w:val="33"/>
              <w:spacing w:before="174" w:line="220" w:lineRule="auto"/>
              <w:ind w:left="135"/>
              <w:rPr>
                <w:color w:val="auto"/>
                <w:sz w:val="18"/>
                <w:szCs w:val="18"/>
                <w:highlight w:val="none"/>
              </w:rPr>
            </w:pPr>
            <w:r>
              <w:rPr>
                <w:color w:val="auto"/>
                <w:spacing w:val="-1"/>
                <w:sz w:val="18"/>
                <w:szCs w:val="18"/>
                <w:highlight w:val="none"/>
              </w:rPr>
              <w:t>以合同额来设置类似业绩的，合同额要求原则上不高于标段概算投资的</w:t>
            </w:r>
            <w:r>
              <w:rPr>
                <w:rFonts w:ascii="Times New Roman" w:hAnsi="Times New Roman" w:eastAsia="Times New Roman" w:cs="Times New Roman"/>
                <w:color w:val="auto"/>
                <w:spacing w:val="-1"/>
                <w:sz w:val="18"/>
                <w:szCs w:val="18"/>
                <w:highlight w:val="none"/>
              </w:rPr>
              <w:t>60%</w:t>
            </w:r>
            <w:r>
              <w:rPr>
                <w:color w:val="auto"/>
                <w:spacing w:val="-1"/>
                <w:sz w:val="18"/>
                <w:szCs w:val="18"/>
                <w:highlight w:val="none"/>
              </w:rPr>
              <w:t>。</w:t>
            </w:r>
          </w:p>
        </w:tc>
      </w:tr>
    </w:tbl>
    <w:p w14:paraId="02E00A46">
      <w:pPr>
        <w:pStyle w:val="3"/>
        <w:rPr>
          <w:color w:val="auto"/>
          <w:highlight w:val="none"/>
        </w:rPr>
      </w:pPr>
    </w:p>
    <w:p w14:paraId="436130B4">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7B59EA99">
      <w:pPr>
        <w:spacing w:before="43" w:line="349" w:lineRule="auto"/>
        <w:ind w:left="457" w:right="113" w:hanging="404"/>
        <w:rPr>
          <w:rFonts w:ascii="宋体" w:hAnsi="宋体" w:eastAsia="宋体" w:cs="宋体"/>
          <w:color w:val="auto"/>
          <w:sz w:val="21"/>
          <w:szCs w:val="21"/>
          <w:highlight w:val="none"/>
        </w:rPr>
      </w:pPr>
      <w:r>
        <w:rPr>
          <w:rFonts w:ascii="黑体" w:hAnsi="黑体" w:eastAsia="黑体" w:cs="黑体"/>
          <w:color w:val="auto"/>
          <w:spacing w:val="-1"/>
          <w:sz w:val="21"/>
          <w:szCs w:val="21"/>
          <w:highlight w:val="none"/>
        </w:rPr>
        <w:t>注：</w:t>
      </w:r>
      <w:r>
        <w:rPr>
          <w:rFonts w:ascii="Times New Roman" w:hAnsi="Times New Roman" w:eastAsia="Times New Roman" w:cs="Times New Roman"/>
          <w:color w:val="auto"/>
          <w:spacing w:val="-1"/>
          <w:sz w:val="21"/>
          <w:szCs w:val="21"/>
          <w:highlight w:val="none"/>
        </w:rPr>
        <w:t xml:space="preserve">1.  </w:t>
      </w:r>
      <w:r>
        <w:rPr>
          <w:rFonts w:ascii="宋体" w:hAnsi="宋体" w:eastAsia="宋体" w:cs="宋体"/>
          <w:color w:val="auto"/>
          <w:spacing w:val="-1"/>
          <w:sz w:val="21"/>
          <w:szCs w:val="21"/>
          <w:highlight w:val="none"/>
        </w:rPr>
        <w:t>招标内容符合上表一～七多项规模或特性的，原则上设置类似业绩规模或特性要求不</w:t>
      </w:r>
      <w:r>
        <w:rPr>
          <w:rFonts w:ascii="宋体" w:hAnsi="宋体" w:eastAsia="宋体" w:cs="宋体"/>
          <w:color w:val="auto"/>
          <w:sz w:val="21"/>
          <w:szCs w:val="21"/>
          <w:highlight w:val="none"/>
        </w:rPr>
        <w:t>超过两项；如同时设置两项类似业绩规模或特性要求，原则上应接受投标人在不同</w:t>
      </w:r>
      <w:r>
        <w:rPr>
          <w:rFonts w:ascii="宋体" w:hAnsi="宋体" w:eastAsia="宋体" w:cs="宋体"/>
          <w:color w:val="auto"/>
          <w:spacing w:val="-1"/>
          <w:sz w:val="21"/>
          <w:szCs w:val="21"/>
          <w:highlight w:val="none"/>
        </w:rPr>
        <w:t>项目业绩中体现。</w:t>
      </w:r>
    </w:p>
    <w:p w14:paraId="123A1BC4">
      <w:pPr>
        <w:spacing w:before="34" w:line="221" w:lineRule="auto"/>
        <w:ind w:left="47"/>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2.  </w:t>
      </w:r>
      <w:r>
        <w:rPr>
          <w:rFonts w:ascii="宋体" w:hAnsi="宋体" w:eastAsia="宋体" w:cs="宋体"/>
          <w:color w:val="auto"/>
          <w:sz w:val="21"/>
          <w:szCs w:val="21"/>
          <w:highlight w:val="none"/>
        </w:rPr>
        <w:t>按合同额来设置类似业绩要求的，原则上不得再</w:t>
      </w:r>
      <w:r>
        <w:rPr>
          <w:rFonts w:ascii="宋体" w:hAnsi="宋体" w:eastAsia="宋体" w:cs="宋体"/>
          <w:color w:val="auto"/>
          <w:spacing w:val="-1"/>
          <w:sz w:val="21"/>
          <w:szCs w:val="21"/>
          <w:highlight w:val="none"/>
        </w:rPr>
        <w:t>选择规模或特性设置类似业绩要求。</w:t>
      </w:r>
    </w:p>
    <w:p w14:paraId="2B1A1FE1">
      <w:pPr>
        <w:spacing w:before="156" w:line="313" w:lineRule="auto"/>
        <w:ind w:left="469" w:right="99" w:hanging="418"/>
        <w:rPr>
          <w:rFonts w:ascii="宋体" w:hAnsi="宋体" w:eastAsia="宋体" w:cs="宋体"/>
          <w:color w:val="auto"/>
          <w:sz w:val="21"/>
          <w:szCs w:val="21"/>
          <w:highlight w:val="none"/>
        </w:rPr>
      </w:pPr>
      <w:r>
        <w:rPr>
          <w:rFonts w:ascii="Times New Roman" w:hAnsi="Times New Roman" w:eastAsia="Times New Roman" w:cs="Times New Roman"/>
          <w:color w:val="auto"/>
          <w:sz w:val="21"/>
          <w:szCs w:val="21"/>
          <w:highlight w:val="none"/>
        </w:rPr>
        <w:t xml:space="preserve">3.  </w:t>
      </w:r>
      <w:r>
        <w:rPr>
          <w:rFonts w:ascii="宋体" w:hAnsi="宋体" w:eastAsia="宋体" w:cs="宋体"/>
          <w:color w:val="auto"/>
          <w:sz w:val="21"/>
          <w:szCs w:val="21"/>
          <w:highlight w:val="none"/>
        </w:rPr>
        <w:t>上表一～七项以外的水利水电工程原则上不得设置业绩的</w:t>
      </w:r>
      <w:r>
        <w:rPr>
          <w:rFonts w:ascii="宋体" w:hAnsi="宋体" w:eastAsia="宋体" w:cs="宋体"/>
          <w:color w:val="auto"/>
          <w:spacing w:val="-1"/>
          <w:sz w:val="21"/>
          <w:szCs w:val="21"/>
          <w:highlight w:val="none"/>
        </w:rPr>
        <w:t>规模或特性要求，确需按业绩规</w:t>
      </w:r>
      <w:r>
        <w:rPr>
          <w:rFonts w:ascii="宋体" w:hAnsi="宋体" w:eastAsia="宋体" w:cs="宋体"/>
          <w:color w:val="auto"/>
          <w:sz w:val="21"/>
          <w:szCs w:val="21"/>
          <w:highlight w:val="none"/>
        </w:rPr>
        <w:t>模或特性设置类似业绩要求的，应经项目所在地（跨地区的由共同上一级）的行业</w:t>
      </w:r>
      <w:r>
        <w:rPr>
          <w:rFonts w:ascii="宋体" w:hAnsi="宋体" w:eastAsia="宋体" w:cs="宋体"/>
          <w:color w:val="auto"/>
          <w:spacing w:val="-1"/>
          <w:sz w:val="21"/>
          <w:szCs w:val="21"/>
          <w:highlight w:val="none"/>
        </w:rPr>
        <w:t>主管</w:t>
      </w:r>
      <w:r>
        <w:rPr>
          <w:rFonts w:ascii="宋体" w:hAnsi="宋体" w:eastAsia="宋体" w:cs="宋体"/>
          <w:color w:val="auto"/>
          <w:spacing w:val="-4"/>
          <w:sz w:val="21"/>
          <w:szCs w:val="21"/>
          <w:highlight w:val="none"/>
        </w:rPr>
        <w:t>部门同意。</w:t>
      </w:r>
    </w:p>
    <w:p w14:paraId="775F248F">
      <w:pPr>
        <w:spacing w:before="159" w:line="220" w:lineRule="auto"/>
        <w:ind w:left="46"/>
        <w:rPr>
          <w:rFonts w:ascii="宋体" w:hAnsi="宋体" w:eastAsia="宋体" w:cs="宋体"/>
          <w:color w:val="auto"/>
          <w:sz w:val="21"/>
          <w:szCs w:val="21"/>
          <w:highlight w:val="none"/>
        </w:rPr>
      </w:pPr>
      <w:r>
        <w:rPr>
          <w:rFonts w:ascii="Times New Roman" w:hAnsi="Times New Roman" w:eastAsia="Times New Roman" w:cs="Times New Roman"/>
          <w:color w:val="auto"/>
          <w:spacing w:val="-1"/>
          <w:sz w:val="21"/>
          <w:szCs w:val="21"/>
          <w:highlight w:val="none"/>
        </w:rPr>
        <w:t xml:space="preserve">4.  </w:t>
      </w:r>
      <w:r>
        <w:rPr>
          <w:rFonts w:ascii="宋体" w:hAnsi="宋体" w:eastAsia="宋体" w:cs="宋体"/>
          <w:color w:val="auto"/>
          <w:spacing w:val="-1"/>
          <w:sz w:val="21"/>
          <w:szCs w:val="21"/>
          <w:highlight w:val="none"/>
        </w:rPr>
        <w:t>概算投资指本标段招标内容对应的概算投资。</w:t>
      </w:r>
    </w:p>
    <w:p w14:paraId="3658DCF1">
      <w:pPr>
        <w:spacing w:line="220" w:lineRule="auto"/>
        <w:rPr>
          <w:rFonts w:ascii="宋体" w:hAnsi="宋体" w:eastAsia="宋体" w:cs="宋体"/>
          <w:color w:val="auto"/>
          <w:sz w:val="21"/>
          <w:szCs w:val="21"/>
          <w:highlight w:val="none"/>
        </w:rPr>
        <w:sectPr>
          <w:pgSz w:w="11905" w:h="16843"/>
          <w:pgMar w:top="1429" w:right="1361" w:bottom="1253" w:left="1621" w:header="0" w:footer="1094" w:gutter="0"/>
          <w:pgNumType w:fmt="decimal"/>
          <w:cols w:space="0" w:num="1"/>
          <w:rtlGutter w:val="0"/>
          <w:docGrid w:linePitch="0" w:charSpace="0"/>
        </w:sectPr>
      </w:pPr>
    </w:p>
    <w:p w14:paraId="31646715">
      <w:pPr>
        <w:spacing w:before="57" w:line="222" w:lineRule="auto"/>
        <w:ind w:left="26"/>
        <w:rPr>
          <w:rFonts w:ascii="黑体" w:hAnsi="黑体" w:eastAsia="黑体" w:cs="黑体"/>
          <w:color w:val="auto"/>
          <w:sz w:val="28"/>
          <w:szCs w:val="28"/>
          <w:highlight w:val="none"/>
        </w:rPr>
      </w:pPr>
      <w:r>
        <w:rPr>
          <w:rFonts w:ascii="黑体" w:hAnsi="黑体" w:eastAsia="黑体" w:cs="黑体"/>
          <w:b/>
          <w:bCs/>
          <w:color w:val="auto"/>
          <w:spacing w:val="-6"/>
          <w:sz w:val="28"/>
          <w:szCs w:val="28"/>
          <w:highlight w:val="none"/>
        </w:rPr>
        <w:t>附表</w:t>
      </w:r>
      <w:r>
        <w:rPr>
          <w:rFonts w:ascii="Times New Roman" w:hAnsi="Times New Roman" w:eastAsia="Times New Roman" w:cs="Times New Roman"/>
          <w:b/>
          <w:bCs/>
          <w:color w:val="auto"/>
          <w:spacing w:val="-6"/>
          <w:sz w:val="28"/>
          <w:szCs w:val="28"/>
          <w:highlight w:val="none"/>
        </w:rPr>
        <w:t>2</w:t>
      </w:r>
      <w:r>
        <w:rPr>
          <w:rFonts w:ascii="黑体" w:hAnsi="黑体" w:eastAsia="黑体" w:cs="黑体"/>
          <w:b/>
          <w:bCs/>
          <w:color w:val="auto"/>
          <w:spacing w:val="-6"/>
          <w:sz w:val="28"/>
          <w:szCs w:val="28"/>
          <w:highlight w:val="none"/>
        </w:rPr>
        <w:t>：规模或特性表</w:t>
      </w:r>
    </w:p>
    <w:p w14:paraId="770659D3">
      <w:pPr>
        <w:spacing w:before="181" w:line="220" w:lineRule="auto"/>
        <w:ind w:left="3561"/>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规模或特性表</w:t>
      </w:r>
    </w:p>
    <w:p w14:paraId="10A2FDD6">
      <w:pPr>
        <w:spacing w:before="28"/>
        <w:rPr>
          <w:color w:val="auto"/>
          <w:highlight w:val="none"/>
        </w:rPr>
      </w:pPr>
    </w:p>
    <w:tbl>
      <w:tblPr>
        <w:tblStyle w:val="32"/>
        <w:tblW w:w="8901" w:type="dxa"/>
        <w:tblInd w:w="7"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top w:w="0" w:type="dxa"/>
          <w:left w:w="0" w:type="dxa"/>
          <w:bottom w:w="0" w:type="dxa"/>
          <w:right w:w="0" w:type="dxa"/>
        </w:tblCellMar>
      </w:tblPr>
      <w:tblGrid>
        <w:gridCol w:w="1840"/>
        <w:gridCol w:w="7061"/>
      </w:tblGrid>
      <w:tr w14:paraId="02769513">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19" w:hRule="atLeast"/>
        </w:trPr>
        <w:tc>
          <w:tcPr>
            <w:tcW w:w="1840" w:type="dxa"/>
            <w:vAlign w:val="top"/>
          </w:tcPr>
          <w:p w14:paraId="2EE5F886">
            <w:pPr>
              <w:pStyle w:val="33"/>
              <w:spacing w:before="208" w:line="221" w:lineRule="auto"/>
              <w:ind w:left="499"/>
              <w:rPr>
                <w:color w:val="auto"/>
                <w:sz w:val="21"/>
                <w:szCs w:val="21"/>
                <w:highlight w:val="none"/>
              </w:rPr>
            </w:pPr>
            <w:r>
              <w:rPr>
                <w:b/>
                <w:bCs/>
                <w:color w:val="auto"/>
                <w:spacing w:val="-4"/>
                <w:sz w:val="21"/>
                <w:szCs w:val="21"/>
                <w:highlight w:val="none"/>
              </w:rPr>
              <w:t>工程类别</w:t>
            </w:r>
          </w:p>
        </w:tc>
        <w:tc>
          <w:tcPr>
            <w:tcW w:w="7061" w:type="dxa"/>
            <w:vAlign w:val="top"/>
          </w:tcPr>
          <w:p w14:paraId="3795A81B">
            <w:pPr>
              <w:pStyle w:val="33"/>
              <w:spacing w:before="208" w:line="221" w:lineRule="auto"/>
              <w:ind w:left="3002"/>
              <w:rPr>
                <w:color w:val="auto"/>
                <w:sz w:val="21"/>
                <w:szCs w:val="21"/>
                <w:highlight w:val="none"/>
              </w:rPr>
            </w:pPr>
            <w:r>
              <w:rPr>
                <w:b/>
                <w:bCs/>
                <w:color w:val="auto"/>
                <w:spacing w:val="-3"/>
                <w:sz w:val="21"/>
                <w:szCs w:val="21"/>
                <w:highlight w:val="none"/>
              </w:rPr>
              <w:t>规模或特性</w:t>
            </w:r>
          </w:p>
        </w:tc>
      </w:tr>
      <w:tr w14:paraId="7F10675D">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774" w:hRule="atLeast"/>
        </w:trPr>
        <w:tc>
          <w:tcPr>
            <w:tcW w:w="1840" w:type="dxa"/>
            <w:vAlign w:val="top"/>
          </w:tcPr>
          <w:p w14:paraId="5C5B85C8">
            <w:pPr>
              <w:spacing w:line="285" w:lineRule="auto"/>
              <w:rPr>
                <w:rFonts w:ascii="Arial"/>
                <w:color w:val="auto"/>
                <w:sz w:val="21"/>
                <w:highlight w:val="none"/>
              </w:rPr>
            </w:pPr>
          </w:p>
          <w:p w14:paraId="3B1D96BA">
            <w:pPr>
              <w:spacing w:line="285" w:lineRule="auto"/>
              <w:rPr>
                <w:rFonts w:ascii="Arial"/>
                <w:color w:val="auto"/>
                <w:sz w:val="21"/>
                <w:highlight w:val="none"/>
              </w:rPr>
            </w:pPr>
          </w:p>
          <w:p w14:paraId="7C79B9DA">
            <w:pPr>
              <w:pStyle w:val="33"/>
              <w:spacing w:before="68" w:line="231" w:lineRule="auto"/>
              <w:ind w:left="297" w:right="208" w:hanging="112"/>
              <w:rPr>
                <w:color w:val="auto"/>
                <w:sz w:val="21"/>
                <w:szCs w:val="21"/>
                <w:highlight w:val="none"/>
              </w:rPr>
            </w:pPr>
            <w:r>
              <w:rPr>
                <w:color w:val="auto"/>
                <w:spacing w:val="-6"/>
                <w:sz w:val="21"/>
                <w:szCs w:val="21"/>
                <w:highlight w:val="none"/>
              </w:rPr>
              <w:t>水库、水电站、</w:t>
            </w:r>
            <w:r>
              <w:rPr>
                <w:color w:val="auto"/>
                <w:spacing w:val="2"/>
                <w:sz w:val="21"/>
                <w:szCs w:val="21"/>
                <w:highlight w:val="none"/>
              </w:rPr>
              <w:t xml:space="preserve"> </w:t>
            </w:r>
            <w:r>
              <w:rPr>
                <w:color w:val="auto"/>
                <w:spacing w:val="-3"/>
                <w:sz w:val="21"/>
                <w:szCs w:val="21"/>
                <w:highlight w:val="none"/>
              </w:rPr>
              <w:t>蓄水枢纽工程</w:t>
            </w:r>
          </w:p>
        </w:tc>
        <w:tc>
          <w:tcPr>
            <w:tcW w:w="7061" w:type="dxa"/>
            <w:vAlign w:val="top"/>
          </w:tcPr>
          <w:p w14:paraId="1748CD44">
            <w:pPr>
              <w:pStyle w:val="33"/>
              <w:spacing w:before="234" w:line="221" w:lineRule="auto"/>
              <w:ind w:left="316"/>
              <w:rPr>
                <w:color w:val="auto"/>
                <w:sz w:val="21"/>
                <w:szCs w:val="21"/>
                <w:highlight w:val="none"/>
              </w:rPr>
            </w:pPr>
            <w:r>
              <w:rPr>
                <w:color w:val="auto"/>
                <w:spacing w:val="-2"/>
                <w:sz w:val="21"/>
                <w:szCs w:val="21"/>
                <w:highlight w:val="none"/>
              </w:rPr>
              <w:t>土石坝坝高≥</w:t>
            </w:r>
            <w:r>
              <w:rPr>
                <w:rFonts w:ascii="Times New Roman" w:hAnsi="Times New Roman" w:eastAsia="Times New Roman" w:cs="Times New Roman"/>
                <w:color w:val="auto"/>
                <w:spacing w:val="-2"/>
                <w:sz w:val="21"/>
                <w:szCs w:val="21"/>
                <w:highlight w:val="none"/>
              </w:rPr>
              <w:t>40m</w:t>
            </w:r>
            <w:r>
              <w:rPr>
                <w:color w:val="auto"/>
                <w:spacing w:val="-2"/>
                <w:sz w:val="21"/>
                <w:szCs w:val="21"/>
                <w:highlight w:val="none"/>
              </w:rPr>
              <w:t>的大坝建筑物；</w:t>
            </w:r>
          </w:p>
          <w:p w14:paraId="5AB11C7A">
            <w:pPr>
              <w:pStyle w:val="33"/>
              <w:spacing w:before="23" w:line="229" w:lineRule="auto"/>
              <w:ind w:left="318" w:right="3471"/>
              <w:rPr>
                <w:color w:val="auto"/>
                <w:sz w:val="21"/>
                <w:szCs w:val="21"/>
                <w:highlight w:val="none"/>
              </w:rPr>
            </w:pPr>
            <w:r>
              <w:rPr>
                <w:color w:val="auto"/>
                <w:spacing w:val="-4"/>
                <w:sz w:val="21"/>
                <w:szCs w:val="21"/>
                <w:highlight w:val="none"/>
              </w:rPr>
              <w:t>混凝土坝坝高≥</w:t>
            </w:r>
            <w:r>
              <w:rPr>
                <w:rFonts w:ascii="Times New Roman" w:hAnsi="Times New Roman" w:eastAsia="Times New Roman" w:cs="Times New Roman"/>
                <w:color w:val="auto"/>
                <w:spacing w:val="-4"/>
                <w:sz w:val="21"/>
                <w:szCs w:val="21"/>
                <w:highlight w:val="none"/>
              </w:rPr>
              <w:t>50m</w:t>
            </w:r>
            <w:r>
              <w:rPr>
                <w:color w:val="auto"/>
                <w:spacing w:val="-4"/>
                <w:sz w:val="21"/>
                <w:szCs w:val="21"/>
                <w:highlight w:val="none"/>
              </w:rPr>
              <w:t>的大坝建筑物；</w:t>
            </w:r>
            <w:r>
              <w:rPr>
                <w:color w:val="auto"/>
                <w:spacing w:val="9"/>
                <w:sz w:val="21"/>
                <w:szCs w:val="21"/>
                <w:highlight w:val="none"/>
              </w:rPr>
              <w:t xml:space="preserve"> </w:t>
            </w:r>
            <w:r>
              <w:rPr>
                <w:color w:val="auto"/>
                <w:spacing w:val="-4"/>
                <w:sz w:val="21"/>
                <w:szCs w:val="21"/>
                <w:highlight w:val="none"/>
              </w:rPr>
              <w:t>最大深度≥</w:t>
            </w:r>
            <w:r>
              <w:rPr>
                <w:rFonts w:ascii="Times New Roman" w:hAnsi="Times New Roman" w:eastAsia="Times New Roman" w:cs="Times New Roman"/>
                <w:color w:val="auto"/>
                <w:spacing w:val="-4"/>
                <w:sz w:val="21"/>
                <w:szCs w:val="21"/>
                <w:highlight w:val="none"/>
              </w:rPr>
              <w:t>35m</w:t>
            </w:r>
            <w:r>
              <w:rPr>
                <w:color w:val="auto"/>
                <w:spacing w:val="-4"/>
                <w:sz w:val="21"/>
                <w:szCs w:val="21"/>
                <w:highlight w:val="none"/>
              </w:rPr>
              <w:t>的防渗墙基础处理；</w:t>
            </w:r>
          </w:p>
          <w:p w14:paraId="0C237F7D">
            <w:pPr>
              <w:pStyle w:val="33"/>
              <w:spacing w:before="22" w:line="220" w:lineRule="auto"/>
              <w:ind w:left="315"/>
              <w:rPr>
                <w:color w:val="auto"/>
                <w:sz w:val="21"/>
                <w:szCs w:val="21"/>
                <w:highlight w:val="none"/>
              </w:rPr>
            </w:pPr>
            <w:r>
              <w:rPr>
                <w:color w:val="auto"/>
                <w:spacing w:val="-2"/>
                <w:sz w:val="21"/>
                <w:szCs w:val="21"/>
                <w:highlight w:val="none"/>
              </w:rPr>
              <w:t>装机容量≥</w:t>
            </w:r>
            <w:r>
              <w:rPr>
                <w:rFonts w:ascii="Times New Roman" w:hAnsi="Times New Roman" w:eastAsia="Times New Roman" w:cs="Times New Roman"/>
                <w:color w:val="auto"/>
                <w:spacing w:val="-2"/>
                <w:sz w:val="21"/>
                <w:szCs w:val="21"/>
                <w:highlight w:val="none"/>
              </w:rPr>
              <w:t>10MW</w:t>
            </w:r>
            <w:r>
              <w:rPr>
                <w:color w:val="auto"/>
                <w:spacing w:val="-2"/>
                <w:sz w:val="21"/>
                <w:szCs w:val="21"/>
                <w:highlight w:val="none"/>
              </w:rPr>
              <w:t>的水电站厂房及引水隧洞；</w:t>
            </w:r>
          </w:p>
          <w:p w14:paraId="6F400D28">
            <w:pPr>
              <w:pStyle w:val="33"/>
              <w:spacing w:before="20" w:line="220" w:lineRule="auto"/>
              <w:ind w:left="317"/>
              <w:rPr>
                <w:color w:val="auto"/>
                <w:sz w:val="21"/>
                <w:szCs w:val="21"/>
                <w:highlight w:val="none"/>
              </w:rPr>
            </w:pPr>
            <w:r>
              <w:rPr>
                <w:color w:val="auto"/>
                <w:spacing w:val="-1"/>
                <w:sz w:val="21"/>
                <w:szCs w:val="21"/>
                <w:highlight w:val="none"/>
              </w:rPr>
              <w:t>上述工程相应的机电设备、金属结构设备、安全监测设备的安装。</w:t>
            </w:r>
          </w:p>
        </w:tc>
      </w:tr>
      <w:tr w14:paraId="3E383F79">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976" w:hRule="atLeast"/>
        </w:trPr>
        <w:tc>
          <w:tcPr>
            <w:tcW w:w="1840" w:type="dxa"/>
            <w:vAlign w:val="top"/>
          </w:tcPr>
          <w:p w14:paraId="64CF77E1">
            <w:pPr>
              <w:pStyle w:val="33"/>
              <w:spacing w:before="243" w:line="231" w:lineRule="auto"/>
              <w:ind w:left="710" w:right="244" w:hanging="367"/>
              <w:rPr>
                <w:color w:val="auto"/>
                <w:sz w:val="21"/>
                <w:szCs w:val="21"/>
                <w:highlight w:val="none"/>
              </w:rPr>
            </w:pPr>
            <w:r>
              <w:rPr>
                <w:color w:val="auto"/>
                <w:spacing w:val="-4"/>
                <w:sz w:val="21"/>
                <w:szCs w:val="21"/>
                <w:highlight w:val="none"/>
              </w:rPr>
              <w:t>水闸（闸坝）</w:t>
            </w:r>
            <w:r>
              <w:rPr>
                <w:color w:val="auto"/>
                <w:sz w:val="21"/>
                <w:szCs w:val="21"/>
                <w:highlight w:val="none"/>
              </w:rPr>
              <w:t xml:space="preserve"> </w:t>
            </w:r>
            <w:r>
              <w:rPr>
                <w:color w:val="auto"/>
                <w:spacing w:val="-3"/>
                <w:sz w:val="21"/>
                <w:szCs w:val="21"/>
                <w:highlight w:val="none"/>
              </w:rPr>
              <w:t>工程</w:t>
            </w:r>
          </w:p>
        </w:tc>
        <w:tc>
          <w:tcPr>
            <w:tcW w:w="7061" w:type="dxa"/>
            <w:vAlign w:val="top"/>
          </w:tcPr>
          <w:p w14:paraId="3398CC87">
            <w:pPr>
              <w:pStyle w:val="33"/>
              <w:spacing w:before="109" w:line="230" w:lineRule="auto"/>
              <w:ind w:left="104" w:right="436" w:firstLine="213"/>
              <w:rPr>
                <w:color w:val="auto"/>
                <w:sz w:val="21"/>
                <w:szCs w:val="21"/>
                <w:highlight w:val="none"/>
              </w:rPr>
            </w:pPr>
            <w:r>
              <w:rPr>
                <w:color w:val="auto"/>
                <w:spacing w:val="-2"/>
                <w:sz w:val="21"/>
                <w:szCs w:val="21"/>
                <w:highlight w:val="none"/>
              </w:rPr>
              <w:t>大型水闸（闸坝）</w:t>
            </w:r>
            <w:r>
              <w:rPr>
                <w:color w:val="auto"/>
                <w:spacing w:val="-55"/>
                <w:sz w:val="21"/>
                <w:szCs w:val="21"/>
                <w:highlight w:val="none"/>
              </w:rPr>
              <w:t xml:space="preserve"> </w:t>
            </w:r>
            <w:r>
              <w:rPr>
                <w:color w:val="auto"/>
                <w:spacing w:val="-2"/>
                <w:sz w:val="21"/>
                <w:szCs w:val="21"/>
                <w:highlight w:val="none"/>
              </w:rPr>
              <w:t>的主体建筑及相应的机电设备、金属结构设备的安</w:t>
            </w:r>
            <w:r>
              <w:rPr>
                <w:color w:val="auto"/>
                <w:sz w:val="21"/>
                <w:szCs w:val="21"/>
                <w:highlight w:val="none"/>
              </w:rPr>
              <w:t xml:space="preserve"> </w:t>
            </w:r>
            <w:r>
              <w:rPr>
                <w:color w:val="auto"/>
                <w:spacing w:val="-14"/>
                <w:sz w:val="21"/>
                <w:szCs w:val="21"/>
                <w:highlight w:val="none"/>
              </w:rPr>
              <w:t>装；</w:t>
            </w:r>
          </w:p>
          <w:p w14:paraId="6B50506B">
            <w:pPr>
              <w:pStyle w:val="33"/>
              <w:spacing w:before="21" w:line="221" w:lineRule="auto"/>
              <w:ind w:left="316"/>
              <w:rPr>
                <w:color w:val="auto"/>
                <w:sz w:val="21"/>
                <w:szCs w:val="21"/>
                <w:highlight w:val="none"/>
              </w:rPr>
            </w:pPr>
            <w:r>
              <w:rPr>
                <w:color w:val="auto"/>
                <w:spacing w:val="-1"/>
                <w:sz w:val="21"/>
                <w:szCs w:val="21"/>
                <w:highlight w:val="none"/>
              </w:rPr>
              <w:t>过闸流量≥</w:t>
            </w:r>
            <w:r>
              <w:rPr>
                <w:rFonts w:ascii="Times New Roman" w:hAnsi="Times New Roman" w:eastAsia="Times New Roman" w:cs="Times New Roman"/>
                <w:color w:val="auto"/>
                <w:spacing w:val="-1"/>
                <w:sz w:val="21"/>
                <w:szCs w:val="21"/>
                <w:highlight w:val="none"/>
              </w:rPr>
              <w:t>300m</w:t>
            </w:r>
            <w:r>
              <w:rPr>
                <w:rFonts w:ascii="Times New Roman" w:hAnsi="Times New Roman" w:eastAsia="Times New Roman" w:cs="Times New Roman"/>
                <w:color w:val="auto"/>
                <w:spacing w:val="-1"/>
                <w:position w:val="6"/>
                <w:sz w:val="13"/>
                <w:szCs w:val="13"/>
                <w:highlight w:val="none"/>
              </w:rPr>
              <w:t>3</w:t>
            </w:r>
            <w:r>
              <w:rPr>
                <w:rFonts w:ascii="Times New Roman" w:hAnsi="Times New Roman" w:eastAsia="Times New Roman" w:cs="Times New Roman"/>
                <w:color w:val="auto"/>
                <w:spacing w:val="-1"/>
                <w:sz w:val="21"/>
                <w:szCs w:val="21"/>
                <w:highlight w:val="none"/>
              </w:rPr>
              <w:t>/s</w:t>
            </w:r>
            <w:r>
              <w:rPr>
                <w:color w:val="auto"/>
                <w:spacing w:val="-1"/>
                <w:sz w:val="21"/>
                <w:szCs w:val="21"/>
                <w:highlight w:val="none"/>
              </w:rPr>
              <w:t>的水闸（闸坝）主体建筑。</w:t>
            </w:r>
          </w:p>
        </w:tc>
      </w:tr>
      <w:tr w14:paraId="4B35DAC1">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111" w:hRule="atLeast"/>
        </w:trPr>
        <w:tc>
          <w:tcPr>
            <w:tcW w:w="1840" w:type="dxa"/>
            <w:vAlign w:val="top"/>
          </w:tcPr>
          <w:p w14:paraId="36E7CF8B">
            <w:pPr>
              <w:spacing w:line="377" w:lineRule="auto"/>
              <w:rPr>
                <w:rFonts w:ascii="Arial"/>
                <w:color w:val="auto"/>
                <w:sz w:val="21"/>
                <w:highlight w:val="none"/>
              </w:rPr>
            </w:pPr>
          </w:p>
          <w:p w14:paraId="4556D7B4">
            <w:pPr>
              <w:pStyle w:val="33"/>
              <w:spacing w:before="68" w:line="220" w:lineRule="auto"/>
              <w:ind w:left="409"/>
              <w:rPr>
                <w:color w:val="auto"/>
                <w:sz w:val="21"/>
                <w:szCs w:val="21"/>
                <w:highlight w:val="none"/>
              </w:rPr>
            </w:pPr>
            <w:r>
              <w:rPr>
                <w:color w:val="auto"/>
                <w:spacing w:val="-5"/>
                <w:sz w:val="21"/>
                <w:szCs w:val="21"/>
                <w:highlight w:val="none"/>
              </w:rPr>
              <w:t>引供水工程</w:t>
            </w:r>
          </w:p>
        </w:tc>
        <w:tc>
          <w:tcPr>
            <w:tcW w:w="7061" w:type="dxa"/>
            <w:vAlign w:val="top"/>
          </w:tcPr>
          <w:p w14:paraId="5CE67B7C">
            <w:pPr>
              <w:pStyle w:val="33"/>
              <w:spacing w:before="40" w:line="233" w:lineRule="auto"/>
              <w:ind w:left="315" w:right="1160" w:firstLine="15"/>
              <w:rPr>
                <w:color w:val="auto"/>
                <w:sz w:val="21"/>
                <w:szCs w:val="21"/>
                <w:highlight w:val="none"/>
              </w:rPr>
            </w:pPr>
            <w:r>
              <w:rPr>
                <w:color w:val="auto"/>
                <w:spacing w:val="-2"/>
                <w:sz w:val="21"/>
                <w:szCs w:val="21"/>
                <w:highlight w:val="none"/>
              </w:rPr>
              <w:t>引水流量≥</w:t>
            </w:r>
            <w:r>
              <w:rPr>
                <w:rFonts w:ascii="Times New Roman" w:hAnsi="Times New Roman" w:eastAsia="Times New Roman" w:cs="Times New Roman"/>
                <w:color w:val="auto"/>
                <w:spacing w:val="-2"/>
                <w:sz w:val="21"/>
                <w:szCs w:val="21"/>
                <w:highlight w:val="none"/>
              </w:rPr>
              <w:t>10m</w:t>
            </w:r>
            <w:r>
              <w:rPr>
                <w:rFonts w:ascii="Times New Roman" w:hAnsi="Times New Roman" w:eastAsia="Times New Roman" w:cs="Times New Roman"/>
                <w:color w:val="auto"/>
                <w:spacing w:val="-2"/>
                <w:position w:val="6"/>
                <w:sz w:val="13"/>
                <w:szCs w:val="13"/>
                <w:highlight w:val="none"/>
              </w:rPr>
              <w:t>3</w:t>
            </w:r>
            <w:r>
              <w:rPr>
                <w:rFonts w:ascii="Times New Roman" w:hAnsi="Times New Roman" w:eastAsia="Times New Roman" w:cs="Times New Roman"/>
                <w:color w:val="auto"/>
                <w:spacing w:val="-2"/>
                <w:sz w:val="21"/>
                <w:szCs w:val="21"/>
                <w:highlight w:val="none"/>
              </w:rPr>
              <w:t>/s</w:t>
            </w:r>
            <w:r>
              <w:rPr>
                <w:color w:val="auto"/>
                <w:spacing w:val="-2"/>
                <w:sz w:val="21"/>
                <w:szCs w:val="21"/>
                <w:highlight w:val="none"/>
              </w:rPr>
              <w:t>的进水口、隧洞、倒虹吸、泵</w:t>
            </w:r>
            <w:r>
              <w:rPr>
                <w:color w:val="auto"/>
                <w:spacing w:val="-3"/>
                <w:sz w:val="21"/>
                <w:szCs w:val="21"/>
                <w:highlight w:val="none"/>
              </w:rPr>
              <w:t>站等建筑物；</w:t>
            </w:r>
            <w:r>
              <w:rPr>
                <w:color w:val="auto"/>
                <w:sz w:val="21"/>
                <w:szCs w:val="21"/>
                <w:highlight w:val="none"/>
              </w:rPr>
              <w:t xml:space="preserve"> 供水流量≥</w:t>
            </w:r>
            <w:r>
              <w:rPr>
                <w:rFonts w:ascii="Times New Roman" w:hAnsi="Times New Roman" w:eastAsia="Times New Roman" w:cs="Times New Roman"/>
                <w:color w:val="auto"/>
                <w:sz w:val="21"/>
                <w:szCs w:val="21"/>
                <w:highlight w:val="none"/>
              </w:rPr>
              <w:t>5m</w:t>
            </w:r>
            <w:r>
              <w:rPr>
                <w:rFonts w:ascii="Times New Roman" w:hAnsi="Times New Roman" w:eastAsia="Times New Roman" w:cs="Times New Roman"/>
                <w:color w:val="auto"/>
                <w:position w:val="6"/>
                <w:sz w:val="13"/>
                <w:szCs w:val="13"/>
                <w:highlight w:val="none"/>
              </w:rPr>
              <w:t>3</w:t>
            </w:r>
            <w:r>
              <w:rPr>
                <w:rFonts w:ascii="Times New Roman" w:hAnsi="Times New Roman" w:eastAsia="Times New Roman" w:cs="Times New Roman"/>
                <w:color w:val="auto"/>
                <w:sz w:val="21"/>
                <w:szCs w:val="21"/>
                <w:highlight w:val="none"/>
              </w:rPr>
              <w:t>/s</w:t>
            </w:r>
            <w:r>
              <w:rPr>
                <w:color w:val="auto"/>
                <w:sz w:val="21"/>
                <w:szCs w:val="21"/>
                <w:highlight w:val="none"/>
              </w:rPr>
              <w:t xml:space="preserve">的进水口、隧洞、倒虹吸、泵站等建筑物； </w:t>
            </w:r>
            <w:r>
              <w:rPr>
                <w:color w:val="auto"/>
                <w:spacing w:val="-7"/>
                <w:sz w:val="21"/>
                <w:szCs w:val="21"/>
                <w:highlight w:val="none"/>
              </w:rPr>
              <w:t>跨海管道；</w:t>
            </w:r>
          </w:p>
          <w:p w14:paraId="7D9E0D24">
            <w:pPr>
              <w:pStyle w:val="33"/>
              <w:spacing w:before="20" w:line="215" w:lineRule="auto"/>
              <w:ind w:left="211"/>
              <w:rPr>
                <w:color w:val="auto"/>
                <w:sz w:val="21"/>
                <w:szCs w:val="21"/>
                <w:highlight w:val="none"/>
              </w:rPr>
            </w:pPr>
            <w:r>
              <w:rPr>
                <w:color w:val="auto"/>
                <w:spacing w:val="-1"/>
                <w:sz w:val="21"/>
                <w:szCs w:val="21"/>
                <w:highlight w:val="none"/>
              </w:rPr>
              <w:t>上述工程相应的机电设备、金属结构设备的安装。</w:t>
            </w:r>
          </w:p>
        </w:tc>
      </w:tr>
      <w:tr w14:paraId="43EC05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1086" w:hRule="atLeast"/>
        </w:trPr>
        <w:tc>
          <w:tcPr>
            <w:tcW w:w="1840" w:type="dxa"/>
            <w:vAlign w:val="top"/>
          </w:tcPr>
          <w:p w14:paraId="271F588E">
            <w:pPr>
              <w:spacing w:line="371" w:lineRule="auto"/>
              <w:rPr>
                <w:rFonts w:ascii="Arial"/>
                <w:color w:val="auto"/>
                <w:sz w:val="21"/>
                <w:highlight w:val="none"/>
              </w:rPr>
            </w:pPr>
          </w:p>
          <w:p w14:paraId="75E0AB80">
            <w:pPr>
              <w:pStyle w:val="33"/>
              <w:spacing w:before="69" w:line="221" w:lineRule="auto"/>
              <w:ind w:left="500"/>
              <w:rPr>
                <w:color w:val="auto"/>
                <w:sz w:val="21"/>
                <w:szCs w:val="21"/>
                <w:highlight w:val="none"/>
              </w:rPr>
            </w:pPr>
            <w:r>
              <w:rPr>
                <w:color w:val="auto"/>
                <w:spacing w:val="-2"/>
                <w:sz w:val="21"/>
                <w:szCs w:val="21"/>
                <w:highlight w:val="none"/>
              </w:rPr>
              <w:t>泵站工程</w:t>
            </w:r>
          </w:p>
        </w:tc>
        <w:tc>
          <w:tcPr>
            <w:tcW w:w="7061" w:type="dxa"/>
            <w:vAlign w:val="top"/>
          </w:tcPr>
          <w:p w14:paraId="40662C18">
            <w:pPr>
              <w:pStyle w:val="33"/>
              <w:spacing w:before="171" w:line="221" w:lineRule="auto"/>
              <w:ind w:left="212"/>
              <w:rPr>
                <w:color w:val="auto"/>
                <w:sz w:val="21"/>
                <w:szCs w:val="21"/>
                <w:highlight w:val="none"/>
              </w:rPr>
            </w:pPr>
            <w:r>
              <w:rPr>
                <w:color w:val="auto"/>
                <w:spacing w:val="-1"/>
                <w:sz w:val="21"/>
                <w:szCs w:val="21"/>
                <w:highlight w:val="none"/>
              </w:rPr>
              <w:t>大型泵站的主体建筑；</w:t>
            </w:r>
          </w:p>
          <w:p w14:paraId="14907037">
            <w:pPr>
              <w:pStyle w:val="33"/>
              <w:spacing w:before="19" w:line="221" w:lineRule="auto"/>
              <w:ind w:left="213"/>
              <w:rPr>
                <w:color w:val="auto"/>
                <w:sz w:val="21"/>
                <w:szCs w:val="21"/>
                <w:highlight w:val="none"/>
              </w:rPr>
            </w:pPr>
            <w:r>
              <w:rPr>
                <w:color w:val="auto"/>
                <w:spacing w:val="-2"/>
                <w:sz w:val="21"/>
                <w:szCs w:val="21"/>
                <w:highlight w:val="none"/>
              </w:rPr>
              <w:t>设计流量≥</w:t>
            </w:r>
            <w:r>
              <w:rPr>
                <w:rFonts w:ascii="Times New Roman" w:hAnsi="Times New Roman" w:eastAsia="Times New Roman" w:cs="Times New Roman"/>
                <w:color w:val="auto"/>
                <w:spacing w:val="-2"/>
                <w:sz w:val="21"/>
                <w:szCs w:val="21"/>
                <w:highlight w:val="none"/>
              </w:rPr>
              <w:t>20m</w:t>
            </w:r>
            <w:r>
              <w:rPr>
                <w:rFonts w:ascii="Times New Roman" w:hAnsi="Times New Roman" w:eastAsia="Times New Roman" w:cs="Times New Roman"/>
                <w:color w:val="auto"/>
                <w:spacing w:val="-2"/>
                <w:position w:val="6"/>
                <w:sz w:val="13"/>
                <w:szCs w:val="13"/>
                <w:highlight w:val="none"/>
              </w:rPr>
              <w:t>3</w:t>
            </w:r>
            <w:r>
              <w:rPr>
                <w:rFonts w:ascii="Times New Roman" w:hAnsi="Times New Roman" w:eastAsia="Times New Roman" w:cs="Times New Roman"/>
                <w:color w:val="auto"/>
                <w:spacing w:val="-2"/>
                <w:sz w:val="21"/>
                <w:szCs w:val="21"/>
                <w:highlight w:val="none"/>
              </w:rPr>
              <w:t>/s</w:t>
            </w:r>
            <w:r>
              <w:rPr>
                <w:color w:val="auto"/>
                <w:spacing w:val="-2"/>
                <w:sz w:val="21"/>
                <w:szCs w:val="21"/>
                <w:highlight w:val="none"/>
              </w:rPr>
              <w:t>泵站的主体建筑；</w:t>
            </w:r>
          </w:p>
          <w:p w14:paraId="07188660">
            <w:pPr>
              <w:pStyle w:val="33"/>
              <w:spacing w:before="22" w:line="220" w:lineRule="auto"/>
              <w:ind w:left="211"/>
              <w:rPr>
                <w:color w:val="auto"/>
                <w:sz w:val="21"/>
                <w:szCs w:val="21"/>
                <w:highlight w:val="none"/>
              </w:rPr>
            </w:pPr>
            <w:r>
              <w:rPr>
                <w:color w:val="auto"/>
                <w:spacing w:val="-1"/>
                <w:sz w:val="21"/>
                <w:szCs w:val="21"/>
                <w:highlight w:val="none"/>
              </w:rPr>
              <w:t>上述工程相应的机电设备、金属结构设备的安装。</w:t>
            </w:r>
          </w:p>
        </w:tc>
      </w:tr>
      <w:tr w14:paraId="42133110">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24" w:hRule="atLeast"/>
        </w:trPr>
        <w:tc>
          <w:tcPr>
            <w:tcW w:w="1840" w:type="dxa"/>
            <w:vAlign w:val="top"/>
          </w:tcPr>
          <w:p w14:paraId="2EA82917">
            <w:pPr>
              <w:pStyle w:val="33"/>
              <w:spacing w:before="85" w:line="230" w:lineRule="auto"/>
              <w:ind w:left="182" w:right="176"/>
              <w:rPr>
                <w:color w:val="auto"/>
                <w:sz w:val="21"/>
                <w:szCs w:val="21"/>
                <w:highlight w:val="none"/>
              </w:rPr>
            </w:pPr>
            <w:r>
              <w:rPr>
                <w:color w:val="auto"/>
                <w:spacing w:val="-1"/>
                <w:sz w:val="21"/>
                <w:szCs w:val="21"/>
                <w:highlight w:val="none"/>
              </w:rPr>
              <w:t>堤防工程［含海</w:t>
            </w:r>
            <w:r>
              <w:rPr>
                <w:color w:val="auto"/>
                <w:spacing w:val="1"/>
                <w:sz w:val="21"/>
                <w:szCs w:val="21"/>
                <w:highlight w:val="none"/>
              </w:rPr>
              <w:t xml:space="preserve"> </w:t>
            </w:r>
            <w:r>
              <w:rPr>
                <w:color w:val="auto"/>
                <w:spacing w:val="-1"/>
                <w:sz w:val="21"/>
                <w:szCs w:val="21"/>
                <w:highlight w:val="none"/>
              </w:rPr>
              <w:t>塘（堤）工程］</w:t>
            </w:r>
          </w:p>
        </w:tc>
        <w:tc>
          <w:tcPr>
            <w:tcW w:w="7061" w:type="dxa"/>
            <w:vAlign w:val="top"/>
          </w:tcPr>
          <w:p w14:paraId="4795E392">
            <w:pPr>
              <w:pStyle w:val="33"/>
              <w:spacing w:before="86" w:line="229" w:lineRule="auto"/>
              <w:ind w:left="223" w:right="1429"/>
              <w:rPr>
                <w:color w:val="auto"/>
                <w:sz w:val="21"/>
                <w:szCs w:val="21"/>
                <w:highlight w:val="none"/>
              </w:rPr>
            </w:pPr>
            <w:r>
              <w:rPr>
                <w:color w:val="auto"/>
                <w:spacing w:val="-3"/>
                <w:sz w:val="21"/>
                <w:szCs w:val="21"/>
                <w:highlight w:val="none"/>
              </w:rPr>
              <w:t>防洪（潮）标准</w:t>
            </w:r>
            <w:r>
              <w:rPr>
                <w:rFonts w:ascii="Times New Roman" w:hAnsi="Times New Roman" w:eastAsia="Times New Roman" w:cs="Times New Roman"/>
                <w:color w:val="auto"/>
                <w:spacing w:val="-3"/>
                <w:sz w:val="21"/>
                <w:szCs w:val="21"/>
                <w:highlight w:val="none"/>
              </w:rPr>
              <w:t>50</w:t>
            </w:r>
            <w:r>
              <w:rPr>
                <w:color w:val="auto"/>
                <w:spacing w:val="-3"/>
                <w:sz w:val="21"/>
                <w:szCs w:val="21"/>
                <w:highlight w:val="none"/>
              </w:rPr>
              <w:t>年一遇且需要桩基处理的堤防主体建筑；</w:t>
            </w:r>
            <w:r>
              <w:rPr>
                <w:color w:val="auto"/>
                <w:spacing w:val="13"/>
                <w:sz w:val="21"/>
                <w:szCs w:val="21"/>
                <w:highlight w:val="none"/>
              </w:rPr>
              <w:t xml:space="preserve"> </w:t>
            </w:r>
            <w:r>
              <w:rPr>
                <w:color w:val="auto"/>
                <w:spacing w:val="-2"/>
                <w:sz w:val="21"/>
                <w:szCs w:val="21"/>
                <w:highlight w:val="none"/>
              </w:rPr>
              <w:t>防洪（潮）标准</w:t>
            </w:r>
            <w:r>
              <w:rPr>
                <w:rFonts w:ascii="Times New Roman" w:hAnsi="Times New Roman" w:eastAsia="Times New Roman" w:cs="Times New Roman"/>
                <w:color w:val="auto"/>
                <w:spacing w:val="-2"/>
                <w:sz w:val="21"/>
                <w:szCs w:val="21"/>
                <w:highlight w:val="none"/>
              </w:rPr>
              <w:t>100</w:t>
            </w:r>
            <w:r>
              <w:rPr>
                <w:color w:val="auto"/>
                <w:spacing w:val="-2"/>
                <w:sz w:val="21"/>
                <w:szCs w:val="21"/>
                <w:highlight w:val="none"/>
              </w:rPr>
              <w:t>年一遇及以上的堤防主体建筑。</w:t>
            </w:r>
          </w:p>
        </w:tc>
      </w:tr>
      <w:tr w14:paraId="466402B8">
        <w:tblPrEx>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top w:w="0" w:type="dxa"/>
            <w:left w:w="0" w:type="dxa"/>
            <w:bottom w:w="0" w:type="dxa"/>
            <w:right w:w="0" w:type="dxa"/>
          </w:tblCellMar>
        </w:tblPrEx>
        <w:trPr>
          <w:trHeight w:val="633" w:hRule="atLeast"/>
        </w:trPr>
        <w:tc>
          <w:tcPr>
            <w:tcW w:w="1840" w:type="dxa"/>
            <w:vAlign w:val="top"/>
          </w:tcPr>
          <w:p w14:paraId="6910E986">
            <w:pPr>
              <w:pStyle w:val="33"/>
              <w:spacing w:before="221" w:line="221" w:lineRule="auto"/>
              <w:ind w:left="499"/>
              <w:rPr>
                <w:color w:val="auto"/>
                <w:sz w:val="21"/>
                <w:szCs w:val="21"/>
                <w:highlight w:val="none"/>
              </w:rPr>
            </w:pPr>
            <w:r>
              <w:rPr>
                <w:color w:val="auto"/>
                <w:spacing w:val="-2"/>
                <w:sz w:val="21"/>
                <w:szCs w:val="21"/>
                <w:highlight w:val="none"/>
              </w:rPr>
              <w:t>排涝工程</w:t>
            </w:r>
          </w:p>
        </w:tc>
        <w:tc>
          <w:tcPr>
            <w:tcW w:w="7061" w:type="dxa"/>
            <w:vAlign w:val="top"/>
          </w:tcPr>
          <w:p w14:paraId="727A379C">
            <w:pPr>
              <w:pStyle w:val="33"/>
              <w:spacing w:before="85" w:line="229" w:lineRule="auto"/>
              <w:ind w:left="211" w:right="1897" w:firstLine="1"/>
              <w:rPr>
                <w:color w:val="auto"/>
                <w:sz w:val="21"/>
                <w:szCs w:val="21"/>
                <w:highlight w:val="none"/>
              </w:rPr>
            </w:pPr>
            <w:r>
              <w:rPr>
                <w:color w:val="auto"/>
                <w:spacing w:val="-2"/>
                <w:sz w:val="21"/>
                <w:szCs w:val="21"/>
                <w:highlight w:val="none"/>
              </w:rPr>
              <w:t>设计流量≥</w:t>
            </w:r>
            <w:r>
              <w:rPr>
                <w:rFonts w:ascii="Times New Roman" w:hAnsi="Times New Roman" w:eastAsia="Times New Roman" w:cs="Times New Roman"/>
                <w:color w:val="auto"/>
                <w:spacing w:val="-2"/>
                <w:sz w:val="21"/>
                <w:szCs w:val="21"/>
                <w:highlight w:val="none"/>
              </w:rPr>
              <w:t>20m</w:t>
            </w:r>
            <w:r>
              <w:rPr>
                <w:rFonts w:ascii="Times New Roman" w:hAnsi="Times New Roman" w:eastAsia="Times New Roman" w:cs="Times New Roman"/>
                <w:color w:val="auto"/>
                <w:spacing w:val="-2"/>
                <w:position w:val="6"/>
                <w:sz w:val="13"/>
                <w:szCs w:val="13"/>
                <w:highlight w:val="none"/>
              </w:rPr>
              <w:t>3</w:t>
            </w:r>
            <w:r>
              <w:rPr>
                <w:rFonts w:ascii="Times New Roman" w:hAnsi="Times New Roman" w:eastAsia="Times New Roman" w:cs="Times New Roman"/>
                <w:color w:val="auto"/>
                <w:spacing w:val="-2"/>
                <w:sz w:val="21"/>
                <w:szCs w:val="21"/>
                <w:highlight w:val="none"/>
              </w:rPr>
              <w:t>/s</w:t>
            </w:r>
            <w:r>
              <w:rPr>
                <w:color w:val="auto"/>
                <w:spacing w:val="-2"/>
                <w:sz w:val="21"/>
                <w:szCs w:val="21"/>
                <w:highlight w:val="none"/>
              </w:rPr>
              <w:t>的进水口、隧洞、倒虹吸等建筑物；</w:t>
            </w:r>
            <w:r>
              <w:rPr>
                <w:color w:val="auto"/>
                <w:sz w:val="21"/>
                <w:szCs w:val="21"/>
                <w:highlight w:val="none"/>
              </w:rPr>
              <w:t xml:space="preserve"> </w:t>
            </w:r>
            <w:r>
              <w:rPr>
                <w:color w:val="auto"/>
                <w:spacing w:val="-1"/>
                <w:sz w:val="21"/>
                <w:szCs w:val="21"/>
                <w:highlight w:val="none"/>
              </w:rPr>
              <w:t>上述工程相应的机电设备、金属结构设备的安装。</w:t>
            </w:r>
          </w:p>
        </w:tc>
      </w:tr>
    </w:tbl>
    <w:p w14:paraId="50643B56">
      <w:pPr>
        <w:spacing w:before="271" w:line="231" w:lineRule="auto"/>
        <w:ind w:left="432" w:right="379" w:hanging="422"/>
        <w:rPr>
          <w:rFonts w:ascii="宋体" w:hAnsi="宋体" w:eastAsia="宋体" w:cs="宋体"/>
          <w:color w:val="auto"/>
          <w:sz w:val="21"/>
          <w:szCs w:val="21"/>
          <w:highlight w:val="none"/>
        </w:rPr>
      </w:pPr>
      <w:r>
        <w:rPr>
          <w:rFonts w:ascii="黑体" w:hAnsi="黑体" w:eastAsia="黑体" w:cs="黑体"/>
          <w:b/>
          <w:bCs/>
          <w:color w:val="auto"/>
          <w:sz w:val="21"/>
          <w:szCs w:val="21"/>
          <w:highlight w:val="none"/>
        </w:rPr>
        <w:t>注：</w:t>
      </w:r>
      <w:r>
        <w:rPr>
          <w:rFonts w:ascii="宋体" w:hAnsi="宋体" w:eastAsia="宋体" w:cs="宋体"/>
          <w:color w:val="auto"/>
          <w:sz w:val="21"/>
          <w:szCs w:val="21"/>
          <w:highlight w:val="none"/>
        </w:rPr>
        <w:t>表中建筑物的级别应为</w:t>
      </w:r>
      <w:r>
        <w:rPr>
          <w:rFonts w:ascii="Times New Roman" w:hAnsi="Times New Roman" w:eastAsia="Times New Roman" w:cs="Times New Roman"/>
          <w:color w:val="auto"/>
          <w:sz w:val="21"/>
          <w:szCs w:val="21"/>
          <w:highlight w:val="none"/>
        </w:rPr>
        <w:t>3</w:t>
      </w:r>
      <w:r>
        <w:rPr>
          <w:rFonts w:ascii="宋体" w:hAnsi="宋体" w:eastAsia="宋体" w:cs="宋体"/>
          <w:color w:val="auto"/>
          <w:sz w:val="21"/>
          <w:szCs w:val="21"/>
          <w:highlight w:val="none"/>
        </w:rPr>
        <w:t>级及以上。除堤防工程（含海堤工程）、防渗墙基础处理外均应</w:t>
      </w:r>
      <w:r>
        <w:rPr>
          <w:rFonts w:ascii="宋体" w:hAnsi="宋体" w:eastAsia="宋体" w:cs="宋体"/>
          <w:color w:val="auto"/>
          <w:spacing w:val="15"/>
          <w:sz w:val="21"/>
          <w:szCs w:val="21"/>
          <w:highlight w:val="none"/>
        </w:rPr>
        <w:t xml:space="preserve"> </w:t>
      </w:r>
      <w:r>
        <w:rPr>
          <w:rFonts w:ascii="宋体" w:hAnsi="宋体" w:eastAsia="宋体" w:cs="宋体"/>
          <w:color w:val="auto"/>
          <w:spacing w:val="-2"/>
          <w:sz w:val="21"/>
          <w:szCs w:val="21"/>
          <w:highlight w:val="none"/>
        </w:rPr>
        <w:t>为新建工程。</w:t>
      </w:r>
    </w:p>
    <w:p w14:paraId="58E935B2">
      <w:pPr>
        <w:spacing w:line="231" w:lineRule="auto"/>
        <w:rPr>
          <w:rFonts w:ascii="宋体" w:hAnsi="宋体" w:eastAsia="宋体" w:cs="宋体"/>
          <w:color w:val="auto"/>
          <w:sz w:val="21"/>
          <w:szCs w:val="21"/>
          <w:highlight w:val="none"/>
        </w:rPr>
        <w:sectPr>
          <w:footerReference r:id="rId8" w:type="default"/>
          <w:pgSz w:w="11905" w:h="16843"/>
          <w:pgMar w:top="1429" w:right="1361" w:bottom="1253" w:left="1621" w:header="0" w:footer="1094" w:gutter="0"/>
          <w:pgNumType w:fmt="decimal"/>
          <w:cols w:space="0" w:num="1"/>
          <w:rtlGutter w:val="0"/>
          <w:docGrid w:linePitch="0" w:charSpace="0"/>
        </w:sectPr>
      </w:pPr>
    </w:p>
    <w:p w14:paraId="573B51FB">
      <w:pPr>
        <w:pStyle w:val="3"/>
        <w:spacing w:line="247" w:lineRule="auto"/>
        <w:rPr>
          <w:color w:val="auto"/>
          <w:highlight w:val="none"/>
        </w:rPr>
      </w:pPr>
    </w:p>
    <w:p w14:paraId="29BA084F">
      <w:pPr>
        <w:pStyle w:val="3"/>
        <w:spacing w:line="247" w:lineRule="auto"/>
        <w:rPr>
          <w:rFonts w:ascii="Times New Roman" w:hAnsi="Times New Roman" w:cs="Times New Roman"/>
          <w:color w:val="auto"/>
          <w:highlight w:val="none"/>
          <w:lang w:eastAsia="zh-CN"/>
        </w:rPr>
      </w:pPr>
    </w:p>
    <w:p w14:paraId="3285F782">
      <w:pPr>
        <w:pStyle w:val="3"/>
        <w:spacing w:line="248" w:lineRule="auto"/>
        <w:rPr>
          <w:rFonts w:ascii="Times New Roman" w:hAnsi="Times New Roman" w:cs="Times New Roman"/>
          <w:color w:val="auto"/>
          <w:highlight w:val="none"/>
          <w:lang w:eastAsia="zh-CN"/>
        </w:rPr>
      </w:pPr>
    </w:p>
    <w:p w14:paraId="6B107245">
      <w:pPr>
        <w:pStyle w:val="3"/>
        <w:spacing w:line="248" w:lineRule="auto"/>
        <w:rPr>
          <w:rFonts w:ascii="Times New Roman" w:hAnsi="Times New Roman" w:cs="Times New Roman"/>
          <w:color w:val="auto"/>
          <w:highlight w:val="none"/>
          <w:lang w:eastAsia="zh-CN"/>
        </w:rPr>
      </w:pPr>
    </w:p>
    <w:p w14:paraId="21799C9C">
      <w:pPr>
        <w:pStyle w:val="3"/>
        <w:spacing w:line="248" w:lineRule="auto"/>
        <w:jc w:val="center"/>
        <w:rPr>
          <w:rFonts w:ascii="Times New Roman" w:hAnsi="Times New Roman" w:cs="Times New Roman"/>
          <w:color w:val="auto"/>
          <w:highlight w:val="none"/>
          <w:lang w:eastAsia="zh-CN"/>
        </w:rPr>
      </w:pPr>
    </w:p>
    <w:p w14:paraId="1A48793D">
      <w:pPr>
        <w:pStyle w:val="3"/>
        <w:spacing w:line="341" w:lineRule="auto"/>
        <w:ind w:firstLine="320"/>
        <w:jc w:val="center"/>
        <w:rPr>
          <w:rFonts w:hint="eastAsia" w:ascii="宋体" w:hAnsi="宋体" w:eastAsia="宋体" w:cs="宋体"/>
          <w:color w:val="auto"/>
          <w:highlight w:val="none"/>
          <w:lang w:eastAsia="zh-CN"/>
        </w:rPr>
      </w:pPr>
      <w:r>
        <w:rPr>
          <w:rFonts w:hint="eastAsia" w:ascii="宋体" w:hAnsi="宋体" w:eastAsia="宋体" w:cs="宋体"/>
          <w:color w:val="auto"/>
          <w:sz w:val="32"/>
          <w:szCs w:val="32"/>
          <w:highlight w:val="none"/>
          <w:u w:val="single"/>
          <w:lang w:eastAsia="zh-CN"/>
        </w:rPr>
        <w:t>水系连通工程--蛟闸江、小善江、石珓河等河道疏浚连通工程先行段</w:t>
      </w:r>
    </w:p>
    <w:p w14:paraId="6BBE535F">
      <w:pPr>
        <w:pStyle w:val="3"/>
        <w:spacing w:line="341" w:lineRule="auto"/>
        <w:ind w:firstLine="210"/>
        <w:rPr>
          <w:rFonts w:hint="eastAsia" w:ascii="宋体" w:hAnsi="宋体" w:eastAsia="宋体" w:cs="宋体"/>
          <w:color w:val="auto"/>
          <w:highlight w:val="none"/>
          <w:lang w:eastAsia="zh-CN"/>
        </w:rPr>
      </w:pPr>
    </w:p>
    <w:p w14:paraId="4A284502">
      <w:pPr>
        <w:spacing w:before="234" w:line="220" w:lineRule="auto"/>
        <w:ind w:left="2240"/>
        <w:rPr>
          <w:rFonts w:hint="eastAsia" w:ascii="宋体" w:hAnsi="宋体" w:eastAsia="宋体" w:cs="宋体"/>
          <w:color w:val="auto"/>
          <w:sz w:val="72"/>
          <w:szCs w:val="72"/>
          <w:highlight w:val="none"/>
          <w:lang w:eastAsia="zh-CN"/>
        </w:rPr>
      </w:pPr>
      <w:r>
        <w:rPr>
          <w:rFonts w:hint="eastAsia" w:ascii="宋体" w:hAnsi="宋体" w:eastAsia="宋体" w:cs="宋体"/>
          <w:b/>
          <w:bCs/>
          <w:color w:val="auto"/>
          <w:spacing w:val="-32"/>
          <w:sz w:val="72"/>
          <w:szCs w:val="72"/>
          <w:highlight w:val="none"/>
          <w:lang w:eastAsia="zh-CN"/>
        </w:rPr>
        <w:t>招</w:t>
      </w:r>
      <w:r>
        <w:rPr>
          <w:rFonts w:hint="eastAsia" w:ascii="宋体" w:hAnsi="宋体" w:eastAsia="宋体" w:cs="宋体"/>
          <w:color w:val="auto"/>
          <w:spacing w:val="35"/>
          <w:sz w:val="72"/>
          <w:szCs w:val="72"/>
          <w:highlight w:val="none"/>
          <w:lang w:eastAsia="zh-CN"/>
        </w:rPr>
        <w:t xml:space="preserve"> </w:t>
      </w:r>
      <w:r>
        <w:rPr>
          <w:rFonts w:hint="eastAsia" w:ascii="宋体" w:hAnsi="宋体" w:eastAsia="宋体" w:cs="宋体"/>
          <w:b/>
          <w:bCs/>
          <w:color w:val="auto"/>
          <w:spacing w:val="-32"/>
          <w:sz w:val="72"/>
          <w:szCs w:val="72"/>
          <w:highlight w:val="none"/>
          <w:lang w:eastAsia="zh-CN"/>
        </w:rPr>
        <w:t>标</w:t>
      </w:r>
      <w:r>
        <w:rPr>
          <w:rFonts w:hint="eastAsia" w:ascii="宋体" w:hAnsi="宋体" w:eastAsia="宋体" w:cs="宋体"/>
          <w:color w:val="auto"/>
          <w:spacing w:val="38"/>
          <w:sz w:val="72"/>
          <w:szCs w:val="72"/>
          <w:highlight w:val="none"/>
          <w:lang w:eastAsia="zh-CN"/>
        </w:rPr>
        <w:t xml:space="preserve"> </w:t>
      </w:r>
      <w:r>
        <w:rPr>
          <w:rFonts w:hint="eastAsia" w:ascii="宋体" w:hAnsi="宋体" w:eastAsia="宋体" w:cs="宋体"/>
          <w:b/>
          <w:bCs/>
          <w:color w:val="auto"/>
          <w:spacing w:val="-32"/>
          <w:sz w:val="72"/>
          <w:szCs w:val="72"/>
          <w:highlight w:val="none"/>
          <w:lang w:eastAsia="zh-CN"/>
        </w:rPr>
        <w:t>文</w:t>
      </w:r>
      <w:r>
        <w:rPr>
          <w:rFonts w:hint="eastAsia" w:ascii="宋体" w:hAnsi="宋体" w:eastAsia="宋体" w:cs="宋体"/>
          <w:color w:val="auto"/>
          <w:spacing w:val="28"/>
          <w:sz w:val="72"/>
          <w:szCs w:val="72"/>
          <w:highlight w:val="none"/>
          <w:lang w:eastAsia="zh-CN"/>
        </w:rPr>
        <w:t xml:space="preserve"> </w:t>
      </w:r>
      <w:r>
        <w:rPr>
          <w:rFonts w:hint="eastAsia" w:ascii="宋体" w:hAnsi="宋体" w:eastAsia="宋体" w:cs="宋体"/>
          <w:b/>
          <w:bCs/>
          <w:color w:val="auto"/>
          <w:spacing w:val="-32"/>
          <w:sz w:val="72"/>
          <w:szCs w:val="72"/>
          <w:highlight w:val="none"/>
          <w:lang w:eastAsia="zh-CN"/>
        </w:rPr>
        <w:t>件</w:t>
      </w:r>
    </w:p>
    <w:p w14:paraId="53F05D15">
      <w:pPr>
        <w:pStyle w:val="3"/>
        <w:spacing w:line="281" w:lineRule="auto"/>
        <w:ind w:firstLine="210"/>
        <w:rPr>
          <w:rFonts w:hint="eastAsia" w:ascii="宋体" w:hAnsi="宋体" w:eastAsia="宋体" w:cs="宋体"/>
          <w:color w:val="auto"/>
          <w:highlight w:val="none"/>
          <w:lang w:eastAsia="zh-CN"/>
        </w:rPr>
      </w:pPr>
    </w:p>
    <w:p w14:paraId="51A3CC14">
      <w:pPr>
        <w:spacing w:before="88" w:line="226" w:lineRule="auto"/>
        <w:rPr>
          <w:rFonts w:hint="eastAsia" w:ascii="宋体" w:hAnsi="宋体" w:eastAsia="宋体" w:cs="宋体"/>
          <w:color w:val="auto"/>
          <w:spacing w:val="-29"/>
          <w:sz w:val="27"/>
          <w:szCs w:val="27"/>
          <w:highlight w:val="none"/>
          <w:lang w:eastAsia="zh-CN"/>
        </w:rPr>
      </w:pPr>
    </w:p>
    <w:p w14:paraId="0C2C15D9">
      <w:pPr>
        <w:spacing w:before="88" w:line="226" w:lineRule="auto"/>
        <w:jc w:val="center"/>
        <w:rPr>
          <w:rFonts w:hint="eastAsia" w:ascii="宋体" w:hAnsi="宋体" w:eastAsia="宋体" w:cs="宋体"/>
          <w:color w:val="auto"/>
          <w:sz w:val="27"/>
          <w:szCs w:val="27"/>
          <w:highlight w:val="none"/>
          <w:lang w:eastAsia="zh-CN"/>
        </w:rPr>
      </w:pPr>
      <w:r>
        <w:rPr>
          <w:rFonts w:hint="eastAsia" w:ascii="宋体" w:hAnsi="宋体" w:eastAsia="宋体" w:cs="宋体"/>
          <w:color w:val="auto"/>
          <w:spacing w:val="-29"/>
          <w:sz w:val="27"/>
          <w:szCs w:val="27"/>
          <w:highlight w:val="none"/>
          <w:lang w:eastAsia="zh-CN"/>
        </w:rPr>
        <w:t>（</w:t>
      </w:r>
      <w:r>
        <w:rPr>
          <w:rFonts w:hint="eastAsia" w:ascii="宋体" w:hAnsi="宋体" w:eastAsia="宋体" w:cs="宋体"/>
          <w:snapToGrid/>
          <w:color w:val="auto"/>
          <w:sz w:val="24"/>
          <w:szCs w:val="24"/>
          <w:highlight w:val="none"/>
          <w:lang w:eastAsia="zh-CN"/>
        </w:rPr>
        <w:t>招标编号：</w:t>
      </w:r>
      <w:r>
        <w:rPr>
          <w:rFonts w:hint="eastAsia" w:ascii="宋体" w:hAnsi="宋体" w:eastAsia="宋体" w:cs="宋体"/>
          <w:snapToGrid/>
          <w:color w:val="auto"/>
          <w:sz w:val="24"/>
          <w:szCs w:val="24"/>
          <w:highlight w:val="none"/>
          <w:u w:val="single"/>
          <w:lang w:eastAsia="zh-CN"/>
        </w:rPr>
        <w:t>A3306010720060250001</w:t>
      </w:r>
      <w:r>
        <w:rPr>
          <w:rFonts w:hint="eastAsia" w:ascii="宋体" w:hAnsi="宋体" w:eastAsia="宋体" w:cs="宋体"/>
          <w:color w:val="auto"/>
          <w:spacing w:val="-13"/>
          <w:sz w:val="27"/>
          <w:szCs w:val="27"/>
          <w:highlight w:val="none"/>
          <w:lang w:eastAsia="zh-CN"/>
        </w:rPr>
        <w:t>）</w:t>
      </w:r>
    </w:p>
    <w:p w14:paraId="37B5EB72">
      <w:pPr>
        <w:pStyle w:val="3"/>
        <w:spacing w:line="241" w:lineRule="auto"/>
        <w:ind w:firstLine="210"/>
        <w:rPr>
          <w:rFonts w:hint="eastAsia" w:ascii="宋体" w:hAnsi="宋体" w:eastAsia="宋体" w:cs="宋体"/>
          <w:color w:val="auto"/>
          <w:highlight w:val="none"/>
          <w:lang w:eastAsia="zh-CN"/>
        </w:rPr>
      </w:pPr>
    </w:p>
    <w:p w14:paraId="5284DE4C">
      <w:pPr>
        <w:pStyle w:val="3"/>
        <w:spacing w:line="241" w:lineRule="auto"/>
        <w:ind w:firstLine="210"/>
        <w:rPr>
          <w:rFonts w:hint="eastAsia" w:ascii="宋体" w:hAnsi="宋体" w:eastAsia="宋体" w:cs="宋体"/>
          <w:color w:val="auto"/>
          <w:highlight w:val="none"/>
          <w:lang w:eastAsia="zh-CN"/>
        </w:rPr>
      </w:pPr>
    </w:p>
    <w:p w14:paraId="7BB7C924">
      <w:pPr>
        <w:pStyle w:val="3"/>
        <w:spacing w:line="241" w:lineRule="auto"/>
        <w:ind w:firstLine="210"/>
        <w:rPr>
          <w:rFonts w:hint="eastAsia" w:ascii="宋体" w:hAnsi="宋体" w:eastAsia="宋体" w:cs="宋体"/>
          <w:color w:val="auto"/>
          <w:highlight w:val="none"/>
          <w:lang w:eastAsia="zh-CN"/>
        </w:rPr>
      </w:pPr>
    </w:p>
    <w:p w14:paraId="35E12120">
      <w:pPr>
        <w:pStyle w:val="3"/>
        <w:spacing w:line="241" w:lineRule="auto"/>
        <w:ind w:firstLine="210"/>
        <w:rPr>
          <w:rFonts w:hint="eastAsia" w:ascii="宋体" w:hAnsi="宋体" w:eastAsia="宋体" w:cs="宋体"/>
          <w:color w:val="auto"/>
          <w:highlight w:val="none"/>
          <w:lang w:eastAsia="zh-CN"/>
        </w:rPr>
      </w:pPr>
    </w:p>
    <w:p w14:paraId="4AE85993">
      <w:pPr>
        <w:pStyle w:val="3"/>
        <w:spacing w:line="241" w:lineRule="auto"/>
        <w:ind w:firstLine="210"/>
        <w:rPr>
          <w:rFonts w:hint="eastAsia" w:ascii="宋体" w:hAnsi="宋体" w:eastAsia="宋体" w:cs="宋体"/>
          <w:color w:val="auto"/>
          <w:highlight w:val="none"/>
          <w:lang w:eastAsia="zh-CN"/>
        </w:rPr>
      </w:pPr>
    </w:p>
    <w:p w14:paraId="6BAAA16C">
      <w:pPr>
        <w:pStyle w:val="3"/>
        <w:spacing w:line="241" w:lineRule="auto"/>
        <w:ind w:firstLine="210"/>
        <w:rPr>
          <w:rFonts w:hint="eastAsia" w:ascii="宋体" w:hAnsi="宋体" w:eastAsia="宋体" w:cs="宋体"/>
          <w:color w:val="auto"/>
          <w:highlight w:val="none"/>
          <w:lang w:eastAsia="zh-CN"/>
        </w:rPr>
      </w:pPr>
    </w:p>
    <w:p w14:paraId="52C29E83">
      <w:pPr>
        <w:pStyle w:val="3"/>
        <w:spacing w:line="241" w:lineRule="auto"/>
        <w:ind w:firstLine="210"/>
        <w:rPr>
          <w:rFonts w:hint="eastAsia" w:ascii="宋体" w:hAnsi="宋体" w:eastAsia="宋体" w:cs="宋体"/>
          <w:color w:val="auto"/>
          <w:highlight w:val="none"/>
          <w:lang w:eastAsia="zh-CN"/>
        </w:rPr>
      </w:pPr>
    </w:p>
    <w:p w14:paraId="6F22AF9F">
      <w:pPr>
        <w:pStyle w:val="3"/>
        <w:spacing w:line="241" w:lineRule="auto"/>
        <w:ind w:firstLine="210"/>
        <w:rPr>
          <w:rFonts w:hint="eastAsia" w:ascii="宋体" w:hAnsi="宋体" w:eastAsia="宋体" w:cs="宋体"/>
          <w:color w:val="auto"/>
          <w:highlight w:val="none"/>
          <w:lang w:eastAsia="zh-CN"/>
        </w:rPr>
      </w:pPr>
    </w:p>
    <w:p w14:paraId="7E2ECF08">
      <w:pPr>
        <w:pStyle w:val="3"/>
        <w:spacing w:line="241" w:lineRule="auto"/>
        <w:ind w:firstLine="210"/>
        <w:rPr>
          <w:rFonts w:hint="eastAsia" w:ascii="宋体" w:hAnsi="宋体" w:eastAsia="宋体" w:cs="宋体"/>
          <w:color w:val="auto"/>
          <w:highlight w:val="none"/>
          <w:lang w:eastAsia="zh-CN"/>
        </w:rPr>
      </w:pPr>
    </w:p>
    <w:p w14:paraId="62D0DBC4">
      <w:pPr>
        <w:pStyle w:val="3"/>
        <w:spacing w:line="241" w:lineRule="auto"/>
        <w:ind w:firstLine="210"/>
        <w:rPr>
          <w:rFonts w:hint="eastAsia" w:ascii="宋体" w:hAnsi="宋体" w:eastAsia="宋体" w:cs="宋体"/>
          <w:color w:val="auto"/>
          <w:highlight w:val="none"/>
          <w:lang w:eastAsia="zh-CN"/>
        </w:rPr>
      </w:pPr>
    </w:p>
    <w:p w14:paraId="006B0079">
      <w:pPr>
        <w:pStyle w:val="3"/>
        <w:spacing w:line="241" w:lineRule="auto"/>
        <w:ind w:firstLine="210"/>
        <w:rPr>
          <w:rFonts w:hint="eastAsia" w:ascii="宋体" w:hAnsi="宋体" w:eastAsia="宋体" w:cs="宋体"/>
          <w:color w:val="auto"/>
          <w:highlight w:val="none"/>
          <w:lang w:eastAsia="zh-CN"/>
        </w:rPr>
      </w:pPr>
    </w:p>
    <w:p w14:paraId="08042ABF">
      <w:pPr>
        <w:pStyle w:val="3"/>
        <w:spacing w:line="241" w:lineRule="auto"/>
        <w:ind w:firstLine="210"/>
        <w:rPr>
          <w:rFonts w:hint="eastAsia" w:ascii="宋体" w:hAnsi="宋体" w:eastAsia="宋体" w:cs="宋体"/>
          <w:color w:val="auto"/>
          <w:highlight w:val="none"/>
          <w:lang w:eastAsia="zh-CN"/>
        </w:rPr>
      </w:pPr>
    </w:p>
    <w:p w14:paraId="5EF2ADEE">
      <w:pPr>
        <w:pStyle w:val="3"/>
        <w:spacing w:line="241" w:lineRule="auto"/>
        <w:ind w:firstLine="210"/>
        <w:rPr>
          <w:rFonts w:hint="eastAsia" w:ascii="宋体" w:hAnsi="宋体" w:eastAsia="宋体" w:cs="宋体"/>
          <w:color w:val="auto"/>
          <w:highlight w:val="none"/>
          <w:lang w:eastAsia="zh-CN"/>
        </w:rPr>
      </w:pPr>
    </w:p>
    <w:p w14:paraId="16A3F153">
      <w:pPr>
        <w:pStyle w:val="3"/>
        <w:spacing w:line="241" w:lineRule="auto"/>
        <w:ind w:firstLine="210"/>
        <w:rPr>
          <w:rFonts w:hint="eastAsia" w:ascii="宋体" w:hAnsi="宋体" w:eastAsia="宋体" w:cs="宋体"/>
          <w:color w:val="auto"/>
          <w:highlight w:val="none"/>
          <w:lang w:eastAsia="zh-CN"/>
        </w:rPr>
      </w:pPr>
    </w:p>
    <w:p w14:paraId="04077132">
      <w:pPr>
        <w:pStyle w:val="3"/>
        <w:spacing w:line="241" w:lineRule="auto"/>
        <w:ind w:firstLine="210"/>
        <w:rPr>
          <w:rFonts w:hint="eastAsia" w:ascii="宋体" w:hAnsi="宋体" w:eastAsia="宋体" w:cs="宋体"/>
          <w:color w:val="auto"/>
          <w:highlight w:val="none"/>
          <w:lang w:eastAsia="zh-CN"/>
        </w:rPr>
      </w:pPr>
    </w:p>
    <w:p w14:paraId="29BBB53F">
      <w:pPr>
        <w:pStyle w:val="3"/>
        <w:spacing w:line="241" w:lineRule="auto"/>
        <w:ind w:firstLine="210"/>
        <w:rPr>
          <w:rFonts w:hint="eastAsia" w:ascii="宋体" w:hAnsi="宋体" w:eastAsia="宋体" w:cs="宋体"/>
          <w:color w:val="auto"/>
          <w:highlight w:val="none"/>
          <w:lang w:eastAsia="zh-CN"/>
        </w:rPr>
      </w:pPr>
    </w:p>
    <w:p w14:paraId="601625AF">
      <w:pPr>
        <w:pStyle w:val="3"/>
        <w:spacing w:line="241" w:lineRule="auto"/>
        <w:ind w:firstLine="210"/>
        <w:rPr>
          <w:rFonts w:hint="eastAsia" w:ascii="宋体" w:hAnsi="宋体" w:eastAsia="宋体" w:cs="宋体"/>
          <w:color w:val="auto"/>
          <w:highlight w:val="none"/>
          <w:lang w:eastAsia="zh-CN"/>
        </w:rPr>
      </w:pPr>
    </w:p>
    <w:p w14:paraId="503D508A">
      <w:pPr>
        <w:pStyle w:val="3"/>
        <w:spacing w:line="241" w:lineRule="auto"/>
        <w:ind w:firstLine="210"/>
        <w:rPr>
          <w:rFonts w:hint="eastAsia" w:ascii="宋体" w:hAnsi="宋体" w:eastAsia="宋体" w:cs="宋体"/>
          <w:color w:val="auto"/>
          <w:highlight w:val="none"/>
          <w:lang w:eastAsia="zh-CN"/>
        </w:rPr>
      </w:pPr>
    </w:p>
    <w:p w14:paraId="632CE559">
      <w:pPr>
        <w:pStyle w:val="3"/>
        <w:spacing w:line="241" w:lineRule="auto"/>
        <w:ind w:firstLine="210"/>
        <w:rPr>
          <w:rFonts w:hint="eastAsia" w:ascii="宋体" w:hAnsi="宋体" w:eastAsia="宋体" w:cs="宋体"/>
          <w:color w:val="auto"/>
          <w:highlight w:val="none"/>
          <w:lang w:eastAsia="zh-CN"/>
        </w:rPr>
      </w:pPr>
    </w:p>
    <w:p w14:paraId="4A1ED603">
      <w:pPr>
        <w:pStyle w:val="3"/>
        <w:spacing w:line="242" w:lineRule="auto"/>
        <w:ind w:firstLine="210"/>
        <w:rPr>
          <w:rFonts w:hint="eastAsia" w:ascii="宋体" w:hAnsi="宋体" w:eastAsia="宋体" w:cs="宋体"/>
          <w:color w:val="auto"/>
          <w:highlight w:val="none"/>
          <w:lang w:eastAsia="zh-CN"/>
        </w:rPr>
      </w:pPr>
    </w:p>
    <w:p w14:paraId="5D4D3D2C">
      <w:pPr>
        <w:spacing w:before="154" w:line="359" w:lineRule="auto"/>
        <w:ind w:left="526" w:firstLine="756" w:firstLineChars="300"/>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34"/>
          <w:sz w:val="32"/>
          <w:szCs w:val="32"/>
          <w:highlight w:val="none"/>
          <w:lang w:eastAsia="zh-CN"/>
        </w:rPr>
        <w:t>招标人：</w:t>
      </w:r>
      <w:r>
        <w:rPr>
          <w:rFonts w:hint="eastAsia" w:ascii="宋体" w:hAnsi="宋体" w:eastAsia="宋体" w:cs="宋体"/>
          <w:color w:val="auto"/>
          <w:sz w:val="28"/>
          <w:szCs w:val="28"/>
          <w:highlight w:val="none"/>
          <w:u w:val="single"/>
          <w:lang w:eastAsia="zh-CN"/>
        </w:rPr>
        <w:t>绍兴市镜湖综合保护投资建设有限公司</w:t>
      </w:r>
    </w:p>
    <w:p w14:paraId="6057224B">
      <w:pPr>
        <w:spacing w:before="1" w:line="182" w:lineRule="auto"/>
        <w:ind w:left="526" w:firstLine="783" w:firstLineChars="300"/>
        <w:rPr>
          <w:rFonts w:hint="eastAsia" w:ascii="宋体" w:hAnsi="宋体" w:eastAsia="宋体" w:cs="宋体"/>
          <w:color w:val="auto"/>
          <w:sz w:val="28"/>
          <w:szCs w:val="28"/>
          <w:highlight w:val="none"/>
          <w:lang w:eastAsia="zh-CN"/>
        </w:rPr>
      </w:pPr>
      <w:r>
        <w:rPr>
          <w:rFonts w:hint="eastAsia" w:ascii="宋体" w:hAnsi="宋体" w:eastAsia="宋体" w:cs="宋体"/>
          <w:color w:val="auto"/>
          <w:spacing w:val="-23"/>
          <w:w w:val="96"/>
          <w:sz w:val="32"/>
          <w:szCs w:val="32"/>
          <w:highlight w:val="none"/>
          <w:lang w:eastAsia="zh-CN"/>
        </w:rPr>
        <w:t>招标代理机构：</w:t>
      </w:r>
      <w:r>
        <w:rPr>
          <w:rFonts w:hint="eastAsia" w:ascii="宋体" w:hAnsi="宋体" w:eastAsia="宋体" w:cs="宋体"/>
          <w:color w:val="auto"/>
          <w:sz w:val="28"/>
          <w:szCs w:val="28"/>
          <w:highlight w:val="none"/>
          <w:u w:val="single"/>
          <w:lang w:eastAsia="zh-CN"/>
        </w:rPr>
        <w:t>绍兴明晨建设项目管理有限公司</w:t>
      </w:r>
    </w:p>
    <w:p w14:paraId="556BF1AD">
      <w:pPr>
        <w:spacing w:before="1" w:line="182" w:lineRule="auto"/>
        <w:ind w:left="526"/>
        <w:rPr>
          <w:color w:val="auto"/>
          <w:sz w:val="32"/>
          <w:szCs w:val="32"/>
          <w:highlight w:val="none"/>
          <w:lang w:eastAsia="zh-CN"/>
        </w:rPr>
      </w:pPr>
    </w:p>
    <w:p w14:paraId="1200B72A">
      <w:pPr>
        <w:pStyle w:val="3"/>
        <w:spacing w:line="306" w:lineRule="auto"/>
        <w:ind w:firstLine="210"/>
        <w:rPr>
          <w:color w:val="auto"/>
          <w:highlight w:val="none"/>
          <w:lang w:eastAsia="zh-CN"/>
        </w:rPr>
      </w:pPr>
    </w:p>
    <w:p w14:paraId="3C1C26D8">
      <w:pPr>
        <w:pStyle w:val="3"/>
        <w:spacing w:line="307" w:lineRule="auto"/>
        <w:ind w:firstLine="210"/>
        <w:rPr>
          <w:color w:val="auto"/>
          <w:highlight w:val="none"/>
          <w:lang w:eastAsia="zh-CN"/>
        </w:rPr>
      </w:pPr>
    </w:p>
    <w:p w14:paraId="2F9B06B7">
      <w:pPr>
        <w:tabs>
          <w:tab w:val="left" w:pos="3970"/>
        </w:tabs>
        <w:spacing w:before="129" w:line="183" w:lineRule="auto"/>
        <w:ind w:left="2770"/>
        <w:rPr>
          <w:rFonts w:hint="eastAsia" w:ascii="宋体" w:hAnsi="宋体" w:eastAsia="宋体" w:cs="宋体"/>
          <w:color w:val="auto"/>
          <w:sz w:val="30"/>
          <w:szCs w:val="30"/>
          <w:highlight w:val="none"/>
        </w:rPr>
      </w:pPr>
      <w:r>
        <w:rPr>
          <w:rFonts w:hint="eastAsia" w:ascii="宋体" w:hAnsi="宋体" w:eastAsia="宋体" w:cs="宋体"/>
          <w:color w:val="auto"/>
          <w:sz w:val="30"/>
          <w:szCs w:val="30"/>
          <w:highlight w:val="none"/>
          <w:u w:val="single"/>
          <w:lang w:eastAsia="zh-CN"/>
        </w:rPr>
        <w:t xml:space="preserve"> </w:t>
      </w:r>
      <w:r>
        <w:rPr>
          <w:rFonts w:hint="eastAsia" w:ascii="宋体" w:hAnsi="宋体" w:eastAsia="宋体" w:cs="宋体"/>
          <w:color w:val="auto"/>
          <w:sz w:val="30"/>
          <w:szCs w:val="30"/>
          <w:highlight w:val="none"/>
          <w:u w:val="single"/>
          <w:lang w:val="en-US" w:eastAsia="zh-CN"/>
        </w:rPr>
        <w:t>2026</w:t>
      </w:r>
      <w:r>
        <w:rPr>
          <w:rFonts w:hint="eastAsia" w:ascii="宋体" w:hAnsi="宋体" w:eastAsia="宋体" w:cs="宋体"/>
          <w:color w:val="auto"/>
          <w:sz w:val="30"/>
          <w:szCs w:val="30"/>
          <w:highlight w:val="none"/>
          <w:u w:val="single"/>
          <w:lang w:eastAsia="zh-CN"/>
        </w:rPr>
        <w:t xml:space="preserve"> </w:t>
      </w:r>
      <w:r>
        <w:rPr>
          <w:rFonts w:hint="eastAsia" w:ascii="宋体" w:hAnsi="宋体" w:eastAsia="宋体" w:cs="宋体"/>
          <w:color w:val="auto"/>
          <w:spacing w:val="-83"/>
          <w:sz w:val="30"/>
          <w:szCs w:val="30"/>
          <w:highlight w:val="none"/>
        </w:rPr>
        <w:t xml:space="preserve"> </w:t>
      </w:r>
      <w:r>
        <w:rPr>
          <w:rFonts w:hint="eastAsia" w:ascii="宋体" w:hAnsi="宋体" w:eastAsia="宋体" w:cs="宋体"/>
          <w:color w:val="auto"/>
          <w:spacing w:val="-3"/>
          <w:sz w:val="30"/>
          <w:szCs w:val="30"/>
          <w:highlight w:val="none"/>
        </w:rPr>
        <w:t>年</w:t>
      </w:r>
      <w:r>
        <w:rPr>
          <w:rFonts w:hint="eastAsia" w:ascii="宋体" w:hAnsi="宋体" w:eastAsia="宋体" w:cs="宋体"/>
          <w:color w:val="auto"/>
          <w:spacing w:val="-83"/>
          <w:sz w:val="30"/>
          <w:szCs w:val="30"/>
          <w:highlight w:val="none"/>
          <w:u w:val="single"/>
          <w:lang w:val="en-US" w:eastAsia="zh-CN"/>
        </w:rPr>
        <w:t xml:space="preserve">  </w:t>
      </w:r>
      <w:r>
        <w:rPr>
          <w:rFonts w:hint="eastAsia" w:ascii="宋体" w:hAnsi="宋体" w:eastAsia="宋体" w:cs="宋体"/>
          <w:color w:val="auto"/>
          <w:sz w:val="30"/>
          <w:szCs w:val="30"/>
          <w:highlight w:val="none"/>
          <w:u w:val="single"/>
          <w:lang w:val="en-US" w:eastAsia="zh-CN"/>
        </w:rPr>
        <w:t xml:space="preserve"> 3  </w:t>
      </w:r>
      <w:r>
        <w:rPr>
          <w:rFonts w:hint="eastAsia" w:ascii="宋体" w:hAnsi="宋体" w:eastAsia="宋体" w:cs="宋体"/>
          <w:color w:val="auto"/>
          <w:spacing w:val="-3"/>
          <w:sz w:val="30"/>
          <w:szCs w:val="30"/>
          <w:highlight w:val="none"/>
        </w:rPr>
        <w:t>月</w:t>
      </w:r>
    </w:p>
    <w:p w14:paraId="1CA6E4F6">
      <w:pPr>
        <w:rPr>
          <w:rFonts w:ascii="Times New Roman" w:hAnsi="Times New Roman" w:eastAsia="微软雅黑" w:cs="Times New Roman"/>
          <w:color w:val="auto"/>
          <w:sz w:val="30"/>
          <w:szCs w:val="30"/>
          <w:highlight w:val="none"/>
          <w:lang w:eastAsia="zh-CN"/>
        </w:rPr>
      </w:pPr>
      <w:r>
        <w:rPr>
          <w:rFonts w:ascii="Times New Roman" w:hAnsi="Times New Roman" w:eastAsia="微软雅黑" w:cs="Times New Roman"/>
          <w:color w:val="auto"/>
          <w:sz w:val="30"/>
          <w:szCs w:val="30"/>
          <w:highlight w:val="none"/>
          <w:lang w:eastAsia="zh-CN"/>
        </w:rPr>
        <w:br w:type="page"/>
      </w:r>
    </w:p>
    <w:p w14:paraId="3B41A717">
      <w:pPr>
        <w:jc w:val="center"/>
        <w:rPr>
          <w:rFonts w:ascii="Times New Roman" w:hAnsi="Times New Roman" w:eastAsia="微软雅黑" w:cs="Times New Roman"/>
          <w:color w:val="auto"/>
          <w:sz w:val="30"/>
          <w:szCs w:val="30"/>
          <w:highlight w:val="none"/>
          <w:lang w:eastAsia="zh-CN"/>
        </w:rPr>
        <w:sectPr>
          <w:footerReference r:id="rId9" w:type="default"/>
          <w:pgSz w:w="11905" w:h="16843"/>
          <w:pgMar w:top="1429" w:right="1361" w:bottom="1253" w:left="1621" w:header="0" w:footer="1094" w:gutter="0"/>
          <w:pgNumType w:fmt="decimal"/>
          <w:cols w:space="0" w:num="1"/>
          <w:rtlGutter w:val="0"/>
          <w:docGrid w:linePitch="0" w:charSpace="0"/>
        </w:sectPr>
      </w:pPr>
    </w:p>
    <w:sdt>
      <w:sdtPr>
        <w:rPr>
          <w:rFonts w:ascii="宋体" w:hAnsi="宋体" w:eastAsia="宋体" w:cs="Arial"/>
          <w:snapToGrid w:val="0"/>
          <w:color w:val="auto"/>
          <w:kern w:val="0"/>
          <w:sz w:val="21"/>
          <w:szCs w:val="21"/>
          <w:highlight w:val="none"/>
          <w:lang w:val="en-US" w:eastAsia="en-US" w:bidi="ar-SA"/>
        </w:rPr>
        <w:id w:val="147483499"/>
        <w15:color w:val="DBDBDB"/>
        <w:docPartObj>
          <w:docPartGallery w:val="Table of Contents"/>
          <w:docPartUnique/>
        </w:docPartObj>
      </w:sdtPr>
      <w:sdtEndPr>
        <w:rPr>
          <w:rFonts w:ascii="Times New Roman" w:hAnsi="Times New Roman" w:eastAsia="Times New Roman" w:cs="Times New Roman"/>
          <w:snapToGrid w:val="0"/>
          <w:color w:val="auto"/>
          <w:kern w:val="0"/>
          <w:sz w:val="21"/>
          <w:szCs w:val="21"/>
          <w:highlight w:val="none"/>
          <w:lang w:val="en-US" w:eastAsia="en-US" w:bidi="ar-SA"/>
        </w:rPr>
      </w:sdtEndPr>
      <w:sdtContent>
        <w:p w14:paraId="1450EAB1">
          <w:pPr>
            <w:spacing w:before="0" w:beforeLines="0" w:after="0" w:afterLines="0" w:line="240" w:lineRule="auto"/>
            <w:ind w:left="0" w:leftChars="0" w:right="0" w:rightChars="0" w:firstLine="0" w:firstLineChars="0"/>
            <w:jc w:val="center"/>
            <w:rPr>
              <w:color w:val="auto"/>
              <w:highlight w:val="none"/>
            </w:rPr>
          </w:pPr>
          <w:r>
            <w:rPr>
              <w:rFonts w:ascii="宋体" w:hAnsi="宋体" w:eastAsia="宋体"/>
              <w:color w:val="auto"/>
              <w:sz w:val="21"/>
              <w:highlight w:val="none"/>
            </w:rPr>
            <w:t>目录</w:t>
          </w:r>
        </w:p>
        <w:p w14:paraId="561EF76B">
          <w:pPr>
            <w:pStyle w:val="12"/>
            <w:tabs>
              <w:tab w:val="right" w:leader="dot" w:pos="8923"/>
            </w:tabs>
          </w:pPr>
          <w:r>
            <w:rPr>
              <w:rFonts w:ascii="Times New Roman" w:hAnsi="Times New Roman" w:eastAsia="Times New Roman" w:cs="Times New Roman"/>
              <w:color w:val="auto"/>
              <w:sz w:val="21"/>
              <w:szCs w:val="21"/>
              <w:highlight w:val="none"/>
            </w:rPr>
            <w:fldChar w:fldCharType="begin"/>
          </w:r>
          <w:r>
            <w:rPr>
              <w:rFonts w:ascii="Times New Roman" w:hAnsi="Times New Roman" w:eastAsia="Times New Roman" w:cs="Times New Roman"/>
              <w:color w:val="auto"/>
              <w:sz w:val="21"/>
              <w:szCs w:val="21"/>
              <w:highlight w:val="none"/>
            </w:rPr>
            <w:instrText xml:space="preserve">TOC \o "1-3" \h \u </w:instrText>
          </w:r>
          <w:r>
            <w:rPr>
              <w:rFonts w:ascii="Times New Roman" w:hAnsi="Times New Roman" w:eastAsia="Times New Roman" w:cs="Times New Roman"/>
              <w:color w:val="auto"/>
              <w:sz w:val="21"/>
              <w:szCs w:val="21"/>
              <w:highlight w:val="none"/>
            </w:rPr>
            <w:fldChar w:fldCharType="separate"/>
          </w: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_Toc6918 </w:instrText>
          </w:r>
          <w:r>
            <w:rPr>
              <w:rFonts w:ascii="Times New Roman" w:hAnsi="Times New Roman" w:eastAsia="Times New Roman" w:cs="Times New Roman"/>
              <w:szCs w:val="21"/>
              <w:highlight w:val="none"/>
            </w:rPr>
            <w:fldChar w:fldCharType="separate"/>
          </w:r>
          <w:r>
            <w:rPr>
              <w:rFonts w:ascii="华文仿宋" w:hAnsi="华文仿宋" w:eastAsia="华文仿宋" w:cs="华文仿宋"/>
              <w:bCs/>
              <w:spacing w:val="-11"/>
              <w:szCs w:val="52"/>
              <w:highlight w:val="none"/>
            </w:rPr>
            <w:t>浙江省水利水电工程</w:t>
          </w:r>
          <w:r>
            <w:tab/>
          </w:r>
          <w:r>
            <w:fldChar w:fldCharType="begin"/>
          </w:r>
          <w:r>
            <w:instrText xml:space="preserve"> PAGEREF _Toc6918 \h </w:instrText>
          </w:r>
          <w:r>
            <w:fldChar w:fldCharType="separate"/>
          </w:r>
          <w:r>
            <w:t>1</w:t>
          </w:r>
          <w:r>
            <w:fldChar w:fldCharType="end"/>
          </w:r>
          <w:r>
            <w:rPr>
              <w:rFonts w:ascii="Times New Roman" w:hAnsi="Times New Roman" w:eastAsia="Times New Roman" w:cs="Times New Roman"/>
              <w:color w:val="auto"/>
              <w:szCs w:val="21"/>
              <w:highlight w:val="none"/>
            </w:rPr>
            <w:fldChar w:fldCharType="end"/>
          </w:r>
        </w:p>
        <w:p w14:paraId="29C352A8">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_Toc6622 </w:instrText>
          </w:r>
          <w:r>
            <w:rPr>
              <w:rFonts w:ascii="Times New Roman" w:hAnsi="Times New Roman" w:eastAsia="Times New Roman" w:cs="Times New Roman"/>
              <w:szCs w:val="21"/>
              <w:highlight w:val="none"/>
            </w:rPr>
            <w:fldChar w:fldCharType="separate"/>
          </w:r>
          <w:r>
            <w:rPr>
              <w:rFonts w:ascii="仿宋" w:hAnsi="仿宋" w:eastAsia="仿宋" w:cs="仿宋"/>
              <w:bCs/>
              <w:spacing w:val="-5"/>
              <w:szCs w:val="51"/>
            </w:rPr>
            <w:t>修订稿</w:t>
          </w:r>
          <w:r>
            <w:tab/>
          </w:r>
          <w:r>
            <w:fldChar w:fldCharType="begin"/>
          </w:r>
          <w:r>
            <w:instrText xml:space="preserve"> PAGEREF _Toc6622 \h </w:instrText>
          </w:r>
          <w:r>
            <w:fldChar w:fldCharType="separate"/>
          </w:r>
          <w:r>
            <w:t>1</w:t>
          </w:r>
          <w:r>
            <w:fldChar w:fldCharType="end"/>
          </w:r>
          <w:r>
            <w:rPr>
              <w:rFonts w:ascii="Times New Roman" w:hAnsi="Times New Roman" w:eastAsia="Times New Roman" w:cs="Times New Roman"/>
              <w:color w:val="auto"/>
              <w:szCs w:val="21"/>
              <w:highlight w:val="none"/>
            </w:rPr>
            <w:fldChar w:fldCharType="end"/>
          </w:r>
        </w:p>
        <w:p w14:paraId="49A2B394">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_Toc504 </w:instrText>
          </w:r>
          <w:r>
            <w:rPr>
              <w:rFonts w:ascii="Times New Roman" w:hAnsi="Times New Roman" w:eastAsia="Times New Roman" w:cs="Times New Roman"/>
              <w:szCs w:val="21"/>
              <w:highlight w:val="none"/>
            </w:rPr>
            <w:fldChar w:fldCharType="separate"/>
          </w:r>
          <w:r>
            <w:rPr>
              <w:rFonts w:ascii="楷体" w:hAnsi="楷体" w:eastAsia="楷体" w:cs="楷体"/>
              <w:bCs/>
              <w:spacing w:val="-1"/>
              <w:szCs w:val="36"/>
            </w:rPr>
            <w:t>二〇二五年十二月</w:t>
          </w:r>
          <w:r>
            <w:tab/>
          </w:r>
          <w:r>
            <w:fldChar w:fldCharType="begin"/>
          </w:r>
          <w:r>
            <w:instrText xml:space="preserve"> PAGEREF _Toc504 \h </w:instrText>
          </w:r>
          <w:r>
            <w:fldChar w:fldCharType="separate"/>
          </w:r>
          <w:r>
            <w:t>1</w:t>
          </w:r>
          <w:r>
            <w:fldChar w:fldCharType="end"/>
          </w:r>
          <w:r>
            <w:rPr>
              <w:rFonts w:ascii="Times New Roman" w:hAnsi="Times New Roman" w:eastAsia="Times New Roman" w:cs="Times New Roman"/>
              <w:color w:val="auto"/>
              <w:szCs w:val="21"/>
              <w:highlight w:val="none"/>
            </w:rPr>
            <w:fldChar w:fldCharType="end"/>
          </w:r>
        </w:p>
        <w:p w14:paraId="6A0242AE">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_Toc16503 </w:instrText>
          </w:r>
          <w:r>
            <w:rPr>
              <w:rFonts w:ascii="Times New Roman" w:hAnsi="Times New Roman" w:eastAsia="Times New Roman" w:cs="Times New Roman"/>
              <w:szCs w:val="21"/>
              <w:highlight w:val="none"/>
            </w:rPr>
            <w:fldChar w:fldCharType="separate"/>
          </w:r>
          <w:r>
            <w:rPr>
              <w:rFonts w:ascii="宋体" w:hAnsi="宋体" w:eastAsia="宋体" w:cs="宋体"/>
              <w:bCs/>
              <w:spacing w:val="-17"/>
              <w:szCs w:val="36"/>
              <w:highlight w:val="none"/>
            </w:rPr>
            <w:t>使</w:t>
          </w:r>
          <w:r>
            <w:rPr>
              <w:rFonts w:ascii="宋体" w:hAnsi="宋体" w:eastAsia="宋体" w:cs="宋体"/>
              <w:spacing w:val="20"/>
              <w:szCs w:val="36"/>
              <w:highlight w:val="none"/>
            </w:rPr>
            <w:t xml:space="preserve"> </w:t>
          </w:r>
          <w:r>
            <w:rPr>
              <w:rFonts w:ascii="宋体" w:hAnsi="宋体" w:eastAsia="宋体" w:cs="宋体"/>
              <w:bCs/>
              <w:spacing w:val="-17"/>
              <w:szCs w:val="36"/>
              <w:highlight w:val="none"/>
            </w:rPr>
            <w:t>用</w:t>
          </w:r>
          <w:r>
            <w:rPr>
              <w:rFonts w:ascii="宋体" w:hAnsi="宋体" w:eastAsia="宋体" w:cs="宋体"/>
              <w:spacing w:val="21"/>
              <w:szCs w:val="36"/>
              <w:highlight w:val="none"/>
            </w:rPr>
            <w:t xml:space="preserve"> </w:t>
          </w:r>
          <w:r>
            <w:rPr>
              <w:rFonts w:ascii="宋体" w:hAnsi="宋体" w:eastAsia="宋体" w:cs="宋体"/>
              <w:bCs/>
              <w:spacing w:val="-17"/>
              <w:szCs w:val="36"/>
              <w:highlight w:val="none"/>
            </w:rPr>
            <w:t>说</w:t>
          </w:r>
          <w:r>
            <w:rPr>
              <w:rFonts w:ascii="宋体" w:hAnsi="宋体" w:eastAsia="宋体" w:cs="宋体"/>
              <w:spacing w:val="50"/>
              <w:szCs w:val="36"/>
              <w:highlight w:val="none"/>
            </w:rPr>
            <w:t xml:space="preserve"> </w:t>
          </w:r>
          <w:r>
            <w:rPr>
              <w:rFonts w:ascii="宋体" w:hAnsi="宋体" w:eastAsia="宋体" w:cs="宋体"/>
              <w:bCs/>
              <w:spacing w:val="-17"/>
              <w:szCs w:val="36"/>
              <w:highlight w:val="none"/>
            </w:rPr>
            <w:t>明</w:t>
          </w:r>
          <w:r>
            <w:tab/>
          </w:r>
          <w:r>
            <w:fldChar w:fldCharType="begin"/>
          </w:r>
          <w:r>
            <w:instrText xml:space="preserve"> PAGEREF _Toc16503 \h </w:instrText>
          </w:r>
          <w:r>
            <w:fldChar w:fldCharType="separate"/>
          </w:r>
          <w:r>
            <w:t>1</w:t>
          </w:r>
          <w:r>
            <w:fldChar w:fldCharType="end"/>
          </w:r>
          <w:r>
            <w:rPr>
              <w:rFonts w:ascii="Times New Roman" w:hAnsi="Times New Roman" w:eastAsia="Times New Roman" w:cs="Times New Roman"/>
              <w:color w:val="auto"/>
              <w:szCs w:val="21"/>
              <w:highlight w:val="none"/>
            </w:rPr>
            <w:fldChar w:fldCharType="end"/>
          </w:r>
        </w:p>
        <w:p w14:paraId="1239488E">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_Toc29318 </w:instrText>
          </w:r>
          <w:r>
            <w:rPr>
              <w:rFonts w:ascii="Times New Roman" w:hAnsi="Times New Roman" w:eastAsia="Times New Roman" w:cs="Times New Roman"/>
              <w:szCs w:val="21"/>
              <w:highlight w:val="none"/>
            </w:rPr>
            <w:fldChar w:fldCharType="separate"/>
          </w:r>
          <w:r>
            <w:rPr>
              <w:rFonts w:ascii="黑体" w:hAnsi="黑体" w:eastAsia="黑体" w:cs="黑体"/>
              <w:bCs/>
              <w:spacing w:val="-21"/>
              <w:szCs w:val="48"/>
              <w:highlight w:val="none"/>
            </w:rPr>
            <w:t>第</w:t>
          </w:r>
          <w:r>
            <w:rPr>
              <w:rFonts w:ascii="黑体" w:hAnsi="黑体" w:eastAsia="黑体" w:cs="黑体"/>
              <w:spacing w:val="30"/>
              <w:szCs w:val="48"/>
              <w:highlight w:val="none"/>
            </w:rPr>
            <w:t xml:space="preserve"> </w:t>
          </w:r>
          <w:r>
            <w:rPr>
              <w:rFonts w:ascii="黑体" w:hAnsi="黑体" w:eastAsia="黑体" w:cs="黑体"/>
              <w:bCs/>
              <w:spacing w:val="-21"/>
              <w:szCs w:val="48"/>
              <w:highlight w:val="none"/>
            </w:rPr>
            <w:t>一</w:t>
          </w:r>
          <w:r>
            <w:rPr>
              <w:rFonts w:ascii="黑体" w:hAnsi="黑体" w:eastAsia="黑体" w:cs="黑体"/>
              <w:spacing w:val="29"/>
              <w:szCs w:val="48"/>
              <w:highlight w:val="none"/>
            </w:rPr>
            <w:t xml:space="preserve"> </w:t>
          </w:r>
          <w:r>
            <w:rPr>
              <w:rFonts w:ascii="黑体" w:hAnsi="黑体" w:eastAsia="黑体" w:cs="黑体"/>
              <w:bCs/>
              <w:spacing w:val="-21"/>
              <w:szCs w:val="48"/>
              <w:highlight w:val="none"/>
            </w:rPr>
            <w:t>卷</w:t>
          </w:r>
          <w:r>
            <w:tab/>
          </w:r>
          <w:r>
            <w:fldChar w:fldCharType="begin"/>
          </w:r>
          <w:r>
            <w:instrText xml:space="preserve"> PAGEREF _Toc29318 \h </w:instrText>
          </w:r>
          <w:r>
            <w:fldChar w:fldCharType="separate"/>
          </w:r>
          <w:r>
            <w:t>14</w:t>
          </w:r>
          <w:r>
            <w:fldChar w:fldCharType="end"/>
          </w:r>
          <w:r>
            <w:rPr>
              <w:rFonts w:ascii="Times New Roman" w:hAnsi="Times New Roman" w:eastAsia="Times New Roman" w:cs="Times New Roman"/>
              <w:color w:val="auto"/>
              <w:szCs w:val="21"/>
              <w:highlight w:val="none"/>
            </w:rPr>
            <w:fldChar w:fldCharType="end"/>
          </w:r>
        </w:p>
        <w:p w14:paraId="692302AE">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_Toc24036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36"/>
              <w:highlight w:val="none"/>
            </w:rPr>
            <w:t>第一章</w:t>
          </w:r>
          <w:r>
            <w:rPr>
              <w:rFonts w:ascii="宋体" w:hAnsi="宋体" w:eastAsia="宋体" w:cs="宋体"/>
              <w:spacing w:val="-3"/>
              <w:szCs w:val="36"/>
              <w:highlight w:val="none"/>
            </w:rPr>
            <w:t xml:space="preserve">  </w:t>
          </w:r>
          <w:r>
            <w:rPr>
              <w:rFonts w:ascii="宋体" w:hAnsi="宋体" w:eastAsia="宋体" w:cs="宋体"/>
              <w:bCs/>
              <w:spacing w:val="-3"/>
              <w:szCs w:val="36"/>
              <w:highlight w:val="none"/>
            </w:rPr>
            <w:t>招标公告（适用于资格后审招标）</w:t>
          </w:r>
          <w:r>
            <w:tab/>
          </w:r>
          <w:r>
            <w:fldChar w:fldCharType="begin"/>
          </w:r>
          <w:r>
            <w:instrText xml:space="preserve"> PAGEREF _Toc24036 \h </w:instrText>
          </w:r>
          <w:r>
            <w:fldChar w:fldCharType="separate"/>
          </w:r>
          <w:r>
            <w:t>15</w:t>
          </w:r>
          <w:r>
            <w:fldChar w:fldCharType="end"/>
          </w:r>
          <w:r>
            <w:rPr>
              <w:rFonts w:ascii="Times New Roman" w:hAnsi="Times New Roman" w:eastAsia="Times New Roman" w:cs="Times New Roman"/>
              <w:color w:val="auto"/>
              <w:szCs w:val="21"/>
              <w:highlight w:val="none"/>
            </w:rPr>
            <w:fldChar w:fldCharType="end"/>
          </w:r>
        </w:p>
        <w:p w14:paraId="205EEE4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_Toc30875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8"/>
              <w:szCs w:val="28"/>
              <w:highlight w:val="none"/>
            </w:rPr>
            <w:t>1</w:t>
          </w:r>
          <w:r>
            <w:rPr>
              <w:rFonts w:ascii="Times New Roman" w:hAnsi="Times New Roman" w:eastAsia="Times New Roman" w:cs="Times New Roman"/>
              <w:bCs/>
              <w:spacing w:val="7"/>
              <w:szCs w:val="28"/>
              <w:highlight w:val="none"/>
            </w:rPr>
            <w:t xml:space="preserve">  </w:t>
          </w:r>
          <w:r>
            <w:rPr>
              <w:rFonts w:ascii="宋体" w:hAnsi="宋体" w:eastAsia="宋体" w:cs="宋体"/>
              <w:bCs/>
              <w:spacing w:val="-8"/>
              <w:szCs w:val="28"/>
              <w:highlight w:val="none"/>
            </w:rPr>
            <w:t>招标条件</w:t>
          </w:r>
          <w:r>
            <w:tab/>
          </w:r>
          <w:r>
            <w:fldChar w:fldCharType="begin"/>
          </w:r>
          <w:r>
            <w:instrText xml:space="preserve"> PAGEREF _Toc30875 \h </w:instrText>
          </w:r>
          <w:r>
            <w:fldChar w:fldCharType="separate"/>
          </w:r>
          <w:r>
            <w:t>15</w:t>
          </w:r>
          <w:r>
            <w:fldChar w:fldCharType="end"/>
          </w:r>
          <w:r>
            <w:rPr>
              <w:rFonts w:ascii="Times New Roman" w:hAnsi="Times New Roman" w:eastAsia="Times New Roman" w:cs="Times New Roman"/>
              <w:color w:val="auto"/>
              <w:szCs w:val="21"/>
              <w:highlight w:val="none"/>
            </w:rPr>
            <w:fldChar w:fldCharType="end"/>
          </w:r>
        </w:p>
        <w:p w14:paraId="6A417C4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_Toc11694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2  </w:t>
          </w:r>
          <w:r>
            <w:rPr>
              <w:rFonts w:ascii="宋体" w:hAnsi="宋体" w:eastAsia="宋体" w:cs="宋体"/>
              <w:bCs/>
              <w:spacing w:val="-2"/>
              <w:szCs w:val="28"/>
              <w:highlight w:val="none"/>
            </w:rPr>
            <w:t>项目概况与招标范围</w:t>
          </w:r>
          <w:r>
            <w:tab/>
          </w:r>
          <w:r>
            <w:fldChar w:fldCharType="begin"/>
          </w:r>
          <w:r>
            <w:instrText xml:space="preserve"> PAGEREF _Toc11694 \h </w:instrText>
          </w:r>
          <w:r>
            <w:fldChar w:fldCharType="separate"/>
          </w:r>
          <w:r>
            <w:t>15</w:t>
          </w:r>
          <w:r>
            <w:fldChar w:fldCharType="end"/>
          </w:r>
          <w:r>
            <w:rPr>
              <w:rFonts w:ascii="Times New Roman" w:hAnsi="Times New Roman" w:eastAsia="Times New Roman" w:cs="Times New Roman"/>
              <w:color w:val="auto"/>
              <w:szCs w:val="21"/>
              <w:highlight w:val="none"/>
            </w:rPr>
            <w:fldChar w:fldCharType="end"/>
          </w:r>
        </w:p>
        <w:p w14:paraId="0B4A504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_Toc27586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3  </w:t>
          </w:r>
          <w:r>
            <w:rPr>
              <w:rFonts w:ascii="宋体" w:hAnsi="宋体" w:eastAsia="宋体" w:cs="宋体"/>
              <w:bCs/>
              <w:spacing w:val="-2"/>
              <w:szCs w:val="28"/>
              <w:highlight w:val="none"/>
            </w:rPr>
            <w:t>投标人资格要求</w:t>
          </w:r>
          <w:r>
            <w:tab/>
          </w:r>
          <w:r>
            <w:fldChar w:fldCharType="begin"/>
          </w:r>
          <w:r>
            <w:instrText xml:space="preserve"> PAGEREF _Toc27586 \h </w:instrText>
          </w:r>
          <w:r>
            <w:fldChar w:fldCharType="separate"/>
          </w:r>
          <w:r>
            <w:t>15</w:t>
          </w:r>
          <w:r>
            <w:fldChar w:fldCharType="end"/>
          </w:r>
          <w:r>
            <w:rPr>
              <w:rFonts w:ascii="Times New Roman" w:hAnsi="Times New Roman" w:eastAsia="Times New Roman" w:cs="Times New Roman"/>
              <w:color w:val="auto"/>
              <w:szCs w:val="21"/>
              <w:highlight w:val="none"/>
            </w:rPr>
            <w:fldChar w:fldCharType="end"/>
          </w:r>
        </w:p>
        <w:p w14:paraId="41A8E99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_Toc4817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4  </w:t>
          </w:r>
          <w:r>
            <w:rPr>
              <w:rFonts w:ascii="宋体" w:hAnsi="宋体" w:eastAsia="宋体" w:cs="宋体"/>
              <w:bCs/>
              <w:spacing w:val="-2"/>
              <w:szCs w:val="28"/>
              <w:highlight w:val="none"/>
            </w:rPr>
            <w:t>招标文件的获取</w:t>
          </w:r>
          <w:r>
            <w:tab/>
          </w:r>
          <w:r>
            <w:fldChar w:fldCharType="begin"/>
          </w:r>
          <w:r>
            <w:instrText xml:space="preserve"> PAGEREF _Toc4817 \h </w:instrText>
          </w:r>
          <w:r>
            <w:fldChar w:fldCharType="separate"/>
          </w:r>
          <w:r>
            <w:t>16</w:t>
          </w:r>
          <w:r>
            <w:fldChar w:fldCharType="end"/>
          </w:r>
          <w:r>
            <w:rPr>
              <w:rFonts w:ascii="Times New Roman" w:hAnsi="Times New Roman" w:eastAsia="Times New Roman" w:cs="Times New Roman"/>
              <w:color w:val="auto"/>
              <w:szCs w:val="21"/>
              <w:highlight w:val="none"/>
            </w:rPr>
            <w:fldChar w:fldCharType="end"/>
          </w:r>
        </w:p>
        <w:p w14:paraId="584649A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_Toc20020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5  </w:t>
          </w:r>
          <w:r>
            <w:rPr>
              <w:rFonts w:ascii="宋体" w:hAnsi="宋体" w:eastAsia="宋体" w:cs="宋体"/>
              <w:bCs/>
              <w:spacing w:val="-3"/>
              <w:szCs w:val="28"/>
              <w:highlight w:val="none"/>
            </w:rPr>
            <w:t>投标文件的递交</w:t>
          </w:r>
          <w:r>
            <w:tab/>
          </w:r>
          <w:r>
            <w:fldChar w:fldCharType="begin"/>
          </w:r>
          <w:r>
            <w:instrText xml:space="preserve"> PAGEREF _Toc20020 \h </w:instrText>
          </w:r>
          <w:r>
            <w:fldChar w:fldCharType="separate"/>
          </w:r>
          <w:r>
            <w:t>16</w:t>
          </w:r>
          <w:r>
            <w:fldChar w:fldCharType="end"/>
          </w:r>
          <w:r>
            <w:rPr>
              <w:rFonts w:ascii="Times New Roman" w:hAnsi="Times New Roman" w:eastAsia="Times New Roman" w:cs="Times New Roman"/>
              <w:color w:val="auto"/>
              <w:szCs w:val="21"/>
              <w:highlight w:val="none"/>
            </w:rPr>
            <w:fldChar w:fldCharType="end"/>
          </w:r>
        </w:p>
        <w:p w14:paraId="79247655">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_Toc19719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6  </w:t>
          </w:r>
          <w:r>
            <w:rPr>
              <w:rFonts w:ascii="宋体" w:hAnsi="宋体" w:eastAsia="宋体" w:cs="宋体"/>
              <w:bCs/>
              <w:spacing w:val="-3"/>
              <w:szCs w:val="28"/>
              <w:highlight w:val="none"/>
            </w:rPr>
            <w:t>发布公告的媒介</w:t>
          </w:r>
          <w:r>
            <w:tab/>
          </w:r>
          <w:r>
            <w:fldChar w:fldCharType="begin"/>
          </w:r>
          <w:r>
            <w:instrText xml:space="preserve"> PAGEREF _Toc19719 \h </w:instrText>
          </w:r>
          <w:r>
            <w:fldChar w:fldCharType="separate"/>
          </w:r>
          <w:r>
            <w:t>16</w:t>
          </w:r>
          <w:r>
            <w:fldChar w:fldCharType="end"/>
          </w:r>
          <w:r>
            <w:rPr>
              <w:rFonts w:ascii="Times New Roman" w:hAnsi="Times New Roman" w:eastAsia="Times New Roman" w:cs="Times New Roman"/>
              <w:color w:val="auto"/>
              <w:szCs w:val="21"/>
              <w:highlight w:val="none"/>
            </w:rPr>
            <w:fldChar w:fldCharType="end"/>
          </w:r>
        </w:p>
        <w:p w14:paraId="644D3EE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_Toc13702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7  </w:t>
          </w:r>
          <w:r>
            <w:rPr>
              <w:rFonts w:ascii="宋体" w:hAnsi="宋体" w:eastAsia="宋体" w:cs="宋体"/>
              <w:bCs/>
              <w:spacing w:val="-3"/>
              <w:szCs w:val="28"/>
              <w:highlight w:val="none"/>
            </w:rPr>
            <w:t>行政监督部门</w:t>
          </w:r>
          <w:r>
            <w:tab/>
          </w:r>
          <w:r>
            <w:fldChar w:fldCharType="begin"/>
          </w:r>
          <w:r>
            <w:instrText xml:space="preserve"> PAGEREF _Toc13702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064E721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_Toc9554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pacing w:val="-3"/>
              <w:szCs w:val="24"/>
              <w:highlight w:val="none"/>
              <w:lang w:val="en-US" w:eastAsia="zh-CN"/>
            </w:rPr>
            <w:t>行政监督：绍兴市水利局</w:t>
          </w:r>
          <w:r>
            <w:tab/>
          </w:r>
          <w:r>
            <w:fldChar w:fldCharType="begin"/>
          </w:r>
          <w:r>
            <w:instrText xml:space="preserve"> PAGEREF _Toc9554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236013B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_Toc4486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pacing w:val="-3"/>
              <w:szCs w:val="24"/>
              <w:highlight w:val="none"/>
              <w:lang w:val="en-US" w:eastAsia="zh-CN"/>
            </w:rPr>
            <w:t>地    址：绍兴市越城区洋江西路589号</w:t>
          </w:r>
          <w:r>
            <w:tab/>
          </w:r>
          <w:r>
            <w:fldChar w:fldCharType="begin"/>
          </w:r>
          <w:r>
            <w:instrText xml:space="preserve"> PAGEREF _Toc4486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24D1AA70">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_Toc13259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pacing w:val="-3"/>
              <w:szCs w:val="24"/>
              <w:highlight w:val="none"/>
              <w:lang w:val="en-US" w:eastAsia="zh-CN"/>
            </w:rPr>
            <w:t>邮政编码：312000</w:t>
          </w:r>
          <w:r>
            <w:tab/>
          </w:r>
          <w:r>
            <w:fldChar w:fldCharType="begin"/>
          </w:r>
          <w:r>
            <w:instrText xml:space="preserve"> PAGEREF _Toc13259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1C0603A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_Toc2894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pacing w:val="-3"/>
              <w:szCs w:val="24"/>
              <w:highlight w:val="none"/>
              <w:lang w:val="en-US" w:eastAsia="zh-CN"/>
            </w:rPr>
            <w:t>电    话：0575-87523317</w:t>
          </w:r>
          <w:r>
            <w:tab/>
          </w:r>
          <w:r>
            <w:fldChar w:fldCharType="begin"/>
          </w:r>
          <w:r>
            <w:instrText xml:space="preserve"> PAGEREF _Toc2894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2021B05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_Toc12549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pacing w:val="-3"/>
              <w:szCs w:val="24"/>
              <w:highlight w:val="none"/>
              <w:lang w:val="en-US" w:eastAsia="zh-CN"/>
            </w:rPr>
            <w:t>投诉受理部门：</w:t>
          </w:r>
          <w:r>
            <w:tab/>
          </w:r>
          <w:r>
            <w:fldChar w:fldCharType="begin"/>
          </w:r>
          <w:r>
            <w:instrText xml:space="preserve"> PAGEREF _Toc12549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7EC4BF6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_Toc17808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pacing w:val="-3"/>
              <w:szCs w:val="24"/>
              <w:highlight w:val="none"/>
              <w:lang w:val="en-US" w:eastAsia="zh-CN"/>
            </w:rPr>
            <w:t>地    址：绍兴市越城区洋江西路589号</w:t>
          </w:r>
          <w:r>
            <w:tab/>
          </w:r>
          <w:r>
            <w:fldChar w:fldCharType="begin"/>
          </w:r>
          <w:r>
            <w:instrText xml:space="preserve"> PAGEREF _Toc17808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5954BFDA">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_Toc6028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pacing w:val="-3"/>
              <w:szCs w:val="24"/>
              <w:highlight w:val="none"/>
              <w:lang w:val="en-US" w:eastAsia="zh-CN"/>
            </w:rPr>
            <w:t>电    话：</w:t>
          </w:r>
          <w:r>
            <w:tab/>
          </w:r>
          <w:r>
            <w:fldChar w:fldCharType="begin"/>
          </w:r>
          <w:r>
            <w:instrText xml:space="preserve"> PAGEREF _Toc6028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52AD7A94">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_Toc20652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8"/>
              <w:highlight w:val="none"/>
            </w:rPr>
            <w:t>8</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6"/>
              <w:szCs w:val="28"/>
              <w:highlight w:val="none"/>
            </w:rPr>
            <w:t>联系方式</w:t>
          </w:r>
          <w:r>
            <w:tab/>
          </w:r>
          <w:r>
            <w:fldChar w:fldCharType="begin"/>
          </w:r>
          <w:r>
            <w:instrText xml:space="preserve"> PAGEREF _Toc20652 \h </w:instrText>
          </w:r>
          <w:r>
            <w:fldChar w:fldCharType="separate"/>
          </w:r>
          <w:r>
            <w:t>17</w:t>
          </w:r>
          <w:r>
            <w:fldChar w:fldCharType="end"/>
          </w:r>
          <w:r>
            <w:rPr>
              <w:rFonts w:ascii="Times New Roman" w:hAnsi="Times New Roman" w:eastAsia="Times New Roman" w:cs="Times New Roman"/>
              <w:color w:val="auto"/>
              <w:szCs w:val="21"/>
              <w:highlight w:val="none"/>
            </w:rPr>
            <w:fldChar w:fldCharType="end"/>
          </w:r>
        </w:p>
        <w:p w14:paraId="6170947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_Toc15939 </w:instrText>
          </w:r>
          <w:r>
            <w:rPr>
              <w:rFonts w:ascii="Times New Roman" w:hAnsi="Times New Roman" w:eastAsia="Times New Roman" w:cs="Times New Roman"/>
              <w:szCs w:val="21"/>
              <w:highlight w:val="none"/>
            </w:rPr>
            <w:fldChar w:fldCharType="separate"/>
          </w:r>
          <w:r>
            <w:rPr>
              <w:rFonts w:ascii="黑体" w:hAnsi="黑体" w:eastAsia="黑体" w:cs="黑体"/>
              <w:bCs/>
              <w:spacing w:val="-3"/>
              <w:szCs w:val="28"/>
              <w:highlight w:val="none"/>
            </w:rPr>
            <w:t>投标人资格条件要求附表</w:t>
          </w:r>
          <w:r>
            <w:tab/>
          </w:r>
          <w:r>
            <w:fldChar w:fldCharType="begin"/>
          </w:r>
          <w:r>
            <w:instrText xml:space="preserve"> PAGEREF _Toc15939 \h </w:instrText>
          </w:r>
          <w:r>
            <w:fldChar w:fldCharType="separate"/>
          </w:r>
          <w:r>
            <w:t>18</w:t>
          </w:r>
          <w:r>
            <w:fldChar w:fldCharType="end"/>
          </w:r>
          <w:r>
            <w:rPr>
              <w:rFonts w:ascii="Times New Roman" w:hAnsi="Times New Roman" w:eastAsia="Times New Roman" w:cs="Times New Roman"/>
              <w:color w:val="auto"/>
              <w:szCs w:val="21"/>
              <w:highlight w:val="none"/>
            </w:rPr>
            <w:fldChar w:fldCharType="end"/>
          </w:r>
        </w:p>
        <w:p w14:paraId="613151DD">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_Toc30735 </w:instrText>
          </w:r>
          <w:r>
            <w:rPr>
              <w:rFonts w:ascii="Times New Roman" w:hAnsi="Times New Roman" w:eastAsia="Times New Roman" w:cs="Times New Roman"/>
              <w:szCs w:val="21"/>
              <w:highlight w:val="none"/>
            </w:rPr>
            <w:fldChar w:fldCharType="separate"/>
          </w:r>
          <w:r>
            <w:rPr>
              <w:rFonts w:ascii="宋体" w:hAnsi="宋体" w:eastAsia="宋体" w:cs="宋体"/>
              <w:bCs/>
              <w:strike w:val="0"/>
              <w:dstrike w:val="0"/>
              <w:spacing w:val="-4"/>
              <w:szCs w:val="36"/>
              <w:highlight w:val="none"/>
            </w:rPr>
            <w:t>第一章</w:t>
          </w:r>
          <w:r>
            <w:rPr>
              <w:rFonts w:ascii="宋体" w:hAnsi="宋体" w:eastAsia="宋体" w:cs="宋体"/>
              <w:strike w:val="0"/>
              <w:dstrike w:val="0"/>
              <w:spacing w:val="-4"/>
              <w:szCs w:val="36"/>
              <w:highlight w:val="none"/>
            </w:rPr>
            <w:t xml:space="preserve">  </w:t>
          </w:r>
          <w:r>
            <w:rPr>
              <w:rFonts w:ascii="宋体" w:hAnsi="宋体" w:eastAsia="宋体" w:cs="宋体"/>
              <w:bCs/>
              <w:strike w:val="0"/>
              <w:dstrike w:val="0"/>
              <w:spacing w:val="-4"/>
              <w:szCs w:val="36"/>
              <w:highlight w:val="none"/>
            </w:rPr>
            <w:t>投标邀请书（适用于邀请招标）</w:t>
          </w:r>
          <w:r>
            <w:tab/>
          </w:r>
          <w:r>
            <w:fldChar w:fldCharType="begin"/>
          </w:r>
          <w:r>
            <w:instrText xml:space="preserve"> PAGEREF _Toc30735 \h </w:instrText>
          </w:r>
          <w:r>
            <w:fldChar w:fldCharType="separate"/>
          </w:r>
          <w:r>
            <w:t>21</w:t>
          </w:r>
          <w:r>
            <w:fldChar w:fldCharType="end"/>
          </w:r>
          <w:r>
            <w:rPr>
              <w:rFonts w:ascii="Times New Roman" w:hAnsi="Times New Roman" w:eastAsia="Times New Roman" w:cs="Times New Roman"/>
              <w:color w:val="auto"/>
              <w:szCs w:val="21"/>
              <w:highlight w:val="none"/>
            </w:rPr>
            <w:fldChar w:fldCharType="end"/>
          </w:r>
        </w:p>
        <w:p w14:paraId="6113E2C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_Toc6820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8"/>
              <w:szCs w:val="28"/>
              <w:highlight w:val="none"/>
            </w:rPr>
            <w:t>1</w:t>
          </w:r>
          <w:r>
            <w:rPr>
              <w:rFonts w:ascii="Times New Roman" w:hAnsi="Times New Roman" w:eastAsia="Times New Roman" w:cs="Times New Roman"/>
              <w:bCs/>
              <w:strike w:val="0"/>
              <w:dstrike w:val="0"/>
              <w:spacing w:val="7"/>
              <w:szCs w:val="28"/>
              <w:highlight w:val="none"/>
            </w:rPr>
            <w:t xml:space="preserve">  </w:t>
          </w:r>
          <w:r>
            <w:rPr>
              <w:rFonts w:ascii="宋体" w:hAnsi="宋体" w:eastAsia="宋体" w:cs="宋体"/>
              <w:bCs/>
              <w:strike w:val="0"/>
              <w:dstrike w:val="0"/>
              <w:spacing w:val="-8"/>
              <w:szCs w:val="28"/>
              <w:highlight w:val="none"/>
            </w:rPr>
            <w:t>招标条件</w:t>
          </w:r>
          <w:r>
            <w:tab/>
          </w:r>
          <w:r>
            <w:fldChar w:fldCharType="begin"/>
          </w:r>
          <w:r>
            <w:instrText xml:space="preserve"> PAGEREF _Toc6820 \h </w:instrText>
          </w:r>
          <w:r>
            <w:fldChar w:fldCharType="separate"/>
          </w:r>
          <w:r>
            <w:t>21</w:t>
          </w:r>
          <w:r>
            <w:fldChar w:fldCharType="end"/>
          </w:r>
          <w:r>
            <w:rPr>
              <w:rFonts w:ascii="Times New Roman" w:hAnsi="Times New Roman" w:eastAsia="Times New Roman" w:cs="Times New Roman"/>
              <w:color w:val="auto"/>
              <w:szCs w:val="21"/>
              <w:highlight w:val="none"/>
            </w:rPr>
            <w:fldChar w:fldCharType="end"/>
          </w:r>
        </w:p>
        <w:p w14:paraId="52C4E7D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_Toc31722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2  </w:t>
          </w:r>
          <w:r>
            <w:rPr>
              <w:rFonts w:ascii="宋体" w:hAnsi="宋体" w:eastAsia="宋体" w:cs="宋体"/>
              <w:bCs/>
              <w:strike w:val="0"/>
              <w:dstrike w:val="0"/>
              <w:spacing w:val="-2"/>
              <w:szCs w:val="28"/>
              <w:highlight w:val="none"/>
            </w:rPr>
            <w:t>项目概况与招标范围</w:t>
          </w:r>
          <w:r>
            <w:tab/>
          </w:r>
          <w:r>
            <w:fldChar w:fldCharType="begin"/>
          </w:r>
          <w:r>
            <w:instrText xml:space="preserve"> PAGEREF _Toc31722 \h </w:instrText>
          </w:r>
          <w:r>
            <w:fldChar w:fldCharType="separate"/>
          </w:r>
          <w:r>
            <w:t>21</w:t>
          </w:r>
          <w:r>
            <w:fldChar w:fldCharType="end"/>
          </w:r>
          <w:r>
            <w:rPr>
              <w:rFonts w:ascii="Times New Roman" w:hAnsi="Times New Roman" w:eastAsia="Times New Roman" w:cs="Times New Roman"/>
              <w:color w:val="auto"/>
              <w:szCs w:val="21"/>
              <w:highlight w:val="none"/>
            </w:rPr>
            <w:fldChar w:fldCharType="end"/>
          </w:r>
        </w:p>
        <w:p w14:paraId="51BE479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_Toc4669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3  </w:t>
          </w:r>
          <w:r>
            <w:rPr>
              <w:rFonts w:ascii="宋体" w:hAnsi="宋体" w:eastAsia="宋体" w:cs="宋体"/>
              <w:bCs/>
              <w:strike w:val="0"/>
              <w:dstrike w:val="0"/>
              <w:spacing w:val="-2"/>
              <w:szCs w:val="28"/>
              <w:highlight w:val="none"/>
            </w:rPr>
            <w:t>投标人资格要求</w:t>
          </w:r>
          <w:r>
            <w:tab/>
          </w:r>
          <w:r>
            <w:fldChar w:fldCharType="begin"/>
          </w:r>
          <w:r>
            <w:instrText xml:space="preserve"> PAGEREF _Toc4669 \h </w:instrText>
          </w:r>
          <w:r>
            <w:fldChar w:fldCharType="separate"/>
          </w:r>
          <w:r>
            <w:t>21</w:t>
          </w:r>
          <w:r>
            <w:fldChar w:fldCharType="end"/>
          </w:r>
          <w:r>
            <w:rPr>
              <w:rFonts w:ascii="Times New Roman" w:hAnsi="Times New Roman" w:eastAsia="Times New Roman" w:cs="Times New Roman"/>
              <w:color w:val="auto"/>
              <w:szCs w:val="21"/>
              <w:highlight w:val="none"/>
            </w:rPr>
            <w:fldChar w:fldCharType="end"/>
          </w:r>
        </w:p>
        <w:p w14:paraId="7B010B5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_Toc8516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4  </w:t>
          </w:r>
          <w:r>
            <w:rPr>
              <w:rFonts w:ascii="宋体" w:hAnsi="宋体" w:eastAsia="宋体" w:cs="宋体"/>
              <w:bCs/>
              <w:strike w:val="0"/>
              <w:dstrike w:val="0"/>
              <w:spacing w:val="-2"/>
              <w:szCs w:val="28"/>
              <w:highlight w:val="none"/>
            </w:rPr>
            <w:t>招标文件的获取</w:t>
          </w:r>
          <w:r>
            <w:tab/>
          </w:r>
          <w:r>
            <w:fldChar w:fldCharType="begin"/>
          </w:r>
          <w:r>
            <w:instrText xml:space="preserve"> PAGEREF _Toc8516 \h </w:instrText>
          </w:r>
          <w:r>
            <w:fldChar w:fldCharType="separate"/>
          </w:r>
          <w:r>
            <w:t>22</w:t>
          </w:r>
          <w:r>
            <w:fldChar w:fldCharType="end"/>
          </w:r>
          <w:r>
            <w:rPr>
              <w:rFonts w:ascii="Times New Roman" w:hAnsi="Times New Roman" w:eastAsia="Times New Roman" w:cs="Times New Roman"/>
              <w:color w:val="auto"/>
              <w:szCs w:val="21"/>
              <w:highlight w:val="none"/>
            </w:rPr>
            <w:fldChar w:fldCharType="end"/>
          </w:r>
        </w:p>
        <w:p w14:paraId="76ABBE1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_Toc15582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3"/>
              <w:szCs w:val="28"/>
              <w:highlight w:val="none"/>
            </w:rPr>
            <w:t xml:space="preserve">5  </w:t>
          </w:r>
          <w:r>
            <w:rPr>
              <w:rFonts w:ascii="宋体" w:hAnsi="宋体" w:eastAsia="宋体" w:cs="宋体"/>
              <w:bCs/>
              <w:strike w:val="0"/>
              <w:dstrike w:val="0"/>
              <w:spacing w:val="-3"/>
              <w:szCs w:val="28"/>
              <w:highlight w:val="none"/>
            </w:rPr>
            <w:t>投标文件的递交</w:t>
          </w:r>
          <w:r>
            <w:tab/>
          </w:r>
          <w:r>
            <w:fldChar w:fldCharType="begin"/>
          </w:r>
          <w:r>
            <w:instrText xml:space="preserve"> PAGEREF _Toc15582 \h </w:instrText>
          </w:r>
          <w:r>
            <w:fldChar w:fldCharType="separate"/>
          </w:r>
          <w:r>
            <w:t>22</w:t>
          </w:r>
          <w:r>
            <w:fldChar w:fldCharType="end"/>
          </w:r>
          <w:r>
            <w:rPr>
              <w:rFonts w:ascii="Times New Roman" w:hAnsi="Times New Roman" w:eastAsia="Times New Roman" w:cs="Times New Roman"/>
              <w:color w:val="auto"/>
              <w:szCs w:val="21"/>
              <w:highlight w:val="none"/>
            </w:rPr>
            <w:fldChar w:fldCharType="end"/>
          </w:r>
        </w:p>
        <w:p w14:paraId="12977057">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_Toc5104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3"/>
              <w:szCs w:val="28"/>
              <w:highlight w:val="none"/>
            </w:rPr>
            <w:t xml:space="preserve">6  </w:t>
          </w:r>
          <w:r>
            <w:rPr>
              <w:rFonts w:ascii="宋体" w:hAnsi="宋体" w:eastAsia="宋体" w:cs="宋体"/>
              <w:bCs/>
              <w:strike w:val="0"/>
              <w:dstrike w:val="0"/>
              <w:spacing w:val="-3"/>
              <w:szCs w:val="28"/>
              <w:highlight w:val="none"/>
            </w:rPr>
            <w:t>行政监督部门</w:t>
          </w:r>
          <w:r>
            <w:tab/>
          </w:r>
          <w:r>
            <w:fldChar w:fldCharType="begin"/>
          </w:r>
          <w:r>
            <w:instrText xml:space="preserve"> PAGEREF _Toc5104 \h </w:instrText>
          </w:r>
          <w:r>
            <w:fldChar w:fldCharType="separate"/>
          </w:r>
          <w:r>
            <w:t>22</w:t>
          </w:r>
          <w:r>
            <w:fldChar w:fldCharType="end"/>
          </w:r>
          <w:r>
            <w:rPr>
              <w:rFonts w:ascii="Times New Roman" w:hAnsi="Times New Roman" w:eastAsia="Times New Roman" w:cs="Times New Roman"/>
              <w:color w:val="auto"/>
              <w:szCs w:val="21"/>
              <w:highlight w:val="none"/>
            </w:rPr>
            <w:fldChar w:fldCharType="end"/>
          </w:r>
        </w:p>
        <w:p w14:paraId="4FD05AA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_Toc17738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6"/>
              <w:szCs w:val="28"/>
              <w:highlight w:val="none"/>
            </w:rPr>
            <w:t>7</w:t>
          </w:r>
          <w:r>
            <w:rPr>
              <w:rFonts w:ascii="Times New Roman" w:hAnsi="Times New Roman" w:eastAsia="Times New Roman" w:cs="Times New Roman"/>
              <w:bCs/>
              <w:strike w:val="0"/>
              <w:dstrike w:val="0"/>
              <w:spacing w:val="6"/>
              <w:szCs w:val="28"/>
              <w:highlight w:val="none"/>
            </w:rPr>
            <w:t xml:space="preserve">  </w:t>
          </w:r>
          <w:r>
            <w:rPr>
              <w:rFonts w:ascii="宋体" w:hAnsi="宋体" w:eastAsia="宋体" w:cs="宋体"/>
              <w:bCs/>
              <w:strike w:val="0"/>
              <w:dstrike w:val="0"/>
              <w:spacing w:val="-6"/>
              <w:szCs w:val="28"/>
              <w:highlight w:val="none"/>
            </w:rPr>
            <w:t>联系方式</w:t>
          </w:r>
          <w:r>
            <w:tab/>
          </w:r>
          <w:r>
            <w:fldChar w:fldCharType="begin"/>
          </w:r>
          <w:r>
            <w:instrText xml:space="preserve"> PAGEREF _Toc17738 \h </w:instrText>
          </w:r>
          <w:r>
            <w:fldChar w:fldCharType="separate"/>
          </w:r>
          <w:r>
            <w:t>22</w:t>
          </w:r>
          <w:r>
            <w:fldChar w:fldCharType="end"/>
          </w:r>
          <w:r>
            <w:rPr>
              <w:rFonts w:ascii="Times New Roman" w:hAnsi="Times New Roman" w:eastAsia="Times New Roman" w:cs="Times New Roman"/>
              <w:color w:val="auto"/>
              <w:szCs w:val="21"/>
              <w:highlight w:val="none"/>
            </w:rPr>
            <w:fldChar w:fldCharType="end"/>
          </w:r>
        </w:p>
        <w:p w14:paraId="4A0DC40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_Toc12535 </w:instrText>
          </w:r>
          <w:r>
            <w:rPr>
              <w:rFonts w:ascii="Times New Roman" w:hAnsi="Times New Roman" w:eastAsia="Times New Roman" w:cs="Times New Roman"/>
              <w:szCs w:val="21"/>
              <w:highlight w:val="none"/>
            </w:rPr>
            <w:fldChar w:fldCharType="separate"/>
          </w:r>
          <w:r>
            <w:rPr>
              <w:rFonts w:ascii="黑体" w:hAnsi="黑体" w:eastAsia="黑体" w:cs="黑体"/>
              <w:bCs/>
              <w:strike w:val="0"/>
              <w:dstrike w:val="0"/>
              <w:spacing w:val="-3"/>
              <w:szCs w:val="28"/>
              <w:highlight w:val="none"/>
            </w:rPr>
            <w:t>投标人资格条件要求附表</w:t>
          </w:r>
          <w:r>
            <w:tab/>
          </w:r>
          <w:r>
            <w:fldChar w:fldCharType="begin"/>
          </w:r>
          <w:r>
            <w:instrText xml:space="preserve"> PAGEREF _Toc12535 \h </w:instrText>
          </w:r>
          <w:r>
            <w:fldChar w:fldCharType="separate"/>
          </w:r>
          <w:r>
            <w:t>23</w:t>
          </w:r>
          <w:r>
            <w:fldChar w:fldCharType="end"/>
          </w:r>
          <w:r>
            <w:rPr>
              <w:rFonts w:ascii="Times New Roman" w:hAnsi="Times New Roman" w:eastAsia="Times New Roman" w:cs="Times New Roman"/>
              <w:color w:val="auto"/>
              <w:szCs w:val="21"/>
              <w:highlight w:val="none"/>
            </w:rPr>
            <w:fldChar w:fldCharType="end"/>
          </w:r>
        </w:p>
        <w:p w14:paraId="7744EA2C">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_Toc17522 </w:instrText>
          </w:r>
          <w:r>
            <w:rPr>
              <w:rFonts w:ascii="Times New Roman" w:hAnsi="Times New Roman" w:eastAsia="Times New Roman" w:cs="Times New Roman"/>
              <w:szCs w:val="21"/>
              <w:highlight w:val="none"/>
            </w:rPr>
            <w:fldChar w:fldCharType="separate"/>
          </w:r>
          <w:r>
            <w:rPr>
              <w:rFonts w:ascii="宋体" w:hAnsi="宋体" w:eastAsia="宋体" w:cs="宋体"/>
              <w:bCs/>
              <w:strike w:val="0"/>
              <w:dstrike w:val="0"/>
              <w:spacing w:val="-3"/>
              <w:szCs w:val="36"/>
              <w:highlight w:val="none"/>
            </w:rPr>
            <w:t>第一章</w:t>
          </w:r>
          <w:r>
            <w:rPr>
              <w:rFonts w:ascii="宋体" w:hAnsi="宋体" w:eastAsia="宋体" w:cs="宋体"/>
              <w:strike w:val="0"/>
              <w:dstrike w:val="0"/>
              <w:spacing w:val="-3"/>
              <w:szCs w:val="36"/>
              <w:highlight w:val="none"/>
            </w:rPr>
            <w:t xml:space="preserve"> </w:t>
          </w:r>
          <w:r>
            <w:rPr>
              <w:rFonts w:ascii="宋体" w:hAnsi="宋体" w:eastAsia="宋体" w:cs="宋体"/>
              <w:bCs/>
              <w:strike w:val="0"/>
              <w:dstrike w:val="0"/>
              <w:spacing w:val="-3"/>
              <w:szCs w:val="36"/>
              <w:highlight w:val="none"/>
            </w:rPr>
            <w:t>投标邀请书（适用于资格预审招标）</w:t>
          </w:r>
          <w:r>
            <w:tab/>
          </w:r>
          <w:r>
            <w:fldChar w:fldCharType="begin"/>
          </w:r>
          <w:r>
            <w:instrText xml:space="preserve"> PAGEREF _Toc17522 \h </w:instrText>
          </w:r>
          <w:r>
            <w:fldChar w:fldCharType="separate"/>
          </w:r>
          <w:r>
            <w:t>24</w:t>
          </w:r>
          <w:r>
            <w:fldChar w:fldCharType="end"/>
          </w:r>
          <w:r>
            <w:rPr>
              <w:rFonts w:ascii="Times New Roman" w:hAnsi="Times New Roman" w:eastAsia="Times New Roman" w:cs="Times New Roman"/>
              <w:color w:val="auto"/>
              <w:szCs w:val="21"/>
              <w:highlight w:val="none"/>
            </w:rPr>
            <w:fldChar w:fldCharType="end"/>
          </w:r>
        </w:p>
        <w:p w14:paraId="1E42B95C">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_Toc17769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36"/>
              <w:highlight w:val="none"/>
            </w:rPr>
            <w:t>第二章</w:t>
          </w:r>
          <w:r>
            <w:rPr>
              <w:rFonts w:ascii="宋体" w:hAnsi="宋体" w:eastAsia="宋体" w:cs="宋体"/>
              <w:spacing w:val="-4"/>
              <w:szCs w:val="36"/>
              <w:highlight w:val="none"/>
            </w:rPr>
            <w:t xml:space="preserve"> </w:t>
          </w:r>
          <w:r>
            <w:rPr>
              <w:rFonts w:ascii="宋体" w:hAnsi="宋体" w:eastAsia="宋体" w:cs="宋体"/>
              <w:bCs/>
              <w:spacing w:val="-4"/>
              <w:szCs w:val="36"/>
              <w:highlight w:val="none"/>
            </w:rPr>
            <w:t>投标人须知</w:t>
          </w:r>
          <w:r>
            <w:tab/>
          </w:r>
          <w:r>
            <w:fldChar w:fldCharType="begin"/>
          </w:r>
          <w:r>
            <w:instrText xml:space="preserve"> PAGEREF _Toc17769 \h </w:instrText>
          </w:r>
          <w:r>
            <w:fldChar w:fldCharType="separate"/>
          </w:r>
          <w:r>
            <w:t>25</w:t>
          </w:r>
          <w:r>
            <w:fldChar w:fldCharType="end"/>
          </w:r>
          <w:r>
            <w:rPr>
              <w:rFonts w:ascii="Times New Roman" w:hAnsi="Times New Roman" w:eastAsia="Times New Roman" w:cs="Times New Roman"/>
              <w:color w:val="auto"/>
              <w:szCs w:val="21"/>
              <w:highlight w:val="none"/>
            </w:rPr>
            <w:fldChar w:fldCharType="end"/>
          </w:r>
        </w:p>
        <w:p w14:paraId="075F566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_Toc4991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28"/>
              <w:highlight w:val="none"/>
            </w:rPr>
            <w:t>投标人须知前附表</w:t>
          </w:r>
          <w:r>
            <w:tab/>
          </w:r>
          <w:r>
            <w:fldChar w:fldCharType="begin"/>
          </w:r>
          <w:r>
            <w:instrText xml:space="preserve"> PAGEREF _Toc4991 \h </w:instrText>
          </w:r>
          <w:r>
            <w:fldChar w:fldCharType="separate"/>
          </w:r>
          <w:r>
            <w:t>25</w:t>
          </w:r>
          <w:r>
            <w:fldChar w:fldCharType="end"/>
          </w:r>
          <w:r>
            <w:rPr>
              <w:rFonts w:ascii="Times New Roman" w:hAnsi="Times New Roman" w:eastAsia="Times New Roman" w:cs="Times New Roman"/>
              <w:color w:val="auto"/>
              <w:szCs w:val="21"/>
              <w:highlight w:val="none"/>
            </w:rPr>
            <w:fldChar w:fldCharType="end"/>
          </w:r>
        </w:p>
        <w:p w14:paraId="569FF3D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_Toc27836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11"/>
              <w:szCs w:val="28"/>
              <w:highlight w:val="none"/>
            </w:rPr>
            <w:t>1</w:t>
          </w:r>
          <w:r>
            <w:rPr>
              <w:rFonts w:ascii="Times New Roman" w:hAnsi="Times New Roman" w:eastAsia="Times New Roman" w:cs="Times New Roman"/>
              <w:bCs/>
              <w:spacing w:val="9"/>
              <w:szCs w:val="28"/>
              <w:highlight w:val="none"/>
            </w:rPr>
            <w:t xml:space="preserve">  </w:t>
          </w:r>
          <w:r>
            <w:rPr>
              <w:rFonts w:ascii="宋体" w:hAnsi="宋体" w:eastAsia="宋体" w:cs="宋体"/>
              <w:bCs/>
              <w:spacing w:val="-11"/>
              <w:szCs w:val="28"/>
              <w:highlight w:val="none"/>
            </w:rPr>
            <w:t>总则</w:t>
          </w:r>
          <w:r>
            <w:tab/>
          </w:r>
          <w:r>
            <w:fldChar w:fldCharType="begin"/>
          </w:r>
          <w:r>
            <w:instrText xml:space="preserve"> PAGEREF _Toc27836 \h </w:instrText>
          </w:r>
          <w:r>
            <w:fldChar w:fldCharType="separate"/>
          </w:r>
          <w:r>
            <w:t>42</w:t>
          </w:r>
          <w:r>
            <w:fldChar w:fldCharType="end"/>
          </w:r>
          <w:r>
            <w:rPr>
              <w:rFonts w:ascii="Times New Roman" w:hAnsi="Times New Roman" w:eastAsia="Times New Roman" w:cs="Times New Roman"/>
              <w:color w:val="auto"/>
              <w:szCs w:val="21"/>
              <w:highlight w:val="none"/>
            </w:rPr>
            <w:fldChar w:fldCharType="end"/>
          </w:r>
        </w:p>
        <w:p w14:paraId="00CDD5CE">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_Toc13111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1.1</w:t>
          </w:r>
          <w:r>
            <w:rPr>
              <w:rFonts w:ascii="Times New Roman" w:hAnsi="Times New Roman" w:eastAsia="Times New Roman" w:cs="Times New Roman"/>
              <w:bCs/>
              <w:spacing w:val="6"/>
              <w:szCs w:val="24"/>
              <w:highlight w:val="none"/>
            </w:rPr>
            <w:t xml:space="preserve">  </w:t>
          </w:r>
          <w:r>
            <w:rPr>
              <w:rFonts w:ascii="宋体" w:hAnsi="宋体" w:eastAsia="宋体" w:cs="宋体"/>
              <w:bCs/>
              <w:spacing w:val="-5"/>
              <w:szCs w:val="24"/>
              <w:highlight w:val="none"/>
            </w:rPr>
            <w:t>项目概况</w:t>
          </w:r>
          <w:r>
            <w:tab/>
          </w:r>
          <w:r>
            <w:fldChar w:fldCharType="begin"/>
          </w:r>
          <w:r>
            <w:instrText xml:space="preserve"> PAGEREF _Toc13111 \h </w:instrText>
          </w:r>
          <w:r>
            <w:fldChar w:fldCharType="separate"/>
          </w:r>
          <w:r>
            <w:t>42</w:t>
          </w:r>
          <w:r>
            <w:fldChar w:fldCharType="end"/>
          </w:r>
          <w:r>
            <w:rPr>
              <w:rFonts w:ascii="Times New Roman" w:hAnsi="Times New Roman" w:eastAsia="Times New Roman" w:cs="Times New Roman"/>
              <w:color w:val="auto"/>
              <w:szCs w:val="21"/>
              <w:highlight w:val="none"/>
            </w:rPr>
            <w:fldChar w:fldCharType="end"/>
          </w:r>
        </w:p>
        <w:p w14:paraId="0B2E523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_Toc21282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1.2  </w:t>
          </w:r>
          <w:r>
            <w:rPr>
              <w:rFonts w:ascii="宋体" w:hAnsi="宋体" w:eastAsia="宋体" w:cs="宋体"/>
              <w:bCs/>
              <w:spacing w:val="-3"/>
              <w:szCs w:val="24"/>
              <w:highlight w:val="none"/>
            </w:rPr>
            <w:t>资金来源和落实情况</w:t>
          </w:r>
          <w:r>
            <w:tab/>
          </w:r>
          <w:r>
            <w:fldChar w:fldCharType="begin"/>
          </w:r>
          <w:r>
            <w:instrText xml:space="preserve"> PAGEREF _Toc21282 \h </w:instrText>
          </w:r>
          <w:r>
            <w:fldChar w:fldCharType="separate"/>
          </w:r>
          <w:r>
            <w:t>42</w:t>
          </w:r>
          <w:r>
            <w:fldChar w:fldCharType="end"/>
          </w:r>
          <w:r>
            <w:rPr>
              <w:rFonts w:ascii="Times New Roman" w:hAnsi="Times New Roman" w:eastAsia="Times New Roman" w:cs="Times New Roman"/>
              <w:color w:val="auto"/>
              <w:szCs w:val="21"/>
              <w:highlight w:val="none"/>
            </w:rPr>
            <w:fldChar w:fldCharType="end"/>
          </w:r>
        </w:p>
        <w:p w14:paraId="5658F200">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_Toc7041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1.3  </w:t>
          </w:r>
          <w:r>
            <w:rPr>
              <w:rFonts w:ascii="宋体" w:hAnsi="宋体" w:eastAsia="宋体" w:cs="宋体"/>
              <w:bCs/>
              <w:spacing w:val="-3"/>
              <w:szCs w:val="24"/>
              <w:highlight w:val="none"/>
            </w:rPr>
            <w:t>招标范围、计划工期和质量要求</w:t>
          </w:r>
          <w:r>
            <w:tab/>
          </w:r>
          <w:r>
            <w:fldChar w:fldCharType="begin"/>
          </w:r>
          <w:r>
            <w:instrText xml:space="preserve"> PAGEREF _Toc7041 \h </w:instrText>
          </w:r>
          <w:r>
            <w:fldChar w:fldCharType="separate"/>
          </w:r>
          <w:r>
            <w:t>42</w:t>
          </w:r>
          <w:r>
            <w:fldChar w:fldCharType="end"/>
          </w:r>
          <w:r>
            <w:rPr>
              <w:rFonts w:ascii="Times New Roman" w:hAnsi="Times New Roman" w:eastAsia="Times New Roman" w:cs="Times New Roman"/>
              <w:color w:val="auto"/>
              <w:szCs w:val="21"/>
              <w:highlight w:val="none"/>
            </w:rPr>
            <w:fldChar w:fldCharType="end"/>
          </w:r>
        </w:p>
        <w:p w14:paraId="3ED84A6F">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_Toc885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1.4  </w:t>
          </w:r>
          <w:r>
            <w:rPr>
              <w:rFonts w:ascii="宋体" w:hAnsi="宋体" w:eastAsia="宋体" w:cs="宋体"/>
              <w:bCs/>
              <w:spacing w:val="-2"/>
              <w:szCs w:val="24"/>
              <w:highlight w:val="none"/>
            </w:rPr>
            <w:t>投标人资格要求（适用于已进行资格预审的）</w:t>
          </w:r>
          <w:r>
            <w:tab/>
          </w:r>
          <w:r>
            <w:fldChar w:fldCharType="begin"/>
          </w:r>
          <w:r>
            <w:instrText xml:space="preserve"> PAGEREF _Toc885 \h </w:instrText>
          </w:r>
          <w:r>
            <w:fldChar w:fldCharType="separate"/>
          </w:r>
          <w:r>
            <w:t>42</w:t>
          </w:r>
          <w:r>
            <w:fldChar w:fldCharType="end"/>
          </w:r>
          <w:r>
            <w:rPr>
              <w:rFonts w:ascii="Times New Roman" w:hAnsi="Times New Roman" w:eastAsia="Times New Roman" w:cs="Times New Roman"/>
              <w:color w:val="auto"/>
              <w:szCs w:val="21"/>
              <w:highlight w:val="none"/>
            </w:rPr>
            <w:fldChar w:fldCharType="end"/>
          </w:r>
        </w:p>
        <w:p w14:paraId="52F0686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_Toc7188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1.4  </w:t>
          </w:r>
          <w:r>
            <w:rPr>
              <w:rFonts w:ascii="宋体" w:hAnsi="宋体" w:eastAsia="宋体" w:cs="宋体"/>
              <w:bCs/>
              <w:spacing w:val="-2"/>
              <w:szCs w:val="24"/>
              <w:highlight w:val="none"/>
            </w:rPr>
            <w:t>投标人资格要求（适用于未进行资格预审的）</w:t>
          </w:r>
          <w:r>
            <w:tab/>
          </w:r>
          <w:r>
            <w:fldChar w:fldCharType="begin"/>
          </w:r>
          <w:r>
            <w:instrText xml:space="preserve"> PAGEREF _Toc7188 \h </w:instrText>
          </w:r>
          <w:r>
            <w:fldChar w:fldCharType="separate"/>
          </w:r>
          <w:r>
            <w:t>42</w:t>
          </w:r>
          <w:r>
            <w:fldChar w:fldCharType="end"/>
          </w:r>
          <w:r>
            <w:rPr>
              <w:rFonts w:ascii="Times New Roman" w:hAnsi="Times New Roman" w:eastAsia="Times New Roman" w:cs="Times New Roman"/>
              <w:color w:val="auto"/>
              <w:szCs w:val="21"/>
              <w:highlight w:val="none"/>
            </w:rPr>
            <w:fldChar w:fldCharType="end"/>
          </w:r>
        </w:p>
        <w:p w14:paraId="281CE3CB">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_Toc26034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4"/>
              <w:highlight w:val="none"/>
            </w:rPr>
            <w:t>1.5</w:t>
          </w:r>
          <w:r>
            <w:rPr>
              <w:rFonts w:ascii="Times New Roman" w:hAnsi="Times New Roman" w:eastAsia="Times New Roman" w:cs="Times New Roman"/>
              <w:bCs/>
              <w:spacing w:val="13"/>
              <w:szCs w:val="24"/>
              <w:highlight w:val="none"/>
            </w:rPr>
            <w:t xml:space="preserve">  </w:t>
          </w:r>
          <w:r>
            <w:rPr>
              <w:rFonts w:ascii="宋体" w:hAnsi="宋体" w:eastAsia="宋体" w:cs="宋体"/>
              <w:bCs/>
              <w:spacing w:val="-7"/>
              <w:szCs w:val="24"/>
              <w:highlight w:val="none"/>
            </w:rPr>
            <w:t>费用承担</w:t>
          </w:r>
          <w:r>
            <w:tab/>
          </w:r>
          <w:r>
            <w:fldChar w:fldCharType="begin"/>
          </w:r>
          <w:r>
            <w:instrText xml:space="preserve"> PAGEREF _Toc26034 \h </w:instrText>
          </w:r>
          <w:r>
            <w:fldChar w:fldCharType="separate"/>
          </w:r>
          <w:r>
            <w:t>43</w:t>
          </w:r>
          <w:r>
            <w:fldChar w:fldCharType="end"/>
          </w:r>
          <w:r>
            <w:rPr>
              <w:rFonts w:ascii="Times New Roman" w:hAnsi="Times New Roman" w:eastAsia="Times New Roman" w:cs="Times New Roman"/>
              <w:color w:val="auto"/>
              <w:szCs w:val="21"/>
              <w:highlight w:val="none"/>
            </w:rPr>
            <w:fldChar w:fldCharType="end"/>
          </w:r>
        </w:p>
        <w:p w14:paraId="7D5250C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_Toc32663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1.6</w:t>
          </w:r>
          <w:r>
            <w:rPr>
              <w:rFonts w:ascii="Times New Roman" w:hAnsi="Times New Roman" w:eastAsia="Times New Roman" w:cs="Times New Roman"/>
              <w:bCs/>
              <w:spacing w:val="5"/>
              <w:szCs w:val="24"/>
              <w:highlight w:val="none"/>
            </w:rPr>
            <w:t xml:space="preserve">  </w:t>
          </w:r>
          <w:r>
            <w:rPr>
              <w:rFonts w:ascii="宋体" w:hAnsi="宋体" w:eastAsia="宋体" w:cs="宋体"/>
              <w:bCs/>
              <w:spacing w:val="-5"/>
              <w:szCs w:val="24"/>
              <w:highlight w:val="none"/>
            </w:rPr>
            <w:t>保密</w:t>
          </w:r>
          <w:r>
            <w:tab/>
          </w:r>
          <w:r>
            <w:fldChar w:fldCharType="begin"/>
          </w:r>
          <w:r>
            <w:instrText xml:space="preserve"> PAGEREF _Toc32663 \h </w:instrText>
          </w:r>
          <w:r>
            <w:fldChar w:fldCharType="separate"/>
          </w:r>
          <w:r>
            <w:t>43</w:t>
          </w:r>
          <w:r>
            <w:fldChar w:fldCharType="end"/>
          </w:r>
          <w:r>
            <w:rPr>
              <w:rFonts w:ascii="Times New Roman" w:hAnsi="Times New Roman" w:eastAsia="Times New Roman" w:cs="Times New Roman"/>
              <w:color w:val="auto"/>
              <w:szCs w:val="21"/>
              <w:highlight w:val="none"/>
            </w:rPr>
            <w:fldChar w:fldCharType="end"/>
          </w:r>
        </w:p>
        <w:p w14:paraId="0098170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_Toc31256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1.7  </w:t>
          </w:r>
          <w:r>
            <w:rPr>
              <w:rFonts w:ascii="宋体" w:hAnsi="宋体" w:eastAsia="宋体" w:cs="宋体"/>
              <w:bCs/>
              <w:spacing w:val="-3"/>
              <w:szCs w:val="24"/>
              <w:highlight w:val="none"/>
            </w:rPr>
            <w:t>语言文字</w:t>
          </w:r>
          <w:r>
            <w:tab/>
          </w:r>
          <w:r>
            <w:fldChar w:fldCharType="begin"/>
          </w:r>
          <w:r>
            <w:instrText xml:space="preserve"> PAGEREF _Toc31256 \h </w:instrText>
          </w:r>
          <w:r>
            <w:fldChar w:fldCharType="separate"/>
          </w:r>
          <w:r>
            <w:t>43</w:t>
          </w:r>
          <w:r>
            <w:fldChar w:fldCharType="end"/>
          </w:r>
          <w:r>
            <w:rPr>
              <w:rFonts w:ascii="Times New Roman" w:hAnsi="Times New Roman" w:eastAsia="Times New Roman" w:cs="Times New Roman"/>
              <w:color w:val="auto"/>
              <w:szCs w:val="21"/>
              <w:highlight w:val="none"/>
            </w:rPr>
            <w:fldChar w:fldCharType="end"/>
          </w:r>
        </w:p>
        <w:p w14:paraId="6FAB9C4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_Toc27831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1.8  </w:t>
          </w:r>
          <w:r>
            <w:rPr>
              <w:rFonts w:ascii="宋体" w:hAnsi="宋体" w:eastAsia="宋体" w:cs="宋体"/>
              <w:bCs/>
              <w:spacing w:val="-3"/>
              <w:szCs w:val="24"/>
              <w:highlight w:val="none"/>
            </w:rPr>
            <w:t>计量单位</w:t>
          </w:r>
          <w:r>
            <w:tab/>
          </w:r>
          <w:r>
            <w:fldChar w:fldCharType="begin"/>
          </w:r>
          <w:r>
            <w:instrText xml:space="preserve"> PAGEREF _Toc27831 \h </w:instrText>
          </w:r>
          <w:r>
            <w:fldChar w:fldCharType="separate"/>
          </w:r>
          <w:r>
            <w:t>43</w:t>
          </w:r>
          <w:r>
            <w:fldChar w:fldCharType="end"/>
          </w:r>
          <w:r>
            <w:rPr>
              <w:rFonts w:ascii="Times New Roman" w:hAnsi="Times New Roman" w:eastAsia="Times New Roman" w:cs="Times New Roman"/>
              <w:color w:val="auto"/>
              <w:szCs w:val="21"/>
              <w:highlight w:val="none"/>
            </w:rPr>
            <w:fldChar w:fldCharType="end"/>
          </w:r>
        </w:p>
        <w:p w14:paraId="52931BDB">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_Toc32352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1.9  </w:t>
          </w:r>
          <w:r>
            <w:rPr>
              <w:rFonts w:ascii="宋体" w:hAnsi="宋体" w:eastAsia="宋体" w:cs="宋体"/>
              <w:bCs/>
              <w:spacing w:val="-3"/>
              <w:szCs w:val="24"/>
              <w:highlight w:val="none"/>
            </w:rPr>
            <w:t>踏勘现场</w:t>
          </w:r>
          <w:r>
            <w:tab/>
          </w:r>
          <w:r>
            <w:fldChar w:fldCharType="begin"/>
          </w:r>
          <w:r>
            <w:instrText xml:space="preserve"> PAGEREF _Toc32352 \h </w:instrText>
          </w:r>
          <w:r>
            <w:fldChar w:fldCharType="separate"/>
          </w:r>
          <w:r>
            <w:t>44</w:t>
          </w:r>
          <w:r>
            <w:fldChar w:fldCharType="end"/>
          </w:r>
          <w:r>
            <w:rPr>
              <w:rFonts w:ascii="Times New Roman" w:hAnsi="Times New Roman" w:eastAsia="Times New Roman" w:cs="Times New Roman"/>
              <w:color w:val="auto"/>
              <w:szCs w:val="21"/>
              <w:highlight w:val="none"/>
            </w:rPr>
            <w:fldChar w:fldCharType="end"/>
          </w:r>
        </w:p>
        <w:p w14:paraId="3ECE82DC">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_Toc7427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1.10  </w:t>
          </w:r>
          <w:r>
            <w:rPr>
              <w:rFonts w:ascii="宋体" w:hAnsi="宋体" w:eastAsia="宋体" w:cs="宋体"/>
              <w:bCs/>
              <w:spacing w:val="-3"/>
              <w:szCs w:val="24"/>
              <w:highlight w:val="none"/>
            </w:rPr>
            <w:t>投标预备会</w:t>
          </w:r>
          <w:r>
            <w:tab/>
          </w:r>
          <w:r>
            <w:fldChar w:fldCharType="begin"/>
          </w:r>
          <w:r>
            <w:instrText xml:space="preserve"> PAGEREF _Toc7427 \h </w:instrText>
          </w:r>
          <w:r>
            <w:fldChar w:fldCharType="separate"/>
          </w:r>
          <w:r>
            <w:t>44</w:t>
          </w:r>
          <w:r>
            <w:fldChar w:fldCharType="end"/>
          </w:r>
          <w:r>
            <w:rPr>
              <w:rFonts w:ascii="Times New Roman" w:hAnsi="Times New Roman" w:eastAsia="Times New Roman" w:cs="Times New Roman"/>
              <w:color w:val="auto"/>
              <w:szCs w:val="21"/>
              <w:highlight w:val="none"/>
            </w:rPr>
            <w:fldChar w:fldCharType="end"/>
          </w:r>
        </w:p>
        <w:p w14:paraId="7975244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_Toc21939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1.11</w:t>
          </w:r>
          <w:r>
            <w:rPr>
              <w:rFonts w:ascii="Times New Roman" w:hAnsi="Times New Roman" w:eastAsia="Times New Roman" w:cs="Times New Roman"/>
              <w:bCs/>
              <w:spacing w:val="7"/>
              <w:szCs w:val="24"/>
              <w:highlight w:val="none"/>
            </w:rPr>
            <w:t xml:space="preserve">  </w:t>
          </w:r>
          <w:r>
            <w:rPr>
              <w:rFonts w:ascii="宋体" w:hAnsi="宋体" w:eastAsia="宋体" w:cs="宋体"/>
              <w:bCs/>
              <w:spacing w:val="-5"/>
              <w:szCs w:val="24"/>
              <w:highlight w:val="none"/>
            </w:rPr>
            <w:t>分包</w:t>
          </w:r>
          <w:r>
            <w:tab/>
          </w:r>
          <w:r>
            <w:fldChar w:fldCharType="begin"/>
          </w:r>
          <w:r>
            <w:instrText xml:space="preserve"> PAGEREF _Toc21939 \h </w:instrText>
          </w:r>
          <w:r>
            <w:fldChar w:fldCharType="separate"/>
          </w:r>
          <w:r>
            <w:t>44</w:t>
          </w:r>
          <w:r>
            <w:fldChar w:fldCharType="end"/>
          </w:r>
          <w:r>
            <w:rPr>
              <w:rFonts w:ascii="Times New Roman" w:hAnsi="Times New Roman" w:eastAsia="Times New Roman" w:cs="Times New Roman"/>
              <w:color w:val="auto"/>
              <w:szCs w:val="21"/>
              <w:highlight w:val="none"/>
            </w:rPr>
            <w:fldChar w:fldCharType="end"/>
          </w:r>
        </w:p>
        <w:p w14:paraId="1B9CF818">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_Toc32650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1.12</w:t>
          </w:r>
          <w:r>
            <w:rPr>
              <w:rFonts w:ascii="Times New Roman" w:hAnsi="Times New Roman" w:eastAsia="Times New Roman" w:cs="Times New Roman"/>
              <w:bCs/>
              <w:spacing w:val="7"/>
              <w:szCs w:val="24"/>
              <w:highlight w:val="none"/>
            </w:rPr>
            <w:t xml:space="preserve">  </w:t>
          </w:r>
          <w:r>
            <w:rPr>
              <w:rFonts w:ascii="宋体" w:hAnsi="宋体" w:eastAsia="宋体" w:cs="宋体"/>
              <w:bCs/>
              <w:spacing w:val="-5"/>
              <w:szCs w:val="24"/>
              <w:highlight w:val="none"/>
            </w:rPr>
            <w:t>偏离</w:t>
          </w:r>
          <w:r>
            <w:tab/>
          </w:r>
          <w:r>
            <w:fldChar w:fldCharType="begin"/>
          </w:r>
          <w:r>
            <w:instrText xml:space="preserve"> PAGEREF _Toc32650 \h </w:instrText>
          </w:r>
          <w:r>
            <w:fldChar w:fldCharType="separate"/>
          </w:r>
          <w:r>
            <w:t>44</w:t>
          </w:r>
          <w:r>
            <w:fldChar w:fldCharType="end"/>
          </w:r>
          <w:r>
            <w:rPr>
              <w:rFonts w:ascii="Times New Roman" w:hAnsi="Times New Roman" w:eastAsia="Times New Roman" w:cs="Times New Roman"/>
              <w:color w:val="auto"/>
              <w:szCs w:val="21"/>
              <w:highlight w:val="none"/>
            </w:rPr>
            <w:fldChar w:fldCharType="end"/>
          </w:r>
        </w:p>
        <w:p w14:paraId="6589ECC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_Toc4417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8"/>
              <w:highlight w:val="none"/>
            </w:rPr>
            <w:t>2</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5"/>
              <w:szCs w:val="28"/>
              <w:highlight w:val="none"/>
            </w:rPr>
            <w:t>招标文件</w:t>
          </w:r>
          <w:r>
            <w:tab/>
          </w:r>
          <w:r>
            <w:fldChar w:fldCharType="begin"/>
          </w:r>
          <w:r>
            <w:instrText xml:space="preserve"> PAGEREF _Toc4417 \h </w:instrText>
          </w:r>
          <w:r>
            <w:fldChar w:fldCharType="separate"/>
          </w:r>
          <w:r>
            <w:t>44</w:t>
          </w:r>
          <w:r>
            <w:fldChar w:fldCharType="end"/>
          </w:r>
          <w:r>
            <w:rPr>
              <w:rFonts w:ascii="Times New Roman" w:hAnsi="Times New Roman" w:eastAsia="Times New Roman" w:cs="Times New Roman"/>
              <w:color w:val="auto"/>
              <w:szCs w:val="21"/>
              <w:highlight w:val="none"/>
            </w:rPr>
            <w:fldChar w:fldCharType="end"/>
          </w:r>
        </w:p>
        <w:p w14:paraId="191D2B6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_Toc19859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2.1  </w:t>
          </w:r>
          <w:r>
            <w:rPr>
              <w:rFonts w:ascii="宋体" w:hAnsi="宋体" w:eastAsia="宋体" w:cs="宋体"/>
              <w:bCs/>
              <w:spacing w:val="-2"/>
              <w:szCs w:val="24"/>
              <w:highlight w:val="none"/>
            </w:rPr>
            <w:t>招标文件的组成</w:t>
          </w:r>
          <w:r>
            <w:tab/>
          </w:r>
          <w:r>
            <w:fldChar w:fldCharType="begin"/>
          </w:r>
          <w:r>
            <w:instrText xml:space="preserve"> PAGEREF _Toc19859 \h </w:instrText>
          </w:r>
          <w:r>
            <w:fldChar w:fldCharType="separate"/>
          </w:r>
          <w:r>
            <w:t>44</w:t>
          </w:r>
          <w:r>
            <w:fldChar w:fldCharType="end"/>
          </w:r>
          <w:r>
            <w:rPr>
              <w:rFonts w:ascii="Times New Roman" w:hAnsi="Times New Roman" w:eastAsia="Times New Roman" w:cs="Times New Roman"/>
              <w:color w:val="auto"/>
              <w:szCs w:val="21"/>
              <w:highlight w:val="none"/>
            </w:rPr>
            <w:fldChar w:fldCharType="end"/>
          </w:r>
        </w:p>
        <w:p w14:paraId="0002FAE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_Toc9901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2.2  </w:t>
          </w:r>
          <w:r>
            <w:rPr>
              <w:rFonts w:ascii="宋体" w:hAnsi="宋体" w:eastAsia="宋体" w:cs="宋体"/>
              <w:bCs/>
              <w:spacing w:val="-2"/>
              <w:szCs w:val="24"/>
              <w:highlight w:val="none"/>
            </w:rPr>
            <w:t>招标文件的澄清</w:t>
          </w:r>
          <w:r>
            <w:tab/>
          </w:r>
          <w:r>
            <w:fldChar w:fldCharType="begin"/>
          </w:r>
          <w:r>
            <w:instrText xml:space="preserve"> PAGEREF _Toc9901 \h </w:instrText>
          </w:r>
          <w:r>
            <w:fldChar w:fldCharType="separate"/>
          </w:r>
          <w:r>
            <w:t>45</w:t>
          </w:r>
          <w:r>
            <w:fldChar w:fldCharType="end"/>
          </w:r>
          <w:r>
            <w:rPr>
              <w:rFonts w:ascii="Times New Roman" w:hAnsi="Times New Roman" w:eastAsia="Times New Roman" w:cs="Times New Roman"/>
              <w:color w:val="auto"/>
              <w:szCs w:val="21"/>
              <w:highlight w:val="none"/>
            </w:rPr>
            <w:fldChar w:fldCharType="end"/>
          </w:r>
        </w:p>
        <w:p w14:paraId="7FA3DA9F">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_Toc2531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2.3  </w:t>
          </w:r>
          <w:r>
            <w:rPr>
              <w:rFonts w:ascii="宋体" w:hAnsi="宋体" w:eastAsia="宋体" w:cs="宋体"/>
              <w:bCs/>
              <w:spacing w:val="-2"/>
              <w:szCs w:val="24"/>
              <w:highlight w:val="none"/>
            </w:rPr>
            <w:t>招标文件的修改</w:t>
          </w:r>
          <w:r>
            <w:tab/>
          </w:r>
          <w:r>
            <w:fldChar w:fldCharType="begin"/>
          </w:r>
          <w:r>
            <w:instrText xml:space="preserve"> PAGEREF _Toc2531 \h </w:instrText>
          </w:r>
          <w:r>
            <w:fldChar w:fldCharType="separate"/>
          </w:r>
          <w:r>
            <w:t>45</w:t>
          </w:r>
          <w:r>
            <w:fldChar w:fldCharType="end"/>
          </w:r>
          <w:r>
            <w:rPr>
              <w:rFonts w:ascii="Times New Roman" w:hAnsi="Times New Roman" w:eastAsia="Times New Roman" w:cs="Times New Roman"/>
              <w:color w:val="auto"/>
              <w:szCs w:val="21"/>
              <w:highlight w:val="none"/>
            </w:rPr>
            <w:fldChar w:fldCharType="end"/>
          </w:r>
        </w:p>
        <w:p w14:paraId="791C678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_Toc2721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8"/>
              <w:highlight w:val="none"/>
            </w:rPr>
            <w:t>3</w:t>
          </w:r>
          <w:r>
            <w:rPr>
              <w:rFonts w:ascii="Times New Roman" w:hAnsi="Times New Roman" w:eastAsia="Times New Roman" w:cs="Times New Roman"/>
              <w:bCs/>
              <w:spacing w:val="7"/>
              <w:szCs w:val="28"/>
              <w:highlight w:val="none"/>
            </w:rPr>
            <w:t xml:space="preserve">  </w:t>
          </w:r>
          <w:r>
            <w:rPr>
              <w:rFonts w:ascii="宋体" w:hAnsi="宋体" w:eastAsia="宋体" w:cs="宋体"/>
              <w:bCs/>
              <w:spacing w:val="-5"/>
              <w:szCs w:val="28"/>
              <w:highlight w:val="none"/>
            </w:rPr>
            <w:t>投标文件</w:t>
          </w:r>
          <w:r>
            <w:tab/>
          </w:r>
          <w:r>
            <w:fldChar w:fldCharType="begin"/>
          </w:r>
          <w:r>
            <w:instrText xml:space="preserve"> PAGEREF _Toc2721 \h </w:instrText>
          </w:r>
          <w:r>
            <w:fldChar w:fldCharType="separate"/>
          </w:r>
          <w:r>
            <w:t>46</w:t>
          </w:r>
          <w:r>
            <w:fldChar w:fldCharType="end"/>
          </w:r>
          <w:r>
            <w:rPr>
              <w:rFonts w:ascii="Times New Roman" w:hAnsi="Times New Roman" w:eastAsia="Times New Roman" w:cs="Times New Roman"/>
              <w:color w:val="auto"/>
              <w:szCs w:val="21"/>
              <w:highlight w:val="none"/>
            </w:rPr>
            <w:fldChar w:fldCharType="end"/>
          </w:r>
        </w:p>
        <w:p w14:paraId="291DF0F0">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_Toc26483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3.1  </w:t>
          </w:r>
          <w:r>
            <w:rPr>
              <w:rFonts w:ascii="宋体" w:hAnsi="宋体" w:eastAsia="宋体" w:cs="宋体"/>
              <w:bCs/>
              <w:spacing w:val="-2"/>
              <w:szCs w:val="24"/>
              <w:highlight w:val="none"/>
            </w:rPr>
            <w:t>投标文件的组成</w:t>
          </w:r>
          <w:r>
            <w:tab/>
          </w:r>
          <w:r>
            <w:fldChar w:fldCharType="begin"/>
          </w:r>
          <w:r>
            <w:instrText xml:space="preserve"> PAGEREF _Toc26483 \h </w:instrText>
          </w:r>
          <w:r>
            <w:fldChar w:fldCharType="separate"/>
          </w:r>
          <w:r>
            <w:t>46</w:t>
          </w:r>
          <w:r>
            <w:fldChar w:fldCharType="end"/>
          </w:r>
          <w:r>
            <w:rPr>
              <w:rFonts w:ascii="Times New Roman" w:hAnsi="Times New Roman" w:eastAsia="Times New Roman" w:cs="Times New Roman"/>
              <w:color w:val="auto"/>
              <w:szCs w:val="21"/>
              <w:highlight w:val="none"/>
            </w:rPr>
            <w:fldChar w:fldCharType="end"/>
          </w:r>
        </w:p>
        <w:p w14:paraId="1086BEFA">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_Toc22862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4"/>
              <w:highlight w:val="none"/>
            </w:rPr>
            <w:t>3.2</w:t>
          </w:r>
          <w:r>
            <w:rPr>
              <w:rFonts w:ascii="Times New Roman" w:hAnsi="Times New Roman" w:eastAsia="Times New Roman" w:cs="Times New Roman"/>
              <w:bCs/>
              <w:spacing w:val="8"/>
              <w:szCs w:val="24"/>
              <w:highlight w:val="none"/>
            </w:rPr>
            <w:t xml:space="preserve">  </w:t>
          </w:r>
          <w:r>
            <w:rPr>
              <w:rFonts w:ascii="宋体" w:hAnsi="宋体" w:eastAsia="宋体" w:cs="宋体"/>
              <w:bCs/>
              <w:spacing w:val="-4"/>
              <w:szCs w:val="24"/>
              <w:highlight w:val="none"/>
            </w:rPr>
            <w:t>投标报价</w:t>
          </w:r>
          <w:r>
            <w:tab/>
          </w:r>
          <w:r>
            <w:fldChar w:fldCharType="begin"/>
          </w:r>
          <w:r>
            <w:instrText xml:space="preserve"> PAGEREF _Toc22862 \h </w:instrText>
          </w:r>
          <w:r>
            <w:fldChar w:fldCharType="separate"/>
          </w:r>
          <w:r>
            <w:t>46</w:t>
          </w:r>
          <w:r>
            <w:fldChar w:fldCharType="end"/>
          </w:r>
          <w:r>
            <w:rPr>
              <w:rFonts w:ascii="Times New Roman" w:hAnsi="Times New Roman" w:eastAsia="Times New Roman" w:cs="Times New Roman"/>
              <w:color w:val="auto"/>
              <w:szCs w:val="21"/>
              <w:highlight w:val="none"/>
            </w:rPr>
            <w:fldChar w:fldCharType="end"/>
          </w:r>
        </w:p>
        <w:p w14:paraId="3514F700">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_Toc14972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3.3  </w:t>
          </w:r>
          <w:r>
            <w:rPr>
              <w:rFonts w:ascii="宋体" w:hAnsi="宋体" w:eastAsia="宋体" w:cs="宋体"/>
              <w:bCs/>
              <w:spacing w:val="-2"/>
              <w:szCs w:val="24"/>
              <w:highlight w:val="none"/>
            </w:rPr>
            <w:t>投标有效期</w:t>
          </w:r>
          <w:r>
            <w:tab/>
          </w:r>
          <w:r>
            <w:fldChar w:fldCharType="begin"/>
          </w:r>
          <w:r>
            <w:instrText xml:space="preserve"> PAGEREF _Toc14972 \h </w:instrText>
          </w:r>
          <w:r>
            <w:fldChar w:fldCharType="separate"/>
          </w:r>
          <w:r>
            <w:t>47</w:t>
          </w:r>
          <w:r>
            <w:fldChar w:fldCharType="end"/>
          </w:r>
          <w:r>
            <w:rPr>
              <w:rFonts w:ascii="Times New Roman" w:hAnsi="Times New Roman" w:eastAsia="Times New Roman" w:cs="Times New Roman"/>
              <w:color w:val="auto"/>
              <w:szCs w:val="21"/>
              <w:highlight w:val="none"/>
            </w:rPr>
            <w:fldChar w:fldCharType="end"/>
          </w:r>
        </w:p>
        <w:p w14:paraId="041436E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_Toc17316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spacing w:val="-2"/>
              <w:szCs w:val="24"/>
              <w:highlight w:val="none"/>
            </w:rPr>
            <w:t xml:space="preserve">3.4  </w:t>
          </w:r>
          <w:r>
            <w:rPr>
              <w:rFonts w:ascii="宋体" w:hAnsi="宋体" w:eastAsia="宋体" w:cs="宋体"/>
              <w:bCs/>
              <w:strike w:val="0"/>
              <w:spacing w:val="-2"/>
              <w:szCs w:val="24"/>
              <w:highlight w:val="none"/>
            </w:rPr>
            <w:t>投标保证金</w:t>
          </w:r>
          <w:r>
            <w:tab/>
          </w:r>
          <w:r>
            <w:fldChar w:fldCharType="begin"/>
          </w:r>
          <w:r>
            <w:instrText xml:space="preserve"> PAGEREF _Toc17316 \h </w:instrText>
          </w:r>
          <w:r>
            <w:fldChar w:fldCharType="separate"/>
          </w:r>
          <w:r>
            <w:t>47</w:t>
          </w:r>
          <w:r>
            <w:fldChar w:fldCharType="end"/>
          </w:r>
          <w:r>
            <w:rPr>
              <w:rFonts w:ascii="Times New Roman" w:hAnsi="Times New Roman" w:eastAsia="Times New Roman" w:cs="Times New Roman"/>
              <w:color w:val="auto"/>
              <w:szCs w:val="21"/>
              <w:highlight w:val="none"/>
            </w:rPr>
            <w:fldChar w:fldCharType="end"/>
          </w:r>
        </w:p>
        <w:p w14:paraId="6A975C8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_Toc28485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3.5  </w:t>
          </w:r>
          <w:r>
            <w:rPr>
              <w:rFonts w:ascii="宋体" w:hAnsi="宋体" w:eastAsia="宋体" w:cs="宋体"/>
              <w:bCs/>
              <w:strike w:val="0"/>
              <w:dstrike w:val="0"/>
              <w:spacing w:val="-2"/>
              <w:szCs w:val="24"/>
              <w:highlight w:val="none"/>
            </w:rPr>
            <w:t>资格审查资料（适用于已进行资格预审的）</w:t>
          </w:r>
          <w:r>
            <w:tab/>
          </w:r>
          <w:r>
            <w:fldChar w:fldCharType="begin"/>
          </w:r>
          <w:r>
            <w:instrText xml:space="preserve"> PAGEREF _Toc28485 \h </w:instrText>
          </w:r>
          <w:r>
            <w:fldChar w:fldCharType="separate"/>
          </w:r>
          <w:r>
            <w:t>47</w:t>
          </w:r>
          <w:r>
            <w:fldChar w:fldCharType="end"/>
          </w:r>
          <w:r>
            <w:rPr>
              <w:rFonts w:ascii="Times New Roman" w:hAnsi="Times New Roman" w:eastAsia="Times New Roman" w:cs="Times New Roman"/>
              <w:color w:val="auto"/>
              <w:szCs w:val="21"/>
              <w:highlight w:val="none"/>
            </w:rPr>
            <w:fldChar w:fldCharType="end"/>
          </w:r>
        </w:p>
        <w:p w14:paraId="668369B4">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_Toc28545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3.5  </w:t>
          </w:r>
          <w:r>
            <w:rPr>
              <w:rFonts w:ascii="宋体" w:hAnsi="宋体" w:eastAsia="宋体" w:cs="宋体"/>
              <w:bCs/>
              <w:spacing w:val="-2"/>
              <w:szCs w:val="24"/>
              <w:highlight w:val="none"/>
            </w:rPr>
            <w:t>资格审查资料（适用于未进行资格预审的）</w:t>
          </w:r>
          <w:r>
            <w:tab/>
          </w:r>
          <w:r>
            <w:fldChar w:fldCharType="begin"/>
          </w:r>
          <w:r>
            <w:instrText xml:space="preserve"> PAGEREF _Toc28545 \h </w:instrText>
          </w:r>
          <w:r>
            <w:fldChar w:fldCharType="separate"/>
          </w:r>
          <w:r>
            <w:t>47</w:t>
          </w:r>
          <w:r>
            <w:fldChar w:fldCharType="end"/>
          </w:r>
          <w:r>
            <w:rPr>
              <w:rFonts w:ascii="Times New Roman" w:hAnsi="Times New Roman" w:eastAsia="Times New Roman" w:cs="Times New Roman"/>
              <w:color w:val="auto"/>
              <w:szCs w:val="21"/>
              <w:highlight w:val="none"/>
            </w:rPr>
            <w:fldChar w:fldCharType="end"/>
          </w:r>
        </w:p>
        <w:p w14:paraId="451DDBA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_Toc7202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3.6  </w:t>
          </w:r>
          <w:r>
            <w:rPr>
              <w:rFonts w:ascii="宋体" w:hAnsi="宋体" w:eastAsia="宋体" w:cs="宋体"/>
              <w:bCs/>
              <w:spacing w:val="-2"/>
              <w:szCs w:val="24"/>
              <w:highlight w:val="none"/>
            </w:rPr>
            <w:t>备选投标方案</w:t>
          </w:r>
          <w:r>
            <w:tab/>
          </w:r>
          <w:r>
            <w:fldChar w:fldCharType="begin"/>
          </w:r>
          <w:r>
            <w:instrText xml:space="preserve"> PAGEREF _Toc7202 \h </w:instrText>
          </w:r>
          <w:r>
            <w:fldChar w:fldCharType="separate"/>
          </w:r>
          <w:r>
            <w:t>48</w:t>
          </w:r>
          <w:r>
            <w:fldChar w:fldCharType="end"/>
          </w:r>
          <w:r>
            <w:rPr>
              <w:rFonts w:ascii="Times New Roman" w:hAnsi="Times New Roman" w:eastAsia="Times New Roman" w:cs="Times New Roman"/>
              <w:color w:val="auto"/>
              <w:szCs w:val="21"/>
              <w:highlight w:val="none"/>
            </w:rPr>
            <w:fldChar w:fldCharType="end"/>
          </w:r>
        </w:p>
        <w:p w14:paraId="0EE2626F">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_Toc10797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3.7  </w:t>
          </w:r>
          <w:r>
            <w:rPr>
              <w:rFonts w:ascii="宋体" w:hAnsi="宋体" w:eastAsia="宋体" w:cs="宋体"/>
              <w:bCs/>
              <w:spacing w:val="-2"/>
              <w:szCs w:val="24"/>
              <w:highlight w:val="none"/>
            </w:rPr>
            <w:t>投标文件的编制</w:t>
          </w:r>
          <w:r>
            <w:tab/>
          </w:r>
          <w:r>
            <w:fldChar w:fldCharType="begin"/>
          </w:r>
          <w:r>
            <w:instrText xml:space="preserve"> PAGEREF _Toc10797 \h </w:instrText>
          </w:r>
          <w:r>
            <w:fldChar w:fldCharType="separate"/>
          </w:r>
          <w:r>
            <w:t>48</w:t>
          </w:r>
          <w:r>
            <w:fldChar w:fldCharType="end"/>
          </w:r>
          <w:r>
            <w:rPr>
              <w:rFonts w:ascii="Times New Roman" w:hAnsi="Times New Roman" w:eastAsia="Times New Roman" w:cs="Times New Roman"/>
              <w:color w:val="auto"/>
              <w:szCs w:val="21"/>
              <w:highlight w:val="none"/>
            </w:rPr>
            <w:fldChar w:fldCharType="end"/>
          </w:r>
        </w:p>
        <w:p w14:paraId="76BCBDD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_Toc12403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4</w:t>
          </w:r>
          <w:r>
            <w:rPr>
              <w:rFonts w:ascii="Times New Roman" w:hAnsi="Times New Roman" w:eastAsia="Times New Roman" w:cs="Times New Roman"/>
              <w:bCs/>
              <w:spacing w:val="7"/>
              <w:szCs w:val="28"/>
              <w:highlight w:val="none"/>
            </w:rPr>
            <w:t xml:space="preserve">  </w:t>
          </w:r>
          <w:r>
            <w:rPr>
              <w:rFonts w:ascii="宋体" w:hAnsi="宋体" w:eastAsia="宋体" w:cs="宋体"/>
              <w:bCs/>
              <w:spacing w:val="-7"/>
              <w:szCs w:val="28"/>
              <w:highlight w:val="none"/>
            </w:rPr>
            <w:t>投标</w:t>
          </w:r>
          <w:r>
            <w:tab/>
          </w:r>
          <w:r>
            <w:fldChar w:fldCharType="begin"/>
          </w:r>
          <w:r>
            <w:instrText xml:space="preserve"> PAGEREF _Toc12403 \h </w:instrText>
          </w:r>
          <w:r>
            <w:fldChar w:fldCharType="separate"/>
          </w:r>
          <w:r>
            <w:t>48</w:t>
          </w:r>
          <w:r>
            <w:fldChar w:fldCharType="end"/>
          </w:r>
          <w:r>
            <w:rPr>
              <w:rFonts w:ascii="Times New Roman" w:hAnsi="Times New Roman" w:eastAsia="Times New Roman" w:cs="Times New Roman"/>
              <w:color w:val="auto"/>
              <w:szCs w:val="21"/>
              <w:highlight w:val="none"/>
            </w:rPr>
            <w:fldChar w:fldCharType="end"/>
          </w:r>
        </w:p>
        <w:p w14:paraId="6689589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_Toc2009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4.1  </w:t>
          </w:r>
          <w:r>
            <w:rPr>
              <w:rFonts w:ascii="宋体" w:hAnsi="宋体" w:eastAsia="宋体" w:cs="宋体"/>
              <w:bCs/>
              <w:spacing w:val="-2"/>
              <w:szCs w:val="24"/>
              <w:highlight w:val="none"/>
            </w:rPr>
            <w:t>投标文件的密封和标识</w:t>
          </w:r>
          <w:r>
            <w:tab/>
          </w:r>
          <w:r>
            <w:fldChar w:fldCharType="begin"/>
          </w:r>
          <w:r>
            <w:instrText xml:space="preserve"> PAGEREF _Toc2009 \h </w:instrText>
          </w:r>
          <w:r>
            <w:fldChar w:fldCharType="separate"/>
          </w:r>
          <w:r>
            <w:t>48</w:t>
          </w:r>
          <w:r>
            <w:fldChar w:fldCharType="end"/>
          </w:r>
          <w:r>
            <w:rPr>
              <w:rFonts w:ascii="Times New Roman" w:hAnsi="Times New Roman" w:eastAsia="Times New Roman" w:cs="Times New Roman"/>
              <w:color w:val="auto"/>
              <w:szCs w:val="21"/>
              <w:highlight w:val="none"/>
            </w:rPr>
            <w:fldChar w:fldCharType="end"/>
          </w:r>
        </w:p>
        <w:p w14:paraId="644C134C">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_Toc4273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4.2  </w:t>
          </w:r>
          <w:r>
            <w:rPr>
              <w:rFonts w:ascii="宋体" w:hAnsi="宋体" w:eastAsia="宋体" w:cs="宋体"/>
              <w:bCs/>
              <w:spacing w:val="-2"/>
              <w:szCs w:val="24"/>
              <w:highlight w:val="none"/>
            </w:rPr>
            <w:t>投标文件的递交</w:t>
          </w:r>
          <w:r>
            <w:tab/>
          </w:r>
          <w:r>
            <w:fldChar w:fldCharType="begin"/>
          </w:r>
          <w:r>
            <w:instrText xml:space="preserve"> PAGEREF _Toc4273 \h </w:instrText>
          </w:r>
          <w:r>
            <w:fldChar w:fldCharType="separate"/>
          </w:r>
          <w:r>
            <w:t>48</w:t>
          </w:r>
          <w:r>
            <w:fldChar w:fldCharType="end"/>
          </w:r>
          <w:r>
            <w:rPr>
              <w:rFonts w:ascii="Times New Roman" w:hAnsi="Times New Roman" w:eastAsia="Times New Roman" w:cs="Times New Roman"/>
              <w:color w:val="auto"/>
              <w:szCs w:val="21"/>
              <w:highlight w:val="none"/>
            </w:rPr>
            <w:fldChar w:fldCharType="end"/>
          </w:r>
        </w:p>
        <w:p w14:paraId="3AFD11EE">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_Toc8191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4.3  </w:t>
          </w:r>
          <w:r>
            <w:rPr>
              <w:rFonts w:ascii="宋体" w:hAnsi="宋体" w:eastAsia="宋体" w:cs="宋体"/>
              <w:bCs/>
              <w:spacing w:val="-2"/>
              <w:szCs w:val="24"/>
              <w:highlight w:val="none"/>
            </w:rPr>
            <w:t>投标文件的修改与撤回</w:t>
          </w:r>
          <w:r>
            <w:tab/>
          </w:r>
          <w:r>
            <w:fldChar w:fldCharType="begin"/>
          </w:r>
          <w:r>
            <w:instrText xml:space="preserve"> PAGEREF _Toc8191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4255CA70">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_Toc12228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5</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7"/>
              <w:szCs w:val="28"/>
              <w:highlight w:val="none"/>
            </w:rPr>
            <w:t>开标</w:t>
          </w:r>
          <w:r>
            <w:tab/>
          </w:r>
          <w:r>
            <w:fldChar w:fldCharType="begin"/>
          </w:r>
          <w:r>
            <w:instrText xml:space="preserve"> PAGEREF _Toc12228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7752B5FF">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_Toc21971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5.1</w:t>
          </w:r>
          <w:r>
            <w:rPr>
              <w:rFonts w:ascii="宋体" w:hAnsi="宋体" w:eastAsia="宋体" w:cs="宋体"/>
              <w:bCs/>
              <w:spacing w:val="-2"/>
              <w:szCs w:val="24"/>
              <w:highlight w:val="none"/>
            </w:rPr>
            <w:t>开标时间和地点</w:t>
          </w:r>
          <w:r>
            <w:tab/>
          </w:r>
          <w:r>
            <w:fldChar w:fldCharType="begin"/>
          </w:r>
          <w:r>
            <w:instrText xml:space="preserve"> PAGEREF _Toc21971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0DCE4679">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_Toc30783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5.2  </w:t>
          </w:r>
          <w:r>
            <w:rPr>
              <w:rFonts w:ascii="宋体" w:hAnsi="宋体" w:eastAsia="宋体" w:cs="宋体"/>
              <w:bCs/>
              <w:spacing w:val="-2"/>
              <w:szCs w:val="24"/>
              <w:highlight w:val="none"/>
            </w:rPr>
            <w:t>开标程序</w:t>
          </w:r>
          <w:r>
            <w:tab/>
          </w:r>
          <w:r>
            <w:fldChar w:fldCharType="begin"/>
          </w:r>
          <w:r>
            <w:instrText xml:space="preserve"> PAGEREF _Toc30783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3C0BDD0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_Toc21795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5.3  </w:t>
          </w:r>
          <w:r>
            <w:rPr>
              <w:rFonts w:ascii="宋体" w:hAnsi="宋体" w:eastAsia="宋体" w:cs="宋体"/>
              <w:bCs/>
              <w:spacing w:val="-2"/>
              <w:szCs w:val="24"/>
              <w:highlight w:val="none"/>
            </w:rPr>
            <w:t>特殊情况处置</w:t>
          </w:r>
          <w:r>
            <w:tab/>
          </w:r>
          <w:r>
            <w:fldChar w:fldCharType="begin"/>
          </w:r>
          <w:r>
            <w:instrText xml:space="preserve"> PAGEREF _Toc21795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4E0F958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_Toc11310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5.4  </w:t>
          </w:r>
          <w:r>
            <w:rPr>
              <w:rFonts w:ascii="宋体" w:hAnsi="宋体" w:eastAsia="宋体" w:cs="宋体"/>
              <w:bCs/>
              <w:spacing w:val="-2"/>
              <w:szCs w:val="24"/>
              <w:highlight w:val="none"/>
            </w:rPr>
            <w:t>开标异议</w:t>
          </w:r>
          <w:r>
            <w:tab/>
          </w:r>
          <w:r>
            <w:fldChar w:fldCharType="begin"/>
          </w:r>
          <w:r>
            <w:instrText xml:space="preserve"> PAGEREF _Toc11310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0A19D71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_Toc28507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6</w:t>
          </w:r>
          <w:r>
            <w:rPr>
              <w:rFonts w:ascii="Times New Roman" w:hAnsi="Times New Roman" w:eastAsia="Times New Roman" w:cs="Times New Roman"/>
              <w:bCs/>
              <w:spacing w:val="5"/>
              <w:szCs w:val="28"/>
              <w:highlight w:val="none"/>
            </w:rPr>
            <w:t xml:space="preserve">  </w:t>
          </w:r>
          <w:r>
            <w:rPr>
              <w:rFonts w:ascii="宋体" w:hAnsi="宋体" w:eastAsia="宋体" w:cs="宋体"/>
              <w:bCs/>
              <w:spacing w:val="-7"/>
              <w:szCs w:val="28"/>
              <w:highlight w:val="none"/>
            </w:rPr>
            <w:t>评标</w:t>
          </w:r>
          <w:r>
            <w:tab/>
          </w:r>
          <w:r>
            <w:fldChar w:fldCharType="begin"/>
          </w:r>
          <w:r>
            <w:instrText xml:space="preserve"> PAGEREF _Toc28507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7D60A3F8">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_Toc22680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6.1  </w:t>
          </w:r>
          <w:r>
            <w:rPr>
              <w:rFonts w:ascii="宋体" w:hAnsi="宋体" w:eastAsia="宋体" w:cs="宋体"/>
              <w:bCs/>
              <w:spacing w:val="-2"/>
              <w:szCs w:val="24"/>
              <w:highlight w:val="none"/>
            </w:rPr>
            <w:t>评标委员会</w:t>
          </w:r>
          <w:r>
            <w:tab/>
          </w:r>
          <w:r>
            <w:fldChar w:fldCharType="begin"/>
          </w:r>
          <w:r>
            <w:instrText xml:space="preserve"> PAGEREF _Toc22680 \h </w:instrText>
          </w:r>
          <w:r>
            <w:fldChar w:fldCharType="separate"/>
          </w:r>
          <w:r>
            <w:t>49</w:t>
          </w:r>
          <w:r>
            <w:fldChar w:fldCharType="end"/>
          </w:r>
          <w:r>
            <w:rPr>
              <w:rFonts w:ascii="Times New Roman" w:hAnsi="Times New Roman" w:eastAsia="Times New Roman" w:cs="Times New Roman"/>
              <w:color w:val="auto"/>
              <w:szCs w:val="21"/>
              <w:highlight w:val="none"/>
            </w:rPr>
            <w:fldChar w:fldCharType="end"/>
          </w:r>
        </w:p>
        <w:p w14:paraId="2245542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_Toc8585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6.2  </w:t>
          </w:r>
          <w:r>
            <w:rPr>
              <w:rFonts w:ascii="宋体" w:hAnsi="宋体" w:eastAsia="宋体" w:cs="宋体"/>
              <w:bCs/>
              <w:spacing w:val="-2"/>
              <w:szCs w:val="24"/>
              <w:highlight w:val="none"/>
            </w:rPr>
            <w:t>评标原则</w:t>
          </w:r>
          <w:r>
            <w:tab/>
          </w:r>
          <w:r>
            <w:fldChar w:fldCharType="begin"/>
          </w:r>
          <w:r>
            <w:instrText xml:space="preserve"> PAGEREF _Toc8585 \h </w:instrText>
          </w:r>
          <w:r>
            <w:fldChar w:fldCharType="separate"/>
          </w:r>
          <w:r>
            <w:t>50</w:t>
          </w:r>
          <w:r>
            <w:fldChar w:fldCharType="end"/>
          </w:r>
          <w:r>
            <w:rPr>
              <w:rFonts w:ascii="Times New Roman" w:hAnsi="Times New Roman" w:eastAsia="Times New Roman" w:cs="Times New Roman"/>
              <w:color w:val="auto"/>
              <w:szCs w:val="21"/>
              <w:highlight w:val="none"/>
            </w:rPr>
            <w:fldChar w:fldCharType="end"/>
          </w:r>
        </w:p>
        <w:p w14:paraId="6BE0BDF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_Toc8684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6.3  </w:t>
          </w:r>
          <w:r>
            <w:rPr>
              <w:rFonts w:ascii="宋体" w:hAnsi="宋体" w:eastAsia="宋体" w:cs="宋体"/>
              <w:bCs/>
              <w:spacing w:val="-2"/>
              <w:szCs w:val="24"/>
              <w:highlight w:val="none"/>
            </w:rPr>
            <w:t>评标办法与中标候选人推荐</w:t>
          </w:r>
          <w:r>
            <w:tab/>
          </w:r>
          <w:r>
            <w:fldChar w:fldCharType="begin"/>
          </w:r>
          <w:r>
            <w:instrText xml:space="preserve"> PAGEREF _Toc8684 \h </w:instrText>
          </w:r>
          <w:r>
            <w:fldChar w:fldCharType="separate"/>
          </w:r>
          <w:r>
            <w:t>50</w:t>
          </w:r>
          <w:r>
            <w:fldChar w:fldCharType="end"/>
          </w:r>
          <w:r>
            <w:rPr>
              <w:rFonts w:ascii="Times New Roman" w:hAnsi="Times New Roman" w:eastAsia="Times New Roman" w:cs="Times New Roman"/>
              <w:color w:val="auto"/>
              <w:szCs w:val="21"/>
              <w:highlight w:val="none"/>
            </w:rPr>
            <w:fldChar w:fldCharType="end"/>
          </w:r>
        </w:p>
        <w:p w14:paraId="2E8F63A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_Toc5009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6.4</w:t>
          </w:r>
          <w:r>
            <w:rPr>
              <w:rFonts w:ascii="Times New Roman" w:hAnsi="Times New Roman" w:eastAsia="Times New Roman" w:cs="Times New Roman"/>
              <w:bCs/>
              <w:spacing w:val="19"/>
              <w:w w:val="101"/>
              <w:szCs w:val="24"/>
              <w:highlight w:val="none"/>
            </w:rPr>
            <w:t xml:space="preserve">  </w:t>
          </w:r>
          <w:r>
            <w:rPr>
              <w:rFonts w:ascii="宋体" w:hAnsi="宋体" w:eastAsia="宋体" w:cs="宋体"/>
              <w:bCs/>
              <w:spacing w:val="-5"/>
              <w:szCs w:val="24"/>
              <w:highlight w:val="none"/>
            </w:rPr>
            <w:t>中标候选人公示及媒介</w:t>
          </w:r>
          <w:r>
            <w:tab/>
          </w:r>
          <w:r>
            <w:fldChar w:fldCharType="begin"/>
          </w:r>
          <w:r>
            <w:instrText xml:space="preserve"> PAGEREF _Toc5009 \h </w:instrText>
          </w:r>
          <w:r>
            <w:fldChar w:fldCharType="separate"/>
          </w:r>
          <w:r>
            <w:t>50</w:t>
          </w:r>
          <w:r>
            <w:fldChar w:fldCharType="end"/>
          </w:r>
          <w:r>
            <w:rPr>
              <w:rFonts w:ascii="Times New Roman" w:hAnsi="Times New Roman" w:eastAsia="Times New Roman" w:cs="Times New Roman"/>
              <w:color w:val="auto"/>
              <w:szCs w:val="21"/>
              <w:highlight w:val="none"/>
            </w:rPr>
            <w:fldChar w:fldCharType="end"/>
          </w:r>
        </w:p>
        <w:p w14:paraId="3399C22C">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_Toc6379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8"/>
              <w:highlight w:val="none"/>
            </w:rPr>
            <w:t>7</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6"/>
              <w:szCs w:val="28"/>
              <w:highlight w:val="none"/>
            </w:rPr>
            <w:t>合同授予</w:t>
          </w:r>
          <w:r>
            <w:tab/>
          </w:r>
          <w:r>
            <w:fldChar w:fldCharType="begin"/>
          </w:r>
          <w:r>
            <w:instrText xml:space="preserve"> PAGEREF _Toc6379 \h </w:instrText>
          </w:r>
          <w:r>
            <w:fldChar w:fldCharType="separate"/>
          </w:r>
          <w:r>
            <w:t>50</w:t>
          </w:r>
          <w:r>
            <w:fldChar w:fldCharType="end"/>
          </w:r>
          <w:r>
            <w:rPr>
              <w:rFonts w:ascii="Times New Roman" w:hAnsi="Times New Roman" w:eastAsia="Times New Roman" w:cs="Times New Roman"/>
              <w:color w:val="auto"/>
              <w:szCs w:val="21"/>
              <w:highlight w:val="none"/>
            </w:rPr>
            <w:fldChar w:fldCharType="end"/>
          </w:r>
        </w:p>
        <w:p w14:paraId="5342E88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_Toc8690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7.1</w:t>
          </w:r>
          <w:r>
            <w:rPr>
              <w:rFonts w:ascii="Times New Roman" w:hAnsi="Times New Roman" w:eastAsia="Times New Roman" w:cs="Times New Roman"/>
              <w:bCs/>
              <w:spacing w:val="10"/>
              <w:szCs w:val="24"/>
              <w:highlight w:val="none"/>
            </w:rPr>
            <w:t xml:space="preserve">  </w:t>
          </w:r>
          <w:r>
            <w:rPr>
              <w:rFonts w:ascii="宋体" w:hAnsi="宋体" w:eastAsia="宋体" w:cs="宋体"/>
              <w:bCs/>
              <w:spacing w:val="-5"/>
              <w:szCs w:val="24"/>
              <w:highlight w:val="none"/>
            </w:rPr>
            <w:t>定标方式</w:t>
          </w:r>
          <w:r>
            <w:tab/>
          </w:r>
          <w:r>
            <w:fldChar w:fldCharType="begin"/>
          </w:r>
          <w:r>
            <w:instrText xml:space="preserve"> PAGEREF _Toc8690 \h </w:instrText>
          </w:r>
          <w:r>
            <w:fldChar w:fldCharType="separate"/>
          </w:r>
          <w:r>
            <w:t>50</w:t>
          </w:r>
          <w:r>
            <w:fldChar w:fldCharType="end"/>
          </w:r>
          <w:r>
            <w:rPr>
              <w:rFonts w:ascii="Times New Roman" w:hAnsi="Times New Roman" w:eastAsia="Times New Roman" w:cs="Times New Roman"/>
              <w:color w:val="auto"/>
              <w:szCs w:val="21"/>
              <w:highlight w:val="none"/>
            </w:rPr>
            <w:fldChar w:fldCharType="end"/>
          </w:r>
        </w:p>
        <w:p w14:paraId="6688CC0E">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_Toc976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4"/>
              <w:highlight w:val="none"/>
            </w:rPr>
            <w:t>7.2</w:t>
          </w:r>
          <w:r>
            <w:rPr>
              <w:rFonts w:ascii="Times New Roman" w:hAnsi="Times New Roman" w:eastAsia="Times New Roman" w:cs="Times New Roman"/>
              <w:bCs/>
              <w:spacing w:val="17"/>
              <w:szCs w:val="24"/>
              <w:highlight w:val="none"/>
            </w:rPr>
            <w:t xml:space="preserve">  </w:t>
          </w:r>
          <w:r>
            <w:rPr>
              <w:rFonts w:ascii="宋体" w:hAnsi="宋体" w:eastAsia="宋体" w:cs="宋体"/>
              <w:bCs/>
              <w:spacing w:val="-7"/>
              <w:szCs w:val="24"/>
              <w:highlight w:val="none"/>
            </w:rPr>
            <w:t>中标通知</w:t>
          </w:r>
          <w:r>
            <w:tab/>
          </w:r>
          <w:r>
            <w:fldChar w:fldCharType="begin"/>
          </w:r>
          <w:r>
            <w:instrText xml:space="preserve"> PAGEREF _Toc976 \h </w:instrText>
          </w:r>
          <w:r>
            <w:fldChar w:fldCharType="separate"/>
          </w:r>
          <w:r>
            <w:t>52</w:t>
          </w:r>
          <w:r>
            <w:fldChar w:fldCharType="end"/>
          </w:r>
          <w:r>
            <w:rPr>
              <w:rFonts w:ascii="Times New Roman" w:hAnsi="Times New Roman" w:eastAsia="Times New Roman" w:cs="Times New Roman"/>
              <w:color w:val="auto"/>
              <w:szCs w:val="21"/>
              <w:highlight w:val="none"/>
            </w:rPr>
            <w:fldChar w:fldCharType="end"/>
          </w:r>
        </w:p>
        <w:p w14:paraId="45EE973E">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_Toc20172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4"/>
              <w:highlight w:val="none"/>
            </w:rPr>
            <w:t>7.3</w:t>
          </w:r>
          <w:r>
            <w:rPr>
              <w:rFonts w:ascii="Times New Roman" w:hAnsi="Times New Roman" w:eastAsia="Times New Roman" w:cs="Times New Roman"/>
              <w:bCs/>
              <w:spacing w:val="6"/>
              <w:szCs w:val="24"/>
              <w:highlight w:val="none"/>
            </w:rPr>
            <w:t xml:space="preserve">  </w:t>
          </w:r>
          <w:r>
            <w:rPr>
              <w:rFonts w:ascii="宋体" w:hAnsi="宋体" w:eastAsia="宋体" w:cs="宋体"/>
              <w:bCs/>
              <w:spacing w:val="-4"/>
              <w:szCs w:val="24"/>
              <w:highlight w:val="none"/>
            </w:rPr>
            <w:t>履约担保</w:t>
          </w:r>
          <w:r>
            <w:tab/>
          </w:r>
          <w:r>
            <w:fldChar w:fldCharType="begin"/>
          </w:r>
          <w:r>
            <w:instrText xml:space="preserve"> PAGEREF _Toc20172 \h </w:instrText>
          </w:r>
          <w:r>
            <w:fldChar w:fldCharType="separate"/>
          </w:r>
          <w:r>
            <w:t>53</w:t>
          </w:r>
          <w:r>
            <w:fldChar w:fldCharType="end"/>
          </w:r>
          <w:r>
            <w:rPr>
              <w:rFonts w:ascii="Times New Roman" w:hAnsi="Times New Roman" w:eastAsia="Times New Roman" w:cs="Times New Roman"/>
              <w:color w:val="auto"/>
              <w:szCs w:val="21"/>
              <w:highlight w:val="none"/>
            </w:rPr>
            <w:fldChar w:fldCharType="end"/>
          </w:r>
        </w:p>
        <w:p w14:paraId="7862600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_Toc9666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7.4  </w:t>
          </w:r>
          <w:r>
            <w:rPr>
              <w:rFonts w:ascii="宋体" w:hAnsi="宋体" w:eastAsia="宋体" w:cs="宋体"/>
              <w:bCs/>
              <w:spacing w:val="-2"/>
              <w:szCs w:val="24"/>
              <w:highlight w:val="none"/>
            </w:rPr>
            <w:t>签订合同</w:t>
          </w:r>
          <w:r>
            <w:tab/>
          </w:r>
          <w:r>
            <w:fldChar w:fldCharType="begin"/>
          </w:r>
          <w:r>
            <w:instrText xml:space="preserve"> PAGEREF _Toc9666 \h </w:instrText>
          </w:r>
          <w:r>
            <w:fldChar w:fldCharType="separate"/>
          </w:r>
          <w:r>
            <w:t>53</w:t>
          </w:r>
          <w:r>
            <w:fldChar w:fldCharType="end"/>
          </w:r>
          <w:r>
            <w:rPr>
              <w:rFonts w:ascii="Times New Roman" w:hAnsi="Times New Roman" w:eastAsia="Times New Roman" w:cs="Times New Roman"/>
              <w:color w:val="auto"/>
              <w:szCs w:val="21"/>
              <w:highlight w:val="none"/>
            </w:rPr>
            <w:fldChar w:fldCharType="end"/>
          </w:r>
        </w:p>
        <w:p w14:paraId="0A852DA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_Toc7180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8  </w:t>
          </w:r>
          <w:r>
            <w:rPr>
              <w:rFonts w:ascii="宋体" w:hAnsi="宋体" w:eastAsia="宋体" w:cs="宋体"/>
              <w:bCs/>
              <w:spacing w:val="-3"/>
              <w:szCs w:val="28"/>
              <w:highlight w:val="none"/>
            </w:rPr>
            <w:t>重新招标和不再招标</w:t>
          </w:r>
          <w:r>
            <w:tab/>
          </w:r>
          <w:r>
            <w:fldChar w:fldCharType="begin"/>
          </w:r>
          <w:r>
            <w:instrText xml:space="preserve"> PAGEREF _Toc7180 \h </w:instrText>
          </w:r>
          <w:r>
            <w:fldChar w:fldCharType="separate"/>
          </w:r>
          <w:r>
            <w:t>53</w:t>
          </w:r>
          <w:r>
            <w:fldChar w:fldCharType="end"/>
          </w:r>
          <w:r>
            <w:rPr>
              <w:rFonts w:ascii="Times New Roman" w:hAnsi="Times New Roman" w:eastAsia="Times New Roman" w:cs="Times New Roman"/>
              <w:color w:val="auto"/>
              <w:szCs w:val="21"/>
              <w:highlight w:val="none"/>
            </w:rPr>
            <w:fldChar w:fldCharType="end"/>
          </w:r>
        </w:p>
        <w:p w14:paraId="515FB0EB">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_Toc7897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8.1  </w:t>
          </w:r>
          <w:r>
            <w:rPr>
              <w:rFonts w:ascii="宋体" w:hAnsi="宋体" w:eastAsia="宋体" w:cs="宋体"/>
              <w:bCs/>
              <w:spacing w:val="-2"/>
              <w:szCs w:val="24"/>
              <w:highlight w:val="none"/>
            </w:rPr>
            <w:t>重新招标</w:t>
          </w:r>
          <w:r>
            <w:tab/>
          </w:r>
          <w:r>
            <w:fldChar w:fldCharType="begin"/>
          </w:r>
          <w:r>
            <w:instrText xml:space="preserve"> PAGEREF _Toc7897 \h </w:instrText>
          </w:r>
          <w:r>
            <w:fldChar w:fldCharType="separate"/>
          </w:r>
          <w:r>
            <w:t>53</w:t>
          </w:r>
          <w:r>
            <w:fldChar w:fldCharType="end"/>
          </w:r>
          <w:r>
            <w:rPr>
              <w:rFonts w:ascii="Times New Roman" w:hAnsi="Times New Roman" w:eastAsia="Times New Roman" w:cs="Times New Roman"/>
              <w:color w:val="auto"/>
              <w:szCs w:val="21"/>
              <w:highlight w:val="none"/>
            </w:rPr>
            <w:fldChar w:fldCharType="end"/>
          </w:r>
        </w:p>
        <w:p w14:paraId="799C76B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_Toc8159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4"/>
              <w:highlight w:val="none"/>
            </w:rPr>
            <w:t>8.2</w:t>
          </w:r>
          <w:r>
            <w:rPr>
              <w:rFonts w:ascii="Times New Roman" w:hAnsi="Times New Roman" w:eastAsia="Times New Roman" w:cs="Times New Roman"/>
              <w:bCs/>
              <w:spacing w:val="6"/>
              <w:szCs w:val="24"/>
              <w:highlight w:val="none"/>
            </w:rPr>
            <w:t xml:space="preserve">  </w:t>
          </w:r>
          <w:r>
            <w:rPr>
              <w:rFonts w:ascii="宋体" w:hAnsi="宋体" w:eastAsia="宋体" w:cs="宋体"/>
              <w:bCs/>
              <w:spacing w:val="-4"/>
              <w:szCs w:val="24"/>
              <w:highlight w:val="none"/>
            </w:rPr>
            <w:t>不再招标</w:t>
          </w:r>
          <w:r>
            <w:tab/>
          </w:r>
          <w:r>
            <w:fldChar w:fldCharType="begin"/>
          </w:r>
          <w:r>
            <w:instrText xml:space="preserve"> PAGEREF _Toc8159 \h </w:instrText>
          </w:r>
          <w:r>
            <w:fldChar w:fldCharType="separate"/>
          </w:r>
          <w:r>
            <w:t>53</w:t>
          </w:r>
          <w:r>
            <w:fldChar w:fldCharType="end"/>
          </w:r>
          <w:r>
            <w:rPr>
              <w:rFonts w:ascii="Times New Roman" w:hAnsi="Times New Roman" w:eastAsia="Times New Roman" w:cs="Times New Roman"/>
              <w:color w:val="auto"/>
              <w:szCs w:val="21"/>
              <w:highlight w:val="none"/>
            </w:rPr>
            <w:fldChar w:fldCharType="end"/>
          </w:r>
        </w:p>
        <w:p w14:paraId="60EF099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_Toc4407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8"/>
              <w:highlight w:val="none"/>
            </w:rPr>
            <w:t>9</w:t>
          </w:r>
          <w:r>
            <w:rPr>
              <w:rFonts w:ascii="Times New Roman" w:hAnsi="Times New Roman" w:eastAsia="Times New Roman" w:cs="Times New Roman"/>
              <w:bCs/>
              <w:spacing w:val="9"/>
              <w:szCs w:val="28"/>
              <w:highlight w:val="none"/>
            </w:rPr>
            <w:t xml:space="preserve">  </w:t>
          </w:r>
          <w:r>
            <w:rPr>
              <w:rFonts w:ascii="宋体" w:hAnsi="宋体" w:eastAsia="宋体" w:cs="宋体"/>
              <w:bCs/>
              <w:spacing w:val="-6"/>
              <w:szCs w:val="28"/>
              <w:highlight w:val="none"/>
            </w:rPr>
            <w:t>纪律和监督</w:t>
          </w:r>
          <w:r>
            <w:tab/>
          </w:r>
          <w:r>
            <w:fldChar w:fldCharType="begin"/>
          </w:r>
          <w:r>
            <w:instrText xml:space="preserve"> PAGEREF _Toc4407 \h </w:instrText>
          </w:r>
          <w:r>
            <w:fldChar w:fldCharType="separate"/>
          </w:r>
          <w:r>
            <w:t>53</w:t>
          </w:r>
          <w:r>
            <w:fldChar w:fldCharType="end"/>
          </w:r>
          <w:r>
            <w:rPr>
              <w:rFonts w:ascii="Times New Roman" w:hAnsi="Times New Roman" w:eastAsia="Times New Roman" w:cs="Times New Roman"/>
              <w:color w:val="auto"/>
              <w:szCs w:val="21"/>
              <w:highlight w:val="none"/>
            </w:rPr>
            <w:fldChar w:fldCharType="end"/>
          </w:r>
        </w:p>
        <w:p w14:paraId="371DFC7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_Toc28127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9.1  </w:t>
          </w:r>
          <w:r>
            <w:rPr>
              <w:rFonts w:ascii="宋体" w:hAnsi="宋体" w:eastAsia="宋体" w:cs="宋体"/>
              <w:bCs/>
              <w:spacing w:val="-2"/>
              <w:szCs w:val="24"/>
              <w:highlight w:val="none"/>
            </w:rPr>
            <w:t>对招标人的纪律要求</w:t>
          </w:r>
          <w:r>
            <w:tab/>
          </w:r>
          <w:r>
            <w:fldChar w:fldCharType="begin"/>
          </w:r>
          <w:r>
            <w:instrText xml:space="preserve"> PAGEREF _Toc28127 \h </w:instrText>
          </w:r>
          <w:r>
            <w:fldChar w:fldCharType="separate"/>
          </w:r>
          <w:r>
            <w:t>54</w:t>
          </w:r>
          <w:r>
            <w:fldChar w:fldCharType="end"/>
          </w:r>
          <w:r>
            <w:rPr>
              <w:rFonts w:ascii="Times New Roman" w:hAnsi="Times New Roman" w:eastAsia="Times New Roman" w:cs="Times New Roman"/>
              <w:color w:val="auto"/>
              <w:szCs w:val="21"/>
              <w:highlight w:val="none"/>
            </w:rPr>
            <w:fldChar w:fldCharType="end"/>
          </w:r>
        </w:p>
        <w:p w14:paraId="068040E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_Toc23560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9.2  </w:t>
          </w:r>
          <w:r>
            <w:rPr>
              <w:rFonts w:ascii="宋体" w:hAnsi="宋体" w:eastAsia="宋体" w:cs="宋体"/>
              <w:bCs/>
              <w:spacing w:val="-2"/>
              <w:szCs w:val="24"/>
              <w:highlight w:val="none"/>
            </w:rPr>
            <w:t>对投标人的纪律要求</w:t>
          </w:r>
          <w:r>
            <w:tab/>
          </w:r>
          <w:r>
            <w:fldChar w:fldCharType="begin"/>
          </w:r>
          <w:r>
            <w:instrText xml:space="preserve"> PAGEREF _Toc23560 \h </w:instrText>
          </w:r>
          <w:r>
            <w:fldChar w:fldCharType="separate"/>
          </w:r>
          <w:r>
            <w:t>54</w:t>
          </w:r>
          <w:r>
            <w:fldChar w:fldCharType="end"/>
          </w:r>
          <w:r>
            <w:rPr>
              <w:rFonts w:ascii="Times New Roman" w:hAnsi="Times New Roman" w:eastAsia="Times New Roman" w:cs="Times New Roman"/>
              <w:color w:val="auto"/>
              <w:szCs w:val="21"/>
              <w:highlight w:val="none"/>
            </w:rPr>
            <w:fldChar w:fldCharType="end"/>
          </w:r>
        </w:p>
        <w:p w14:paraId="0D34356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_Toc668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9.3  </w:t>
          </w:r>
          <w:r>
            <w:rPr>
              <w:rFonts w:ascii="宋体" w:hAnsi="宋体" w:eastAsia="宋体" w:cs="宋体"/>
              <w:bCs/>
              <w:spacing w:val="-2"/>
              <w:szCs w:val="24"/>
              <w:highlight w:val="none"/>
            </w:rPr>
            <w:t>对评标委员会成员的纪律要求</w:t>
          </w:r>
          <w:r>
            <w:tab/>
          </w:r>
          <w:r>
            <w:fldChar w:fldCharType="begin"/>
          </w:r>
          <w:r>
            <w:instrText xml:space="preserve"> PAGEREF _Toc668 \h </w:instrText>
          </w:r>
          <w:r>
            <w:fldChar w:fldCharType="separate"/>
          </w:r>
          <w:r>
            <w:t>54</w:t>
          </w:r>
          <w:r>
            <w:fldChar w:fldCharType="end"/>
          </w:r>
          <w:r>
            <w:rPr>
              <w:rFonts w:ascii="Times New Roman" w:hAnsi="Times New Roman" w:eastAsia="Times New Roman" w:cs="Times New Roman"/>
              <w:color w:val="auto"/>
              <w:szCs w:val="21"/>
              <w:highlight w:val="none"/>
            </w:rPr>
            <w:fldChar w:fldCharType="end"/>
          </w:r>
        </w:p>
        <w:p w14:paraId="7ACB684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_Toc869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9.4  </w:t>
          </w:r>
          <w:r>
            <w:rPr>
              <w:rFonts w:ascii="宋体" w:hAnsi="宋体" w:eastAsia="宋体" w:cs="宋体"/>
              <w:bCs/>
              <w:spacing w:val="-2"/>
              <w:szCs w:val="24"/>
              <w:highlight w:val="none"/>
            </w:rPr>
            <w:t>对与评标活动有关的工作人员的纪律要求</w:t>
          </w:r>
          <w:r>
            <w:tab/>
          </w:r>
          <w:r>
            <w:fldChar w:fldCharType="begin"/>
          </w:r>
          <w:r>
            <w:instrText xml:space="preserve"> PAGEREF _Toc869 \h </w:instrText>
          </w:r>
          <w:r>
            <w:fldChar w:fldCharType="separate"/>
          </w:r>
          <w:r>
            <w:t>54</w:t>
          </w:r>
          <w:r>
            <w:fldChar w:fldCharType="end"/>
          </w:r>
          <w:r>
            <w:rPr>
              <w:rFonts w:ascii="Times New Roman" w:hAnsi="Times New Roman" w:eastAsia="Times New Roman" w:cs="Times New Roman"/>
              <w:color w:val="auto"/>
              <w:szCs w:val="21"/>
              <w:highlight w:val="none"/>
            </w:rPr>
            <w:fldChar w:fldCharType="end"/>
          </w:r>
        </w:p>
        <w:p w14:paraId="3626ABC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_Toc3177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9.5  </w:t>
          </w:r>
          <w:r>
            <w:rPr>
              <w:rFonts w:ascii="宋体" w:hAnsi="宋体" w:eastAsia="宋体" w:cs="宋体"/>
              <w:bCs/>
              <w:spacing w:val="-2"/>
              <w:szCs w:val="24"/>
              <w:highlight w:val="none"/>
            </w:rPr>
            <w:t>异议与投诉</w:t>
          </w:r>
          <w:r>
            <w:tab/>
          </w:r>
          <w:r>
            <w:fldChar w:fldCharType="begin"/>
          </w:r>
          <w:r>
            <w:instrText xml:space="preserve"> PAGEREF _Toc3177 \h </w:instrText>
          </w:r>
          <w:r>
            <w:fldChar w:fldCharType="separate"/>
          </w:r>
          <w:r>
            <w:t>54</w:t>
          </w:r>
          <w:r>
            <w:fldChar w:fldCharType="end"/>
          </w:r>
          <w:r>
            <w:rPr>
              <w:rFonts w:ascii="Times New Roman" w:hAnsi="Times New Roman" w:eastAsia="Times New Roman" w:cs="Times New Roman"/>
              <w:color w:val="auto"/>
              <w:szCs w:val="21"/>
              <w:highlight w:val="none"/>
            </w:rPr>
            <w:fldChar w:fldCharType="end"/>
          </w:r>
        </w:p>
        <w:p w14:paraId="641B1CDC">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_Toc21616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8"/>
              <w:highlight w:val="none"/>
            </w:rPr>
            <w:t xml:space="preserve">10  </w:t>
          </w:r>
          <w:r>
            <w:rPr>
              <w:rFonts w:ascii="宋体" w:hAnsi="宋体" w:eastAsia="宋体" w:cs="宋体"/>
              <w:bCs/>
              <w:spacing w:val="-4"/>
              <w:szCs w:val="28"/>
              <w:highlight w:val="none"/>
            </w:rPr>
            <w:t>其他内容</w:t>
          </w:r>
          <w:r>
            <w:tab/>
          </w:r>
          <w:r>
            <w:fldChar w:fldCharType="begin"/>
          </w:r>
          <w:r>
            <w:instrText xml:space="preserve"> PAGEREF _Toc21616 \h </w:instrText>
          </w:r>
          <w:r>
            <w:fldChar w:fldCharType="separate"/>
          </w:r>
          <w:r>
            <w:t>54</w:t>
          </w:r>
          <w:r>
            <w:fldChar w:fldCharType="end"/>
          </w:r>
          <w:r>
            <w:rPr>
              <w:rFonts w:ascii="Times New Roman" w:hAnsi="Times New Roman" w:eastAsia="Times New Roman" w:cs="Times New Roman"/>
              <w:color w:val="auto"/>
              <w:szCs w:val="21"/>
              <w:highlight w:val="none"/>
            </w:rPr>
            <w:fldChar w:fldCharType="end"/>
          </w:r>
        </w:p>
        <w:p w14:paraId="2125DD40">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_Toc919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10.1  </w:t>
          </w:r>
          <w:r>
            <w:rPr>
              <w:rFonts w:ascii="宋体" w:hAnsi="宋体" w:eastAsia="宋体" w:cs="宋体"/>
              <w:bCs/>
              <w:spacing w:val="-3"/>
              <w:szCs w:val="24"/>
              <w:highlight w:val="none"/>
            </w:rPr>
            <w:t>类似项目</w:t>
          </w:r>
          <w:r>
            <w:tab/>
          </w:r>
          <w:r>
            <w:fldChar w:fldCharType="begin"/>
          </w:r>
          <w:r>
            <w:instrText xml:space="preserve"> PAGEREF _Toc919 \h </w:instrText>
          </w:r>
          <w:r>
            <w:fldChar w:fldCharType="separate"/>
          </w:r>
          <w:r>
            <w:t>54</w:t>
          </w:r>
          <w:r>
            <w:fldChar w:fldCharType="end"/>
          </w:r>
          <w:r>
            <w:rPr>
              <w:rFonts w:ascii="Times New Roman" w:hAnsi="Times New Roman" w:eastAsia="Times New Roman" w:cs="Times New Roman"/>
              <w:color w:val="auto"/>
              <w:szCs w:val="21"/>
              <w:highlight w:val="none"/>
            </w:rPr>
            <w:fldChar w:fldCharType="end"/>
          </w:r>
        </w:p>
        <w:p w14:paraId="0D4D851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_Toc3870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10.2  </w:t>
          </w:r>
          <w:r>
            <w:rPr>
              <w:rFonts w:ascii="宋体" w:hAnsi="宋体" w:eastAsia="宋体" w:cs="宋体"/>
              <w:bCs/>
              <w:spacing w:val="-2"/>
              <w:szCs w:val="24"/>
              <w:highlight w:val="none"/>
            </w:rPr>
            <w:t>投标文件的澄清、说明</w:t>
          </w:r>
          <w:r>
            <w:tab/>
          </w:r>
          <w:r>
            <w:fldChar w:fldCharType="begin"/>
          </w:r>
          <w:r>
            <w:instrText xml:space="preserve"> PAGEREF _Toc3870 \h </w:instrText>
          </w:r>
          <w:r>
            <w:fldChar w:fldCharType="separate"/>
          </w:r>
          <w:r>
            <w:t>55</w:t>
          </w:r>
          <w:r>
            <w:fldChar w:fldCharType="end"/>
          </w:r>
          <w:r>
            <w:rPr>
              <w:rFonts w:ascii="Times New Roman" w:hAnsi="Times New Roman" w:eastAsia="Times New Roman" w:cs="Times New Roman"/>
              <w:color w:val="auto"/>
              <w:szCs w:val="21"/>
              <w:highlight w:val="none"/>
            </w:rPr>
            <w:fldChar w:fldCharType="end"/>
          </w:r>
        </w:p>
        <w:p w14:paraId="6A3163A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_Toc21893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10.3  </w:t>
          </w:r>
          <w:r>
            <w:rPr>
              <w:rFonts w:ascii="宋体" w:hAnsi="宋体" w:eastAsia="宋体" w:cs="宋体"/>
              <w:bCs/>
              <w:spacing w:val="-2"/>
              <w:szCs w:val="24"/>
              <w:highlight w:val="none"/>
            </w:rPr>
            <w:t>实质性响应招标文件资料及评审打分资料</w:t>
          </w:r>
          <w:r>
            <w:tab/>
          </w:r>
          <w:r>
            <w:fldChar w:fldCharType="begin"/>
          </w:r>
          <w:r>
            <w:instrText xml:space="preserve"> PAGEREF _Toc21893 \h </w:instrText>
          </w:r>
          <w:r>
            <w:fldChar w:fldCharType="separate"/>
          </w:r>
          <w:r>
            <w:t>55</w:t>
          </w:r>
          <w:r>
            <w:fldChar w:fldCharType="end"/>
          </w:r>
          <w:r>
            <w:rPr>
              <w:rFonts w:ascii="Times New Roman" w:hAnsi="Times New Roman" w:eastAsia="Times New Roman" w:cs="Times New Roman"/>
              <w:color w:val="auto"/>
              <w:szCs w:val="21"/>
              <w:highlight w:val="none"/>
            </w:rPr>
            <w:fldChar w:fldCharType="end"/>
          </w:r>
        </w:p>
        <w:p w14:paraId="2376EA8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_Toc27533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4"/>
              <w:highlight w:val="none"/>
            </w:rPr>
            <w:t>10.4</w:t>
          </w:r>
          <w:r>
            <w:rPr>
              <w:rFonts w:ascii="Times New Roman" w:hAnsi="Times New Roman" w:eastAsia="Times New Roman" w:cs="Times New Roman"/>
              <w:bCs/>
              <w:spacing w:val="21"/>
              <w:szCs w:val="24"/>
              <w:highlight w:val="none"/>
            </w:rPr>
            <w:t xml:space="preserve">  </w:t>
          </w:r>
          <w:r>
            <w:rPr>
              <w:rFonts w:ascii="宋体" w:hAnsi="宋体" w:eastAsia="宋体" w:cs="宋体"/>
              <w:bCs/>
              <w:spacing w:val="-6"/>
              <w:szCs w:val="24"/>
              <w:highlight w:val="none"/>
            </w:rPr>
            <w:t>中标人的投标文件</w:t>
          </w:r>
          <w:r>
            <w:tab/>
          </w:r>
          <w:r>
            <w:fldChar w:fldCharType="begin"/>
          </w:r>
          <w:r>
            <w:instrText xml:space="preserve"> PAGEREF _Toc27533 \h </w:instrText>
          </w:r>
          <w:r>
            <w:fldChar w:fldCharType="separate"/>
          </w:r>
          <w:r>
            <w:t>55</w:t>
          </w:r>
          <w:r>
            <w:fldChar w:fldCharType="end"/>
          </w:r>
          <w:r>
            <w:rPr>
              <w:rFonts w:ascii="Times New Roman" w:hAnsi="Times New Roman" w:eastAsia="Times New Roman" w:cs="Times New Roman"/>
              <w:color w:val="auto"/>
              <w:szCs w:val="21"/>
              <w:highlight w:val="none"/>
            </w:rPr>
            <w:fldChar w:fldCharType="end"/>
          </w:r>
        </w:p>
        <w:p w14:paraId="11B65F8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_Toc16685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10.5  </w:t>
          </w:r>
          <w:r>
            <w:rPr>
              <w:rFonts w:ascii="宋体" w:hAnsi="宋体" w:eastAsia="宋体" w:cs="宋体"/>
              <w:bCs/>
              <w:spacing w:val="-2"/>
              <w:szCs w:val="24"/>
              <w:highlight w:val="none"/>
            </w:rPr>
            <w:t>招标人最高投标限价或其计算方法</w:t>
          </w:r>
          <w:r>
            <w:tab/>
          </w:r>
          <w:r>
            <w:fldChar w:fldCharType="begin"/>
          </w:r>
          <w:r>
            <w:instrText xml:space="preserve"> PAGEREF _Toc16685 \h </w:instrText>
          </w:r>
          <w:r>
            <w:fldChar w:fldCharType="separate"/>
          </w:r>
          <w:r>
            <w:t>55</w:t>
          </w:r>
          <w:r>
            <w:fldChar w:fldCharType="end"/>
          </w:r>
          <w:r>
            <w:rPr>
              <w:rFonts w:ascii="Times New Roman" w:hAnsi="Times New Roman" w:eastAsia="Times New Roman" w:cs="Times New Roman"/>
              <w:color w:val="auto"/>
              <w:szCs w:val="21"/>
              <w:highlight w:val="none"/>
            </w:rPr>
            <w:fldChar w:fldCharType="end"/>
          </w:r>
        </w:p>
        <w:p w14:paraId="42126F6F">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_Toc16092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10.6  </w:t>
          </w:r>
          <w:r>
            <w:rPr>
              <w:rFonts w:ascii="宋体" w:hAnsi="宋体" w:eastAsia="宋体" w:cs="宋体"/>
              <w:bCs/>
              <w:spacing w:val="-2"/>
              <w:szCs w:val="24"/>
              <w:highlight w:val="none"/>
            </w:rPr>
            <w:t>在建合同工程的认定及变更证明</w:t>
          </w:r>
          <w:r>
            <w:tab/>
          </w:r>
          <w:r>
            <w:fldChar w:fldCharType="begin"/>
          </w:r>
          <w:r>
            <w:instrText xml:space="preserve"> PAGEREF _Toc16092 \h </w:instrText>
          </w:r>
          <w:r>
            <w:fldChar w:fldCharType="separate"/>
          </w:r>
          <w:r>
            <w:t>55</w:t>
          </w:r>
          <w:r>
            <w:fldChar w:fldCharType="end"/>
          </w:r>
          <w:r>
            <w:rPr>
              <w:rFonts w:ascii="Times New Roman" w:hAnsi="Times New Roman" w:eastAsia="Times New Roman" w:cs="Times New Roman"/>
              <w:color w:val="auto"/>
              <w:szCs w:val="21"/>
              <w:highlight w:val="none"/>
            </w:rPr>
            <w:fldChar w:fldCharType="end"/>
          </w:r>
        </w:p>
        <w:p w14:paraId="38E6053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_Toc14610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10.7  </w:t>
          </w:r>
          <w:r>
            <w:rPr>
              <w:rFonts w:ascii="宋体" w:hAnsi="宋体" w:eastAsia="宋体" w:cs="宋体"/>
              <w:bCs/>
              <w:spacing w:val="-3"/>
              <w:szCs w:val="24"/>
              <w:highlight w:val="none"/>
            </w:rPr>
            <w:t>特别说明</w:t>
          </w:r>
          <w:r>
            <w:tab/>
          </w:r>
          <w:r>
            <w:fldChar w:fldCharType="begin"/>
          </w:r>
          <w:r>
            <w:instrText xml:space="preserve"> PAGEREF _Toc14610 \h </w:instrText>
          </w:r>
          <w:r>
            <w:fldChar w:fldCharType="separate"/>
          </w:r>
          <w:r>
            <w:t>55</w:t>
          </w:r>
          <w:r>
            <w:fldChar w:fldCharType="end"/>
          </w:r>
          <w:r>
            <w:rPr>
              <w:rFonts w:ascii="Times New Roman" w:hAnsi="Times New Roman" w:eastAsia="Times New Roman" w:cs="Times New Roman"/>
              <w:color w:val="auto"/>
              <w:szCs w:val="21"/>
              <w:highlight w:val="none"/>
            </w:rPr>
            <w:fldChar w:fldCharType="end"/>
          </w:r>
        </w:p>
        <w:p w14:paraId="6466AAD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_Toc25558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11</w:t>
          </w:r>
          <w:r>
            <w:rPr>
              <w:rFonts w:ascii="Times New Roman" w:hAnsi="Times New Roman" w:eastAsia="Times New Roman" w:cs="Times New Roman"/>
              <w:bCs/>
              <w:spacing w:val="15"/>
              <w:szCs w:val="28"/>
              <w:highlight w:val="none"/>
            </w:rPr>
            <w:t xml:space="preserve">  </w:t>
          </w:r>
          <w:r>
            <w:rPr>
              <w:rFonts w:ascii="宋体" w:hAnsi="宋体" w:eastAsia="宋体" w:cs="宋体"/>
              <w:bCs/>
              <w:spacing w:val="-7"/>
              <w:szCs w:val="28"/>
              <w:highlight w:val="none"/>
            </w:rPr>
            <w:t>需要补充的内容</w:t>
          </w:r>
          <w:r>
            <w:tab/>
          </w:r>
          <w:r>
            <w:fldChar w:fldCharType="begin"/>
          </w:r>
          <w:r>
            <w:instrText xml:space="preserve"> PAGEREF _Toc25558 \h </w:instrText>
          </w:r>
          <w:r>
            <w:fldChar w:fldCharType="separate"/>
          </w:r>
          <w:r>
            <w:t>55</w:t>
          </w:r>
          <w:r>
            <w:fldChar w:fldCharType="end"/>
          </w:r>
          <w:r>
            <w:rPr>
              <w:rFonts w:ascii="Times New Roman" w:hAnsi="Times New Roman" w:eastAsia="Times New Roman" w:cs="Times New Roman"/>
              <w:color w:val="auto"/>
              <w:szCs w:val="21"/>
              <w:highlight w:val="none"/>
            </w:rPr>
            <w:fldChar w:fldCharType="end"/>
          </w:r>
        </w:p>
        <w:p w14:paraId="09A5DB71">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_Toc32196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36"/>
              <w:highlight w:val="none"/>
            </w:rPr>
            <w:t>第三章</w:t>
          </w:r>
          <w:r>
            <w:rPr>
              <w:rFonts w:ascii="宋体" w:hAnsi="宋体" w:eastAsia="宋体" w:cs="宋体"/>
              <w:spacing w:val="-3"/>
              <w:szCs w:val="36"/>
              <w:highlight w:val="none"/>
            </w:rPr>
            <w:t xml:space="preserve"> </w:t>
          </w:r>
          <w:r>
            <w:rPr>
              <w:rFonts w:ascii="宋体" w:hAnsi="宋体" w:eastAsia="宋体" w:cs="宋体"/>
              <w:bCs/>
              <w:spacing w:val="-3"/>
              <w:szCs w:val="36"/>
              <w:highlight w:val="none"/>
            </w:rPr>
            <w:t>评标定标办法（综合评估法）</w:t>
          </w:r>
          <w:r>
            <w:tab/>
          </w:r>
          <w:r>
            <w:fldChar w:fldCharType="begin"/>
          </w:r>
          <w:r>
            <w:instrText xml:space="preserve"> PAGEREF _Toc32196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4704BCB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_Toc28153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31"/>
              <w:highlight w:val="none"/>
            </w:rPr>
            <w:t>第</w:t>
          </w:r>
          <w:r>
            <w:rPr>
              <w:rFonts w:ascii="Times New Roman" w:hAnsi="Times New Roman" w:eastAsia="Times New Roman" w:cs="Times New Roman"/>
              <w:bCs/>
              <w:spacing w:val="5"/>
              <w:szCs w:val="31"/>
              <w:highlight w:val="none"/>
            </w:rPr>
            <w:t>1</w:t>
          </w:r>
          <w:r>
            <w:rPr>
              <w:rFonts w:ascii="宋体" w:hAnsi="宋体" w:eastAsia="宋体" w:cs="宋体"/>
              <w:bCs/>
              <w:spacing w:val="5"/>
              <w:szCs w:val="31"/>
              <w:highlight w:val="none"/>
            </w:rPr>
            <w:t>节</w:t>
          </w:r>
          <w:r>
            <w:rPr>
              <w:rFonts w:ascii="宋体" w:hAnsi="宋体" w:eastAsia="宋体" w:cs="宋体"/>
              <w:spacing w:val="5"/>
              <w:szCs w:val="31"/>
              <w:highlight w:val="none"/>
            </w:rPr>
            <w:t xml:space="preserve"> </w:t>
          </w:r>
          <w:r>
            <w:rPr>
              <w:rFonts w:ascii="宋体" w:hAnsi="宋体" w:eastAsia="宋体" w:cs="宋体"/>
              <w:bCs/>
              <w:spacing w:val="5"/>
              <w:szCs w:val="31"/>
              <w:highlight w:val="none"/>
            </w:rPr>
            <w:t>评标办法</w:t>
          </w:r>
          <w:r>
            <w:tab/>
          </w:r>
          <w:r>
            <w:fldChar w:fldCharType="begin"/>
          </w:r>
          <w:r>
            <w:instrText xml:space="preserve"> PAGEREF _Toc28153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1841B920">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_Toc32080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28"/>
              <w:highlight w:val="none"/>
            </w:rPr>
            <w:t>方法一</w:t>
          </w:r>
          <w:r>
            <w:rPr>
              <w:rFonts w:ascii="宋体" w:hAnsi="宋体" w:eastAsia="宋体" w:cs="宋体"/>
              <w:spacing w:val="-3"/>
              <w:szCs w:val="28"/>
              <w:highlight w:val="none"/>
            </w:rPr>
            <w:t xml:space="preserve"> </w:t>
          </w:r>
          <w:r>
            <w:rPr>
              <w:rFonts w:ascii="宋体" w:hAnsi="宋体" w:eastAsia="宋体" w:cs="宋体"/>
              <w:bCs/>
              <w:spacing w:val="-3"/>
              <w:szCs w:val="28"/>
              <w:highlight w:val="none"/>
            </w:rPr>
            <w:t>技术通过制的综合评估法</w:t>
          </w:r>
          <w:r>
            <w:tab/>
          </w:r>
          <w:r>
            <w:fldChar w:fldCharType="begin"/>
          </w:r>
          <w:r>
            <w:instrText xml:space="preserve"> PAGEREF _Toc32080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566B0AD5">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_Toc8597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10"/>
              <w:szCs w:val="28"/>
              <w:highlight w:val="none"/>
            </w:rPr>
            <w:t>1</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10"/>
              <w:szCs w:val="28"/>
              <w:highlight w:val="none"/>
            </w:rPr>
            <w:t>依据</w:t>
          </w:r>
          <w:r>
            <w:tab/>
          </w:r>
          <w:r>
            <w:fldChar w:fldCharType="begin"/>
          </w:r>
          <w:r>
            <w:instrText xml:space="preserve"> PAGEREF _Toc8597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0F1FF44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_Toc10067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2  </w:t>
          </w:r>
          <w:r>
            <w:rPr>
              <w:rFonts w:ascii="宋体" w:hAnsi="宋体" w:eastAsia="宋体" w:cs="宋体"/>
              <w:bCs/>
              <w:spacing w:val="-2"/>
              <w:szCs w:val="28"/>
              <w:highlight w:val="none"/>
            </w:rPr>
            <w:t>评标原则</w:t>
          </w:r>
          <w:r>
            <w:tab/>
          </w:r>
          <w:r>
            <w:fldChar w:fldCharType="begin"/>
          </w:r>
          <w:r>
            <w:instrText xml:space="preserve"> PAGEREF _Toc10067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165D1CA1">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_Toc16930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3  </w:t>
          </w:r>
          <w:r>
            <w:rPr>
              <w:rFonts w:ascii="宋体" w:hAnsi="宋体" w:eastAsia="宋体" w:cs="宋体"/>
              <w:bCs/>
              <w:spacing w:val="-2"/>
              <w:szCs w:val="28"/>
              <w:highlight w:val="none"/>
            </w:rPr>
            <w:t>评标组织</w:t>
          </w:r>
          <w:r>
            <w:tab/>
          </w:r>
          <w:r>
            <w:fldChar w:fldCharType="begin"/>
          </w:r>
          <w:r>
            <w:instrText xml:space="preserve"> PAGEREF _Toc16930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500699E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_Toc8845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4  </w:t>
          </w:r>
          <w:r>
            <w:rPr>
              <w:rFonts w:ascii="宋体" w:hAnsi="宋体" w:eastAsia="宋体" w:cs="宋体"/>
              <w:bCs/>
              <w:spacing w:val="-2"/>
              <w:szCs w:val="28"/>
              <w:highlight w:val="none"/>
            </w:rPr>
            <w:t>评标程序和内容</w:t>
          </w:r>
          <w:r>
            <w:tab/>
          </w:r>
          <w:r>
            <w:fldChar w:fldCharType="begin"/>
          </w:r>
          <w:r>
            <w:instrText xml:space="preserve"> PAGEREF _Toc8845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2417B5A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_Toc4087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4.1  </w:t>
          </w:r>
          <w:r>
            <w:rPr>
              <w:rFonts w:ascii="宋体" w:hAnsi="宋体" w:eastAsia="宋体" w:cs="宋体"/>
              <w:bCs/>
              <w:spacing w:val="-2"/>
              <w:szCs w:val="24"/>
              <w:highlight w:val="none"/>
            </w:rPr>
            <w:t>评标的一般程序</w:t>
          </w:r>
          <w:r>
            <w:tab/>
          </w:r>
          <w:r>
            <w:fldChar w:fldCharType="begin"/>
          </w:r>
          <w:r>
            <w:instrText xml:space="preserve"> PAGEREF _Toc4087 \h </w:instrText>
          </w:r>
          <w:r>
            <w:fldChar w:fldCharType="separate"/>
          </w:r>
          <w:r>
            <w:t>62</w:t>
          </w:r>
          <w:r>
            <w:fldChar w:fldCharType="end"/>
          </w:r>
          <w:r>
            <w:rPr>
              <w:rFonts w:ascii="Times New Roman" w:hAnsi="Times New Roman" w:eastAsia="Times New Roman" w:cs="Times New Roman"/>
              <w:color w:val="auto"/>
              <w:szCs w:val="21"/>
              <w:highlight w:val="none"/>
            </w:rPr>
            <w:fldChar w:fldCharType="end"/>
          </w:r>
        </w:p>
        <w:p w14:paraId="33CEFAA8">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_Toc30758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4.2  </w:t>
          </w:r>
          <w:r>
            <w:rPr>
              <w:rFonts w:ascii="宋体" w:hAnsi="宋体" w:eastAsia="宋体" w:cs="宋体"/>
              <w:bCs/>
              <w:spacing w:val="-2"/>
              <w:szCs w:val="24"/>
              <w:highlight w:val="none"/>
            </w:rPr>
            <w:t>投标文件的技术符合性审查</w:t>
          </w:r>
          <w:r>
            <w:tab/>
          </w:r>
          <w:r>
            <w:fldChar w:fldCharType="begin"/>
          </w:r>
          <w:r>
            <w:instrText xml:space="preserve"> PAGEREF _Toc30758 \h </w:instrText>
          </w:r>
          <w:r>
            <w:fldChar w:fldCharType="separate"/>
          </w:r>
          <w:r>
            <w:t>63</w:t>
          </w:r>
          <w:r>
            <w:fldChar w:fldCharType="end"/>
          </w:r>
          <w:r>
            <w:rPr>
              <w:rFonts w:ascii="Times New Roman" w:hAnsi="Times New Roman" w:eastAsia="Times New Roman" w:cs="Times New Roman"/>
              <w:color w:val="auto"/>
              <w:szCs w:val="21"/>
              <w:highlight w:val="none"/>
            </w:rPr>
            <w:fldChar w:fldCharType="end"/>
          </w:r>
        </w:p>
        <w:p w14:paraId="5C90F80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_Toc22793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4.3  </w:t>
          </w:r>
          <w:r>
            <w:rPr>
              <w:rFonts w:ascii="宋体" w:hAnsi="宋体" w:eastAsia="宋体" w:cs="宋体"/>
              <w:bCs/>
              <w:spacing w:val="-2"/>
              <w:szCs w:val="24"/>
              <w:highlight w:val="none"/>
            </w:rPr>
            <w:t>投标文件的技术评审</w:t>
          </w:r>
          <w:r>
            <w:tab/>
          </w:r>
          <w:r>
            <w:fldChar w:fldCharType="begin"/>
          </w:r>
          <w:r>
            <w:instrText xml:space="preserve"> PAGEREF _Toc22793 \h </w:instrText>
          </w:r>
          <w:r>
            <w:fldChar w:fldCharType="separate"/>
          </w:r>
          <w:r>
            <w:t>63</w:t>
          </w:r>
          <w:r>
            <w:fldChar w:fldCharType="end"/>
          </w:r>
          <w:r>
            <w:rPr>
              <w:rFonts w:ascii="Times New Roman" w:hAnsi="Times New Roman" w:eastAsia="Times New Roman" w:cs="Times New Roman"/>
              <w:color w:val="auto"/>
              <w:szCs w:val="21"/>
              <w:highlight w:val="none"/>
            </w:rPr>
            <w:fldChar w:fldCharType="end"/>
          </w:r>
        </w:p>
        <w:p w14:paraId="00351A04">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_Toc10754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4.4  </w:t>
          </w:r>
          <w:r>
            <w:rPr>
              <w:rFonts w:ascii="宋体" w:hAnsi="宋体" w:eastAsia="宋体" w:cs="宋体"/>
              <w:bCs/>
              <w:spacing w:val="-2"/>
              <w:szCs w:val="24"/>
              <w:highlight w:val="none"/>
            </w:rPr>
            <w:t>投标文件的资信评审</w:t>
          </w:r>
          <w:r>
            <w:tab/>
          </w:r>
          <w:r>
            <w:fldChar w:fldCharType="begin"/>
          </w:r>
          <w:r>
            <w:instrText xml:space="preserve"> PAGEREF _Toc10754 \h </w:instrText>
          </w:r>
          <w:r>
            <w:fldChar w:fldCharType="separate"/>
          </w:r>
          <w:r>
            <w:t>63</w:t>
          </w:r>
          <w:r>
            <w:fldChar w:fldCharType="end"/>
          </w:r>
          <w:r>
            <w:rPr>
              <w:rFonts w:ascii="Times New Roman" w:hAnsi="Times New Roman" w:eastAsia="Times New Roman" w:cs="Times New Roman"/>
              <w:color w:val="auto"/>
              <w:szCs w:val="21"/>
              <w:highlight w:val="none"/>
            </w:rPr>
            <w:fldChar w:fldCharType="end"/>
          </w:r>
        </w:p>
        <w:p w14:paraId="6705A53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_Toc23647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4.5  </w:t>
          </w:r>
          <w:r>
            <w:rPr>
              <w:rFonts w:ascii="宋体" w:hAnsi="宋体" w:eastAsia="宋体" w:cs="宋体"/>
              <w:bCs/>
              <w:spacing w:val="-2"/>
              <w:szCs w:val="24"/>
              <w:highlight w:val="none"/>
            </w:rPr>
            <w:t>投标文件的商务符合性审查</w:t>
          </w:r>
          <w:r>
            <w:tab/>
          </w:r>
          <w:r>
            <w:fldChar w:fldCharType="begin"/>
          </w:r>
          <w:r>
            <w:instrText xml:space="preserve"> PAGEREF _Toc23647 \h </w:instrText>
          </w:r>
          <w:r>
            <w:fldChar w:fldCharType="separate"/>
          </w:r>
          <w:r>
            <w:t>64</w:t>
          </w:r>
          <w:r>
            <w:fldChar w:fldCharType="end"/>
          </w:r>
          <w:r>
            <w:rPr>
              <w:rFonts w:ascii="Times New Roman" w:hAnsi="Times New Roman" w:eastAsia="Times New Roman" w:cs="Times New Roman"/>
              <w:color w:val="auto"/>
              <w:szCs w:val="21"/>
              <w:highlight w:val="none"/>
            </w:rPr>
            <w:fldChar w:fldCharType="end"/>
          </w:r>
        </w:p>
        <w:p w14:paraId="6AAC6700">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_Toc5339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4.6  </w:t>
          </w:r>
          <w:r>
            <w:rPr>
              <w:rFonts w:ascii="宋体" w:hAnsi="宋体" w:eastAsia="宋体" w:cs="宋体"/>
              <w:bCs/>
              <w:spacing w:val="-2"/>
              <w:szCs w:val="24"/>
              <w:highlight w:val="none"/>
            </w:rPr>
            <w:t>投标文件的商务评审</w:t>
          </w:r>
          <w:r>
            <w:tab/>
          </w:r>
          <w:r>
            <w:fldChar w:fldCharType="begin"/>
          </w:r>
          <w:r>
            <w:instrText xml:space="preserve"> PAGEREF _Toc5339 \h </w:instrText>
          </w:r>
          <w:r>
            <w:fldChar w:fldCharType="separate"/>
          </w:r>
          <w:r>
            <w:t>64</w:t>
          </w:r>
          <w:r>
            <w:fldChar w:fldCharType="end"/>
          </w:r>
          <w:r>
            <w:rPr>
              <w:rFonts w:ascii="Times New Roman" w:hAnsi="Times New Roman" w:eastAsia="Times New Roman" w:cs="Times New Roman"/>
              <w:color w:val="auto"/>
              <w:szCs w:val="21"/>
              <w:highlight w:val="none"/>
            </w:rPr>
            <w:fldChar w:fldCharType="end"/>
          </w:r>
        </w:p>
        <w:p w14:paraId="474D75B0">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_Toc32346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4.7</w:t>
          </w:r>
          <w:r>
            <w:rPr>
              <w:rFonts w:ascii="Times New Roman" w:hAnsi="Times New Roman" w:eastAsia="Times New Roman" w:cs="Times New Roman"/>
              <w:bCs/>
              <w:spacing w:val="4"/>
              <w:szCs w:val="24"/>
              <w:highlight w:val="none"/>
            </w:rPr>
            <w:t xml:space="preserve">  </w:t>
          </w:r>
          <w:r>
            <w:rPr>
              <w:rFonts w:ascii="宋体" w:hAnsi="宋体" w:eastAsia="宋体" w:cs="宋体"/>
              <w:bCs/>
              <w:spacing w:val="-3"/>
              <w:szCs w:val="24"/>
              <w:highlight w:val="none"/>
            </w:rPr>
            <w:t>询标</w:t>
          </w:r>
          <w:r>
            <w:tab/>
          </w:r>
          <w:r>
            <w:fldChar w:fldCharType="begin"/>
          </w:r>
          <w:r>
            <w:instrText xml:space="preserve"> PAGEREF _Toc32346 \h </w:instrText>
          </w:r>
          <w:r>
            <w:fldChar w:fldCharType="separate"/>
          </w:r>
          <w:r>
            <w:t>69</w:t>
          </w:r>
          <w:r>
            <w:fldChar w:fldCharType="end"/>
          </w:r>
          <w:r>
            <w:rPr>
              <w:rFonts w:ascii="Times New Roman" w:hAnsi="Times New Roman" w:eastAsia="Times New Roman" w:cs="Times New Roman"/>
              <w:color w:val="auto"/>
              <w:szCs w:val="21"/>
              <w:highlight w:val="none"/>
            </w:rPr>
            <w:fldChar w:fldCharType="end"/>
          </w:r>
        </w:p>
        <w:p w14:paraId="3D71AA4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_Toc17400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4.8  </w:t>
          </w:r>
          <w:r>
            <w:rPr>
              <w:rFonts w:ascii="宋体" w:hAnsi="宋体" w:eastAsia="宋体" w:cs="宋体"/>
              <w:bCs/>
              <w:spacing w:val="-2"/>
              <w:szCs w:val="24"/>
              <w:highlight w:val="none"/>
            </w:rPr>
            <w:t>投标文件的综合评分</w:t>
          </w:r>
          <w:r>
            <w:tab/>
          </w:r>
          <w:r>
            <w:fldChar w:fldCharType="begin"/>
          </w:r>
          <w:r>
            <w:instrText xml:space="preserve"> PAGEREF _Toc17400 \h </w:instrText>
          </w:r>
          <w:r>
            <w:fldChar w:fldCharType="separate"/>
          </w:r>
          <w:r>
            <w:t>69</w:t>
          </w:r>
          <w:r>
            <w:fldChar w:fldCharType="end"/>
          </w:r>
          <w:r>
            <w:rPr>
              <w:rFonts w:ascii="Times New Roman" w:hAnsi="Times New Roman" w:eastAsia="Times New Roman" w:cs="Times New Roman"/>
              <w:color w:val="auto"/>
              <w:szCs w:val="21"/>
              <w:highlight w:val="none"/>
            </w:rPr>
            <w:fldChar w:fldCharType="end"/>
          </w:r>
        </w:p>
        <w:p w14:paraId="62E9095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_Toc31744 </w:instrText>
          </w:r>
          <w:r>
            <w:rPr>
              <w:rFonts w:ascii="Times New Roman" w:hAnsi="Times New Roman" w:eastAsia="Times New Roman" w:cs="Times New Roman"/>
              <w:szCs w:val="21"/>
              <w:highlight w:val="none"/>
            </w:rPr>
            <w:fldChar w:fldCharType="separate"/>
          </w:r>
          <w:r>
            <w:rPr>
              <w:rFonts w:ascii="宋体" w:hAnsi="宋体" w:eastAsia="宋体" w:cs="宋体"/>
              <w:bCs/>
              <w:strike/>
              <w:dstrike w:val="0"/>
              <w:spacing w:val="-4"/>
              <w:szCs w:val="24"/>
              <w:highlight w:val="none"/>
            </w:rPr>
            <w:t>□</w:t>
          </w:r>
          <w:r>
            <w:rPr>
              <w:rFonts w:ascii="Times New Roman" w:hAnsi="Times New Roman" w:eastAsia="Times New Roman" w:cs="Times New Roman"/>
              <w:bCs/>
              <w:strike/>
              <w:dstrike w:val="0"/>
              <w:spacing w:val="-4"/>
              <w:szCs w:val="24"/>
              <w:highlight w:val="none"/>
            </w:rPr>
            <w:t xml:space="preserve">4.9  </w:t>
          </w:r>
          <w:r>
            <w:rPr>
              <w:rFonts w:ascii="宋体" w:hAnsi="宋体" w:eastAsia="宋体" w:cs="宋体"/>
              <w:bCs/>
              <w:strike/>
              <w:dstrike w:val="0"/>
              <w:spacing w:val="-4"/>
              <w:szCs w:val="24"/>
              <w:highlight w:val="none"/>
            </w:rPr>
            <w:t>推荐中标候选人</w:t>
          </w:r>
          <w:r>
            <w:tab/>
          </w:r>
          <w:r>
            <w:fldChar w:fldCharType="begin"/>
          </w:r>
          <w:r>
            <w:instrText xml:space="preserve"> PAGEREF _Toc31744 \h </w:instrText>
          </w:r>
          <w:r>
            <w:fldChar w:fldCharType="separate"/>
          </w:r>
          <w:r>
            <w:t>69</w:t>
          </w:r>
          <w:r>
            <w:fldChar w:fldCharType="end"/>
          </w:r>
          <w:r>
            <w:rPr>
              <w:rFonts w:ascii="Times New Roman" w:hAnsi="Times New Roman" w:eastAsia="Times New Roman" w:cs="Times New Roman"/>
              <w:color w:val="auto"/>
              <w:szCs w:val="21"/>
              <w:highlight w:val="none"/>
            </w:rPr>
            <w:fldChar w:fldCharType="end"/>
          </w:r>
        </w:p>
        <w:p w14:paraId="504E21DA">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_Toc19377 </w:instrText>
          </w:r>
          <w:r>
            <w:rPr>
              <w:rFonts w:ascii="Times New Roman" w:hAnsi="Times New Roman" w:eastAsia="Times New Roman" w:cs="Times New Roman"/>
              <w:szCs w:val="21"/>
              <w:highlight w:val="none"/>
            </w:rPr>
            <w:fldChar w:fldCharType="separate"/>
          </w:r>
          <w:r>
            <w:rPr>
              <w:rFonts w:hint="eastAsia" w:ascii="宋体" w:hAnsi="宋体" w:eastAsia="宋体" w:cs="宋体"/>
              <w:bCs/>
              <w:spacing w:val="-3"/>
              <w:szCs w:val="24"/>
              <w:highlight w:val="none"/>
              <w:lang w:eastAsia="zh-CN"/>
            </w:rPr>
            <w:t>☑</w:t>
          </w:r>
          <w:r>
            <w:rPr>
              <w:rFonts w:ascii="Times New Roman" w:hAnsi="Times New Roman" w:eastAsia="Times New Roman" w:cs="Times New Roman"/>
              <w:bCs/>
              <w:spacing w:val="-3"/>
              <w:szCs w:val="24"/>
              <w:highlight w:val="none"/>
            </w:rPr>
            <w:t xml:space="preserve">4.9  </w:t>
          </w:r>
          <w:r>
            <w:rPr>
              <w:rFonts w:ascii="宋体" w:hAnsi="宋体" w:eastAsia="宋体" w:cs="宋体"/>
              <w:bCs/>
              <w:spacing w:val="-3"/>
              <w:szCs w:val="24"/>
              <w:highlight w:val="none"/>
            </w:rPr>
            <w:t>推荐中标候选人（适用于评定分离）</w:t>
          </w:r>
          <w:r>
            <w:tab/>
          </w:r>
          <w:r>
            <w:fldChar w:fldCharType="begin"/>
          </w:r>
          <w:r>
            <w:instrText xml:space="preserve"> PAGEREF _Toc19377 \h </w:instrText>
          </w:r>
          <w:r>
            <w:fldChar w:fldCharType="separate"/>
          </w:r>
          <w:r>
            <w:t>69</w:t>
          </w:r>
          <w:r>
            <w:fldChar w:fldCharType="end"/>
          </w:r>
          <w:r>
            <w:rPr>
              <w:rFonts w:ascii="Times New Roman" w:hAnsi="Times New Roman" w:eastAsia="Times New Roman" w:cs="Times New Roman"/>
              <w:color w:val="auto"/>
              <w:szCs w:val="21"/>
              <w:highlight w:val="none"/>
            </w:rPr>
            <w:fldChar w:fldCharType="end"/>
          </w:r>
        </w:p>
        <w:p w14:paraId="643D754F">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_Toc32241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4.10  </w:t>
          </w:r>
          <w:r>
            <w:rPr>
              <w:rFonts w:ascii="宋体" w:hAnsi="宋体" w:eastAsia="宋体" w:cs="宋体"/>
              <w:bCs/>
              <w:spacing w:val="-2"/>
              <w:szCs w:val="24"/>
              <w:highlight w:val="none"/>
            </w:rPr>
            <w:t>评标报告</w:t>
          </w:r>
          <w:r>
            <w:tab/>
          </w:r>
          <w:r>
            <w:fldChar w:fldCharType="begin"/>
          </w:r>
          <w:r>
            <w:instrText xml:space="preserve"> PAGEREF _Toc32241 \h </w:instrText>
          </w:r>
          <w:r>
            <w:fldChar w:fldCharType="separate"/>
          </w:r>
          <w:r>
            <w:t>69</w:t>
          </w:r>
          <w:r>
            <w:fldChar w:fldCharType="end"/>
          </w:r>
          <w:r>
            <w:rPr>
              <w:rFonts w:ascii="Times New Roman" w:hAnsi="Times New Roman" w:eastAsia="Times New Roman" w:cs="Times New Roman"/>
              <w:color w:val="auto"/>
              <w:szCs w:val="21"/>
              <w:highlight w:val="none"/>
            </w:rPr>
            <w:fldChar w:fldCharType="end"/>
          </w:r>
        </w:p>
        <w:p w14:paraId="2A2FD800">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_Toc10543 </w:instrText>
          </w:r>
          <w:r>
            <w:rPr>
              <w:rFonts w:ascii="Times New Roman" w:hAnsi="Times New Roman" w:eastAsia="Times New Roman" w:cs="Times New Roman"/>
              <w:szCs w:val="21"/>
              <w:highlight w:val="none"/>
            </w:rPr>
            <w:fldChar w:fldCharType="separate"/>
          </w:r>
          <w:r>
            <w:rPr>
              <w:rFonts w:ascii="宋体" w:hAnsi="宋体" w:eastAsia="宋体" w:cs="宋体"/>
              <w:spacing w:val="-6"/>
              <w:szCs w:val="24"/>
              <w:highlight w:val="none"/>
            </w:rPr>
            <w:t>（</w:t>
          </w:r>
          <w:r>
            <w:rPr>
              <w:rFonts w:ascii="Times New Roman" w:hAnsi="Times New Roman" w:eastAsia="Times New Roman" w:cs="Times New Roman"/>
              <w:spacing w:val="-6"/>
              <w:szCs w:val="24"/>
              <w:highlight w:val="none"/>
            </w:rPr>
            <w:t>7</w:t>
          </w:r>
          <w:r>
            <w:rPr>
              <w:rFonts w:ascii="宋体" w:hAnsi="宋体" w:eastAsia="宋体" w:cs="宋体"/>
              <w:spacing w:val="-6"/>
              <w:szCs w:val="24"/>
              <w:highlight w:val="none"/>
            </w:rPr>
            <w:t>）其他建议。</w:t>
          </w:r>
          <w:r>
            <w:tab/>
          </w:r>
          <w:r>
            <w:fldChar w:fldCharType="begin"/>
          </w:r>
          <w:r>
            <w:instrText xml:space="preserve"> PAGEREF _Toc10543 \h </w:instrText>
          </w:r>
          <w:r>
            <w:fldChar w:fldCharType="separate"/>
          </w:r>
          <w:r>
            <w:t>70</w:t>
          </w:r>
          <w:r>
            <w:fldChar w:fldCharType="end"/>
          </w:r>
          <w:r>
            <w:rPr>
              <w:rFonts w:ascii="Times New Roman" w:hAnsi="Times New Roman" w:eastAsia="Times New Roman" w:cs="Times New Roman"/>
              <w:color w:val="auto"/>
              <w:szCs w:val="21"/>
              <w:highlight w:val="none"/>
            </w:rPr>
            <w:fldChar w:fldCharType="end"/>
          </w:r>
        </w:p>
        <w:p w14:paraId="6958AE6E">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_Toc12203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28"/>
              <w:highlight w:val="none"/>
            </w:rPr>
            <w:t>方法二：技术打分制的综合评估法</w:t>
          </w:r>
          <w:r>
            <w:tab/>
          </w:r>
          <w:r>
            <w:fldChar w:fldCharType="begin"/>
          </w:r>
          <w:r>
            <w:instrText xml:space="preserve"> PAGEREF _Toc12203 \h </w:instrText>
          </w:r>
          <w:r>
            <w:fldChar w:fldCharType="separate"/>
          </w:r>
          <w:r>
            <w:t>71</w:t>
          </w:r>
          <w:r>
            <w:fldChar w:fldCharType="end"/>
          </w:r>
          <w:r>
            <w:rPr>
              <w:rFonts w:ascii="Times New Roman" w:hAnsi="Times New Roman" w:eastAsia="Times New Roman" w:cs="Times New Roman"/>
              <w:color w:val="auto"/>
              <w:szCs w:val="21"/>
              <w:highlight w:val="none"/>
            </w:rPr>
            <w:fldChar w:fldCharType="end"/>
          </w:r>
        </w:p>
        <w:p w14:paraId="6E1B658E">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_Toc22786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10"/>
              <w:szCs w:val="28"/>
              <w:highlight w:val="none"/>
            </w:rPr>
            <w:t>1</w:t>
          </w:r>
          <w:r>
            <w:rPr>
              <w:rFonts w:ascii="Times New Roman" w:hAnsi="Times New Roman" w:eastAsia="Times New Roman" w:cs="Times New Roman"/>
              <w:bCs/>
              <w:strike w:val="0"/>
              <w:dstrike w:val="0"/>
              <w:spacing w:val="6"/>
              <w:szCs w:val="28"/>
              <w:highlight w:val="none"/>
            </w:rPr>
            <w:t xml:space="preserve">  </w:t>
          </w:r>
          <w:r>
            <w:rPr>
              <w:rFonts w:ascii="宋体" w:hAnsi="宋体" w:eastAsia="宋体" w:cs="宋体"/>
              <w:bCs/>
              <w:strike w:val="0"/>
              <w:dstrike w:val="0"/>
              <w:spacing w:val="-10"/>
              <w:szCs w:val="28"/>
              <w:highlight w:val="none"/>
            </w:rPr>
            <w:t>依据</w:t>
          </w:r>
          <w:r>
            <w:tab/>
          </w:r>
          <w:r>
            <w:fldChar w:fldCharType="begin"/>
          </w:r>
          <w:r>
            <w:instrText xml:space="preserve"> PAGEREF _Toc22786 \h </w:instrText>
          </w:r>
          <w:r>
            <w:fldChar w:fldCharType="separate"/>
          </w:r>
          <w:r>
            <w:t>71</w:t>
          </w:r>
          <w:r>
            <w:fldChar w:fldCharType="end"/>
          </w:r>
          <w:r>
            <w:rPr>
              <w:rFonts w:ascii="Times New Roman" w:hAnsi="Times New Roman" w:eastAsia="Times New Roman" w:cs="Times New Roman"/>
              <w:color w:val="auto"/>
              <w:szCs w:val="21"/>
              <w:highlight w:val="none"/>
            </w:rPr>
            <w:fldChar w:fldCharType="end"/>
          </w:r>
        </w:p>
        <w:p w14:paraId="70D354F4">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_Toc26186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2  </w:t>
          </w:r>
          <w:r>
            <w:rPr>
              <w:rFonts w:ascii="宋体" w:hAnsi="宋体" w:eastAsia="宋体" w:cs="宋体"/>
              <w:bCs/>
              <w:strike w:val="0"/>
              <w:dstrike w:val="0"/>
              <w:spacing w:val="-2"/>
              <w:szCs w:val="28"/>
              <w:highlight w:val="none"/>
            </w:rPr>
            <w:t>评标原则</w:t>
          </w:r>
          <w:r>
            <w:tab/>
          </w:r>
          <w:r>
            <w:fldChar w:fldCharType="begin"/>
          </w:r>
          <w:r>
            <w:instrText xml:space="preserve"> PAGEREF _Toc26186 \h </w:instrText>
          </w:r>
          <w:r>
            <w:fldChar w:fldCharType="separate"/>
          </w:r>
          <w:r>
            <w:t>71</w:t>
          </w:r>
          <w:r>
            <w:fldChar w:fldCharType="end"/>
          </w:r>
          <w:r>
            <w:rPr>
              <w:rFonts w:ascii="Times New Roman" w:hAnsi="Times New Roman" w:eastAsia="Times New Roman" w:cs="Times New Roman"/>
              <w:color w:val="auto"/>
              <w:szCs w:val="21"/>
              <w:highlight w:val="none"/>
            </w:rPr>
            <w:fldChar w:fldCharType="end"/>
          </w:r>
        </w:p>
        <w:p w14:paraId="671A3AB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_Toc9087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3  </w:t>
          </w:r>
          <w:r>
            <w:rPr>
              <w:rFonts w:ascii="宋体" w:hAnsi="宋体" w:eastAsia="宋体" w:cs="宋体"/>
              <w:bCs/>
              <w:strike w:val="0"/>
              <w:dstrike w:val="0"/>
              <w:spacing w:val="-2"/>
              <w:szCs w:val="28"/>
              <w:highlight w:val="none"/>
            </w:rPr>
            <w:t>评标组织</w:t>
          </w:r>
          <w:r>
            <w:tab/>
          </w:r>
          <w:r>
            <w:fldChar w:fldCharType="begin"/>
          </w:r>
          <w:r>
            <w:instrText xml:space="preserve"> PAGEREF _Toc9087 \h </w:instrText>
          </w:r>
          <w:r>
            <w:fldChar w:fldCharType="separate"/>
          </w:r>
          <w:r>
            <w:t>71</w:t>
          </w:r>
          <w:r>
            <w:fldChar w:fldCharType="end"/>
          </w:r>
          <w:r>
            <w:rPr>
              <w:rFonts w:ascii="Times New Roman" w:hAnsi="Times New Roman" w:eastAsia="Times New Roman" w:cs="Times New Roman"/>
              <w:color w:val="auto"/>
              <w:szCs w:val="21"/>
              <w:highlight w:val="none"/>
            </w:rPr>
            <w:fldChar w:fldCharType="end"/>
          </w:r>
        </w:p>
        <w:p w14:paraId="72C403C1">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_Toc31205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4  </w:t>
          </w:r>
          <w:r>
            <w:rPr>
              <w:rFonts w:ascii="宋体" w:hAnsi="宋体" w:eastAsia="宋体" w:cs="宋体"/>
              <w:bCs/>
              <w:strike w:val="0"/>
              <w:dstrike w:val="0"/>
              <w:spacing w:val="-2"/>
              <w:szCs w:val="28"/>
              <w:highlight w:val="none"/>
            </w:rPr>
            <w:t>评标程序和内容</w:t>
          </w:r>
          <w:r>
            <w:tab/>
          </w:r>
          <w:r>
            <w:fldChar w:fldCharType="begin"/>
          </w:r>
          <w:r>
            <w:instrText xml:space="preserve"> PAGEREF _Toc31205 \h </w:instrText>
          </w:r>
          <w:r>
            <w:fldChar w:fldCharType="separate"/>
          </w:r>
          <w:r>
            <w:t>71</w:t>
          </w:r>
          <w:r>
            <w:fldChar w:fldCharType="end"/>
          </w:r>
          <w:r>
            <w:rPr>
              <w:rFonts w:ascii="Times New Roman" w:hAnsi="Times New Roman" w:eastAsia="Times New Roman" w:cs="Times New Roman"/>
              <w:color w:val="auto"/>
              <w:szCs w:val="21"/>
              <w:highlight w:val="none"/>
            </w:rPr>
            <w:fldChar w:fldCharType="end"/>
          </w:r>
        </w:p>
        <w:p w14:paraId="044E0C3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_Toc21773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4.1  </w:t>
          </w:r>
          <w:r>
            <w:rPr>
              <w:rFonts w:ascii="宋体" w:hAnsi="宋体" w:eastAsia="宋体" w:cs="宋体"/>
              <w:bCs/>
              <w:strike w:val="0"/>
              <w:dstrike w:val="0"/>
              <w:spacing w:val="-2"/>
              <w:szCs w:val="24"/>
              <w:highlight w:val="none"/>
            </w:rPr>
            <w:t>评标的一般程序</w:t>
          </w:r>
          <w:r>
            <w:tab/>
          </w:r>
          <w:r>
            <w:fldChar w:fldCharType="begin"/>
          </w:r>
          <w:r>
            <w:instrText xml:space="preserve"> PAGEREF _Toc21773 \h </w:instrText>
          </w:r>
          <w:r>
            <w:fldChar w:fldCharType="separate"/>
          </w:r>
          <w:r>
            <w:t>71</w:t>
          </w:r>
          <w:r>
            <w:fldChar w:fldCharType="end"/>
          </w:r>
          <w:r>
            <w:rPr>
              <w:rFonts w:ascii="Times New Roman" w:hAnsi="Times New Roman" w:eastAsia="Times New Roman" w:cs="Times New Roman"/>
              <w:color w:val="auto"/>
              <w:szCs w:val="21"/>
              <w:highlight w:val="none"/>
            </w:rPr>
            <w:fldChar w:fldCharType="end"/>
          </w:r>
        </w:p>
        <w:p w14:paraId="6C347F80">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_Toc20280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4.2  </w:t>
          </w:r>
          <w:r>
            <w:rPr>
              <w:rFonts w:ascii="宋体" w:hAnsi="宋体" w:eastAsia="宋体" w:cs="宋体"/>
              <w:bCs/>
              <w:strike w:val="0"/>
              <w:dstrike w:val="0"/>
              <w:spacing w:val="-2"/>
              <w:szCs w:val="24"/>
              <w:highlight w:val="none"/>
            </w:rPr>
            <w:t>投标文件的技术符合性审查</w:t>
          </w:r>
          <w:r>
            <w:tab/>
          </w:r>
          <w:r>
            <w:fldChar w:fldCharType="begin"/>
          </w:r>
          <w:r>
            <w:instrText xml:space="preserve"> PAGEREF _Toc20280 \h </w:instrText>
          </w:r>
          <w:r>
            <w:fldChar w:fldCharType="separate"/>
          </w:r>
          <w:r>
            <w:t>71</w:t>
          </w:r>
          <w:r>
            <w:fldChar w:fldCharType="end"/>
          </w:r>
          <w:r>
            <w:rPr>
              <w:rFonts w:ascii="Times New Roman" w:hAnsi="Times New Roman" w:eastAsia="Times New Roman" w:cs="Times New Roman"/>
              <w:color w:val="auto"/>
              <w:szCs w:val="21"/>
              <w:highlight w:val="none"/>
            </w:rPr>
            <w:fldChar w:fldCharType="end"/>
          </w:r>
        </w:p>
        <w:p w14:paraId="4FE091A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_Toc2496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4.3  </w:t>
          </w:r>
          <w:r>
            <w:rPr>
              <w:rFonts w:ascii="宋体" w:hAnsi="宋体" w:eastAsia="宋体" w:cs="宋体"/>
              <w:bCs/>
              <w:strike w:val="0"/>
              <w:dstrike w:val="0"/>
              <w:spacing w:val="-2"/>
              <w:szCs w:val="24"/>
              <w:highlight w:val="none"/>
            </w:rPr>
            <w:t>投标文件的技术评审</w:t>
          </w:r>
          <w:r>
            <w:tab/>
          </w:r>
          <w:r>
            <w:fldChar w:fldCharType="begin"/>
          </w:r>
          <w:r>
            <w:instrText xml:space="preserve"> PAGEREF _Toc2496 \h </w:instrText>
          </w:r>
          <w:r>
            <w:fldChar w:fldCharType="separate"/>
          </w:r>
          <w:r>
            <w:t>73</w:t>
          </w:r>
          <w:r>
            <w:fldChar w:fldCharType="end"/>
          </w:r>
          <w:r>
            <w:rPr>
              <w:rFonts w:ascii="Times New Roman" w:hAnsi="Times New Roman" w:eastAsia="Times New Roman" w:cs="Times New Roman"/>
              <w:color w:val="auto"/>
              <w:szCs w:val="21"/>
              <w:highlight w:val="none"/>
            </w:rPr>
            <w:fldChar w:fldCharType="end"/>
          </w:r>
        </w:p>
        <w:p w14:paraId="442F8E3A">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_Toc15165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strike w:val="0"/>
              <w:dstrike w:val="0"/>
              <w:spacing w:val="-2"/>
              <w:szCs w:val="24"/>
              <w:highlight w:val="none"/>
            </w:rPr>
            <w:t xml:space="preserve">4.4  </w:t>
          </w:r>
          <w:r>
            <w:rPr>
              <w:rFonts w:ascii="宋体" w:hAnsi="宋体" w:eastAsia="宋体" w:cs="宋体"/>
              <w:bCs/>
              <w:strike w:val="0"/>
              <w:dstrike w:val="0"/>
              <w:spacing w:val="-2"/>
              <w:szCs w:val="24"/>
              <w:highlight w:val="none"/>
            </w:rPr>
            <w:t>投标文件的资信评分</w:t>
          </w:r>
          <w:r>
            <w:tab/>
          </w:r>
          <w:r>
            <w:fldChar w:fldCharType="begin"/>
          </w:r>
          <w:r>
            <w:instrText xml:space="preserve"> PAGEREF _Toc15165 \h </w:instrText>
          </w:r>
          <w:r>
            <w:fldChar w:fldCharType="separate"/>
          </w:r>
          <w:r>
            <w:t>73</w:t>
          </w:r>
          <w:r>
            <w:fldChar w:fldCharType="end"/>
          </w:r>
          <w:r>
            <w:rPr>
              <w:rFonts w:ascii="Times New Roman" w:hAnsi="Times New Roman" w:eastAsia="Times New Roman" w:cs="Times New Roman"/>
              <w:color w:val="auto"/>
              <w:szCs w:val="21"/>
              <w:highlight w:val="none"/>
            </w:rPr>
            <w:fldChar w:fldCharType="end"/>
          </w:r>
        </w:p>
        <w:p w14:paraId="3634358C">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_Toc12025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4.5  </w:t>
          </w:r>
          <w:r>
            <w:rPr>
              <w:rFonts w:ascii="宋体" w:hAnsi="宋体" w:eastAsia="宋体" w:cs="宋体"/>
              <w:bCs/>
              <w:strike w:val="0"/>
              <w:dstrike w:val="0"/>
              <w:spacing w:val="-2"/>
              <w:szCs w:val="24"/>
              <w:highlight w:val="none"/>
            </w:rPr>
            <w:t>投标文件的商务符合性审查</w:t>
          </w:r>
          <w:r>
            <w:tab/>
          </w:r>
          <w:r>
            <w:fldChar w:fldCharType="begin"/>
          </w:r>
          <w:r>
            <w:instrText xml:space="preserve"> PAGEREF _Toc12025 \h </w:instrText>
          </w:r>
          <w:r>
            <w:fldChar w:fldCharType="separate"/>
          </w:r>
          <w:r>
            <w:t>75</w:t>
          </w:r>
          <w:r>
            <w:fldChar w:fldCharType="end"/>
          </w:r>
          <w:r>
            <w:rPr>
              <w:rFonts w:ascii="Times New Roman" w:hAnsi="Times New Roman" w:eastAsia="Times New Roman" w:cs="Times New Roman"/>
              <w:color w:val="auto"/>
              <w:szCs w:val="21"/>
              <w:highlight w:val="none"/>
            </w:rPr>
            <w:fldChar w:fldCharType="end"/>
          </w:r>
        </w:p>
        <w:p w14:paraId="5D8DF79B">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_Toc30938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4.6  </w:t>
          </w:r>
          <w:r>
            <w:rPr>
              <w:rFonts w:ascii="宋体" w:hAnsi="宋体" w:eastAsia="宋体" w:cs="宋体"/>
              <w:bCs/>
              <w:strike w:val="0"/>
              <w:dstrike w:val="0"/>
              <w:spacing w:val="-2"/>
              <w:szCs w:val="24"/>
              <w:highlight w:val="none"/>
            </w:rPr>
            <w:t>投标文件的商务评审</w:t>
          </w:r>
          <w:r>
            <w:tab/>
          </w:r>
          <w:r>
            <w:fldChar w:fldCharType="begin"/>
          </w:r>
          <w:r>
            <w:instrText xml:space="preserve"> PAGEREF _Toc30938 \h </w:instrText>
          </w:r>
          <w:r>
            <w:fldChar w:fldCharType="separate"/>
          </w:r>
          <w:r>
            <w:t>76</w:t>
          </w:r>
          <w:r>
            <w:fldChar w:fldCharType="end"/>
          </w:r>
          <w:r>
            <w:rPr>
              <w:rFonts w:ascii="Times New Roman" w:hAnsi="Times New Roman" w:eastAsia="Times New Roman" w:cs="Times New Roman"/>
              <w:color w:val="auto"/>
              <w:szCs w:val="21"/>
              <w:highlight w:val="none"/>
            </w:rPr>
            <w:fldChar w:fldCharType="end"/>
          </w:r>
        </w:p>
        <w:p w14:paraId="7DB8405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_Toc13032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3"/>
              <w:szCs w:val="24"/>
              <w:highlight w:val="none"/>
            </w:rPr>
            <w:t>4.7</w:t>
          </w:r>
          <w:r>
            <w:rPr>
              <w:rFonts w:ascii="Times New Roman" w:hAnsi="Times New Roman" w:eastAsia="Times New Roman" w:cs="Times New Roman"/>
              <w:bCs/>
              <w:strike w:val="0"/>
              <w:dstrike w:val="0"/>
              <w:spacing w:val="4"/>
              <w:szCs w:val="24"/>
              <w:highlight w:val="none"/>
            </w:rPr>
            <w:t xml:space="preserve">  </w:t>
          </w:r>
          <w:r>
            <w:rPr>
              <w:rFonts w:ascii="宋体" w:hAnsi="宋体" w:eastAsia="宋体" w:cs="宋体"/>
              <w:bCs/>
              <w:strike w:val="0"/>
              <w:dstrike w:val="0"/>
              <w:spacing w:val="-3"/>
              <w:szCs w:val="24"/>
              <w:highlight w:val="none"/>
            </w:rPr>
            <w:t>询标</w:t>
          </w:r>
          <w:r>
            <w:tab/>
          </w:r>
          <w:r>
            <w:fldChar w:fldCharType="begin"/>
          </w:r>
          <w:r>
            <w:instrText xml:space="preserve"> PAGEREF _Toc13032 \h </w:instrText>
          </w:r>
          <w:r>
            <w:fldChar w:fldCharType="separate"/>
          </w:r>
          <w:r>
            <w:t>81</w:t>
          </w:r>
          <w:r>
            <w:fldChar w:fldCharType="end"/>
          </w:r>
          <w:r>
            <w:rPr>
              <w:rFonts w:ascii="Times New Roman" w:hAnsi="Times New Roman" w:eastAsia="Times New Roman" w:cs="Times New Roman"/>
              <w:color w:val="auto"/>
              <w:szCs w:val="21"/>
              <w:highlight w:val="none"/>
            </w:rPr>
            <w:fldChar w:fldCharType="end"/>
          </w:r>
        </w:p>
        <w:p w14:paraId="63F667F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_Toc26845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4.8  </w:t>
          </w:r>
          <w:r>
            <w:rPr>
              <w:rFonts w:ascii="宋体" w:hAnsi="宋体" w:eastAsia="宋体" w:cs="宋体"/>
              <w:bCs/>
              <w:strike w:val="0"/>
              <w:dstrike w:val="0"/>
              <w:spacing w:val="-2"/>
              <w:szCs w:val="24"/>
              <w:highlight w:val="none"/>
            </w:rPr>
            <w:t>投标文件的综合评分</w:t>
          </w:r>
          <w:r>
            <w:tab/>
          </w:r>
          <w:r>
            <w:fldChar w:fldCharType="begin"/>
          </w:r>
          <w:r>
            <w:instrText xml:space="preserve"> PAGEREF _Toc26845 \h </w:instrText>
          </w:r>
          <w:r>
            <w:fldChar w:fldCharType="separate"/>
          </w:r>
          <w:r>
            <w:t>81</w:t>
          </w:r>
          <w:r>
            <w:fldChar w:fldCharType="end"/>
          </w:r>
          <w:r>
            <w:rPr>
              <w:rFonts w:ascii="Times New Roman" w:hAnsi="Times New Roman" w:eastAsia="Times New Roman" w:cs="Times New Roman"/>
              <w:color w:val="auto"/>
              <w:szCs w:val="21"/>
              <w:highlight w:val="none"/>
            </w:rPr>
            <w:fldChar w:fldCharType="end"/>
          </w:r>
        </w:p>
        <w:p w14:paraId="778DD984">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_Toc22807 </w:instrText>
          </w:r>
          <w:r>
            <w:rPr>
              <w:rFonts w:ascii="Times New Roman" w:hAnsi="Times New Roman" w:eastAsia="Times New Roman" w:cs="Times New Roman"/>
              <w:szCs w:val="21"/>
              <w:highlight w:val="none"/>
            </w:rPr>
            <w:fldChar w:fldCharType="separate"/>
          </w:r>
          <w:r>
            <w:rPr>
              <w:rFonts w:ascii="宋体" w:hAnsi="宋体" w:eastAsia="宋体" w:cs="宋体"/>
              <w:bCs/>
              <w:strike w:val="0"/>
              <w:dstrike w:val="0"/>
              <w:spacing w:val="-4"/>
              <w:szCs w:val="24"/>
              <w:highlight w:val="none"/>
            </w:rPr>
            <w:t>□</w:t>
          </w:r>
          <w:r>
            <w:rPr>
              <w:rFonts w:ascii="Times New Roman" w:hAnsi="Times New Roman" w:eastAsia="Times New Roman" w:cs="Times New Roman"/>
              <w:bCs/>
              <w:strike w:val="0"/>
              <w:dstrike w:val="0"/>
              <w:spacing w:val="-4"/>
              <w:szCs w:val="24"/>
              <w:highlight w:val="none"/>
            </w:rPr>
            <w:t xml:space="preserve">4.9  </w:t>
          </w:r>
          <w:r>
            <w:rPr>
              <w:rFonts w:ascii="宋体" w:hAnsi="宋体" w:eastAsia="宋体" w:cs="宋体"/>
              <w:bCs/>
              <w:strike w:val="0"/>
              <w:dstrike w:val="0"/>
              <w:spacing w:val="-4"/>
              <w:szCs w:val="24"/>
              <w:highlight w:val="none"/>
            </w:rPr>
            <w:t>推荐中标候选人</w:t>
          </w:r>
          <w:r>
            <w:tab/>
          </w:r>
          <w:r>
            <w:fldChar w:fldCharType="begin"/>
          </w:r>
          <w:r>
            <w:instrText xml:space="preserve"> PAGEREF _Toc22807 \h </w:instrText>
          </w:r>
          <w:r>
            <w:fldChar w:fldCharType="separate"/>
          </w:r>
          <w:r>
            <w:t>81</w:t>
          </w:r>
          <w:r>
            <w:fldChar w:fldCharType="end"/>
          </w:r>
          <w:r>
            <w:rPr>
              <w:rFonts w:ascii="Times New Roman" w:hAnsi="Times New Roman" w:eastAsia="Times New Roman" w:cs="Times New Roman"/>
              <w:color w:val="auto"/>
              <w:szCs w:val="21"/>
              <w:highlight w:val="none"/>
            </w:rPr>
            <w:fldChar w:fldCharType="end"/>
          </w:r>
        </w:p>
        <w:p w14:paraId="39FE048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_Toc22219 </w:instrText>
          </w:r>
          <w:r>
            <w:rPr>
              <w:rFonts w:ascii="Times New Roman" w:hAnsi="Times New Roman" w:eastAsia="Times New Roman" w:cs="Times New Roman"/>
              <w:szCs w:val="21"/>
              <w:highlight w:val="none"/>
            </w:rPr>
            <w:fldChar w:fldCharType="separate"/>
          </w:r>
          <w:r>
            <w:rPr>
              <w:rFonts w:ascii="宋体" w:hAnsi="宋体" w:eastAsia="宋体" w:cs="宋体"/>
              <w:bCs/>
              <w:strike w:val="0"/>
              <w:dstrike w:val="0"/>
              <w:spacing w:val="-3"/>
              <w:szCs w:val="24"/>
              <w:highlight w:val="none"/>
            </w:rPr>
            <w:t>□</w:t>
          </w:r>
          <w:r>
            <w:rPr>
              <w:rFonts w:ascii="Times New Roman" w:hAnsi="Times New Roman" w:eastAsia="Times New Roman" w:cs="Times New Roman"/>
              <w:bCs/>
              <w:strike w:val="0"/>
              <w:dstrike w:val="0"/>
              <w:spacing w:val="-3"/>
              <w:szCs w:val="24"/>
              <w:highlight w:val="none"/>
            </w:rPr>
            <w:t xml:space="preserve">4.9  </w:t>
          </w:r>
          <w:r>
            <w:rPr>
              <w:rFonts w:ascii="宋体" w:hAnsi="宋体" w:eastAsia="宋体" w:cs="宋体"/>
              <w:bCs/>
              <w:strike w:val="0"/>
              <w:dstrike w:val="0"/>
              <w:spacing w:val="-3"/>
              <w:szCs w:val="24"/>
              <w:highlight w:val="none"/>
            </w:rPr>
            <w:t>推荐中标候选人（适用于评定分离）</w:t>
          </w:r>
          <w:r>
            <w:tab/>
          </w:r>
          <w:r>
            <w:fldChar w:fldCharType="begin"/>
          </w:r>
          <w:r>
            <w:instrText xml:space="preserve"> PAGEREF _Toc22219 \h </w:instrText>
          </w:r>
          <w:r>
            <w:fldChar w:fldCharType="separate"/>
          </w:r>
          <w:r>
            <w:t>81</w:t>
          </w:r>
          <w:r>
            <w:fldChar w:fldCharType="end"/>
          </w:r>
          <w:r>
            <w:rPr>
              <w:rFonts w:ascii="Times New Roman" w:hAnsi="Times New Roman" w:eastAsia="Times New Roman" w:cs="Times New Roman"/>
              <w:color w:val="auto"/>
              <w:szCs w:val="21"/>
              <w:highlight w:val="none"/>
            </w:rPr>
            <w:fldChar w:fldCharType="end"/>
          </w:r>
        </w:p>
        <w:p w14:paraId="3CAAD8E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_Toc9331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4.10  </w:t>
          </w:r>
          <w:r>
            <w:rPr>
              <w:rFonts w:ascii="宋体" w:hAnsi="宋体" w:eastAsia="宋体" w:cs="宋体"/>
              <w:bCs/>
              <w:strike w:val="0"/>
              <w:dstrike w:val="0"/>
              <w:spacing w:val="-2"/>
              <w:szCs w:val="24"/>
              <w:highlight w:val="none"/>
            </w:rPr>
            <w:t>评标报告</w:t>
          </w:r>
          <w:r>
            <w:tab/>
          </w:r>
          <w:r>
            <w:fldChar w:fldCharType="begin"/>
          </w:r>
          <w:r>
            <w:instrText xml:space="preserve"> PAGEREF _Toc9331 \h </w:instrText>
          </w:r>
          <w:r>
            <w:fldChar w:fldCharType="separate"/>
          </w:r>
          <w:r>
            <w:t>82</w:t>
          </w:r>
          <w:r>
            <w:fldChar w:fldCharType="end"/>
          </w:r>
          <w:r>
            <w:rPr>
              <w:rFonts w:ascii="Times New Roman" w:hAnsi="Times New Roman" w:eastAsia="Times New Roman" w:cs="Times New Roman"/>
              <w:color w:val="auto"/>
              <w:szCs w:val="21"/>
              <w:highlight w:val="none"/>
            </w:rPr>
            <w:fldChar w:fldCharType="end"/>
          </w:r>
        </w:p>
        <w:p w14:paraId="6B2CACDA">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_Toc4446 </w:instrText>
          </w:r>
          <w:r>
            <w:rPr>
              <w:rFonts w:ascii="Times New Roman" w:hAnsi="Times New Roman" w:eastAsia="Times New Roman" w:cs="Times New Roman"/>
              <w:szCs w:val="21"/>
              <w:highlight w:val="none"/>
            </w:rPr>
            <w:fldChar w:fldCharType="separate"/>
          </w:r>
          <w:r>
            <w:rPr>
              <w:rFonts w:ascii="宋体" w:hAnsi="宋体" w:eastAsia="宋体" w:cs="宋体"/>
              <w:bCs/>
              <w:spacing w:val="6"/>
              <w:szCs w:val="31"/>
              <w:highlight w:val="none"/>
            </w:rPr>
            <w:t>第</w:t>
          </w:r>
          <w:r>
            <w:rPr>
              <w:rFonts w:ascii="Times New Roman" w:hAnsi="Times New Roman" w:eastAsia="Times New Roman" w:cs="Times New Roman"/>
              <w:bCs/>
              <w:spacing w:val="6"/>
              <w:szCs w:val="31"/>
              <w:highlight w:val="none"/>
            </w:rPr>
            <w:t>2</w:t>
          </w:r>
          <w:r>
            <w:rPr>
              <w:rFonts w:ascii="宋体" w:hAnsi="宋体" w:eastAsia="宋体" w:cs="宋体"/>
              <w:bCs/>
              <w:spacing w:val="6"/>
              <w:szCs w:val="31"/>
              <w:highlight w:val="none"/>
            </w:rPr>
            <w:t>节</w:t>
          </w:r>
          <w:r>
            <w:rPr>
              <w:rFonts w:ascii="宋体" w:hAnsi="宋体" w:eastAsia="宋体" w:cs="宋体"/>
              <w:spacing w:val="6"/>
              <w:szCs w:val="31"/>
              <w:highlight w:val="none"/>
            </w:rPr>
            <w:t xml:space="preserve"> </w:t>
          </w:r>
          <w:r>
            <w:rPr>
              <w:rFonts w:ascii="宋体" w:hAnsi="宋体" w:eastAsia="宋体" w:cs="宋体"/>
              <w:bCs/>
              <w:spacing w:val="6"/>
              <w:szCs w:val="31"/>
              <w:highlight w:val="none"/>
            </w:rPr>
            <w:t>定标办法（适用于评定分离）</w:t>
          </w:r>
          <w:r>
            <w:tab/>
          </w:r>
          <w:r>
            <w:fldChar w:fldCharType="begin"/>
          </w:r>
          <w:r>
            <w:instrText xml:space="preserve"> PAGEREF _Toc4446 \h </w:instrText>
          </w:r>
          <w:r>
            <w:fldChar w:fldCharType="separate"/>
          </w:r>
          <w:r>
            <w:t>84</w:t>
          </w:r>
          <w:r>
            <w:fldChar w:fldCharType="end"/>
          </w:r>
          <w:r>
            <w:rPr>
              <w:rFonts w:ascii="Times New Roman" w:hAnsi="Times New Roman" w:eastAsia="Times New Roman" w:cs="Times New Roman"/>
              <w:color w:val="auto"/>
              <w:szCs w:val="21"/>
              <w:highlight w:val="none"/>
            </w:rPr>
            <w:fldChar w:fldCharType="end"/>
          </w:r>
        </w:p>
        <w:p w14:paraId="500B9625">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_Toc2664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spacing w:val="-8"/>
              <w:szCs w:val="24"/>
              <w:highlight w:val="none"/>
            </w:rPr>
            <w:t>1</w:t>
          </w:r>
          <w:r>
            <w:rPr>
              <w:rFonts w:ascii="Times New Roman" w:hAnsi="Times New Roman" w:eastAsia="Times New Roman" w:cs="Times New Roman"/>
              <w:spacing w:val="7"/>
              <w:szCs w:val="24"/>
              <w:highlight w:val="none"/>
            </w:rPr>
            <w:t xml:space="preserve">  </w:t>
          </w:r>
          <w:r>
            <w:rPr>
              <w:rFonts w:ascii="宋体" w:hAnsi="宋体" w:eastAsia="宋体" w:cs="宋体"/>
              <w:spacing w:val="-8"/>
              <w:szCs w:val="24"/>
              <w:highlight w:val="none"/>
            </w:rPr>
            <w:t>定标原则</w:t>
          </w:r>
          <w:r>
            <w:tab/>
          </w:r>
          <w:r>
            <w:fldChar w:fldCharType="begin"/>
          </w:r>
          <w:r>
            <w:instrText xml:space="preserve"> PAGEREF _Toc2664 \h </w:instrText>
          </w:r>
          <w:r>
            <w:fldChar w:fldCharType="separate"/>
          </w:r>
          <w:r>
            <w:t>84</w:t>
          </w:r>
          <w:r>
            <w:fldChar w:fldCharType="end"/>
          </w:r>
          <w:r>
            <w:rPr>
              <w:rFonts w:ascii="Times New Roman" w:hAnsi="Times New Roman" w:eastAsia="Times New Roman" w:cs="Times New Roman"/>
              <w:color w:val="auto"/>
              <w:szCs w:val="21"/>
              <w:highlight w:val="none"/>
            </w:rPr>
            <w:fldChar w:fldCharType="end"/>
          </w:r>
        </w:p>
        <w:p w14:paraId="4D1596D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_Toc23450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spacing w:val="-4"/>
              <w:szCs w:val="24"/>
              <w:highlight w:val="none"/>
            </w:rPr>
            <w:t>2</w:t>
          </w:r>
          <w:r>
            <w:rPr>
              <w:rFonts w:ascii="Times New Roman" w:hAnsi="Times New Roman" w:eastAsia="Times New Roman" w:cs="Times New Roman"/>
              <w:spacing w:val="8"/>
              <w:szCs w:val="24"/>
              <w:highlight w:val="none"/>
            </w:rPr>
            <w:t xml:space="preserve">  </w:t>
          </w:r>
          <w:r>
            <w:rPr>
              <w:rFonts w:ascii="宋体" w:hAnsi="宋体" w:eastAsia="宋体" w:cs="宋体"/>
              <w:spacing w:val="-4"/>
              <w:szCs w:val="24"/>
              <w:highlight w:val="none"/>
            </w:rPr>
            <w:t>定标组织</w:t>
          </w:r>
          <w:r>
            <w:tab/>
          </w:r>
          <w:r>
            <w:fldChar w:fldCharType="begin"/>
          </w:r>
          <w:r>
            <w:instrText xml:space="preserve"> PAGEREF _Toc23450 \h </w:instrText>
          </w:r>
          <w:r>
            <w:fldChar w:fldCharType="separate"/>
          </w:r>
          <w:r>
            <w:t>84</w:t>
          </w:r>
          <w:r>
            <w:fldChar w:fldCharType="end"/>
          </w:r>
          <w:r>
            <w:rPr>
              <w:rFonts w:ascii="Times New Roman" w:hAnsi="Times New Roman" w:eastAsia="Times New Roman" w:cs="Times New Roman"/>
              <w:color w:val="auto"/>
              <w:szCs w:val="21"/>
              <w:highlight w:val="none"/>
            </w:rPr>
            <w:fldChar w:fldCharType="end"/>
          </w:r>
        </w:p>
        <w:p w14:paraId="0A01BD75">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spacing w:val="-5"/>
              <w:szCs w:val="24"/>
              <w:highlight w:val="none"/>
            </w:rPr>
            <w:t>3</w:t>
          </w:r>
          <w:r>
            <w:rPr>
              <w:rFonts w:ascii="Times New Roman" w:hAnsi="Times New Roman" w:eastAsia="Times New Roman" w:cs="Times New Roman"/>
              <w:spacing w:val="8"/>
              <w:szCs w:val="24"/>
              <w:highlight w:val="none"/>
            </w:rPr>
            <w:t xml:space="preserve">  </w:t>
          </w:r>
          <w:r>
            <w:rPr>
              <w:rFonts w:ascii="宋体" w:hAnsi="宋体" w:eastAsia="宋体" w:cs="宋体"/>
              <w:spacing w:val="-5"/>
              <w:szCs w:val="24"/>
              <w:highlight w:val="none"/>
            </w:rPr>
            <w:t>定标程序</w:t>
          </w:r>
          <w:r>
            <w:tab/>
          </w:r>
          <w:r>
            <w:fldChar w:fldCharType="begin"/>
          </w:r>
          <w:r>
            <w:instrText xml:space="preserve"> PAGEREF _Toc8 \h </w:instrText>
          </w:r>
          <w:r>
            <w:fldChar w:fldCharType="separate"/>
          </w:r>
          <w:r>
            <w:t>84</w:t>
          </w:r>
          <w:r>
            <w:fldChar w:fldCharType="end"/>
          </w:r>
          <w:r>
            <w:rPr>
              <w:rFonts w:ascii="Times New Roman" w:hAnsi="Times New Roman" w:eastAsia="Times New Roman" w:cs="Times New Roman"/>
              <w:color w:val="auto"/>
              <w:szCs w:val="21"/>
              <w:highlight w:val="none"/>
            </w:rPr>
            <w:fldChar w:fldCharType="end"/>
          </w:r>
        </w:p>
        <w:p w14:paraId="2484D76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_Toc9185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spacing w:val="-4"/>
              <w:szCs w:val="28"/>
              <w:highlight w:val="none"/>
            </w:rPr>
            <w:t>4</w:t>
          </w:r>
          <w:r>
            <w:rPr>
              <w:rFonts w:ascii="Times New Roman" w:hAnsi="Times New Roman" w:eastAsia="Times New Roman" w:cs="Times New Roman"/>
              <w:spacing w:val="9"/>
              <w:szCs w:val="28"/>
              <w:highlight w:val="none"/>
            </w:rPr>
            <w:t xml:space="preserve">  </w:t>
          </w:r>
          <w:r>
            <w:rPr>
              <w:rFonts w:ascii="宋体" w:hAnsi="宋体" w:eastAsia="宋体" w:cs="宋体"/>
              <w:spacing w:val="-4"/>
              <w:szCs w:val="28"/>
              <w:highlight w:val="none"/>
            </w:rPr>
            <w:t>定标报告</w:t>
          </w:r>
          <w:r>
            <w:tab/>
          </w:r>
          <w:r>
            <w:fldChar w:fldCharType="begin"/>
          </w:r>
          <w:r>
            <w:instrText xml:space="preserve"> PAGEREF _Toc9185 \h </w:instrText>
          </w:r>
          <w:r>
            <w:fldChar w:fldCharType="separate"/>
          </w:r>
          <w:r>
            <w:t>86</w:t>
          </w:r>
          <w:r>
            <w:fldChar w:fldCharType="end"/>
          </w:r>
          <w:r>
            <w:rPr>
              <w:rFonts w:ascii="Times New Roman" w:hAnsi="Times New Roman" w:eastAsia="Times New Roman" w:cs="Times New Roman"/>
              <w:color w:val="auto"/>
              <w:szCs w:val="21"/>
              <w:highlight w:val="none"/>
            </w:rPr>
            <w:fldChar w:fldCharType="end"/>
          </w:r>
        </w:p>
        <w:p w14:paraId="78285442">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_Toc14687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36"/>
              <w:highlight w:val="none"/>
            </w:rPr>
            <w:t>第三章</w:t>
          </w:r>
          <w:r>
            <w:rPr>
              <w:rFonts w:ascii="宋体" w:hAnsi="宋体" w:eastAsia="宋体" w:cs="宋体"/>
              <w:spacing w:val="-4"/>
              <w:szCs w:val="36"/>
              <w:highlight w:val="none"/>
            </w:rPr>
            <w:t xml:space="preserve">  </w:t>
          </w:r>
          <w:r>
            <w:rPr>
              <w:rFonts w:ascii="宋体" w:hAnsi="宋体" w:eastAsia="宋体" w:cs="宋体"/>
              <w:bCs/>
              <w:spacing w:val="-4"/>
              <w:szCs w:val="36"/>
              <w:highlight w:val="none"/>
            </w:rPr>
            <w:t>评标定标办法（经评审的最低投标价）</w:t>
          </w:r>
          <w:r>
            <w:tab/>
          </w:r>
          <w:r>
            <w:fldChar w:fldCharType="begin"/>
          </w:r>
          <w:r>
            <w:instrText xml:space="preserve"> PAGEREF _Toc14687 \h </w:instrText>
          </w:r>
          <w:r>
            <w:fldChar w:fldCharType="separate"/>
          </w:r>
          <w:r>
            <w:t>88</w:t>
          </w:r>
          <w:r>
            <w:fldChar w:fldCharType="end"/>
          </w:r>
          <w:r>
            <w:rPr>
              <w:rFonts w:ascii="Times New Roman" w:hAnsi="Times New Roman" w:eastAsia="Times New Roman" w:cs="Times New Roman"/>
              <w:color w:val="auto"/>
              <w:szCs w:val="21"/>
              <w:highlight w:val="none"/>
            </w:rPr>
            <w:fldChar w:fldCharType="end"/>
          </w:r>
        </w:p>
        <w:p w14:paraId="5E3926F9">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_Toc6266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10"/>
              <w:szCs w:val="28"/>
              <w:highlight w:val="none"/>
            </w:rPr>
            <w:t>1</w:t>
          </w:r>
          <w:r>
            <w:rPr>
              <w:rFonts w:ascii="Times New Roman" w:hAnsi="Times New Roman" w:eastAsia="Times New Roman" w:cs="Times New Roman"/>
              <w:bCs/>
              <w:strike w:val="0"/>
              <w:dstrike w:val="0"/>
              <w:spacing w:val="6"/>
              <w:szCs w:val="28"/>
              <w:highlight w:val="none"/>
            </w:rPr>
            <w:t xml:space="preserve">  </w:t>
          </w:r>
          <w:r>
            <w:rPr>
              <w:rFonts w:ascii="宋体" w:hAnsi="宋体" w:eastAsia="宋体" w:cs="宋体"/>
              <w:bCs/>
              <w:strike w:val="0"/>
              <w:dstrike w:val="0"/>
              <w:spacing w:val="-10"/>
              <w:szCs w:val="28"/>
              <w:highlight w:val="none"/>
            </w:rPr>
            <w:t>依据</w:t>
          </w:r>
          <w:r>
            <w:tab/>
          </w:r>
          <w:r>
            <w:fldChar w:fldCharType="begin"/>
          </w:r>
          <w:r>
            <w:instrText xml:space="preserve"> PAGEREF _Toc6266 \h </w:instrText>
          </w:r>
          <w:r>
            <w:fldChar w:fldCharType="separate"/>
          </w:r>
          <w:r>
            <w:t>88</w:t>
          </w:r>
          <w:r>
            <w:fldChar w:fldCharType="end"/>
          </w:r>
          <w:r>
            <w:rPr>
              <w:rFonts w:ascii="Times New Roman" w:hAnsi="Times New Roman" w:eastAsia="Times New Roman" w:cs="Times New Roman"/>
              <w:color w:val="auto"/>
              <w:szCs w:val="21"/>
              <w:highlight w:val="none"/>
            </w:rPr>
            <w:fldChar w:fldCharType="end"/>
          </w:r>
        </w:p>
        <w:p w14:paraId="55B690CA">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_Toc29785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2  </w:t>
          </w:r>
          <w:r>
            <w:rPr>
              <w:rFonts w:ascii="宋体" w:hAnsi="宋体" w:eastAsia="宋体" w:cs="宋体"/>
              <w:bCs/>
              <w:strike w:val="0"/>
              <w:dstrike w:val="0"/>
              <w:spacing w:val="-2"/>
              <w:szCs w:val="28"/>
              <w:highlight w:val="none"/>
            </w:rPr>
            <w:t>评标原则</w:t>
          </w:r>
          <w:r>
            <w:tab/>
          </w:r>
          <w:r>
            <w:fldChar w:fldCharType="begin"/>
          </w:r>
          <w:r>
            <w:instrText xml:space="preserve"> PAGEREF _Toc29785 \h </w:instrText>
          </w:r>
          <w:r>
            <w:fldChar w:fldCharType="separate"/>
          </w:r>
          <w:r>
            <w:t>88</w:t>
          </w:r>
          <w:r>
            <w:fldChar w:fldCharType="end"/>
          </w:r>
          <w:r>
            <w:rPr>
              <w:rFonts w:ascii="Times New Roman" w:hAnsi="Times New Roman" w:eastAsia="Times New Roman" w:cs="Times New Roman"/>
              <w:color w:val="auto"/>
              <w:szCs w:val="21"/>
              <w:highlight w:val="none"/>
            </w:rPr>
            <w:fldChar w:fldCharType="end"/>
          </w:r>
        </w:p>
        <w:p w14:paraId="77427CC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_Toc11611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3  </w:t>
          </w:r>
          <w:r>
            <w:rPr>
              <w:rFonts w:ascii="宋体" w:hAnsi="宋体" w:eastAsia="宋体" w:cs="宋体"/>
              <w:bCs/>
              <w:strike w:val="0"/>
              <w:dstrike w:val="0"/>
              <w:spacing w:val="-2"/>
              <w:szCs w:val="28"/>
              <w:highlight w:val="none"/>
            </w:rPr>
            <w:t>评标组织</w:t>
          </w:r>
          <w:r>
            <w:tab/>
          </w:r>
          <w:r>
            <w:fldChar w:fldCharType="begin"/>
          </w:r>
          <w:r>
            <w:instrText xml:space="preserve"> PAGEREF _Toc11611 \h </w:instrText>
          </w:r>
          <w:r>
            <w:fldChar w:fldCharType="separate"/>
          </w:r>
          <w:r>
            <w:t>88</w:t>
          </w:r>
          <w:r>
            <w:fldChar w:fldCharType="end"/>
          </w:r>
          <w:r>
            <w:rPr>
              <w:rFonts w:ascii="Times New Roman" w:hAnsi="Times New Roman" w:eastAsia="Times New Roman" w:cs="Times New Roman"/>
              <w:color w:val="auto"/>
              <w:szCs w:val="21"/>
              <w:highlight w:val="none"/>
            </w:rPr>
            <w:fldChar w:fldCharType="end"/>
          </w:r>
        </w:p>
        <w:p w14:paraId="7598551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_Toc13287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8"/>
              <w:highlight w:val="none"/>
            </w:rPr>
            <w:t xml:space="preserve">4  </w:t>
          </w:r>
          <w:r>
            <w:rPr>
              <w:rFonts w:ascii="宋体" w:hAnsi="宋体" w:eastAsia="宋体" w:cs="宋体"/>
              <w:bCs/>
              <w:strike w:val="0"/>
              <w:dstrike w:val="0"/>
              <w:spacing w:val="-2"/>
              <w:szCs w:val="28"/>
              <w:highlight w:val="none"/>
            </w:rPr>
            <w:t>评标程序和内容</w:t>
          </w:r>
          <w:r>
            <w:tab/>
          </w:r>
          <w:r>
            <w:fldChar w:fldCharType="begin"/>
          </w:r>
          <w:r>
            <w:instrText xml:space="preserve"> PAGEREF _Toc13287 \h </w:instrText>
          </w:r>
          <w:r>
            <w:fldChar w:fldCharType="separate"/>
          </w:r>
          <w:r>
            <w:t>88</w:t>
          </w:r>
          <w:r>
            <w:fldChar w:fldCharType="end"/>
          </w:r>
          <w:r>
            <w:rPr>
              <w:rFonts w:ascii="Times New Roman" w:hAnsi="Times New Roman" w:eastAsia="Times New Roman" w:cs="Times New Roman"/>
              <w:color w:val="auto"/>
              <w:szCs w:val="21"/>
              <w:highlight w:val="none"/>
            </w:rPr>
            <w:fldChar w:fldCharType="end"/>
          </w:r>
        </w:p>
        <w:p w14:paraId="5B0C5E5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_Toc1338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4.1  </w:t>
          </w:r>
          <w:r>
            <w:rPr>
              <w:rFonts w:ascii="宋体" w:hAnsi="宋体" w:eastAsia="宋体" w:cs="宋体"/>
              <w:bCs/>
              <w:strike w:val="0"/>
              <w:dstrike w:val="0"/>
              <w:spacing w:val="-2"/>
              <w:szCs w:val="24"/>
              <w:highlight w:val="none"/>
            </w:rPr>
            <w:t>评标的一般程序</w:t>
          </w:r>
          <w:r>
            <w:tab/>
          </w:r>
          <w:r>
            <w:fldChar w:fldCharType="begin"/>
          </w:r>
          <w:r>
            <w:instrText xml:space="preserve"> PAGEREF _Toc1338 \h </w:instrText>
          </w:r>
          <w:r>
            <w:fldChar w:fldCharType="separate"/>
          </w:r>
          <w:r>
            <w:t>88</w:t>
          </w:r>
          <w:r>
            <w:fldChar w:fldCharType="end"/>
          </w:r>
          <w:r>
            <w:rPr>
              <w:rFonts w:ascii="Times New Roman" w:hAnsi="Times New Roman" w:eastAsia="Times New Roman" w:cs="Times New Roman"/>
              <w:color w:val="auto"/>
              <w:szCs w:val="21"/>
              <w:highlight w:val="none"/>
            </w:rPr>
            <w:fldChar w:fldCharType="end"/>
          </w:r>
        </w:p>
        <w:p w14:paraId="0763B4E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_Toc13643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4.2  </w:t>
          </w:r>
          <w:r>
            <w:rPr>
              <w:rFonts w:ascii="宋体" w:hAnsi="宋体" w:eastAsia="宋体" w:cs="宋体"/>
              <w:bCs/>
              <w:strike w:val="0"/>
              <w:dstrike w:val="0"/>
              <w:spacing w:val="-2"/>
              <w:szCs w:val="24"/>
              <w:highlight w:val="none"/>
            </w:rPr>
            <w:t>投标文件的技术符合性审查</w:t>
          </w:r>
          <w:r>
            <w:tab/>
          </w:r>
          <w:r>
            <w:fldChar w:fldCharType="begin"/>
          </w:r>
          <w:r>
            <w:instrText xml:space="preserve"> PAGEREF _Toc13643 \h </w:instrText>
          </w:r>
          <w:r>
            <w:fldChar w:fldCharType="separate"/>
          </w:r>
          <w:r>
            <w:t>88</w:t>
          </w:r>
          <w:r>
            <w:fldChar w:fldCharType="end"/>
          </w:r>
          <w:r>
            <w:rPr>
              <w:rFonts w:ascii="Times New Roman" w:hAnsi="Times New Roman" w:eastAsia="Times New Roman" w:cs="Times New Roman"/>
              <w:color w:val="auto"/>
              <w:szCs w:val="21"/>
              <w:highlight w:val="none"/>
            </w:rPr>
            <w:fldChar w:fldCharType="end"/>
          </w:r>
        </w:p>
        <w:p w14:paraId="4A14F34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4.3  </w:t>
          </w:r>
          <w:r>
            <w:rPr>
              <w:rFonts w:ascii="宋体" w:hAnsi="宋体" w:eastAsia="宋体" w:cs="宋体"/>
              <w:bCs/>
              <w:strike w:val="0"/>
              <w:dstrike w:val="0"/>
              <w:spacing w:val="-2"/>
              <w:szCs w:val="24"/>
              <w:highlight w:val="none"/>
            </w:rPr>
            <w:t>投标文件的技术评审</w:t>
          </w:r>
          <w:r>
            <w:tab/>
          </w:r>
          <w:r>
            <w:fldChar w:fldCharType="begin"/>
          </w:r>
          <w:r>
            <w:instrText xml:space="preserve"> PAGEREF _Toc48 \h </w:instrText>
          </w:r>
          <w:r>
            <w:fldChar w:fldCharType="separate"/>
          </w:r>
          <w:r>
            <w:t>90</w:t>
          </w:r>
          <w:r>
            <w:fldChar w:fldCharType="end"/>
          </w:r>
          <w:r>
            <w:rPr>
              <w:rFonts w:ascii="Times New Roman" w:hAnsi="Times New Roman" w:eastAsia="Times New Roman" w:cs="Times New Roman"/>
              <w:color w:val="auto"/>
              <w:szCs w:val="21"/>
              <w:highlight w:val="none"/>
            </w:rPr>
            <w:fldChar w:fldCharType="end"/>
          </w:r>
        </w:p>
        <w:p w14:paraId="38D0D20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_Toc30888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4.4  </w:t>
          </w:r>
          <w:r>
            <w:rPr>
              <w:rFonts w:ascii="宋体" w:hAnsi="宋体" w:eastAsia="宋体" w:cs="宋体"/>
              <w:bCs/>
              <w:strike w:val="0"/>
              <w:dstrike w:val="0"/>
              <w:spacing w:val="-2"/>
              <w:szCs w:val="24"/>
              <w:highlight w:val="none"/>
            </w:rPr>
            <w:t>投标文件的商务符合性评审</w:t>
          </w:r>
          <w:r>
            <w:tab/>
          </w:r>
          <w:r>
            <w:fldChar w:fldCharType="begin"/>
          </w:r>
          <w:r>
            <w:instrText xml:space="preserve"> PAGEREF _Toc30888 \h </w:instrText>
          </w:r>
          <w:r>
            <w:fldChar w:fldCharType="separate"/>
          </w:r>
          <w:r>
            <w:t>90</w:t>
          </w:r>
          <w:r>
            <w:fldChar w:fldCharType="end"/>
          </w:r>
          <w:r>
            <w:rPr>
              <w:rFonts w:ascii="Times New Roman" w:hAnsi="Times New Roman" w:eastAsia="Times New Roman" w:cs="Times New Roman"/>
              <w:color w:val="auto"/>
              <w:szCs w:val="21"/>
              <w:highlight w:val="none"/>
            </w:rPr>
            <w:fldChar w:fldCharType="end"/>
          </w:r>
        </w:p>
        <w:p w14:paraId="5E50DBE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_Toc1143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4.5  </w:t>
          </w:r>
          <w:r>
            <w:rPr>
              <w:rFonts w:ascii="宋体" w:hAnsi="宋体" w:eastAsia="宋体" w:cs="宋体"/>
              <w:bCs/>
              <w:strike w:val="0"/>
              <w:dstrike w:val="0"/>
              <w:spacing w:val="-2"/>
              <w:szCs w:val="24"/>
              <w:highlight w:val="none"/>
            </w:rPr>
            <w:t>投标文件的商务评审</w:t>
          </w:r>
          <w:r>
            <w:tab/>
          </w:r>
          <w:r>
            <w:fldChar w:fldCharType="begin"/>
          </w:r>
          <w:r>
            <w:instrText xml:space="preserve"> PAGEREF _Toc1143 \h </w:instrText>
          </w:r>
          <w:r>
            <w:fldChar w:fldCharType="separate"/>
          </w:r>
          <w:r>
            <w:t>91</w:t>
          </w:r>
          <w:r>
            <w:fldChar w:fldCharType="end"/>
          </w:r>
          <w:r>
            <w:rPr>
              <w:rFonts w:ascii="Times New Roman" w:hAnsi="Times New Roman" w:eastAsia="Times New Roman" w:cs="Times New Roman"/>
              <w:color w:val="auto"/>
              <w:szCs w:val="21"/>
              <w:highlight w:val="none"/>
            </w:rPr>
            <w:fldChar w:fldCharType="end"/>
          </w:r>
        </w:p>
        <w:p w14:paraId="6C35393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_Toc16215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3"/>
              <w:szCs w:val="24"/>
              <w:highlight w:val="none"/>
            </w:rPr>
            <w:t>4.6</w:t>
          </w:r>
          <w:r>
            <w:rPr>
              <w:rFonts w:ascii="Times New Roman" w:hAnsi="Times New Roman" w:eastAsia="Times New Roman" w:cs="Times New Roman"/>
              <w:bCs/>
              <w:strike w:val="0"/>
              <w:dstrike w:val="0"/>
              <w:spacing w:val="4"/>
              <w:szCs w:val="24"/>
              <w:highlight w:val="none"/>
            </w:rPr>
            <w:t xml:space="preserve">  </w:t>
          </w:r>
          <w:r>
            <w:rPr>
              <w:rFonts w:ascii="宋体" w:hAnsi="宋体" w:eastAsia="宋体" w:cs="宋体"/>
              <w:bCs/>
              <w:strike w:val="0"/>
              <w:dstrike w:val="0"/>
              <w:spacing w:val="-3"/>
              <w:szCs w:val="24"/>
              <w:highlight w:val="none"/>
            </w:rPr>
            <w:t>询标</w:t>
          </w:r>
          <w:r>
            <w:tab/>
          </w:r>
          <w:r>
            <w:fldChar w:fldCharType="begin"/>
          </w:r>
          <w:r>
            <w:instrText xml:space="preserve"> PAGEREF _Toc16215 \h </w:instrText>
          </w:r>
          <w:r>
            <w:fldChar w:fldCharType="separate"/>
          </w:r>
          <w:r>
            <w:t>92</w:t>
          </w:r>
          <w:r>
            <w:fldChar w:fldCharType="end"/>
          </w:r>
          <w:r>
            <w:rPr>
              <w:rFonts w:ascii="Times New Roman" w:hAnsi="Times New Roman" w:eastAsia="Times New Roman" w:cs="Times New Roman"/>
              <w:color w:val="auto"/>
              <w:szCs w:val="21"/>
              <w:highlight w:val="none"/>
            </w:rPr>
            <w:fldChar w:fldCharType="end"/>
          </w:r>
        </w:p>
        <w:p w14:paraId="039DB3CC">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_Toc31236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trike w:val="0"/>
              <w:dstrike w:val="0"/>
              <w:spacing w:val="-2"/>
              <w:szCs w:val="24"/>
              <w:highlight w:val="none"/>
            </w:rPr>
            <w:t xml:space="preserve">4.7  </w:t>
          </w:r>
          <w:r>
            <w:rPr>
              <w:rFonts w:ascii="宋体" w:hAnsi="宋体" w:eastAsia="宋体" w:cs="宋体"/>
              <w:bCs/>
              <w:strike w:val="0"/>
              <w:dstrike w:val="0"/>
              <w:spacing w:val="-2"/>
              <w:szCs w:val="24"/>
              <w:highlight w:val="none"/>
            </w:rPr>
            <w:t>评标结果</w:t>
          </w:r>
          <w:r>
            <w:tab/>
          </w:r>
          <w:r>
            <w:fldChar w:fldCharType="begin"/>
          </w:r>
          <w:r>
            <w:instrText xml:space="preserve"> PAGEREF _Toc31236 \h </w:instrText>
          </w:r>
          <w:r>
            <w:fldChar w:fldCharType="separate"/>
          </w:r>
          <w:r>
            <w:t>92</w:t>
          </w:r>
          <w:r>
            <w:fldChar w:fldCharType="end"/>
          </w:r>
          <w:r>
            <w:rPr>
              <w:rFonts w:ascii="Times New Roman" w:hAnsi="Times New Roman" w:eastAsia="Times New Roman" w:cs="Times New Roman"/>
              <w:color w:val="auto"/>
              <w:szCs w:val="21"/>
              <w:highlight w:val="none"/>
            </w:rPr>
            <w:fldChar w:fldCharType="end"/>
          </w:r>
        </w:p>
        <w:p w14:paraId="0A9FECF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_Toc30736 </w:instrText>
          </w:r>
          <w:r>
            <w:rPr>
              <w:rFonts w:ascii="Times New Roman" w:hAnsi="Times New Roman" w:eastAsia="Times New Roman" w:cs="Times New Roman"/>
              <w:szCs w:val="21"/>
              <w:highlight w:val="none"/>
            </w:rPr>
            <w:fldChar w:fldCharType="separate"/>
          </w:r>
          <w:r>
            <w:rPr>
              <w:rFonts w:ascii="宋体" w:hAnsi="宋体" w:eastAsia="宋体" w:cs="宋体"/>
              <w:bCs/>
              <w:spacing w:val="-8"/>
              <w:szCs w:val="28"/>
              <w:highlight w:val="none"/>
            </w:rPr>
            <w:t>附件二：投标文件澄清函</w:t>
          </w:r>
          <w:r>
            <w:tab/>
          </w:r>
          <w:r>
            <w:fldChar w:fldCharType="begin"/>
          </w:r>
          <w:r>
            <w:instrText xml:space="preserve"> PAGEREF _Toc30736 \h </w:instrText>
          </w:r>
          <w:r>
            <w:fldChar w:fldCharType="separate"/>
          </w:r>
          <w:r>
            <w:t>94</w:t>
          </w:r>
          <w:r>
            <w:fldChar w:fldCharType="end"/>
          </w:r>
          <w:r>
            <w:rPr>
              <w:rFonts w:ascii="Times New Roman" w:hAnsi="Times New Roman" w:eastAsia="Times New Roman" w:cs="Times New Roman"/>
              <w:color w:val="auto"/>
              <w:szCs w:val="21"/>
              <w:highlight w:val="none"/>
            </w:rPr>
            <w:fldChar w:fldCharType="end"/>
          </w:r>
        </w:p>
        <w:p w14:paraId="4F4C33D7">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_Toc27183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36"/>
              <w:highlight w:val="none"/>
            </w:rPr>
            <w:t>第四章</w:t>
          </w:r>
          <w:r>
            <w:rPr>
              <w:rFonts w:ascii="宋体" w:hAnsi="宋体" w:eastAsia="宋体" w:cs="宋体"/>
              <w:spacing w:val="-3"/>
              <w:szCs w:val="36"/>
              <w:highlight w:val="none"/>
            </w:rPr>
            <w:t xml:space="preserve">  </w:t>
          </w:r>
          <w:r>
            <w:rPr>
              <w:rFonts w:ascii="宋体" w:hAnsi="宋体" w:eastAsia="宋体" w:cs="宋体"/>
              <w:bCs/>
              <w:spacing w:val="-3"/>
              <w:szCs w:val="36"/>
              <w:highlight w:val="none"/>
            </w:rPr>
            <w:t>合同条款及格式</w:t>
          </w:r>
          <w:r>
            <w:tab/>
          </w:r>
          <w:r>
            <w:fldChar w:fldCharType="begin"/>
          </w:r>
          <w:r>
            <w:instrText xml:space="preserve"> PAGEREF _Toc27183 \h </w:instrText>
          </w:r>
          <w:r>
            <w:fldChar w:fldCharType="separate"/>
          </w:r>
          <w:r>
            <w:t>95</w:t>
          </w:r>
          <w:r>
            <w:fldChar w:fldCharType="end"/>
          </w:r>
          <w:r>
            <w:rPr>
              <w:rFonts w:ascii="Times New Roman" w:hAnsi="Times New Roman" w:eastAsia="Times New Roman" w:cs="Times New Roman"/>
              <w:color w:val="auto"/>
              <w:szCs w:val="21"/>
              <w:highlight w:val="none"/>
            </w:rPr>
            <w:fldChar w:fldCharType="end"/>
          </w:r>
        </w:p>
        <w:p w14:paraId="51FED5E7">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_Toc23501 </w:instrText>
          </w:r>
          <w:r>
            <w:rPr>
              <w:rFonts w:ascii="Times New Roman" w:hAnsi="Times New Roman" w:eastAsia="Times New Roman" w:cs="Times New Roman"/>
              <w:szCs w:val="21"/>
              <w:highlight w:val="none"/>
            </w:rPr>
            <w:fldChar w:fldCharType="separate"/>
          </w:r>
          <w:r>
            <w:rPr>
              <w:rFonts w:ascii="宋体" w:hAnsi="宋体" w:eastAsia="宋体" w:cs="宋体"/>
              <w:bCs/>
              <w:spacing w:val="6"/>
              <w:szCs w:val="31"/>
              <w:highlight w:val="none"/>
            </w:rPr>
            <w:t>第一节</w:t>
          </w:r>
          <w:r>
            <w:rPr>
              <w:rFonts w:ascii="宋体" w:hAnsi="宋体" w:eastAsia="宋体" w:cs="宋体"/>
              <w:spacing w:val="6"/>
              <w:szCs w:val="31"/>
              <w:highlight w:val="none"/>
            </w:rPr>
            <w:t xml:space="preserve">  </w:t>
          </w:r>
          <w:r>
            <w:rPr>
              <w:rFonts w:ascii="宋体" w:hAnsi="宋体" w:eastAsia="宋体" w:cs="宋体"/>
              <w:bCs/>
              <w:spacing w:val="6"/>
              <w:szCs w:val="31"/>
              <w:highlight w:val="none"/>
            </w:rPr>
            <w:t>通用合同条款</w:t>
          </w:r>
          <w:r>
            <w:tab/>
          </w:r>
          <w:r>
            <w:fldChar w:fldCharType="begin"/>
          </w:r>
          <w:r>
            <w:instrText xml:space="preserve"> PAGEREF _Toc23501 \h </w:instrText>
          </w:r>
          <w:r>
            <w:fldChar w:fldCharType="separate"/>
          </w:r>
          <w:r>
            <w:t>95</w:t>
          </w:r>
          <w:r>
            <w:fldChar w:fldCharType="end"/>
          </w:r>
          <w:r>
            <w:rPr>
              <w:rFonts w:ascii="Times New Roman" w:hAnsi="Times New Roman" w:eastAsia="Times New Roman" w:cs="Times New Roman"/>
              <w:color w:val="auto"/>
              <w:szCs w:val="21"/>
              <w:highlight w:val="none"/>
            </w:rPr>
            <w:fldChar w:fldCharType="end"/>
          </w:r>
        </w:p>
        <w:p w14:paraId="16080A78">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_Toc3947 </w:instrText>
          </w:r>
          <w:r>
            <w:rPr>
              <w:rFonts w:ascii="Times New Roman" w:hAnsi="Times New Roman" w:eastAsia="Times New Roman" w:cs="Times New Roman"/>
              <w:szCs w:val="21"/>
              <w:highlight w:val="none"/>
            </w:rPr>
            <w:fldChar w:fldCharType="separate"/>
          </w:r>
          <w:r>
            <w:rPr>
              <w:rFonts w:ascii="宋体" w:hAnsi="宋体" w:eastAsia="宋体" w:cs="宋体"/>
              <w:bCs/>
              <w:spacing w:val="6"/>
              <w:szCs w:val="31"/>
              <w:highlight w:val="none"/>
            </w:rPr>
            <w:t>第二节</w:t>
          </w:r>
          <w:r>
            <w:rPr>
              <w:rFonts w:ascii="宋体" w:hAnsi="宋体" w:eastAsia="宋体" w:cs="宋体"/>
              <w:spacing w:val="6"/>
              <w:szCs w:val="31"/>
              <w:highlight w:val="none"/>
            </w:rPr>
            <w:t xml:space="preserve">  </w:t>
          </w:r>
          <w:r>
            <w:rPr>
              <w:rFonts w:ascii="宋体" w:hAnsi="宋体" w:eastAsia="宋体" w:cs="宋体"/>
              <w:bCs/>
              <w:spacing w:val="6"/>
              <w:szCs w:val="31"/>
              <w:highlight w:val="none"/>
            </w:rPr>
            <w:t>专用合同条款</w:t>
          </w:r>
          <w:r>
            <w:tab/>
          </w:r>
          <w:r>
            <w:fldChar w:fldCharType="begin"/>
          </w:r>
          <w:r>
            <w:instrText xml:space="preserve"> PAGEREF _Toc3947 \h </w:instrText>
          </w:r>
          <w:r>
            <w:fldChar w:fldCharType="separate"/>
          </w:r>
          <w:r>
            <w:t>95</w:t>
          </w:r>
          <w:r>
            <w:fldChar w:fldCharType="end"/>
          </w:r>
          <w:r>
            <w:rPr>
              <w:rFonts w:ascii="Times New Roman" w:hAnsi="Times New Roman" w:eastAsia="Times New Roman" w:cs="Times New Roman"/>
              <w:color w:val="auto"/>
              <w:szCs w:val="21"/>
              <w:highlight w:val="none"/>
            </w:rPr>
            <w:fldChar w:fldCharType="end"/>
          </w:r>
        </w:p>
        <w:p w14:paraId="13954432">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_Toc31194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9"/>
              <w:szCs w:val="28"/>
              <w:highlight w:val="none"/>
            </w:rPr>
            <w:t>1</w:t>
          </w:r>
          <w:r>
            <w:rPr>
              <w:rFonts w:ascii="Times New Roman" w:hAnsi="Times New Roman" w:eastAsia="Times New Roman" w:cs="Times New Roman"/>
              <w:bCs/>
              <w:spacing w:val="8"/>
              <w:szCs w:val="28"/>
              <w:highlight w:val="none"/>
            </w:rPr>
            <w:t xml:space="preserve">  </w:t>
          </w:r>
          <w:r>
            <w:rPr>
              <w:rFonts w:ascii="宋体" w:hAnsi="宋体" w:eastAsia="宋体" w:cs="宋体"/>
              <w:bCs/>
              <w:spacing w:val="-9"/>
              <w:szCs w:val="28"/>
              <w:highlight w:val="none"/>
            </w:rPr>
            <w:t>一般约定</w:t>
          </w:r>
          <w:r>
            <w:tab/>
          </w:r>
          <w:r>
            <w:fldChar w:fldCharType="begin"/>
          </w:r>
          <w:r>
            <w:instrText xml:space="preserve"> PAGEREF _Toc31194 \h </w:instrText>
          </w:r>
          <w:r>
            <w:fldChar w:fldCharType="separate"/>
          </w:r>
          <w:r>
            <w:t>95</w:t>
          </w:r>
          <w:r>
            <w:fldChar w:fldCharType="end"/>
          </w:r>
          <w:r>
            <w:rPr>
              <w:rFonts w:ascii="Times New Roman" w:hAnsi="Times New Roman" w:eastAsia="Times New Roman" w:cs="Times New Roman"/>
              <w:color w:val="auto"/>
              <w:szCs w:val="21"/>
              <w:highlight w:val="none"/>
            </w:rPr>
            <w:fldChar w:fldCharType="end"/>
          </w:r>
        </w:p>
        <w:p w14:paraId="2DC17C77">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_Toc3749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1.1</w:t>
          </w:r>
          <w:r>
            <w:rPr>
              <w:rFonts w:ascii="Times New Roman" w:hAnsi="Times New Roman" w:eastAsia="Times New Roman" w:cs="Times New Roman"/>
              <w:bCs/>
              <w:spacing w:val="6"/>
              <w:szCs w:val="24"/>
              <w:highlight w:val="none"/>
            </w:rPr>
            <w:t xml:space="preserve">  </w:t>
          </w:r>
          <w:r>
            <w:rPr>
              <w:rFonts w:ascii="宋体" w:hAnsi="宋体" w:eastAsia="宋体" w:cs="宋体"/>
              <w:bCs/>
              <w:spacing w:val="-5"/>
              <w:szCs w:val="24"/>
              <w:highlight w:val="none"/>
            </w:rPr>
            <w:t>词语定义</w:t>
          </w:r>
          <w:r>
            <w:tab/>
          </w:r>
          <w:r>
            <w:fldChar w:fldCharType="begin"/>
          </w:r>
          <w:r>
            <w:instrText xml:space="preserve"> PAGEREF _Toc3749 \h </w:instrText>
          </w:r>
          <w:r>
            <w:fldChar w:fldCharType="separate"/>
          </w:r>
          <w:r>
            <w:t>95</w:t>
          </w:r>
          <w:r>
            <w:fldChar w:fldCharType="end"/>
          </w:r>
          <w:r>
            <w:rPr>
              <w:rFonts w:ascii="Times New Roman" w:hAnsi="Times New Roman" w:eastAsia="Times New Roman" w:cs="Times New Roman"/>
              <w:color w:val="auto"/>
              <w:szCs w:val="21"/>
              <w:highlight w:val="none"/>
            </w:rPr>
            <w:fldChar w:fldCharType="end"/>
          </w:r>
        </w:p>
        <w:p w14:paraId="262C00E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_Toc26669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1.4  </w:t>
          </w:r>
          <w:r>
            <w:rPr>
              <w:rFonts w:ascii="宋体" w:hAnsi="宋体" w:eastAsia="宋体" w:cs="宋体"/>
              <w:bCs/>
              <w:spacing w:val="-3"/>
              <w:szCs w:val="24"/>
              <w:highlight w:val="none"/>
            </w:rPr>
            <w:t>合同文件的优先顺序</w:t>
          </w:r>
          <w:r>
            <w:tab/>
          </w:r>
          <w:r>
            <w:fldChar w:fldCharType="begin"/>
          </w:r>
          <w:r>
            <w:instrText xml:space="preserve"> PAGEREF _Toc26669 \h </w:instrText>
          </w:r>
          <w:r>
            <w:fldChar w:fldCharType="separate"/>
          </w:r>
          <w:r>
            <w:t>95</w:t>
          </w:r>
          <w:r>
            <w:fldChar w:fldCharType="end"/>
          </w:r>
          <w:r>
            <w:rPr>
              <w:rFonts w:ascii="Times New Roman" w:hAnsi="Times New Roman" w:eastAsia="Times New Roman" w:cs="Times New Roman"/>
              <w:color w:val="auto"/>
              <w:szCs w:val="21"/>
              <w:highlight w:val="none"/>
            </w:rPr>
            <w:fldChar w:fldCharType="end"/>
          </w:r>
        </w:p>
        <w:p w14:paraId="77909DD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_Toc5959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1.7</w:t>
          </w:r>
          <w:r>
            <w:rPr>
              <w:rFonts w:ascii="Times New Roman" w:hAnsi="Times New Roman" w:eastAsia="Times New Roman" w:cs="Times New Roman"/>
              <w:bCs/>
              <w:spacing w:val="5"/>
              <w:szCs w:val="24"/>
              <w:highlight w:val="none"/>
            </w:rPr>
            <w:t xml:space="preserve">  </w:t>
          </w:r>
          <w:r>
            <w:rPr>
              <w:rFonts w:ascii="宋体" w:hAnsi="宋体" w:eastAsia="宋体" w:cs="宋体"/>
              <w:bCs/>
              <w:spacing w:val="-5"/>
              <w:szCs w:val="24"/>
              <w:highlight w:val="none"/>
            </w:rPr>
            <w:t>联络</w:t>
          </w:r>
          <w:r>
            <w:tab/>
          </w:r>
          <w:r>
            <w:fldChar w:fldCharType="begin"/>
          </w:r>
          <w:r>
            <w:instrText xml:space="preserve"> PAGEREF _Toc5959 \h </w:instrText>
          </w:r>
          <w:r>
            <w:fldChar w:fldCharType="separate"/>
          </w:r>
          <w:r>
            <w:t>95</w:t>
          </w:r>
          <w:r>
            <w:fldChar w:fldCharType="end"/>
          </w:r>
          <w:r>
            <w:rPr>
              <w:rFonts w:ascii="Times New Roman" w:hAnsi="Times New Roman" w:eastAsia="Times New Roman" w:cs="Times New Roman"/>
              <w:color w:val="auto"/>
              <w:szCs w:val="21"/>
              <w:highlight w:val="none"/>
            </w:rPr>
            <w:fldChar w:fldCharType="end"/>
          </w:r>
        </w:p>
        <w:p w14:paraId="163EF5DB">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_Toc3221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8"/>
              <w:highlight w:val="none"/>
            </w:rPr>
            <w:t>2</w:t>
          </w:r>
          <w:r>
            <w:rPr>
              <w:rFonts w:ascii="Times New Roman" w:hAnsi="Times New Roman" w:eastAsia="Times New Roman" w:cs="Times New Roman"/>
              <w:bCs/>
              <w:spacing w:val="10"/>
              <w:szCs w:val="28"/>
              <w:highlight w:val="none"/>
            </w:rPr>
            <w:t xml:space="preserve">  </w:t>
          </w:r>
          <w:r>
            <w:rPr>
              <w:rFonts w:ascii="宋体" w:hAnsi="宋体" w:eastAsia="宋体" w:cs="宋体"/>
              <w:bCs/>
              <w:spacing w:val="-6"/>
              <w:szCs w:val="28"/>
              <w:highlight w:val="none"/>
            </w:rPr>
            <w:t>发包人义务</w:t>
          </w:r>
          <w:r>
            <w:tab/>
          </w:r>
          <w:r>
            <w:fldChar w:fldCharType="begin"/>
          </w:r>
          <w:r>
            <w:instrText xml:space="preserve"> PAGEREF _Toc3221 \h </w:instrText>
          </w:r>
          <w:r>
            <w:fldChar w:fldCharType="separate"/>
          </w:r>
          <w:r>
            <w:t>96</w:t>
          </w:r>
          <w:r>
            <w:fldChar w:fldCharType="end"/>
          </w:r>
          <w:r>
            <w:rPr>
              <w:rFonts w:ascii="Times New Roman" w:hAnsi="Times New Roman" w:eastAsia="Times New Roman" w:cs="Times New Roman"/>
              <w:color w:val="auto"/>
              <w:szCs w:val="21"/>
              <w:highlight w:val="none"/>
            </w:rPr>
            <w:fldChar w:fldCharType="end"/>
          </w:r>
        </w:p>
        <w:p w14:paraId="645CB9F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_Toc17353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2.3  </w:t>
          </w:r>
          <w:r>
            <w:rPr>
              <w:rFonts w:ascii="宋体" w:hAnsi="宋体" w:eastAsia="宋体" w:cs="宋体"/>
              <w:bCs/>
              <w:spacing w:val="-2"/>
              <w:szCs w:val="24"/>
              <w:highlight w:val="none"/>
            </w:rPr>
            <w:t>提供施工场地</w:t>
          </w:r>
          <w:r>
            <w:tab/>
          </w:r>
          <w:r>
            <w:fldChar w:fldCharType="begin"/>
          </w:r>
          <w:r>
            <w:instrText xml:space="preserve"> PAGEREF _Toc17353 \h </w:instrText>
          </w:r>
          <w:r>
            <w:fldChar w:fldCharType="separate"/>
          </w:r>
          <w:r>
            <w:t>96</w:t>
          </w:r>
          <w:r>
            <w:fldChar w:fldCharType="end"/>
          </w:r>
          <w:r>
            <w:rPr>
              <w:rFonts w:ascii="Times New Roman" w:hAnsi="Times New Roman" w:eastAsia="Times New Roman" w:cs="Times New Roman"/>
              <w:color w:val="auto"/>
              <w:szCs w:val="21"/>
              <w:highlight w:val="none"/>
            </w:rPr>
            <w:fldChar w:fldCharType="end"/>
          </w:r>
        </w:p>
        <w:p w14:paraId="2AE1135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_Toc15360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2.8  </w:t>
          </w:r>
          <w:r>
            <w:rPr>
              <w:rFonts w:ascii="宋体" w:hAnsi="宋体" w:eastAsia="宋体" w:cs="宋体"/>
              <w:bCs/>
              <w:spacing w:val="-2"/>
              <w:szCs w:val="24"/>
              <w:highlight w:val="none"/>
            </w:rPr>
            <w:t>其他义务</w:t>
          </w:r>
          <w:r>
            <w:tab/>
          </w:r>
          <w:r>
            <w:fldChar w:fldCharType="begin"/>
          </w:r>
          <w:r>
            <w:instrText xml:space="preserve"> PAGEREF _Toc15360 \h </w:instrText>
          </w:r>
          <w:r>
            <w:fldChar w:fldCharType="separate"/>
          </w:r>
          <w:r>
            <w:t>96</w:t>
          </w:r>
          <w:r>
            <w:fldChar w:fldCharType="end"/>
          </w:r>
          <w:r>
            <w:rPr>
              <w:rFonts w:ascii="Times New Roman" w:hAnsi="Times New Roman" w:eastAsia="Times New Roman" w:cs="Times New Roman"/>
              <w:color w:val="auto"/>
              <w:szCs w:val="21"/>
              <w:highlight w:val="none"/>
            </w:rPr>
            <w:fldChar w:fldCharType="end"/>
          </w:r>
        </w:p>
        <w:p w14:paraId="292FACA0">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_Toc4181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8"/>
              <w:highlight w:val="none"/>
            </w:rPr>
            <w:t>3</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5"/>
              <w:szCs w:val="28"/>
              <w:highlight w:val="none"/>
            </w:rPr>
            <w:t>监理人</w:t>
          </w:r>
          <w:r>
            <w:tab/>
          </w:r>
          <w:r>
            <w:fldChar w:fldCharType="begin"/>
          </w:r>
          <w:r>
            <w:instrText xml:space="preserve"> PAGEREF _Toc4181 \h </w:instrText>
          </w:r>
          <w:r>
            <w:fldChar w:fldCharType="separate"/>
          </w:r>
          <w:r>
            <w:t>96</w:t>
          </w:r>
          <w:r>
            <w:fldChar w:fldCharType="end"/>
          </w:r>
          <w:r>
            <w:rPr>
              <w:rFonts w:ascii="Times New Roman" w:hAnsi="Times New Roman" w:eastAsia="Times New Roman" w:cs="Times New Roman"/>
              <w:color w:val="auto"/>
              <w:szCs w:val="21"/>
              <w:highlight w:val="none"/>
            </w:rPr>
            <w:fldChar w:fldCharType="end"/>
          </w:r>
        </w:p>
        <w:p w14:paraId="2D9EFB4E">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_Toc22815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3.1  </w:t>
          </w:r>
          <w:r>
            <w:rPr>
              <w:rFonts w:ascii="宋体" w:hAnsi="宋体" w:eastAsia="宋体" w:cs="宋体"/>
              <w:bCs/>
              <w:spacing w:val="-2"/>
              <w:szCs w:val="24"/>
              <w:highlight w:val="none"/>
            </w:rPr>
            <w:t>监理人的职责和权力</w:t>
          </w:r>
          <w:r>
            <w:tab/>
          </w:r>
          <w:r>
            <w:fldChar w:fldCharType="begin"/>
          </w:r>
          <w:r>
            <w:instrText xml:space="preserve"> PAGEREF _Toc22815 \h </w:instrText>
          </w:r>
          <w:r>
            <w:fldChar w:fldCharType="separate"/>
          </w:r>
          <w:r>
            <w:t>96</w:t>
          </w:r>
          <w:r>
            <w:fldChar w:fldCharType="end"/>
          </w:r>
          <w:r>
            <w:rPr>
              <w:rFonts w:ascii="Times New Roman" w:hAnsi="Times New Roman" w:eastAsia="Times New Roman" w:cs="Times New Roman"/>
              <w:color w:val="auto"/>
              <w:szCs w:val="21"/>
              <w:highlight w:val="none"/>
            </w:rPr>
            <w:fldChar w:fldCharType="end"/>
          </w:r>
        </w:p>
        <w:p w14:paraId="787E7484">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_Toc30546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8"/>
              <w:highlight w:val="none"/>
            </w:rPr>
            <w:t>4</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6"/>
              <w:szCs w:val="28"/>
              <w:highlight w:val="none"/>
            </w:rPr>
            <w:t>承包人</w:t>
          </w:r>
          <w:r>
            <w:tab/>
          </w:r>
          <w:r>
            <w:fldChar w:fldCharType="begin"/>
          </w:r>
          <w:r>
            <w:instrText xml:space="preserve"> PAGEREF _Toc30546 \h </w:instrText>
          </w:r>
          <w:r>
            <w:fldChar w:fldCharType="separate"/>
          </w:r>
          <w:r>
            <w:t>96</w:t>
          </w:r>
          <w:r>
            <w:fldChar w:fldCharType="end"/>
          </w:r>
          <w:r>
            <w:rPr>
              <w:rFonts w:ascii="Times New Roman" w:hAnsi="Times New Roman" w:eastAsia="Times New Roman" w:cs="Times New Roman"/>
              <w:color w:val="auto"/>
              <w:szCs w:val="21"/>
              <w:highlight w:val="none"/>
            </w:rPr>
            <w:fldChar w:fldCharType="end"/>
          </w:r>
        </w:p>
        <w:p w14:paraId="4CAE9457">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_Toc5425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4.1  </w:t>
          </w:r>
          <w:r>
            <w:rPr>
              <w:rFonts w:ascii="宋体" w:hAnsi="宋体" w:eastAsia="宋体" w:cs="宋体"/>
              <w:bCs/>
              <w:spacing w:val="-2"/>
              <w:szCs w:val="24"/>
              <w:highlight w:val="none"/>
            </w:rPr>
            <w:t>承包人一般义务</w:t>
          </w:r>
          <w:r>
            <w:tab/>
          </w:r>
          <w:r>
            <w:fldChar w:fldCharType="begin"/>
          </w:r>
          <w:r>
            <w:instrText xml:space="preserve"> PAGEREF _Toc5425 \h </w:instrText>
          </w:r>
          <w:r>
            <w:fldChar w:fldCharType="separate"/>
          </w:r>
          <w:r>
            <w:t>96</w:t>
          </w:r>
          <w:r>
            <w:fldChar w:fldCharType="end"/>
          </w:r>
          <w:r>
            <w:rPr>
              <w:rFonts w:ascii="Times New Roman" w:hAnsi="Times New Roman" w:eastAsia="Times New Roman" w:cs="Times New Roman"/>
              <w:color w:val="auto"/>
              <w:szCs w:val="21"/>
              <w:highlight w:val="none"/>
            </w:rPr>
            <w:fldChar w:fldCharType="end"/>
          </w:r>
        </w:p>
        <w:p w14:paraId="1B27797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_Toc27551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4"/>
              <w:highlight w:val="none"/>
            </w:rPr>
            <w:t>4.3</w:t>
          </w:r>
          <w:r>
            <w:rPr>
              <w:rFonts w:ascii="Times New Roman" w:hAnsi="Times New Roman" w:eastAsia="Times New Roman" w:cs="Times New Roman"/>
              <w:bCs/>
              <w:spacing w:val="7"/>
              <w:szCs w:val="24"/>
              <w:highlight w:val="none"/>
            </w:rPr>
            <w:t xml:space="preserve">  </w:t>
          </w:r>
          <w:r>
            <w:rPr>
              <w:rFonts w:ascii="宋体" w:hAnsi="宋体" w:eastAsia="宋体" w:cs="宋体"/>
              <w:bCs/>
              <w:spacing w:val="-4"/>
              <w:szCs w:val="24"/>
              <w:highlight w:val="none"/>
            </w:rPr>
            <w:t>分包</w:t>
          </w:r>
          <w:r>
            <w:tab/>
          </w:r>
          <w:r>
            <w:fldChar w:fldCharType="begin"/>
          </w:r>
          <w:r>
            <w:instrText xml:space="preserve"> PAGEREF _Toc27551 \h </w:instrText>
          </w:r>
          <w:r>
            <w:fldChar w:fldCharType="separate"/>
          </w:r>
          <w:r>
            <w:t>100</w:t>
          </w:r>
          <w:r>
            <w:fldChar w:fldCharType="end"/>
          </w:r>
          <w:r>
            <w:rPr>
              <w:rFonts w:ascii="Times New Roman" w:hAnsi="Times New Roman" w:eastAsia="Times New Roman" w:cs="Times New Roman"/>
              <w:color w:val="auto"/>
              <w:szCs w:val="21"/>
              <w:highlight w:val="none"/>
            </w:rPr>
            <w:fldChar w:fldCharType="end"/>
          </w:r>
        </w:p>
        <w:p w14:paraId="50120E7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_Toc19432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24"/>
              <w:highlight w:val="none"/>
            </w:rPr>
            <w:t>4.5  项目负责人、副项目负责人（若有）</w:t>
          </w:r>
          <w:r>
            <w:tab/>
          </w:r>
          <w:r>
            <w:fldChar w:fldCharType="begin"/>
          </w:r>
          <w:r>
            <w:instrText xml:space="preserve"> PAGEREF _Toc19432 \h </w:instrText>
          </w:r>
          <w:r>
            <w:fldChar w:fldCharType="separate"/>
          </w:r>
          <w:r>
            <w:t>100</w:t>
          </w:r>
          <w:r>
            <w:fldChar w:fldCharType="end"/>
          </w:r>
          <w:r>
            <w:rPr>
              <w:rFonts w:ascii="Times New Roman" w:hAnsi="Times New Roman" w:eastAsia="Times New Roman" w:cs="Times New Roman"/>
              <w:color w:val="auto"/>
              <w:szCs w:val="21"/>
              <w:highlight w:val="none"/>
            </w:rPr>
            <w:fldChar w:fldCharType="end"/>
          </w:r>
        </w:p>
        <w:p w14:paraId="55B4D76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_Toc25920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4.11  </w:t>
          </w:r>
          <w:r>
            <w:rPr>
              <w:rFonts w:ascii="宋体" w:hAnsi="宋体" w:eastAsia="宋体" w:cs="宋体"/>
              <w:bCs/>
              <w:spacing w:val="-2"/>
              <w:szCs w:val="24"/>
              <w:highlight w:val="none"/>
            </w:rPr>
            <w:t>不利物质条件</w:t>
          </w:r>
          <w:r>
            <w:tab/>
          </w:r>
          <w:r>
            <w:fldChar w:fldCharType="begin"/>
          </w:r>
          <w:r>
            <w:instrText xml:space="preserve"> PAGEREF _Toc25920 \h </w:instrText>
          </w:r>
          <w:r>
            <w:fldChar w:fldCharType="separate"/>
          </w:r>
          <w:r>
            <w:t>101</w:t>
          </w:r>
          <w:r>
            <w:fldChar w:fldCharType="end"/>
          </w:r>
          <w:r>
            <w:rPr>
              <w:rFonts w:ascii="Times New Roman" w:hAnsi="Times New Roman" w:eastAsia="Times New Roman" w:cs="Times New Roman"/>
              <w:color w:val="auto"/>
              <w:szCs w:val="21"/>
              <w:highlight w:val="none"/>
            </w:rPr>
            <w:fldChar w:fldCharType="end"/>
          </w:r>
        </w:p>
        <w:p w14:paraId="3E6667D9">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_Toc31697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5  </w:t>
          </w:r>
          <w:r>
            <w:rPr>
              <w:rFonts w:ascii="宋体" w:hAnsi="宋体" w:eastAsia="宋体" w:cs="宋体"/>
              <w:bCs/>
              <w:spacing w:val="-3"/>
              <w:szCs w:val="28"/>
              <w:highlight w:val="none"/>
            </w:rPr>
            <w:t>材料和工程设备</w:t>
          </w:r>
          <w:r>
            <w:tab/>
          </w:r>
          <w:r>
            <w:fldChar w:fldCharType="begin"/>
          </w:r>
          <w:r>
            <w:instrText xml:space="preserve"> PAGEREF _Toc31697 \h </w:instrText>
          </w:r>
          <w:r>
            <w:fldChar w:fldCharType="separate"/>
          </w:r>
          <w:r>
            <w:t>101</w:t>
          </w:r>
          <w:r>
            <w:fldChar w:fldCharType="end"/>
          </w:r>
          <w:r>
            <w:rPr>
              <w:rFonts w:ascii="Times New Roman" w:hAnsi="Times New Roman" w:eastAsia="Times New Roman" w:cs="Times New Roman"/>
              <w:color w:val="auto"/>
              <w:szCs w:val="21"/>
              <w:highlight w:val="none"/>
            </w:rPr>
            <w:fldChar w:fldCharType="end"/>
          </w:r>
        </w:p>
        <w:p w14:paraId="45B06C75">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_Toc7364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5.2  </w:t>
          </w:r>
          <w:r>
            <w:rPr>
              <w:rFonts w:ascii="宋体" w:hAnsi="宋体" w:eastAsia="宋体" w:cs="宋体"/>
              <w:bCs/>
              <w:spacing w:val="-2"/>
              <w:szCs w:val="24"/>
              <w:highlight w:val="none"/>
            </w:rPr>
            <w:t>发包人提供的材料和工程设备</w:t>
          </w:r>
          <w:r>
            <w:tab/>
          </w:r>
          <w:r>
            <w:fldChar w:fldCharType="begin"/>
          </w:r>
          <w:r>
            <w:instrText xml:space="preserve"> PAGEREF _Toc7364 \h </w:instrText>
          </w:r>
          <w:r>
            <w:fldChar w:fldCharType="separate"/>
          </w:r>
          <w:r>
            <w:t>101</w:t>
          </w:r>
          <w:r>
            <w:fldChar w:fldCharType="end"/>
          </w:r>
          <w:r>
            <w:rPr>
              <w:rFonts w:ascii="Times New Roman" w:hAnsi="Times New Roman" w:eastAsia="Times New Roman" w:cs="Times New Roman"/>
              <w:color w:val="auto"/>
              <w:szCs w:val="21"/>
              <w:highlight w:val="none"/>
            </w:rPr>
            <w:fldChar w:fldCharType="end"/>
          </w:r>
        </w:p>
        <w:p w14:paraId="096C3A1E">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_Toc9894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6  </w:t>
          </w:r>
          <w:r>
            <w:rPr>
              <w:rFonts w:ascii="宋体" w:hAnsi="宋体" w:eastAsia="宋体" w:cs="宋体"/>
              <w:bCs/>
              <w:spacing w:val="-3"/>
              <w:szCs w:val="28"/>
              <w:highlight w:val="none"/>
            </w:rPr>
            <w:t>施工设备和临时设施</w:t>
          </w:r>
          <w:r>
            <w:tab/>
          </w:r>
          <w:r>
            <w:fldChar w:fldCharType="begin"/>
          </w:r>
          <w:r>
            <w:instrText xml:space="preserve"> PAGEREF _Toc9894 \h </w:instrText>
          </w:r>
          <w:r>
            <w:fldChar w:fldCharType="separate"/>
          </w:r>
          <w:r>
            <w:t>102</w:t>
          </w:r>
          <w:r>
            <w:fldChar w:fldCharType="end"/>
          </w:r>
          <w:r>
            <w:rPr>
              <w:rFonts w:ascii="Times New Roman" w:hAnsi="Times New Roman" w:eastAsia="Times New Roman" w:cs="Times New Roman"/>
              <w:color w:val="auto"/>
              <w:szCs w:val="21"/>
              <w:highlight w:val="none"/>
            </w:rPr>
            <w:fldChar w:fldCharType="end"/>
          </w:r>
        </w:p>
        <w:p w14:paraId="14949E9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_Toc12991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6.2  </w:t>
          </w:r>
          <w:r>
            <w:rPr>
              <w:rFonts w:ascii="宋体" w:hAnsi="宋体" w:eastAsia="宋体" w:cs="宋体"/>
              <w:bCs/>
              <w:spacing w:val="-2"/>
              <w:szCs w:val="24"/>
              <w:highlight w:val="none"/>
            </w:rPr>
            <w:t>发包人提供的施工设备和临时设施</w:t>
          </w:r>
          <w:r>
            <w:tab/>
          </w:r>
          <w:r>
            <w:fldChar w:fldCharType="begin"/>
          </w:r>
          <w:r>
            <w:instrText xml:space="preserve"> PAGEREF _Toc12991 \h </w:instrText>
          </w:r>
          <w:r>
            <w:fldChar w:fldCharType="separate"/>
          </w:r>
          <w:r>
            <w:t>102</w:t>
          </w:r>
          <w:r>
            <w:fldChar w:fldCharType="end"/>
          </w:r>
          <w:r>
            <w:rPr>
              <w:rFonts w:ascii="Times New Roman" w:hAnsi="Times New Roman" w:eastAsia="Times New Roman" w:cs="Times New Roman"/>
              <w:color w:val="auto"/>
              <w:szCs w:val="21"/>
              <w:highlight w:val="none"/>
            </w:rPr>
            <w:fldChar w:fldCharType="end"/>
          </w:r>
        </w:p>
        <w:p w14:paraId="4062A378">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_Toc362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7</w:t>
          </w:r>
          <w:r>
            <w:rPr>
              <w:rFonts w:ascii="Times New Roman" w:hAnsi="Times New Roman" w:eastAsia="Times New Roman" w:cs="Times New Roman"/>
              <w:bCs/>
              <w:spacing w:val="10"/>
              <w:szCs w:val="28"/>
              <w:highlight w:val="none"/>
            </w:rPr>
            <w:t xml:space="preserve">  </w:t>
          </w:r>
          <w:r>
            <w:rPr>
              <w:rFonts w:ascii="宋体" w:hAnsi="宋体" w:eastAsia="宋体" w:cs="宋体"/>
              <w:bCs/>
              <w:spacing w:val="-7"/>
              <w:szCs w:val="28"/>
              <w:highlight w:val="none"/>
            </w:rPr>
            <w:t>交通运输</w:t>
          </w:r>
          <w:r>
            <w:tab/>
          </w:r>
          <w:r>
            <w:fldChar w:fldCharType="begin"/>
          </w:r>
          <w:r>
            <w:instrText xml:space="preserve"> PAGEREF _Toc362 \h </w:instrText>
          </w:r>
          <w:r>
            <w:fldChar w:fldCharType="separate"/>
          </w:r>
          <w:r>
            <w:t>102</w:t>
          </w:r>
          <w:r>
            <w:fldChar w:fldCharType="end"/>
          </w:r>
          <w:r>
            <w:rPr>
              <w:rFonts w:ascii="Times New Roman" w:hAnsi="Times New Roman" w:eastAsia="Times New Roman" w:cs="Times New Roman"/>
              <w:color w:val="auto"/>
              <w:szCs w:val="21"/>
              <w:highlight w:val="none"/>
            </w:rPr>
            <w:fldChar w:fldCharType="end"/>
          </w:r>
        </w:p>
        <w:p w14:paraId="7CB8A6AA">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_Toc11257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7.1  </w:t>
          </w:r>
          <w:r>
            <w:rPr>
              <w:rFonts w:ascii="宋体" w:hAnsi="宋体" w:eastAsia="宋体" w:cs="宋体"/>
              <w:bCs/>
              <w:spacing w:val="-2"/>
              <w:szCs w:val="24"/>
              <w:highlight w:val="none"/>
            </w:rPr>
            <w:t>道路通行权和场外设施</w:t>
          </w:r>
          <w:r>
            <w:tab/>
          </w:r>
          <w:r>
            <w:fldChar w:fldCharType="begin"/>
          </w:r>
          <w:r>
            <w:instrText xml:space="preserve"> PAGEREF _Toc11257 \h </w:instrText>
          </w:r>
          <w:r>
            <w:fldChar w:fldCharType="separate"/>
          </w:r>
          <w:r>
            <w:t>102</w:t>
          </w:r>
          <w:r>
            <w:fldChar w:fldCharType="end"/>
          </w:r>
          <w:r>
            <w:rPr>
              <w:rFonts w:ascii="Times New Roman" w:hAnsi="Times New Roman" w:eastAsia="Times New Roman" w:cs="Times New Roman"/>
              <w:color w:val="auto"/>
              <w:szCs w:val="21"/>
              <w:highlight w:val="none"/>
            </w:rPr>
            <w:fldChar w:fldCharType="end"/>
          </w:r>
        </w:p>
        <w:p w14:paraId="26E4B4D0">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_Toc23114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8"/>
              <w:highlight w:val="none"/>
            </w:rPr>
            <w:t>8</w:t>
          </w:r>
          <w:r>
            <w:rPr>
              <w:rFonts w:ascii="Times New Roman" w:hAnsi="Times New Roman" w:eastAsia="Times New Roman" w:cs="Times New Roman"/>
              <w:bCs/>
              <w:spacing w:val="6"/>
              <w:szCs w:val="28"/>
              <w:highlight w:val="none"/>
            </w:rPr>
            <w:t xml:space="preserve">  </w:t>
          </w:r>
          <w:r>
            <w:rPr>
              <w:rFonts w:ascii="宋体" w:hAnsi="宋体" w:eastAsia="宋体" w:cs="宋体"/>
              <w:bCs/>
              <w:spacing w:val="-6"/>
              <w:szCs w:val="28"/>
              <w:highlight w:val="none"/>
            </w:rPr>
            <w:t>测量放线</w:t>
          </w:r>
          <w:r>
            <w:tab/>
          </w:r>
          <w:r>
            <w:fldChar w:fldCharType="begin"/>
          </w:r>
          <w:r>
            <w:instrText xml:space="preserve"> PAGEREF _Toc23114 \h </w:instrText>
          </w:r>
          <w:r>
            <w:fldChar w:fldCharType="separate"/>
          </w:r>
          <w:r>
            <w:t>102</w:t>
          </w:r>
          <w:r>
            <w:fldChar w:fldCharType="end"/>
          </w:r>
          <w:r>
            <w:rPr>
              <w:rFonts w:ascii="Times New Roman" w:hAnsi="Times New Roman" w:eastAsia="Times New Roman" w:cs="Times New Roman"/>
              <w:color w:val="auto"/>
              <w:szCs w:val="21"/>
              <w:highlight w:val="none"/>
            </w:rPr>
            <w:fldChar w:fldCharType="end"/>
          </w:r>
        </w:p>
        <w:p w14:paraId="0A221EA5">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_Toc12365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8.1  </w:t>
          </w:r>
          <w:r>
            <w:rPr>
              <w:rFonts w:ascii="宋体" w:hAnsi="宋体" w:eastAsia="宋体" w:cs="宋体"/>
              <w:bCs/>
              <w:spacing w:val="-2"/>
              <w:szCs w:val="24"/>
              <w:highlight w:val="none"/>
            </w:rPr>
            <w:t>施工控制网</w:t>
          </w:r>
          <w:r>
            <w:tab/>
          </w:r>
          <w:r>
            <w:fldChar w:fldCharType="begin"/>
          </w:r>
          <w:r>
            <w:instrText xml:space="preserve"> PAGEREF _Toc12365 \h </w:instrText>
          </w:r>
          <w:r>
            <w:fldChar w:fldCharType="separate"/>
          </w:r>
          <w:r>
            <w:t>103</w:t>
          </w:r>
          <w:r>
            <w:fldChar w:fldCharType="end"/>
          </w:r>
          <w:r>
            <w:rPr>
              <w:rFonts w:ascii="Times New Roman" w:hAnsi="Times New Roman" w:eastAsia="Times New Roman" w:cs="Times New Roman"/>
              <w:color w:val="auto"/>
              <w:szCs w:val="21"/>
              <w:highlight w:val="none"/>
            </w:rPr>
            <w:fldChar w:fldCharType="end"/>
          </w:r>
        </w:p>
        <w:p w14:paraId="002D5E60">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_Toc2704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9  </w:t>
          </w:r>
          <w:r>
            <w:rPr>
              <w:rFonts w:ascii="宋体" w:hAnsi="宋体" w:eastAsia="宋体" w:cs="宋体"/>
              <w:bCs/>
              <w:spacing w:val="-2"/>
              <w:szCs w:val="28"/>
              <w:highlight w:val="none"/>
            </w:rPr>
            <w:t>施工安全、治安保卫和环境保护</w:t>
          </w:r>
          <w:r>
            <w:tab/>
          </w:r>
          <w:r>
            <w:fldChar w:fldCharType="begin"/>
          </w:r>
          <w:r>
            <w:instrText xml:space="preserve"> PAGEREF _Toc2704 \h </w:instrText>
          </w:r>
          <w:r>
            <w:fldChar w:fldCharType="separate"/>
          </w:r>
          <w:r>
            <w:t>103</w:t>
          </w:r>
          <w:r>
            <w:fldChar w:fldCharType="end"/>
          </w:r>
          <w:r>
            <w:rPr>
              <w:rFonts w:ascii="Times New Roman" w:hAnsi="Times New Roman" w:eastAsia="Times New Roman" w:cs="Times New Roman"/>
              <w:color w:val="auto"/>
              <w:szCs w:val="21"/>
              <w:highlight w:val="none"/>
            </w:rPr>
            <w:fldChar w:fldCharType="end"/>
          </w:r>
        </w:p>
        <w:p w14:paraId="2A2EC29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_Toc10574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9.1  </w:t>
          </w:r>
          <w:r>
            <w:rPr>
              <w:rFonts w:ascii="宋体" w:hAnsi="宋体" w:eastAsia="宋体" w:cs="宋体"/>
              <w:bCs/>
              <w:spacing w:val="-2"/>
              <w:szCs w:val="24"/>
              <w:highlight w:val="none"/>
            </w:rPr>
            <w:t>发包人的施工安全责任</w:t>
          </w:r>
          <w:r>
            <w:tab/>
          </w:r>
          <w:r>
            <w:fldChar w:fldCharType="begin"/>
          </w:r>
          <w:r>
            <w:instrText xml:space="preserve"> PAGEREF _Toc10574 \h </w:instrText>
          </w:r>
          <w:r>
            <w:fldChar w:fldCharType="separate"/>
          </w:r>
          <w:r>
            <w:t>103</w:t>
          </w:r>
          <w:r>
            <w:fldChar w:fldCharType="end"/>
          </w:r>
          <w:r>
            <w:rPr>
              <w:rFonts w:ascii="Times New Roman" w:hAnsi="Times New Roman" w:eastAsia="Times New Roman" w:cs="Times New Roman"/>
              <w:color w:val="auto"/>
              <w:szCs w:val="21"/>
              <w:highlight w:val="none"/>
            </w:rPr>
            <w:fldChar w:fldCharType="end"/>
          </w:r>
        </w:p>
        <w:p w14:paraId="30B1DDF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_Toc15666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9.2  </w:t>
          </w:r>
          <w:r>
            <w:rPr>
              <w:rFonts w:ascii="宋体" w:hAnsi="宋体" w:eastAsia="宋体" w:cs="宋体"/>
              <w:bCs/>
              <w:spacing w:val="-2"/>
              <w:szCs w:val="24"/>
              <w:highlight w:val="none"/>
            </w:rPr>
            <w:t>承包人的施工安全责任</w:t>
          </w:r>
          <w:r>
            <w:tab/>
          </w:r>
          <w:r>
            <w:fldChar w:fldCharType="begin"/>
          </w:r>
          <w:r>
            <w:instrText xml:space="preserve"> PAGEREF _Toc15666 \h </w:instrText>
          </w:r>
          <w:r>
            <w:fldChar w:fldCharType="separate"/>
          </w:r>
          <w:r>
            <w:t>103</w:t>
          </w:r>
          <w:r>
            <w:fldChar w:fldCharType="end"/>
          </w:r>
          <w:r>
            <w:rPr>
              <w:rFonts w:ascii="Times New Roman" w:hAnsi="Times New Roman" w:eastAsia="Times New Roman" w:cs="Times New Roman"/>
              <w:color w:val="auto"/>
              <w:szCs w:val="21"/>
              <w:highlight w:val="none"/>
            </w:rPr>
            <w:fldChar w:fldCharType="end"/>
          </w:r>
        </w:p>
        <w:p w14:paraId="6B5C7D7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_Toc1823 </w:instrText>
          </w:r>
          <w:r>
            <w:rPr>
              <w:rFonts w:ascii="Times New Roman" w:hAnsi="Times New Roman" w:eastAsia="Times New Roman" w:cs="Times New Roman"/>
              <w:szCs w:val="21"/>
              <w:highlight w:val="none"/>
            </w:rPr>
            <w:fldChar w:fldCharType="separate"/>
          </w:r>
          <w:r>
            <w:rPr>
              <w:rFonts w:hint="eastAsia" w:ascii="Times New Roman" w:hAnsi="Times New Roman" w:eastAsia="Times New Roman" w:cs="Times New Roman"/>
              <w:bCs/>
              <w:snapToGrid w:val="0"/>
              <w:spacing w:val="-2"/>
              <w:kern w:val="0"/>
              <w:szCs w:val="24"/>
              <w:highlight w:val="none"/>
              <w:lang w:val="en-US" w:eastAsia="zh-CN" w:bidi="ar-SA"/>
            </w:rPr>
            <w:t>9.7文明工地</w:t>
          </w:r>
          <w:r>
            <w:tab/>
          </w:r>
          <w:r>
            <w:fldChar w:fldCharType="begin"/>
          </w:r>
          <w:r>
            <w:instrText xml:space="preserve"> PAGEREF _Toc1823 \h </w:instrText>
          </w:r>
          <w:r>
            <w:fldChar w:fldCharType="separate"/>
          </w:r>
          <w:r>
            <w:t>104</w:t>
          </w:r>
          <w:r>
            <w:fldChar w:fldCharType="end"/>
          </w:r>
          <w:r>
            <w:rPr>
              <w:rFonts w:ascii="Times New Roman" w:hAnsi="Times New Roman" w:eastAsia="Times New Roman" w:cs="Times New Roman"/>
              <w:color w:val="auto"/>
              <w:szCs w:val="21"/>
              <w:highlight w:val="none"/>
            </w:rPr>
            <w:fldChar w:fldCharType="end"/>
          </w:r>
        </w:p>
        <w:p w14:paraId="462BA2EF">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_Toc22202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11  </w:t>
          </w:r>
          <w:r>
            <w:rPr>
              <w:rFonts w:ascii="宋体" w:hAnsi="宋体" w:eastAsia="宋体" w:cs="宋体"/>
              <w:bCs/>
              <w:spacing w:val="-3"/>
              <w:szCs w:val="28"/>
              <w:highlight w:val="none"/>
            </w:rPr>
            <w:t>开工和完工</w:t>
          </w:r>
          <w:r>
            <w:tab/>
          </w:r>
          <w:r>
            <w:fldChar w:fldCharType="begin"/>
          </w:r>
          <w:r>
            <w:instrText xml:space="preserve"> PAGEREF _Toc22202 \h </w:instrText>
          </w:r>
          <w:r>
            <w:fldChar w:fldCharType="separate"/>
          </w:r>
          <w:r>
            <w:t>105</w:t>
          </w:r>
          <w:r>
            <w:fldChar w:fldCharType="end"/>
          </w:r>
          <w:r>
            <w:rPr>
              <w:rFonts w:ascii="Times New Roman" w:hAnsi="Times New Roman" w:eastAsia="Times New Roman" w:cs="Times New Roman"/>
              <w:color w:val="auto"/>
              <w:szCs w:val="21"/>
              <w:highlight w:val="none"/>
            </w:rPr>
            <w:fldChar w:fldCharType="end"/>
          </w:r>
        </w:p>
        <w:p w14:paraId="711C482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_Toc25907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11.4  </w:t>
          </w:r>
          <w:r>
            <w:rPr>
              <w:rFonts w:ascii="宋体" w:hAnsi="宋体" w:eastAsia="宋体" w:cs="宋体"/>
              <w:bCs/>
              <w:spacing w:val="-2"/>
              <w:szCs w:val="24"/>
              <w:highlight w:val="none"/>
            </w:rPr>
            <w:t>异常恶劣的气候条件</w:t>
          </w:r>
          <w:r>
            <w:tab/>
          </w:r>
          <w:r>
            <w:fldChar w:fldCharType="begin"/>
          </w:r>
          <w:r>
            <w:instrText xml:space="preserve"> PAGEREF _Toc25907 \h </w:instrText>
          </w:r>
          <w:r>
            <w:fldChar w:fldCharType="separate"/>
          </w:r>
          <w:r>
            <w:t>105</w:t>
          </w:r>
          <w:r>
            <w:fldChar w:fldCharType="end"/>
          </w:r>
          <w:r>
            <w:rPr>
              <w:rFonts w:ascii="Times New Roman" w:hAnsi="Times New Roman" w:eastAsia="Times New Roman" w:cs="Times New Roman"/>
              <w:color w:val="auto"/>
              <w:szCs w:val="21"/>
              <w:highlight w:val="none"/>
            </w:rPr>
            <w:fldChar w:fldCharType="end"/>
          </w:r>
        </w:p>
        <w:p w14:paraId="7EFA589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_Toc29088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11.5  </w:t>
          </w:r>
          <w:r>
            <w:rPr>
              <w:rFonts w:ascii="宋体" w:hAnsi="宋体" w:eastAsia="宋体" w:cs="宋体"/>
              <w:bCs/>
              <w:spacing w:val="-3"/>
              <w:szCs w:val="24"/>
              <w:highlight w:val="none"/>
            </w:rPr>
            <w:t>承包人的工期延误</w:t>
          </w:r>
          <w:r>
            <w:tab/>
          </w:r>
          <w:r>
            <w:fldChar w:fldCharType="begin"/>
          </w:r>
          <w:r>
            <w:instrText xml:space="preserve"> PAGEREF _Toc29088 \h </w:instrText>
          </w:r>
          <w:r>
            <w:fldChar w:fldCharType="separate"/>
          </w:r>
          <w:r>
            <w:t>105</w:t>
          </w:r>
          <w:r>
            <w:fldChar w:fldCharType="end"/>
          </w:r>
          <w:r>
            <w:rPr>
              <w:rFonts w:ascii="Times New Roman" w:hAnsi="Times New Roman" w:eastAsia="Times New Roman" w:cs="Times New Roman"/>
              <w:color w:val="auto"/>
              <w:szCs w:val="21"/>
              <w:highlight w:val="none"/>
            </w:rPr>
            <w:fldChar w:fldCharType="end"/>
          </w:r>
        </w:p>
        <w:p w14:paraId="54D8171C">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_Toc21953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11.6</w:t>
          </w:r>
          <w:r>
            <w:rPr>
              <w:rFonts w:ascii="Times New Roman" w:hAnsi="Times New Roman" w:eastAsia="Times New Roman" w:cs="Times New Roman"/>
              <w:bCs/>
              <w:spacing w:val="8"/>
              <w:szCs w:val="24"/>
              <w:highlight w:val="none"/>
            </w:rPr>
            <w:t xml:space="preserve">  </w:t>
          </w:r>
          <w:r>
            <w:rPr>
              <w:rFonts w:ascii="宋体" w:hAnsi="宋体" w:eastAsia="宋体" w:cs="宋体"/>
              <w:bCs/>
              <w:spacing w:val="-5"/>
              <w:szCs w:val="24"/>
              <w:highlight w:val="none"/>
            </w:rPr>
            <w:t>工期提前</w:t>
          </w:r>
          <w:r>
            <w:tab/>
          </w:r>
          <w:r>
            <w:fldChar w:fldCharType="begin"/>
          </w:r>
          <w:r>
            <w:instrText xml:space="preserve"> PAGEREF _Toc21953 \h </w:instrText>
          </w:r>
          <w:r>
            <w:fldChar w:fldCharType="separate"/>
          </w:r>
          <w:r>
            <w:t>105</w:t>
          </w:r>
          <w:r>
            <w:fldChar w:fldCharType="end"/>
          </w:r>
          <w:r>
            <w:rPr>
              <w:rFonts w:ascii="Times New Roman" w:hAnsi="Times New Roman" w:eastAsia="Times New Roman" w:cs="Times New Roman"/>
              <w:color w:val="auto"/>
              <w:szCs w:val="21"/>
              <w:highlight w:val="none"/>
            </w:rPr>
            <w:fldChar w:fldCharType="end"/>
          </w:r>
        </w:p>
        <w:p w14:paraId="6E2401C2">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_Toc14928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28"/>
              <w:highlight w:val="none"/>
            </w:rPr>
            <w:t>12  暂停施工</w:t>
          </w:r>
          <w:r>
            <w:tab/>
          </w:r>
          <w:r>
            <w:fldChar w:fldCharType="begin"/>
          </w:r>
          <w:r>
            <w:instrText xml:space="preserve"> PAGEREF _Toc14928 \h </w:instrText>
          </w:r>
          <w:r>
            <w:fldChar w:fldCharType="separate"/>
          </w:r>
          <w:r>
            <w:t>105</w:t>
          </w:r>
          <w:r>
            <w:fldChar w:fldCharType="end"/>
          </w:r>
          <w:r>
            <w:rPr>
              <w:rFonts w:ascii="Times New Roman" w:hAnsi="Times New Roman" w:eastAsia="Times New Roman" w:cs="Times New Roman"/>
              <w:color w:val="auto"/>
              <w:szCs w:val="21"/>
              <w:highlight w:val="none"/>
            </w:rPr>
            <w:fldChar w:fldCharType="end"/>
          </w:r>
        </w:p>
        <w:p w14:paraId="5D92E2A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_Toc4666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12.1  </w:t>
          </w:r>
          <w:r>
            <w:rPr>
              <w:rFonts w:ascii="宋体" w:hAnsi="宋体" w:eastAsia="宋体" w:cs="宋体"/>
              <w:bCs/>
              <w:spacing w:val="-2"/>
              <w:szCs w:val="24"/>
              <w:highlight w:val="none"/>
            </w:rPr>
            <w:t>承包人暂停施工的责任</w:t>
          </w:r>
          <w:r>
            <w:tab/>
          </w:r>
          <w:r>
            <w:fldChar w:fldCharType="begin"/>
          </w:r>
          <w:r>
            <w:instrText xml:space="preserve"> PAGEREF _Toc4666 \h </w:instrText>
          </w:r>
          <w:r>
            <w:fldChar w:fldCharType="separate"/>
          </w:r>
          <w:r>
            <w:t>105</w:t>
          </w:r>
          <w:r>
            <w:fldChar w:fldCharType="end"/>
          </w:r>
          <w:r>
            <w:rPr>
              <w:rFonts w:ascii="Times New Roman" w:hAnsi="Times New Roman" w:eastAsia="Times New Roman" w:cs="Times New Roman"/>
              <w:color w:val="auto"/>
              <w:szCs w:val="21"/>
              <w:highlight w:val="none"/>
            </w:rPr>
            <w:fldChar w:fldCharType="end"/>
          </w:r>
        </w:p>
        <w:p w14:paraId="29CE1D7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_Toc4203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12.2  </w:t>
          </w:r>
          <w:r>
            <w:rPr>
              <w:rFonts w:ascii="宋体" w:hAnsi="宋体" w:eastAsia="宋体" w:cs="宋体"/>
              <w:bCs/>
              <w:spacing w:val="-2"/>
              <w:szCs w:val="24"/>
              <w:highlight w:val="none"/>
            </w:rPr>
            <w:t>发包人暂停施工的责任</w:t>
          </w:r>
          <w:r>
            <w:tab/>
          </w:r>
          <w:r>
            <w:fldChar w:fldCharType="begin"/>
          </w:r>
          <w:r>
            <w:instrText xml:space="preserve"> PAGEREF _Toc4203 \h </w:instrText>
          </w:r>
          <w:r>
            <w:fldChar w:fldCharType="separate"/>
          </w:r>
          <w:r>
            <w:t>105</w:t>
          </w:r>
          <w:r>
            <w:fldChar w:fldCharType="end"/>
          </w:r>
          <w:r>
            <w:rPr>
              <w:rFonts w:ascii="Times New Roman" w:hAnsi="Times New Roman" w:eastAsia="Times New Roman" w:cs="Times New Roman"/>
              <w:color w:val="auto"/>
              <w:szCs w:val="21"/>
              <w:highlight w:val="none"/>
            </w:rPr>
            <w:fldChar w:fldCharType="end"/>
          </w:r>
        </w:p>
        <w:p w14:paraId="387B9309">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_Toc32766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13</w:t>
          </w:r>
          <w:r>
            <w:rPr>
              <w:rFonts w:ascii="Times New Roman" w:hAnsi="Times New Roman" w:eastAsia="Times New Roman" w:cs="Times New Roman"/>
              <w:bCs/>
              <w:spacing w:val="8"/>
              <w:szCs w:val="28"/>
              <w:highlight w:val="none"/>
            </w:rPr>
            <w:t xml:space="preserve">  </w:t>
          </w:r>
          <w:r>
            <w:rPr>
              <w:rFonts w:ascii="宋体" w:hAnsi="宋体" w:eastAsia="宋体" w:cs="宋体"/>
              <w:bCs/>
              <w:spacing w:val="-7"/>
              <w:szCs w:val="28"/>
              <w:highlight w:val="none"/>
            </w:rPr>
            <w:t>工程质量</w:t>
          </w:r>
          <w:r>
            <w:tab/>
          </w:r>
          <w:r>
            <w:fldChar w:fldCharType="begin"/>
          </w:r>
          <w:r>
            <w:instrText xml:space="preserve"> PAGEREF _Toc32766 \h </w:instrText>
          </w:r>
          <w:r>
            <w:fldChar w:fldCharType="separate"/>
          </w:r>
          <w:r>
            <w:t>106</w:t>
          </w:r>
          <w:r>
            <w:fldChar w:fldCharType="end"/>
          </w:r>
          <w:r>
            <w:rPr>
              <w:rFonts w:ascii="Times New Roman" w:hAnsi="Times New Roman" w:eastAsia="Times New Roman" w:cs="Times New Roman"/>
              <w:color w:val="auto"/>
              <w:szCs w:val="21"/>
              <w:highlight w:val="none"/>
            </w:rPr>
            <w:fldChar w:fldCharType="end"/>
          </w:r>
        </w:p>
        <w:p w14:paraId="4DD0A5F1">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_Toc16133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13.7  </w:t>
          </w:r>
          <w:r>
            <w:rPr>
              <w:rFonts w:ascii="宋体" w:hAnsi="宋体" w:eastAsia="宋体" w:cs="宋体"/>
              <w:bCs/>
              <w:spacing w:val="-3"/>
              <w:szCs w:val="24"/>
              <w:highlight w:val="none"/>
            </w:rPr>
            <w:t>质量评定</w:t>
          </w:r>
          <w:r>
            <w:tab/>
          </w:r>
          <w:r>
            <w:fldChar w:fldCharType="begin"/>
          </w:r>
          <w:r>
            <w:instrText xml:space="preserve"> PAGEREF _Toc16133 \h </w:instrText>
          </w:r>
          <w:r>
            <w:fldChar w:fldCharType="separate"/>
          </w:r>
          <w:r>
            <w:t>106</w:t>
          </w:r>
          <w:r>
            <w:fldChar w:fldCharType="end"/>
          </w:r>
          <w:r>
            <w:rPr>
              <w:rFonts w:ascii="Times New Roman" w:hAnsi="Times New Roman" w:eastAsia="Times New Roman" w:cs="Times New Roman"/>
              <w:color w:val="auto"/>
              <w:szCs w:val="21"/>
              <w:highlight w:val="none"/>
            </w:rPr>
            <w:fldChar w:fldCharType="end"/>
          </w:r>
        </w:p>
        <w:p w14:paraId="46DD54B0">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_Toc13342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14  </w:t>
          </w:r>
          <w:r>
            <w:rPr>
              <w:rFonts w:ascii="宋体" w:hAnsi="宋体" w:eastAsia="宋体" w:cs="宋体"/>
              <w:bCs/>
              <w:spacing w:val="-3"/>
              <w:szCs w:val="28"/>
              <w:highlight w:val="none"/>
            </w:rPr>
            <w:t>试验和检验</w:t>
          </w:r>
          <w:r>
            <w:tab/>
          </w:r>
          <w:r>
            <w:fldChar w:fldCharType="begin"/>
          </w:r>
          <w:r>
            <w:instrText xml:space="preserve"> PAGEREF _Toc13342 \h </w:instrText>
          </w:r>
          <w:r>
            <w:fldChar w:fldCharType="separate"/>
          </w:r>
          <w:r>
            <w:t>106</w:t>
          </w:r>
          <w:r>
            <w:fldChar w:fldCharType="end"/>
          </w:r>
          <w:r>
            <w:rPr>
              <w:rFonts w:ascii="Times New Roman" w:hAnsi="Times New Roman" w:eastAsia="Times New Roman" w:cs="Times New Roman"/>
              <w:color w:val="auto"/>
              <w:szCs w:val="21"/>
              <w:highlight w:val="none"/>
            </w:rPr>
            <w:fldChar w:fldCharType="end"/>
          </w:r>
        </w:p>
        <w:p w14:paraId="57F8A74F">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_Toc27636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14.1  </w:t>
          </w:r>
          <w:r>
            <w:rPr>
              <w:rFonts w:ascii="宋体" w:hAnsi="宋体" w:eastAsia="宋体" w:cs="宋体"/>
              <w:bCs/>
              <w:spacing w:val="-2"/>
              <w:szCs w:val="24"/>
              <w:highlight w:val="none"/>
            </w:rPr>
            <w:t>材料、工程设备和工程的试验和检验</w:t>
          </w:r>
          <w:r>
            <w:tab/>
          </w:r>
          <w:r>
            <w:fldChar w:fldCharType="begin"/>
          </w:r>
          <w:r>
            <w:instrText xml:space="preserve"> PAGEREF _Toc27636 \h </w:instrText>
          </w:r>
          <w:r>
            <w:fldChar w:fldCharType="separate"/>
          </w:r>
          <w:r>
            <w:t>106</w:t>
          </w:r>
          <w:r>
            <w:fldChar w:fldCharType="end"/>
          </w:r>
          <w:r>
            <w:rPr>
              <w:rFonts w:ascii="Times New Roman" w:hAnsi="Times New Roman" w:eastAsia="Times New Roman" w:cs="Times New Roman"/>
              <w:color w:val="auto"/>
              <w:szCs w:val="21"/>
              <w:highlight w:val="none"/>
            </w:rPr>
            <w:fldChar w:fldCharType="end"/>
          </w:r>
        </w:p>
        <w:p w14:paraId="1C78E185">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_Toc13823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15</w:t>
          </w:r>
          <w:r>
            <w:rPr>
              <w:rFonts w:ascii="Times New Roman" w:hAnsi="Times New Roman" w:eastAsia="Times New Roman" w:cs="Times New Roman"/>
              <w:bCs/>
              <w:spacing w:val="5"/>
              <w:szCs w:val="28"/>
              <w:highlight w:val="none"/>
            </w:rPr>
            <w:t xml:space="preserve">  </w:t>
          </w:r>
          <w:r>
            <w:rPr>
              <w:rFonts w:ascii="宋体" w:hAnsi="宋体" w:eastAsia="宋体" w:cs="宋体"/>
              <w:bCs/>
              <w:spacing w:val="-7"/>
              <w:szCs w:val="28"/>
              <w:highlight w:val="none"/>
            </w:rPr>
            <w:t>变更</w:t>
          </w:r>
          <w:r>
            <w:tab/>
          </w:r>
          <w:r>
            <w:fldChar w:fldCharType="begin"/>
          </w:r>
          <w:r>
            <w:instrText xml:space="preserve"> PAGEREF _Toc13823 \h </w:instrText>
          </w:r>
          <w:r>
            <w:fldChar w:fldCharType="separate"/>
          </w:r>
          <w:r>
            <w:t>106</w:t>
          </w:r>
          <w:r>
            <w:fldChar w:fldCharType="end"/>
          </w:r>
          <w:r>
            <w:rPr>
              <w:rFonts w:ascii="Times New Roman" w:hAnsi="Times New Roman" w:eastAsia="Times New Roman" w:cs="Times New Roman"/>
              <w:color w:val="auto"/>
              <w:szCs w:val="21"/>
              <w:highlight w:val="none"/>
            </w:rPr>
            <w:fldChar w:fldCharType="end"/>
          </w:r>
        </w:p>
        <w:p w14:paraId="06DFD61A">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_Toc7783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15.1  </w:t>
          </w:r>
          <w:r>
            <w:rPr>
              <w:rFonts w:ascii="宋体" w:hAnsi="宋体" w:eastAsia="宋体" w:cs="宋体"/>
              <w:bCs/>
              <w:spacing w:val="-3"/>
              <w:szCs w:val="24"/>
              <w:highlight w:val="none"/>
            </w:rPr>
            <w:t>变更的范围和内容</w:t>
          </w:r>
          <w:r>
            <w:tab/>
          </w:r>
          <w:r>
            <w:fldChar w:fldCharType="begin"/>
          </w:r>
          <w:r>
            <w:instrText xml:space="preserve"> PAGEREF _Toc7783 \h </w:instrText>
          </w:r>
          <w:r>
            <w:fldChar w:fldCharType="separate"/>
          </w:r>
          <w:r>
            <w:t>106</w:t>
          </w:r>
          <w:r>
            <w:fldChar w:fldCharType="end"/>
          </w:r>
          <w:r>
            <w:rPr>
              <w:rFonts w:ascii="Times New Roman" w:hAnsi="Times New Roman" w:eastAsia="Times New Roman" w:cs="Times New Roman"/>
              <w:color w:val="auto"/>
              <w:szCs w:val="21"/>
              <w:highlight w:val="none"/>
            </w:rPr>
            <w:fldChar w:fldCharType="end"/>
          </w:r>
        </w:p>
        <w:p w14:paraId="6AE77D9C">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15.4  </w:t>
          </w:r>
          <w:r>
            <w:rPr>
              <w:rFonts w:ascii="宋体" w:hAnsi="宋体" w:eastAsia="宋体" w:cs="宋体"/>
              <w:bCs/>
              <w:spacing w:val="-3"/>
              <w:szCs w:val="24"/>
              <w:highlight w:val="none"/>
            </w:rPr>
            <w:t>变更的估价原则</w:t>
          </w:r>
          <w:r>
            <w:tab/>
          </w:r>
          <w:r>
            <w:fldChar w:fldCharType="begin"/>
          </w:r>
          <w:r>
            <w:instrText xml:space="preserve"> PAGEREF _Toc5 \h </w:instrText>
          </w:r>
          <w:r>
            <w:fldChar w:fldCharType="separate"/>
          </w:r>
          <w:r>
            <w:t>107</w:t>
          </w:r>
          <w:r>
            <w:fldChar w:fldCharType="end"/>
          </w:r>
          <w:r>
            <w:rPr>
              <w:rFonts w:ascii="Times New Roman" w:hAnsi="Times New Roman" w:eastAsia="Times New Roman" w:cs="Times New Roman"/>
              <w:color w:val="auto"/>
              <w:szCs w:val="21"/>
              <w:highlight w:val="none"/>
            </w:rPr>
            <w:fldChar w:fldCharType="end"/>
          </w:r>
        </w:p>
        <w:p w14:paraId="0387B23C">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_Toc32604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kern w:val="0"/>
              <w:szCs w:val="24"/>
              <w:lang w:val="en-US" w:eastAsia="zh-CN" w:bidi="ar-SA"/>
            </w:rPr>
            <w:t>（7）</w:t>
          </w:r>
          <w:r>
            <w:rPr>
              <w:rFonts w:hint="eastAsia" w:ascii="宋体" w:hAnsi="宋体" w:eastAsia="宋体" w:cs="宋体"/>
              <w:bCs w:val="0"/>
              <w:snapToGrid/>
              <w:kern w:val="0"/>
              <w:szCs w:val="24"/>
              <w:highlight w:val="none"/>
              <w:lang w:val="en-US" w:eastAsia="zh-CN"/>
            </w:rPr>
            <w:t>按照上述仍无法组价的，根据市场招标或询价确定。</w:t>
          </w:r>
          <w:r>
            <w:tab/>
          </w:r>
          <w:r>
            <w:fldChar w:fldCharType="begin"/>
          </w:r>
          <w:r>
            <w:instrText xml:space="preserve"> PAGEREF _Toc32604 \h </w:instrText>
          </w:r>
          <w:r>
            <w:fldChar w:fldCharType="separate"/>
          </w:r>
          <w:r>
            <w:t>107</w:t>
          </w:r>
          <w:r>
            <w:fldChar w:fldCharType="end"/>
          </w:r>
          <w:r>
            <w:rPr>
              <w:rFonts w:ascii="Times New Roman" w:hAnsi="Times New Roman" w:eastAsia="Times New Roman" w:cs="Times New Roman"/>
              <w:color w:val="auto"/>
              <w:szCs w:val="21"/>
              <w:highlight w:val="none"/>
            </w:rPr>
            <w:fldChar w:fldCharType="end"/>
          </w:r>
        </w:p>
        <w:p w14:paraId="792C70B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_Toc30391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15.5  </w:t>
          </w:r>
          <w:r>
            <w:rPr>
              <w:rFonts w:ascii="宋体" w:hAnsi="宋体" w:eastAsia="宋体" w:cs="宋体"/>
              <w:bCs/>
              <w:spacing w:val="-2"/>
              <w:szCs w:val="24"/>
              <w:highlight w:val="none"/>
            </w:rPr>
            <w:t>承包人的合理化建议</w:t>
          </w:r>
          <w:r>
            <w:tab/>
          </w:r>
          <w:r>
            <w:fldChar w:fldCharType="begin"/>
          </w:r>
          <w:r>
            <w:instrText xml:space="preserve"> PAGEREF _Toc30391 \h </w:instrText>
          </w:r>
          <w:r>
            <w:fldChar w:fldCharType="separate"/>
          </w:r>
          <w:r>
            <w:t>107</w:t>
          </w:r>
          <w:r>
            <w:fldChar w:fldCharType="end"/>
          </w:r>
          <w:r>
            <w:rPr>
              <w:rFonts w:ascii="Times New Roman" w:hAnsi="Times New Roman" w:eastAsia="Times New Roman" w:cs="Times New Roman"/>
              <w:color w:val="auto"/>
              <w:szCs w:val="21"/>
              <w:highlight w:val="none"/>
            </w:rPr>
            <w:fldChar w:fldCharType="end"/>
          </w:r>
        </w:p>
        <w:p w14:paraId="7FF44514">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_Toc19124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4"/>
              <w:highlight w:val="none"/>
            </w:rPr>
            <w:t>15.8</w:t>
          </w:r>
          <w:r>
            <w:rPr>
              <w:rFonts w:ascii="Times New Roman" w:hAnsi="Times New Roman" w:eastAsia="Times New Roman" w:cs="Times New Roman"/>
              <w:bCs/>
              <w:spacing w:val="9"/>
              <w:szCs w:val="24"/>
              <w:highlight w:val="none"/>
            </w:rPr>
            <w:t xml:space="preserve">  </w:t>
          </w:r>
          <w:r>
            <w:rPr>
              <w:rFonts w:ascii="宋体" w:hAnsi="宋体" w:eastAsia="宋体" w:cs="宋体"/>
              <w:bCs/>
              <w:spacing w:val="-6"/>
              <w:szCs w:val="24"/>
              <w:highlight w:val="none"/>
            </w:rPr>
            <w:t>暂估价</w:t>
          </w:r>
          <w:r>
            <w:tab/>
          </w:r>
          <w:r>
            <w:fldChar w:fldCharType="begin"/>
          </w:r>
          <w:r>
            <w:instrText xml:space="preserve"> PAGEREF _Toc19124 \h </w:instrText>
          </w:r>
          <w:r>
            <w:fldChar w:fldCharType="separate"/>
          </w:r>
          <w:r>
            <w:t>107</w:t>
          </w:r>
          <w:r>
            <w:fldChar w:fldCharType="end"/>
          </w:r>
          <w:r>
            <w:rPr>
              <w:rFonts w:ascii="Times New Roman" w:hAnsi="Times New Roman" w:eastAsia="Times New Roman" w:cs="Times New Roman"/>
              <w:color w:val="auto"/>
              <w:szCs w:val="21"/>
              <w:highlight w:val="none"/>
            </w:rPr>
            <w:fldChar w:fldCharType="end"/>
          </w:r>
        </w:p>
        <w:p w14:paraId="4FB1B60E">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_Toc4610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8"/>
              <w:highlight w:val="none"/>
            </w:rPr>
            <w:t xml:space="preserve">16  </w:t>
          </w:r>
          <w:r>
            <w:rPr>
              <w:rFonts w:ascii="宋体" w:hAnsi="宋体" w:eastAsia="宋体" w:cs="宋体"/>
              <w:bCs/>
              <w:spacing w:val="-4"/>
              <w:szCs w:val="28"/>
              <w:highlight w:val="none"/>
            </w:rPr>
            <w:t>价格调整</w:t>
          </w:r>
          <w:r>
            <w:tab/>
          </w:r>
          <w:r>
            <w:fldChar w:fldCharType="begin"/>
          </w:r>
          <w:r>
            <w:instrText xml:space="preserve"> PAGEREF _Toc4610 \h </w:instrText>
          </w:r>
          <w:r>
            <w:fldChar w:fldCharType="separate"/>
          </w:r>
          <w:r>
            <w:t>107</w:t>
          </w:r>
          <w:r>
            <w:fldChar w:fldCharType="end"/>
          </w:r>
          <w:r>
            <w:rPr>
              <w:rFonts w:ascii="Times New Roman" w:hAnsi="Times New Roman" w:eastAsia="Times New Roman" w:cs="Times New Roman"/>
              <w:color w:val="auto"/>
              <w:szCs w:val="21"/>
              <w:highlight w:val="none"/>
            </w:rPr>
            <w:fldChar w:fldCharType="end"/>
          </w:r>
        </w:p>
        <w:p w14:paraId="14B1897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_Toc24052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16.1  </w:t>
          </w:r>
          <w:r>
            <w:rPr>
              <w:rFonts w:ascii="宋体" w:hAnsi="宋体" w:eastAsia="宋体" w:cs="宋体"/>
              <w:bCs/>
              <w:spacing w:val="-2"/>
              <w:szCs w:val="24"/>
              <w:highlight w:val="none"/>
            </w:rPr>
            <w:t>物价波动引起的价格调整</w:t>
          </w:r>
          <w:r>
            <w:tab/>
          </w:r>
          <w:r>
            <w:fldChar w:fldCharType="begin"/>
          </w:r>
          <w:r>
            <w:instrText xml:space="preserve"> PAGEREF _Toc24052 \h </w:instrText>
          </w:r>
          <w:r>
            <w:fldChar w:fldCharType="separate"/>
          </w:r>
          <w:r>
            <w:t>107</w:t>
          </w:r>
          <w:r>
            <w:fldChar w:fldCharType="end"/>
          </w:r>
          <w:r>
            <w:rPr>
              <w:rFonts w:ascii="Times New Roman" w:hAnsi="Times New Roman" w:eastAsia="Times New Roman" w:cs="Times New Roman"/>
              <w:color w:val="auto"/>
              <w:szCs w:val="21"/>
              <w:highlight w:val="none"/>
            </w:rPr>
            <w:fldChar w:fldCharType="end"/>
          </w:r>
        </w:p>
        <w:p w14:paraId="1461CC9A">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_Toc4478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17  </w:t>
          </w:r>
          <w:r>
            <w:rPr>
              <w:rFonts w:ascii="宋体" w:hAnsi="宋体" w:eastAsia="宋体" w:cs="宋体"/>
              <w:bCs/>
              <w:spacing w:val="-3"/>
              <w:szCs w:val="28"/>
              <w:highlight w:val="none"/>
            </w:rPr>
            <w:t>计量与支付</w:t>
          </w:r>
          <w:r>
            <w:tab/>
          </w:r>
          <w:r>
            <w:fldChar w:fldCharType="begin"/>
          </w:r>
          <w:r>
            <w:instrText xml:space="preserve"> PAGEREF _Toc4478 \h </w:instrText>
          </w:r>
          <w:r>
            <w:fldChar w:fldCharType="separate"/>
          </w:r>
          <w:r>
            <w:t>108</w:t>
          </w:r>
          <w:r>
            <w:fldChar w:fldCharType="end"/>
          </w:r>
          <w:r>
            <w:rPr>
              <w:rFonts w:ascii="Times New Roman" w:hAnsi="Times New Roman" w:eastAsia="Times New Roman" w:cs="Times New Roman"/>
              <w:color w:val="auto"/>
              <w:szCs w:val="21"/>
              <w:highlight w:val="none"/>
            </w:rPr>
            <w:fldChar w:fldCharType="end"/>
          </w:r>
        </w:p>
        <w:p w14:paraId="709054D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_Toc31216 </w:instrText>
          </w:r>
          <w:r>
            <w:rPr>
              <w:rFonts w:ascii="Times New Roman" w:hAnsi="Times New Roman" w:eastAsia="Times New Roman" w:cs="Times New Roman"/>
              <w:szCs w:val="21"/>
              <w:highlight w:val="none"/>
            </w:rPr>
            <w:fldChar w:fldCharType="separate"/>
          </w:r>
          <w:r>
            <w:rPr>
              <w:rFonts w:ascii="宋体" w:hAnsi="宋体" w:eastAsia="宋体" w:cs="宋体"/>
              <w:bCs/>
              <w:spacing w:val="-2"/>
              <w:szCs w:val="24"/>
              <w:highlight w:val="none"/>
            </w:rPr>
            <w:t>17.2  预付款</w:t>
          </w:r>
          <w:r>
            <w:tab/>
          </w:r>
          <w:r>
            <w:fldChar w:fldCharType="begin"/>
          </w:r>
          <w:r>
            <w:instrText xml:space="preserve"> PAGEREF _Toc31216 \h </w:instrText>
          </w:r>
          <w:r>
            <w:fldChar w:fldCharType="separate"/>
          </w:r>
          <w:r>
            <w:t>108</w:t>
          </w:r>
          <w:r>
            <w:fldChar w:fldCharType="end"/>
          </w:r>
          <w:r>
            <w:rPr>
              <w:rFonts w:ascii="Times New Roman" w:hAnsi="Times New Roman" w:eastAsia="Times New Roman" w:cs="Times New Roman"/>
              <w:color w:val="auto"/>
              <w:szCs w:val="21"/>
              <w:highlight w:val="none"/>
            </w:rPr>
            <w:fldChar w:fldCharType="end"/>
          </w:r>
        </w:p>
        <w:p w14:paraId="45C3663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_Toc7134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17.3  </w:t>
          </w:r>
          <w:r>
            <w:rPr>
              <w:rFonts w:ascii="宋体" w:hAnsi="宋体" w:eastAsia="宋体" w:cs="宋体"/>
              <w:bCs/>
              <w:spacing w:val="-2"/>
              <w:szCs w:val="24"/>
              <w:highlight w:val="none"/>
            </w:rPr>
            <w:t>工程进度付款</w:t>
          </w:r>
          <w:r>
            <w:tab/>
          </w:r>
          <w:r>
            <w:fldChar w:fldCharType="begin"/>
          </w:r>
          <w:r>
            <w:instrText xml:space="preserve"> PAGEREF _Toc7134 \h </w:instrText>
          </w:r>
          <w:r>
            <w:fldChar w:fldCharType="separate"/>
          </w:r>
          <w:r>
            <w:t>109</w:t>
          </w:r>
          <w:r>
            <w:fldChar w:fldCharType="end"/>
          </w:r>
          <w:r>
            <w:rPr>
              <w:rFonts w:ascii="Times New Roman" w:hAnsi="Times New Roman" w:eastAsia="Times New Roman" w:cs="Times New Roman"/>
              <w:color w:val="auto"/>
              <w:szCs w:val="21"/>
              <w:highlight w:val="none"/>
            </w:rPr>
            <w:fldChar w:fldCharType="end"/>
          </w:r>
        </w:p>
        <w:p w14:paraId="2ADCAB1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_Toc14069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17.4  </w:t>
          </w:r>
          <w:r>
            <w:rPr>
              <w:rFonts w:ascii="宋体" w:hAnsi="宋体" w:eastAsia="宋体" w:cs="宋体"/>
              <w:bCs/>
              <w:spacing w:val="-3"/>
              <w:szCs w:val="24"/>
              <w:highlight w:val="none"/>
            </w:rPr>
            <w:t>质量保证金</w:t>
          </w:r>
          <w:r>
            <w:tab/>
          </w:r>
          <w:r>
            <w:fldChar w:fldCharType="begin"/>
          </w:r>
          <w:r>
            <w:instrText xml:space="preserve"> PAGEREF _Toc14069 \h </w:instrText>
          </w:r>
          <w:r>
            <w:fldChar w:fldCharType="separate"/>
          </w:r>
          <w:r>
            <w:t>109</w:t>
          </w:r>
          <w:r>
            <w:fldChar w:fldCharType="end"/>
          </w:r>
          <w:r>
            <w:rPr>
              <w:rFonts w:ascii="Times New Roman" w:hAnsi="Times New Roman" w:eastAsia="Times New Roman" w:cs="Times New Roman"/>
              <w:color w:val="auto"/>
              <w:szCs w:val="21"/>
              <w:highlight w:val="none"/>
            </w:rPr>
            <w:fldChar w:fldCharType="end"/>
          </w:r>
        </w:p>
        <w:p w14:paraId="2E41C41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_Toc27387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17.5  </w:t>
          </w:r>
          <w:r>
            <w:rPr>
              <w:rFonts w:ascii="宋体" w:hAnsi="宋体" w:eastAsia="宋体" w:cs="宋体"/>
              <w:bCs/>
              <w:spacing w:val="-3"/>
              <w:szCs w:val="24"/>
              <w:highlight w:val="none"/>
            </w:rPr>
            <w:t>完工结算</w:t>
          </w:r>
          <w:r>
            <w:tab/>
          </w:r>
          <w:r>
            <w:fldChar w:fldCharType="begin"/>
          </w:r>
          <w:r>
            <w:instrText xml:space="preserve"> PAGEREF _Toc27387 \h </w:instrText>
          </w:r>
          <w:r>
            <w:fldChar w:fldCharType="separate"/>
          </w:r>
          <w:r>
            <w:t>109</w:t>
          </w:r>
          <w:r>
            <w:fldChar w:fldCharType="end"/>
          </w:r>
          <w:r>
            <w:rPr>
              <w:rFonts w:ascii="Times New Roman" w:hAnsi="Times New Roman" w:eastAsia="Times New Roman" w:cs="Times New Roman"/>
              <w:color w:val="auto"/>
              <w:szCs w:val="21"/>
              <w:highlight w:val="none"/>
            </w:rPr>
            <w:fldChar w:fldCharType="end"/>
          </w:r>
        </w:p>
        <w:p w14:paraId="6C1AA00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_Toc26420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17.6</w:t>
          </w:r>
          <w:r>
            <w:rPr>
              <w:rFonts w:ascii="Times New Roman" w:hAnsi="Times New Roman" w:eastAsia="Times New Roman" w:cs="Times New Roman"/>
              <w:bCs/>
              <w:spacing w:val="8"/>
              <w:szCs w:val="24"/>
              <w:highlight w:val="none"/>
            </w:rPr>
            <w:t xml:space="preserve">  </w:t>
          </w:r>
          <w:r>
            <w:rPr>
              <w:rFonts w:ascii="宋体" w:hAnsi="宋体" w:eastAsia="宋体" w:cs="宋体"/>
              <w:bCs/>
              <w:spacing w:val="-5"/>
              <w:szCs w:val="24"/>
              <w:highlight w:val="none"/>
            </w:rPr>
            <w:t>最终结清</w:t>
          </w:r>
          <w:r>
            <w:tab/>
          </w:r>
          <w:r>
            <w:fldChar w:fldCharType="begin"/>
          </w:r>
          <w:r>
            <w:instrText xml:space="preserve"> PAGEREF _Toc26420 \h </w:instrText>
          </w:r>
          <w:r>
            <w:fldChar w:fldCharType="separate"/>
          </w:r>
          <w:r>
            <w:t>109</w:t>
          </w:r>
          <w:r>
            <w:fldChar w:fldCharType="end"/>
          </w:r>
          <w:r>
            <w:rPr>
              <w:rFonts w:ascii="Times New Roman" w:hAnsi="Times New Roman" w:eastAsia="Times New Roman" w:cs="Times New Roman"/>
              <w:color w:val="auto"/>
              <w:szCs w:val="21"/>
              <w:highlight w:val="none"/>
            </w:rPr>
            <w:fldChar w:fldCharType="end"/>
          </w:r>
        </w:p>
        <w:p w14:paraId="40EF6117">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_Toc28952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17.7  </w:t>
          </w:r>
          <w:r>
            <w:rPr>
              <w:rFonts w:ascii="宋体" w:hAnsi="宋体" w:eastAsia="宋体" w:cs="宋体"/>
              <w:bCs/>
              <w:spacing w:val="-2"/>
              <w:szCs w:val="24"/>
              <w:highlight w:val="none"/>
            </w:rPr>
            <w:t>竣工财务决算</w:t>
          </w:r>
          <w:r>
            <w:tab/>
          </w:r>
          <w:r>
            <w:fldChar w:fldCharType="begin"/>
          </w:r>
          <w:r>
            <w:instrText xml:space="preserve"> PAGEREF _Toc28952 \h </w:instrText>
          </w:r>
          <w:r>
            <w:fldChar w:fldCharType="separate"/>
          </w:r>
          <w:r>
            <w:t>109</w:t>
          </w:r>
          <w:r>
            <w:fldChar w:fldCharType="end"/>
          </w:r>
          <w:r>
            <w:rPr>
              <w:rFonts w:ascii="Times New Roman" w:hAnsi="Times New Roman" w:eastAsia="Times New Roman" w:cs="Times New Roman"/>
              <w:color w:val="auto"/>
              <w:szCs w:val="21"/>
              <w:highlight w:val="none"/>
            </w:rPr>
            <w:fldChar w:fldCharType="end"/>
          </w:r>
        </w:p>
        <w:p w14:paraId="14501E24">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_Toc16754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18</w:t>
          </w:r>
          <w:r>
            <w:rPr>
              <w:rFonts w:ascii="Times New Roman" w:hAnsi="Times New Roman" w:eastAsia="Times New Roman" w:cs="Times New Roman"/>
              <w:bCs/>
              <w:spacing w:val="8"/>
              <w:szCs w:val="28"/>
              <w:highlight w:val="none"/>
            </w:rPr>
            <w:t xml:space="preserve">  </w:t>
          </w:r>
          <w:r>
            <w:rPr>
              <w:rFonts w:ascii="宋体" w:hAnsi="宋体" w:eastAsia="宋体" w:cs="宋体"/>
              <w:bCs/>
              <w:spacing w:val="-7"/>
              <w:szCs w:val="28"/>
              <w:highlight w:val="none"/>
            </w:rPr>
            <w:t>工程验收</w:t>
          </w:r>
          <w:r>
            <w:tab/>
          </w:r>
          <w:r>
            <w:fldChar w:fldCharType="begin"/>
          </w:r>
          <w:r>
            <w:instrText xml:space="preserve"> PAGEREF _Toc16754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6E7B058B">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_Toc2376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18.1  </w:t>
          </w:r>
          <w:r>
            <w:rPr>
              <w:rFonts w:ascii="宋体" w:hAnsi="宋体" w:eastAsia="宋体" w:cs="宋体"/>
              <w:bCs/>
              <w:spacing w:val="-2"/>
              <w:szCs w:val="24"/>
              <w:highlight w:val="none"/>
            </w:rPr>
            <w:t>验收工作分类</w:t>
          </w:r>
          <w:r>
            <w:tab/>
          </w:r>
          <w:r>
            <w:fldChar w:fldCharType="begin"/>
          </w:r>
          <w:r>
            <w:instrText xml:space="preserve"> PAGEREF _Toc2376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527CBBB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_Toc15945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18.2  </w:t>
          </w:r>
          <w:r>
            <w:rPr>
              <w:rFonts w:ascii="宋体" w:hAnsi="宋体" w:eastAsia="宋体" w:cs="宋体"/>
              <w:bCs/>
              <w:spacing w:val="-2"/>
              <w:szCs w:val="24"/>
              <w:highlight w:val="none"/>
            </w:rPr>
            <w:t>分部工程验收</w:t>
          </w:r>
          <w:r>
            <w:tab/>
          </w:r>
          <w:r>
            <w:fldChar w:fldCharType="begin"/>
          </w:r>
          <w:r>
            <w:instrText xml:space="preserve"> PAGEREF _Toc15945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3B60360C">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_Toc5162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18.3  </w:t>
          </w:r>
          <w:r>
            <w:rPr>
              <w:rFonts w:ascii="宋体" w:hAnsi="宋体" w:eastAsia="宋体" w:cs="宋体"/>
              <w:bCs/>
              <w:spacing w:val="-2"/>
              <w:szCs w:val="24"/>
              <w:highlight w:val="none"/>
            </w:rPr>
            <w:t>单位工程验收</w:t>
          </w:r>
          <w:r>
            <w:tab/>
          </w:r>
          <w:r>
            <w:fldChar w:fldCharType="begin"/>
          </w:r>
          <w:r>
            <w:instrText xml:space="preserve"> PAGEREF _Toc5162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4056D53E">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_Toc9354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6"/>
              <w:szCs w:val="24"/>
              <w:highlight w:val="none"/>
            </w:rPr>
            <w:t>18.5</w:t>
          </w:r>
          <w:r>
            <w:rPr>
              <w:rFonts w:ascii="Times New Roman" w:hAnsi="Times New Roman" w:eastAsia="Times New Roman" w:cs="Times New Roman"/>
              <w:bCs/>
              <w:spacing w:val="12"/>
              <w:szCs w:val="24"/>
              <w:highlight w:val="none"/>
            </w:rPr>
            <w:t xml:space="preserve">  </w:t>
          </w:r>
          <w:r>
            <w:rPr>
              <w:rFonts w:ascii="宋体" w:hAnsi="宋体" w:eastAsia="宋体" w:cs="宋体"/>
              <w:bCs/>
              <w:spacing w:val="-6"/>
              <w:szCs w:val="24"/>
              <w:highlight w:val="none"/>
            </w:rPr>
            <w:t>阶段验收</w:t>
          </w:r>
          <w:r>
            <w:tab/>
          </w:r>
          <w:r>
            <w:fldChar w:fldCharType="begin"/>
          </w:r>
          <w:r>
            <w:instrText xml:space="preserve"> PAGEREF _Toc9354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595681D2">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_Toc11089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18.6  </w:t>
          </w:r>
          <w:r>
            <w:rPr>
              <w:rFonts w:ascii="宋体" w:hAnsi="宋体" w:eastAsia="宋体" w:cs="宋体"/>
              <w:bCs/>
              <w:spacing w:val="-3"/>
              <w:szCs w:val="24"/>
              <w:highlight w:val="none"/>
            </w:rPr>
            <w:t>专项验收</w:t>
          </w:r>
          <w:r>
            <w:tab/>
          </w:r>
          <w:r>
            <w:fldChar w:fldCharType="begin"/>
          </w:r>
          <w:r>
            <w:instrText xml:space="preserve"> PAGEREF _Toc11089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160889AB">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_Toc25974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18.7  </w:t>
          </w:r>
          <w:r>
            <w:rPr>
              <w:rFonts w:ascii="宋体" w:hAnsi="宋体" w:eastAsia="宋体" w:cs="宋体"/>
              <w:bCs/>
              <w:spacing w:val="-3"/>
              <w:szCs w:val="24"/>
              <w:highlight w:val="none"/>
            </w:rPr>
            <w:t>竣工验收</w:t>
          </w:r>
          <w:r>
            <w:tab/>
          </w:r>
          <w:r>
            <w:fldChar w:fldCharType="begin"/>
          </w:r>
          <w:r>
            <w:instrText xml:space="preserve"> PAGEREF _Toc25974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532846EB">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_Toc10510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4"/>
              <w:highlight w:val="none"/>
            </w:rPr>
            <w:t xml:space="preserve">18.8  </w:t>
          </w:r>
          <w:r>
            <w:rPr>
              <w:rFonts w:ascii="宋体" w:hAnsi="宋体" w:eastAsia="宋体" w:cs="宋体"/>
              <w:bCs/>
              <w:spacing w:val="-3"/>
              <w:szCs w:val="24"/>
              <w:highlight w:val="none"/>
            </w:rPr>
            <w:t>施工期运行</w:t>
          </w:r>
          <w:r>
            <w:tab/>
          </w:r>
          <w:r>
            <w:fldChar w:fldCharType="begin"/>
          </w:r>
          <w:r>
            <w:instrText xml:space="preserve"> PAGEREF _Toc10510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72C827AD">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_Toc12258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5"/>
              <w:szCs w:val="24"/>
              <w:highlight w:val="none"/>
            </w:rPr>
            <w:t>18.9</w:t>
          </w:r>
          <w:r>
            <w:rPr>
              <w:rFonts w:ascii="Times New Roman" w:hAnsi="Times New Roman" w:eastAsia="Times New Roman" w:cs="Times New Roman"/>
              <w:bCs/>
              <w:spacing w:val="6"/>
              <w:szCs w:val="24"/>
              <w:highlight w:val="none"/>
            </w:rPr>
            <w:t xml:space="preserve">  </w:t>
          </w:r>
          <w:r>
            <w:rPr>
              <w:rFonts w:ascii="宋体" w:hAnsi="宋体" w:eastAsia="宋体" w:cs="宋体"/>
              <w:bCs/>
              <w:spacing w:val="-5"/>
              <w:szCs w:val="24"/>
              <w:highlight w:val="none"/>
            </w:rPr>
            <w:t>试运行</w:t>
          </w:r>
          <w:r>
            <w:tab/>
          </w:r>
          <w:r>
            <w:fldChar w:fldCharType="begin"/>
          </w:r>
          <w:r>
            <w:instrText xml:space="preserve"> PAGEREF _Toc12258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06DF8BE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_Toc28541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3"/>
              <w:szCs w:val="28"/>
              <w:highlight w:val="none"/>
            </w:rPr>
            <w:t xml:space="preserve">19  </w:t>
          </w:r>
          <w:r>
            <w:rPr>
              <w:rFonts w:ascii="宋体" w:hAnsi="宋体" w:eastAsia="宋体" w:cs="宋体"/>
              <w:bCs/>
              <w:spacing w:val="-3"/>
              <w:szCs w:val="28"/>
              <w:highlight w:val="none"/>
            </w:rPr>
            <w:t>缺陷责任与保修责任</w:t>
          </w:r>
          <w:r>
            <w:tab/>
          </w:r>
          <w:r>
            <w:fldChar w:fldCharType="begin"/>
          </w:r>
          <w:r>
            <w:instrText xml:space="preserve"> PAGEREF _Toc28541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4786496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_Toc6549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19.1  </w:t>
          </w:r>
          <w:r>
            <w:rPr>
              <w:rFonts w:ascii="宋体" w:hAnsi="宋体" w:eastAsia="宋体" w:cs="宋体"/>
              <w:bCs/>
              <w:spacing w:val="-2"/>
              <w:szCs w:val="24"/>
              <w:highlight w:val="none"/>
            </w:rPr>
            <w:t>缺陷责任期（工程质量保修期）的起算时间</w:t>
          </w:r>
          <w:r>
            <w:tab/>
          </w:r>
          <w:r>
            <w:fldChar w:fldCharType="begin"/>
          </w:r>
          <w:r>
            <w:instrText xml:space="preserve"> PAGEREF _Toc6549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755EAD4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_Toc28929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8"/>
              <w:highlight w:val="none"/>
            </w:rPr>
            <w:t>20</w:t>
          </w:r>
          <w:r>
            <w:rPr>
              <w:rFonts w:ascii="Times New Roman" w:hAnsi="Times New Roman" w:eastAsia="Times New Roman" w:cs="Times New Roman"/>
              <w:bCs/>
              <w:spacing w:val="5"/>
              <w:szCs w:val="28"/>
              <w:highlight w:val="none"/>
            </w:rPr>
            <w:t xml:space="preserve">  </w:t>
          </w:r>
          <w:r>
            <w:rPr>
              <w:rFonts w:ascii="宋体" w:hAnsi="宋体" w:eastAsia="宋体" w:cs="宋体"/>
              <w:bCs/>
              <w:spacing w:val="-4"/>
              <w:szCs w:val="28"/>
              <w:highlight w:val="none"/>
            </w:rPr>
            <w:t>保险</w:t>
          </w:r>
          <w:r>
            <w:tab/>
          </w:r>
          <w:r>
            <w:fldChar w:fldCharType="begin"/>
          </w:r>
          <w:r>
            <w:instrText xml:space="preserve"> PAGEREF _Toc28929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320298AC">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_Toc30803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20.1  </w:t>
          </w:r>
          <w:r>
            <w:rPr>
              <w:rFonts w:ascii="宋体" w:hAnsi="宋体" w:eastAsia="宋体" w:cs="宋体"/>
              <w:bCs/>
              <w:spacing w:val="-2"/>
              <w:szCs w:val="24"/>
              <w:highlight w:val="none"/>
            </w:rPr>
            <w:t>建筑安装工程保险</w:t>
          </w:r>
          <w:r>
            <w:tab/>
          </w:r>
          <w:r>
            <w:fldChar w:fldCharType="begin"/>
          </w:r>
          <w:r>
            <w:instrText xml:space="preserve"> PAGEREF _Toc30803 \h </w:instrText>
          </w:r>
          <w:r>
            <w:fldChar w:fldCharType="separate"/>
          </w:r>
          <w:r>
            <w:t>110</w:t>
          </w:r>
          <w:r>
            <w:fldChar w:fldCharType="end"/>
          </w:r>
          <w:r>
            <w:rPr>
              <w:rFonts w:ascii="Times New Roman" w:hAnsi="Times New Roman" w:eastAsia="Times New Roman" w:cs="Times New Roman"/>
              <w:color w:val="auto"/>
              <w:szCs w:val="21"/>
              <w:highlight w:val="none"/>
            </w:rPr>
            <w:fldChar w:fldCharType="end"/>
          </w:r>
        </w:p>
        <w:p w14:paraId="2A9172F3">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_Toc19857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20.4  </w:t>
          </w:r>
          <w:r>
            <w:rPr>
              <w:rFonts w:ascii="宋体" w:hAnsi="宋体" w:eastAsia="宋体" w:cs="宋体"/>
              <w:bCs/>
              <w:spacing w:val="-2"/>
              <w:szCs w:val="24"/>
              <w:highlight w:val="none"/>
            </w:rPr>
            <w:t>安全生产责任保险</w:t>
          </w:r>
          <w:r>
            <w:tab/>
          </w:r>
          <w:r>
            <w:fldChar w:fldCharType="begin"/>
          </w:r>
          <w:r>
            <w:instrText xml:space="preserve"> PAGEREF _Toc19857 \h </w:instrText>
          </w:r>
          <w:r>
            <w:fldChar w:fldCharType="separate"/>
          </w:r>
          <w:r>
            <w:t>111</w:t>
          </w:r>
          <w:r>
            <w:fldChar w:fldCharType="end"/>
          </w:r>
          <w:r>
            <w:rPr>
              <w:rFonts w:ascii="Times New Roman" w:hAnsi="Times New Roman" w:eastAsia="Times New Roman" w:cs="Times New Roman"/>
              <w:color w:val="auto"/>
              <w:szCs w:val="21"/>
              <w:highlight w:val="none"/>
            </w:rPr>
            <w:fldChar w:fldCharType="end"/>
          </w:r>
        </w:p>
        <w:p w14:paraId="48B84D7E">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_Toc4204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20.5  </w:t>
          </w:r>
          <w:r>
            <w:rPr>
              <w:rFonts w:ascii="宋体" w:hAnsi="宋体" w:eastAsia="宋体" w:cs="宋体"/>
              <w:bCs/>
              <w:spacing w:val="-2"/>
              <w:szCs w:val="24"/>
              <w:highlight w:val="none"/>
            </w:rPr>
            <w:t>其他保险</w:t>
          </w:r>
          <w:r>
            <w:tab/>
          </w:r>
          <w:r>
            <w:fldChar w:fldCharType="begin"/>
          </w:r>
          <w:r>
            <w:instrText xml:space="preserve"> PAGEREF _Toc4204 \h </w:instrText>
          </w:r>
          <w:r>
            <w:fldChar w:fldCharType="separate"/>
          </w:r>
          <w:r>
            <w:t>111</w:t>
          </w:r>
          <w:r>
            <w:fldChar w:fldCharType="end"/>
          </w:r>
          <w:r>
            <w:rPr>
              <w:rFonts w:ascii="Times New Roman" w:hAnsi="Times New Roman" w:eastAsia="Times New Roman" w:cs="Times New Roman"/>
              <w:color w:val="auto"/>
              <w:szCs w:val="21"/>
              <w:highlight w:val="none"/>
            </w:rPr>
            <w:fldChar w:fldCharType="end"/>
          </w:r>
        </w:p>
        <w:p w14:paraId="6B040CAF">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_Toc13191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20.6  </w:t>
          </w:r>
          <w:r>
            <w:rPr>
              <w:rFonts w:ascii="宋体" w:hAnsi="宋体" w:eastAsia="宋体" w:cs="宋体"/>
              <w:bCs/>
              <w:spacing w:val="-2"/>
              <w:szCs w:val="24"/>
              <w:highlight w:val="none"/>
            </w:rPr>
            <w:t>对各项保险的一般要求</w:t>
          </w:r>
          <w:r>
            <w:tab/>
          </w:r>
          <w:r>
            <w:fldChar w:fldCharType="begin"/>
          </w:r>
          <w:r>
            <w:instrText xml:space="preserve"> PAGEREF _Toc13191 \h </w:instrText>
          </w:r>
          <w:r>
            <w:fldChar w:fldCharType="separate"/>
          </w:r>
          <w:r>
            <w:t>111</w:t>
          </w:r>
          <w:r>
            <w:fldChar w:fldCharType="end"/>
          </w:r>
          <w:r>
            <w:rPr>
              <w:rFonts w:ascii="Times New Roman" w:hAnsi="Times New Roman" w:eastAsia="Times New Roman" w:cs="Times New Roman"/>
              <w:color w:val="auto"/>
              <w:szCs w:val="21"/>
              <w:highlight w:val="none"/>
            </w:rPr>
            <w:fldChar w:fldCharType="end"/>
          </w:r>
        </w:p>
        <w:p w14:paraId="24B9C8C6">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_Toc11487 </w:instrText>
          </w:r>
          <w:r>
            <w:rPr>
              <w:rFonts w:ascii="Times New Roman" w:hAnsi="Times New Roman" w:eastAsia="Times New Roman" w:cs="Times New Roman"/>
              <w:szCs w:val="21"/>
              <w:highlight w:val="none"/>
            </w:rPr>
            <w:fldChar w:fldCharType="separate"/>
          </w:r>
          <w:r>
            <w:rPr>
              <w:rFonts w:hint="eastAsia" w:ascii="宋体" w:hAnsi="宋体" w:eastAsia="宋体" w:cs="宋体"/>
              <w:bCs/>
              <w:spacing w:val="-2"/>
              <w:szCs w:val="24"/>
              <w:highlight w:val="none"/>
              <w:lang w:eastAsia="zh-CN"/>
            </w:rPr>
            <w:t>22.1承包人违约</w:t>
          </w:r>
          <w:r>
            <w:tab/>
          </w:r>
          <w:r>
            <w:fldChar w:fldCharType="begin"/>
          </w:r>
          <w:r>
            <w:instrText xml:space="preserve"> PAGEREF _Toc11487 \h </w:instrText>
          </w:r>
          <w:r>
            <w:fldChar w:fldCharType="separate"/>
          </w:r>
          <w:r>
            <w:t>111</w:t>
          </w:r>
          <w:r>
            <w:fldChar w:fldCharType="end"/>
          </w:r>
          <w:r>
            <w:rPr>
              <w:rFonts w:ascii="Times New Roman" w:hAnsi="Times New Roman" w:eastAsia="Times New Roman" w:cs="Times New Roman"/>
              <w:color w:val="auto"/>
              <w:szCs w:val="21"/>
              <w:highlight w:val="none"/>
            </w:rPr>
            <w:fldChar w:fldCharType="end"/>
          </w:r>
        </w:p>
        <w:p w14:paraId="2A9C19D5">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_Toc26577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8"/>
              <w:highlight w:val="none"/>
            </w:rPr>
            <w:t xml:space="preserve">24  </w:t>
          </w:r>
          <w:r>
            <w:rPr>
              <w:rFonts w:ascii="宋体" w:hAnsi="宋体" w:eastAsia="宋体" w:cs="宋体"/>
              <w:bCs/>
              <w:spacing w:val="-2"/>
              <w:szCs w:val="28"/>
              <w:highlight w:val="none"/>
            </w:rPr>
            <w:t>争议的解决</w:t>
          </w:r>
          <w:r>
            <w:tab/>
          </w:r>
          <w:r>
            <w:fldChar w:fldCharType="begin"/>
          </w:r>
          <w:r>
            <w:instrText xml:space="preserve"> PAGEREF _Toc26577 \h </w:instrText>
          </w:r>
          <w:r>
            <w:fldChar w:fldCharType="separate"/>
          </w:r>
          <w:r>
            <w:t>112</w:t>
          </w:r>
          <w:r>
            <w:fldChar w:fldCharType="end"/>
          </w:r>
          <w:r>
            <w:rPr>
              <w:rFonts w:ascii="Times New Roman" w:hAnsi="Times New Roman" w:eastAsia="Times New Roman" w:cs="Times New Roman"/>
              <w:color w:val="auto"/>
              <w:szCs w:val="21"/>
              <w:highlight w:val="none"/>
            </w:rPr>
            <w:fldChar w:fldCharType="end"/>
          </w:r>
        </w:p>
        <w:p w14:paraId="14B183B5">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_Toc5435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24.1  </w:t>
          </w:r>
          <w:r>
            <w:rPr>
              <w:rFonts w:ascii="宋体" w:hAnsi="宋体" w:eastAsia="宋体" w:cs="宋体"/>
              <w:bCs/>
              <w:spacing w:val="-2"/>
              <w:szCs w:val="24"/>
              <w:highlight w:val="none"/>
            </w:rPr>
            <w:t>争议的解决方式</w:t>
          </w:r>
          <w:r>
            <w:tab/>
          </w:r>
          <w:r>
            <w:fldChar w:fldCharType="begin"/>
          </w:r>
          <w:r>
            <w:instrText xml:space="preserve"> PAGEREF _Toc5435 \h </w:instrText>
          </w:r>
          <w:r>
            <w:fldChar w:fldCharType="separate"/>
          </w:r>
          <w:r>
            <w:t>112</w:t>
          </w:r>
          <w:r>
            <w:fldChar w:fldCharType="end"/>
          </w:r>
          <w:r>
            <w:rPr>
              <w:rFonts w:ascii="Times New Roman" w:hAnsi="Times New Roman" w:eastAsia="Times New Roman" w:cs="Times New Roman"/>
              <w:color w:val="auto"/>
              <w:szCs w:val="21"/>
              <w:highlight w:val="none"/>
            </w:rPr>
            <w:fldChar w:fldCharType="end"/>
          </w:r>
        </w:p>
        <w:p w14:paraId="6BB05921">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_Toc14511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2"/>
              <w:szCs w:val="24"/>
              <w:highlight w:val="none"/>
            </w:rPr>
            <w:t xml:space="preserve">24.2  </w:t>
          </w:r>
          <w:r>
            <w:rPr>
              <w:rFonts w:ascii="宋体" w:hAnsi="宋体" w:eastAsia="宋体" w:cs="宋体"/>
              <w:bCs/>
              <w:spacing w:val="-2"/>
              <w:szCs w:val="24"/>
              <w:highlight w:val="none"/>
            </w:rPr>
            <w:t>友好解决</w:t>
          </w:r>
          <w:r>
            <w:tab/>
          </w:r>
          <w:r>
            <w:fldChar w:fldCharType="begin"/>
          </w:r>
          <w:r>
            <w:instrText xml:space="preserve"> PAGEREF _Toc14511 \h </w:instrText>
          </w:r>
          <w:r>
            <w:fldChar w:fldCharType="separate"/>
          </w:r>
          <w:r>
            <w:t>112</w:t>
          </w:r>
          <w:r>
            <w:fldChar w:fldCharType="end"/>
          </w:r>
          <w:r>
            <w:rPr>
              <w:rFonts w:ascii="Times New Roman" w:hAnsi="Times New Roman" w:eastAsia="Times New Roman" w:cs="Times New Roman"/>
              <w:color w:val="auto"/>
              <w:szCs w:val="21"/>
              <w:highlight w:val="none"/>
            </w:rPr>
            <w:fldChar w:fldCharType="end"/>
          </w:r>
        </w:p>
        <w:p w14:paraId="372AD42E">
          <w:pPr>
            <w:pStyle w:val="6"/>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_Toc14314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4"/>
              <w:szCs w:val="24"/>
              <w:highlight w:val="none"/>
            </w:rPr>
            <w:t>24.3</w:t>
          </w:r>
          <w:r>
            <w:rPr>
              <w:rFonts w:ascii="Times New Roman" w:hAnsi="Times New Roman" w:eastAsia="Times New Roman" w:cs="Times New Roman"/>
              <w:bCs/>
              <w:spacing w:val="9"/>
              <w:szCs w:val="24"/>
              <w:highlight w:val="none"/>
            </w:rPr>
            <w:t xml:space="preserve">  </w:t>
          </w:r>
          <w:r>
            <w:rPr>
              <w:rFonts w:ascii="宋体" w:hAnsi="宋体" w:eastAsia="宋体" w:cs="宋体"/>
              <w:bCs/>
              <w:spacing w:val="-4"/>
              <w:szCs w:val="24"/>
              <w:highlight w:val="none"/>
            </w:rPr>
            <w:t>争议评审</w:t>
          </w:r>
          <w:r>
            <w:tab/>
          </w:r>
          <w:r>
            <w:fldChar w:fldCharType="begin"/>
          </w:r>
          <w:r>
            <w:instrText xml:space="preserve"> PAGEREF _Toc14314 \h </w:instrText>
          </w:r>
          <w:r>
            <w:fldChar w:fldCharType="separate"/>
          </w:r>
          <w:r>
            <w:t>113</w:t>
          </w:r>
          <w:r>
            <w:fldChar w:fldCharType="end"/>
          </w:r>
          <w:r>
            <w:rPr>
              <w:rFonts w:ascii="Times New Roman" w:hAnsi="Times New Roman" w:eastAsia="Times New Roman" w:cs="Times New Roman"/>
              <w:color w:val="auto"/>
              <w:szCs w:val="21"/>
              <w:highlight w:val="none"/>
            </w:rPr>
            <w:fldChar w:fldCharType="end"/>
          </w:r>
        </w:p>
        <w:p w14:paraId="096A951E">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_Toc30568 </w:instrText>
          </w:r>
          <w:r>
            <w:rPr>
              <w:rFonts w:ascii="Times New Roman" w:hAnsi="Times New Roman" w:eastAsia="Times New Roman" w:cs="Times New Roman"/>
              <w:szCs w:val="21"/>
              <w:highlight w:val="none"/>
            </w:rPr>
            <w:fldChar w:fldCharType="separate"/>
          </w:r>
          <w:r>
            <w:rPr>
              <w:rFonts w:hint="eastAsia" w:ascii="宋体" w:hAnsi="宋体" w:eastAsia="宋体" w:cs="宋体"/>
              <w:bCs w:val="0"/>
              <w:snapToGrid/>
              <w:kern w:val="0"/>
              <w:szCs w:val="24"/>
              <w:highlight w:val="none"/>
              <w:lang w:val="en-US" w:eastAsia="zh-CN"/>
            </w:rPr>
            <w:t>25.17未尽事宜由承包人与发包人另行协商在合同中签订。</w:t>
          </w:r>
          <w:r>
            <w:tab/>
          </w:r>
          <w:r>
            <w:fldChar w:fldCharType="begin"/>
          </w:r>
          <w:r>
            <w:instrText xml:space="preserve"> PAGEREF _Toc30568 \h </w:instrText>
          </w:r>
          <w:r>
            <w:fldChar w:fldCharType="separate"/>
          </w:r>
          <w:r>
            <w:t>115</w:t>
          </w:r>
          <w:r>
            <w:fldChar w:fldCharType="end"/>
          </w:r>
          <w:r>
            <w:rPr>
              <w:rFonts w:ascii="Times New Roman" w:hAnsi="Times New Roman" w:eastAsia="Times New Roman" w:cs="Times New Roman"/>
              <w:color w:val="auto"/>
              <w:szCs w:val="21"/>
              <w:highlight w:val="none"/>
            </w:rPr>
            <w:fldChar w:fldCharType="end"/>
          </w:r>
        </w:p>
        <w:p w14:paraId="6611E51A">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_Toc21394 </w:instrText>
          </w:r>
          <w:r>
            <w:rPr>
              <w:rFonts w:ascii="Times New Roman" w:hAnsi="Times New Roman" w:eastAsia="Times New Roman" w:cs="Times New Roman"/>
              <w:szCs w:val="21"/>
              <w:highlight w:val="none"/>
            </w:rPr>
            <w:fldChar w:fldCharType="separate"/>
          </w:r>
          <w:r>
            <w:rPr>
              <w:rFonts w:hint="eastAsia" w:ascii="宋体" w:hAnsi="宋体" w:eastAsia="宋体" w:cs="宋体"/>
              <w:bCs/>
              <w:snapToGrid w:val="0"/>
              <w:spacing w:val="6"/>
              <w:kern w:val="0"/>
              <w:szCs w:val="31"/>
              <w:lang w:val="en-US" w:eastAsia="en-US" w:bidi="ar-SA"/>
            </w:rPr>
            <w:t>第三节</w:t>
          </w:r>
          <w:r>
            <w:rPr>
              <w:rFonts w:ascii="宋体" w:hAnsi="宋体" w:eastAsia="宋体" w:cs="宋体"/>
              <w:spacing w:val="6"/>
              <w:szCs w:val="31"/>
              <w:highlight w:val="none"/>
            </w:rPr>
            <w:t xml:space="preserve"> </w:t>
          </w:r>
          <w:r>
            <w:rPr>
              <w:rFonts w:ascii="宋体" w:hAnsi="宋体" w:eastAsia="宋体" w:cs="宋体"/>
              <w:bCs/>
              <w:spacing w:val="6"/>
              <w:szCs w:val="31"/>
              <w:highlight w:val="none"/>
            </w:rPr>
            <w:t>合同附件格式</w:t>
          </w:r>
          <w:r>
            <w:tab/>
          </w:r>
          <w:r>
            <w:fldChar w:fldCharType="begin"/>
          </w:r>
          <w:r>
            <w:instrText xml:space="preserve"> PAGEREF _Toc21394 \h </w:instrText>
          </w:r>
          <w:r>
            <w:fldChar w:fldCharType="separate"/>
          </w:r>
          <w:r>
            <w:t>116</w:t>
          </w:r>
          <w:r>
            <w:fldChar w:fldCharType="end"/>
          </w:r>
          <w:r>
            <w:rPr>
              <w:rFonts w:ascii="Times New Roman" w:hAnsi="Times New Roman" w:eastAsia="Times New Roman" w:cs="Times New Roman"/>
              <w:color w:val="auto"/>
              <w:szCs w:val="21"/>
              <w:highlight w:val="none"/>
            </w:rPr>
            <w:fldChar w:fldCharType="end"/>
          </w:r>
        </w:p>
        <w:p w14:paraId="596BA474">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_Toc14488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附件一</w:t>
          </w:r>
          <w:r>
            <w:rPr>
              <w:rFonts w:ascii="宋体" w:hAnsi="宋体" w:eastAsia="宋体" w:cs="宋体"/>
              <w:spacing w:val="-5"/>
              <w:szCs w:val="28"/>
              <w:highlight w:val="none"/>
            </w:rPr>
            <w:t xml:space="preserve">  </w:t>
          </w:r>
          <w:r>
            <w:rPr>
              <w:rFonts w:ascii="宋体" w:hAnsi="宋体" w:eastAsia="宋体" w:cs="宋体"/>
              <w:bCs/>
              <w:spacing w:val="-5"/>
              <w:szCs w:val="28"/>
              <w:highlight w:val="none"/>
            </w:rPr>
            <w:t>合同协议书</w:t>
          </w:r>
          <w:r>
            <w:tab/>
          </w:r>
          <w:r>
            <w:fldChar w:fldCharType="begin"/>
          </w:r>
          <w:r>
            <w:instrText xml:space="preserve"> PAGEREF _Toc14488 \h </w:instrText>
          </w:r>
          <w:r>
            <w:fldChar w:fldCharType="separate"/>
          </w:r>
          <w:r>
            <w:t>116</w:t>
          </w:r>
          <w:r>
            <w:fldChar w:fldCharType="end"/>
          </w:r>
          <w:r>
            <w:rPr>
              <w:rFonts w:ascii="Times New Roman" w:hAnsi="Times New Roman" w:eastAsia="Times New Roman" w:cs="Times New Roman"/>
              <w:color w:val="auto"/>
              <w:szCs w:val="21"/>
              <w:highlight w:val="none"/>
            </w:rPr>
            <w:fldChar w:fldCharType="end"/>
          </w:r>
        </w:p>
        <w:p w14:paraId="33999EE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_Toc166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附件二</w:t>
          </w:r>
          <w:r>
            <w:rPr>
              <w:rFonts w:ascii="宋体" w:hAnsi="宋体" w:eastAsia="宋体" w:cs="宋体"/>
              <w:spacing w:val="-5"/>
              <w:szCs w:val="28"/>
              <w:highlight w:val="none"/>
            </w:rPr>
            <w:t xml:space="preserve">  </w:t>
          </w:r>
          <w:r>
            <w:rPr>
              <w:rFonts w:ascii="宋体" w:hAnsi="宋体" w:eastAsia="宋体" w:cs="宋体"/>
              <w:bCs/>
              <w:spacing w:val="-5"/>
              <w:szCs w:val="28"/>
              <w:highlight w:val="none"/>
            </w:rPr>
            <w:t>履约担保（格式）</w:t>
          </w:r>
          <w:r>
            <w:tab/>
          </w:r>
          <w:r>
            <w:fldChar w:fldCharType="begin"/>
          </w:r>
          <w:r>
            <w:instrText xml:space="preserve"> PAGEREF _Toc166 \h </w:instrText>
          </w:r>
          <w:r>
            <w:fldChar w:fldCharType="separate"/>
          </w:r>
          <w:r>
            <w:t>117</w:t>
          </w:r>
          <w:r>
            <w:fldChar w:fldCharType="end"/>
          </w:r>
          <w:r>
            <w:rPr>
              <w:rFonts w:ascii="Times New Roman" w:hAnsi="Times New Roman" w:eastAsia="Times New Roman" w:cs="Times New Roman"/>
              <w:color w:val="auto"/>
              <w:szCs w:val="21"/>
              <w:highlight w:val="none"/>
            </w:rPr>
            <w:fldChar w:fldCharType="end"/>
          </w:r>
        </w:p>
        <w:p w14:paraId="6A1F544E">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_Toc22537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附件三</w:t>
          </w:r>
          <w:r>
            <w:rPr>
              <w:rFonts w:ascii="宋体" w:hAnsi="宋体" w:eastAsia="宋体" w:cs="宋体"/>
              <w:spacing w:val="-5"/>
              <w:szCs w:val="28"/>
              <w:highlight w:val="none"/>
            </w:rPr>
            <w:t xml:space="preserve">  </w:t>
          </w:r>
          <w:r>
            <w:rPr>
              <w:rFonts w:ascii="宋体" w:hAnsi="宋体" w:eastAsia="宋体" w:cs="宋体"/>
              <w:bCs/>
              <w:spacing w:val="-5"/>
              <w:szCs w:val="28"/>
              <w:highlight w:val="none"/>
            </w:rPr>
            <w:t>工程廉政责任书（格式）</w:t>
          </w:r>
          <w:r>
            <w:tab/>
          </w:r>
          <w:r>
            <w:fldChar w:fldCharType="begin"/>
          </w:r>
          <w:r>
            <w:instrText xml:space="preserve"> PAGEREF _Toc22537 \h </w:instrText>
          </w:r>
          <w:r>
            <w:fldChar w:fldCharType="separate"/>
          </w:r>
          <w:r>
            <w:t>118</w:t>
          </w:r>
          <w:r>
            <w:fldChar w:fldCharType="end"/>
          </w:r>
          <w:r>
            <w:rPr>
              <w:rFonts w:ascii="Times New Roman" w:hAnsi="Times New Roman" w:eastAsia="Times New Roman" w:cs="Times New Roman"/>
              <w:color w:val="auto"/>
              <w:szCs w:val="21"/>
              <w:highlight w:val="none"/>
            </w:rPr>
            <w:fldChar w:fldCharType="end"/>
          </w:r>
        </w:p>
        <w:p w14:paraId="10F914A0">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_Toc17509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附件四</w:t>
          </w:r>
          <w:r>
            <w:rPr>
              <w:rFonts w:ascii="宋体" w:hAnsi="宋体" w:eastAsia="宋体" w:cs="宋体"/>
              <w:spacing w:val="-5"/>
              <w:szCs w:val="28"/>
              <w:highlight w:val="none"/>
            </w:rPr>
            <w:t xml:space="preserve">  </w:t>
          </w:r>
          <w:r>
            <w:rPr>
              <w:rFonts w:ascii="宋体" w:hAnsi="宋体" w:eastAsia="宋体" w:cs="宋体"/>
              <w:bCs/>
              <w:spacing w:val="-5"/>
              <w:szCs w:val="28"/>
              <w:highlight w:val="none"/>
            </w:rPr>
            <w:t>安全生产协议书（格式）</w:t>
          </w:r>
          <w:r>
            <w:tab/>
          </w:r>
          <w:r>
            <w:fldChar w:fldCharType="begin"/>
          </w:r>
          <w:r>
            <w:instrText xml:space="preserve"> PAGEREF _Toc17509 \h </w:instrText>
          </w:r>
          <w:r>
            <w:fldChar w:fldCharType="separate"/>
          </w:r>
          <w:r>
            <w:t>120</w:t>
          </w:r>
          <w:r>
            <w:fldChar w:fldCharType="end"/>
          </w:r>
          <w:r>
            <w:rPr>
              <w:rFonts w:ascii="Times New Roman" w:hAnsi="Times New Roman" w:eastAsia="Times New Roman" w:cs="Times New Roman"/>
              <w:color w:val="auto"/>
              <w:szCs w:val="21"/>
              <w:highlight w:val="none"/>
            </w:rPr>
            <w:fldChar w:fldCharType="end"/>
          </w:r>
        </w:p>
        <w:p w14:paraId="5A76D168">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_Toc25652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36"/>
              <w:highlight w:val="none"/>
            </w:rPr>
            <w:t>第五章</w:t>
          </w:r>
          <w:r>
            <w:rPr>
              <w:rFonts w:ascii="宋体" w:hAnsi="宋体" w:eastAsia="宋体" w:cs="宋体"/>
              <w:spacing w:val="-4"/>
              <w:szCs w:val="36"/>
              <w:highlight w:val="none"/>
            </w:rPr>
            <w:t xml:space="preserve"> </w:t>
          </w:r>
          <w:r>
            <w:rPr>
              <w:rFonts w:ascii="宋体" w:hAnsi="宋体" w:eastAsia="宋体" w:cs="宋体"/>
              <w:bCs/>
              <w:spacing w:val="-4"/>
              <w:szCs w:val="36"/>
              <w:highlight w:val="none"/>
            </w:rPr>
            <w:t>工程量清单</w:t>
          </w:r>
          <w:r>
            <w:tab/>
          </w:r>
          <w:r>
            <w:fldChar w:fldCharType="begin"/>
          </w:r>
          <w:r>
            <w:instrText xml:space="preserve"> PAGEREF _Toc25652 \h </w:instrText>
          </w:r>
          <w:r>
            <w:fldChar w:fldCharType="separate"/>
          </w:r>
          <w:r>
            <w:t>123</w:t>
          </w:r>
          <w:r>
            <w:fldChar w:fldCharType="end"/>
          </w:r>
          <w:r>
            <w:rPr>
              <w:rFonts w:ascii="Times New Roman" w:hAnsi="Times New Roman" w:eastAsia="Times New Roman" w:cs="Times New Roman"/>
              <w:color w:val="auto"/>
              <w:szCs w:val="21"/>
              <w:highlight w:val="none"/>
            </w:rPr>
            <w:fldChar w:fldCharType="end"/>
          </w:r>
        </w:p>
        <w:p w14:paraId="6E1F4A22">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_Toc24784 </w:instrText>
          </w:r>
          <w:r>
            <w:rPr>
              <w:rFonts w:ascii="Times New Roman" w:hAnsi="Times New Roman" w:eastAsia="Times New Roman" w:cs="Times New Roman"/>
              <w:szCs w:val="21"/>
              <w:highlight w:val="none"/>
            </w:rPr>
            <w:fldChar w:fldCharType="separate"/>
          </w:r>
          <w:r>
            <w:rPr>
              <w:rFonts w:ascii="黑体" w:hAnsi="黑体" w:eastAsia="黑体" w:cs="黑体"/>
              <w:bCs/>
              <w:spacing w:val="-21"/>
              <w:szCs w:val="48"/>
              <w:highlight w:val="none"/>
            </w:rPr>
            <w:t>第</w:t>
          </w:r>
          <w:r>
            <w:rPr>
              <w:rFonts w:ascii="黑体" w:hAnsi="黑体" w:eastAsia="黑体" w:cs="黑体"/>
              <w:spacing w:val="30"/>
              <w:szCs w:val="48"/>
              <w:highlight w:val="none"/>
            </w:rPr>
            <w:t xml:space="preserve"> </w:t>
          </w:r>
          <w:r>
            <w:rPr>
              <w:rFonts w:ascii="黑体" w:hAnsi="黑体" w:eastAsia="黑体" w:cs="黑体"/>
              <w:bCs/>
              <w:spacing w:val="-21"/>
              <w:szCs w:val="48"/>
              <w:highlight w:val="none"/>
            </w:rPr>
            <w:t>二</w:t>
          </w:r>
          <w:r>
            <w:rPr>
              <w:rFonts w:ascii="黑体" w:hAnsi="黑体" w:eastAsia="黑体" w:cs="黑体"/>
              <w:spacing w:val="29"/>
              <w:szCs w:val="48"/>
              <w:highlight w:val="none"/>
            </w:rPr>
            <w:t xml:space="preserve"> </w:t>
          </w:r>
          <w:r>
            <w:rPr>
              <w:rFonts w:ascii="黑体" w:hAnsi="黑体" w:eastAsia="黑体" w:cs="黑体"/>
              <w:bCs/>
              <w:spacing w:val="-21"/>
              <w:szCs w:val="48"/>
              <w:highlight w:val="none"/>
            </w:rPr>
            <w:t>卷</w:t>
          </w:r>
          <w:r>
            <w:tab/>
          </w:r>
          <w:r>
            <w:fldChar w:fldCharType="begin"/>
          </w:r>
          <w:r>
            <w:instrText xml:space="preserve"> PAGEREF _Toc24784 \h </w:instrText>
          </w:r>
          <w:r>
            <w:fldChar w:fldCharType="separate"/>
          </w:r>
          <w:r>
            <w:t>136</w:t>
          </w:r>
          <w:r>
            <w:fldChar w:fldCharType="end"/>
          </w:r>
          <w:r>
            <w:rPr>
              <w:rFonts w:ascii="Times New Roman" w:hAnsi="Times New Roman" w:eastAsia="Times New Roman" w:cs="Times New Roman"/>
              <w:color w:val="auto"/>
              <w:szCs w:val="21"/>
              <w:highlight w:val="none"/>
            </w:rPr>
            <w:fldChar w:fldCharType="end"/>
          </w:r>
        </w:p>
        <w:p w14:paraId="58DEA8D7">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_Toc30423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36"/>
              <w:highlight w:val="none"/>
            </w:rPr>
            <w:t>第六章</w:t>
          </w:r>
          <w:r>
            <w:rPr>
              <w:rFonts w:ascii="宋体" w:hAnsi="宋体" w:eastAsia="宋体" w:cs="宋体"/>
              <w:spacing w:val="-3"/>
              <w:szCs w:val="36"/>
              <w:highlight w:val="none"/>
            </w:rPr>
            <w:t xml:space="preserve">  </w:t>
          </w:r>
          <w:r>
            <w:rPr>
              <w:rFonts w:ascii="宋体" w:hAnsi="宋体" w:eastAsia="宋体" w:cs="宋体"/>
              <w:bCs/>
              <w:spacing w:val="-3"/>
              <w:szCs w:val="36"/>
              <w:highlight w:val="none"/>
            </w:rPr>
            <w:t>图纸（招标图纸）及其他资料</w:t>
          </w:r>
          <w:r>
            <w:tab/>
          </w:r>
          <w:r>
            <w:fldChar w:fldCharType="begin"/>
          </w:r>
          <w:r>
            <w:instrText xml:space="preserve"> PAGEREF _Toc30423 \h </w:instrText>
          </w:r>
          <w:r>
            <w:fldChar w:fldCharType="separate"/>
          </w:r>
          <w:r>
            <w:t>137</w:t>
          </w:r>
          <w:r>
            <w:fldChar w:fldCharType="end"/>
          </w:r>
          <w:r>
            <w:rPr>
              <w:rFonts w:ascii="Times New Roman" w:hAnsi="Times New Roman" w:eastAsia="Times New Roman" w:cs="Times New Roman"/>
              <w:color w:val="auto"/>
              <w:szCs w:val="21"/>
              <w:highlight w:val="none"/>
            </w:rPr>
            <w:fldChar w:fldCharType="end"/>
          </w:r>
        </w:p>
        <w:p w14:paraId="526EAFF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_Toc29026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11"/>
              <w:szCs w:val="28"/>
              <w:highlight w:val="none"/>
            </w:rPr>
            <w:t>1</w:t>
          </w:r>
          <w:r>
            <w:rPr>
              <w:rFonts w:ascii="Times New Roman" w:hAnsi="Times New Roman" w:eastAsia="Times New Roman" w:cs="Times New Roman"/>
              <w:bCs/>
              <w:spacing w:val="8"/>
              <w:szCs w:val="28"/>
              <w:highlight w:val="none"/>
            </w:rPr>
            <w:t xml:space="preserve">  </w:t>
          </w:r>
          <w:r>
            <w:rPr>
              <w:rFonts w:ascii="宋体" w:hAnsi="宋体" w:eastAsia="宋体" w:cs="宋体"/>
              <w:bCs/>
              <w:spacing w:val="-11"/>
              <w:szCs w:val="28"/>
              <w:highlight w:val="none"/>
            </w:rPr>
            <w:t>说明</w:t>
          </w:r>
          <w:r>
            <w:tab/>
          </w:r>
          <w:r>
            <w:fldChar w:fldCharType="begin"/>
          </w:r>
          <w:r>
            <w:instrText xml:space="preserve"> PAGEREF _Toc29026 \h </w:instrText>
          </w:r>
          <w:r>
            <w:fldChar w:fldCharType="separate"/>
          </w:r>
          <w:r>
            <w:t>137</w:t>
          </w:r>
          <w:r>
            <w:fldChar w:fldCharType="end"/>
          </w:r>
          <w:r>
            <w:rPr>
              <w:rFonts w:ascii="Times New Roman" w:hAnsi="Times New Roman" w:eastAsia="Times New Roman" w:cs="Times New Roman"/>
              <w:color w:val="auto"/>
              <w:szCs w:val="21"/>
              <w:highlight w:val="none"/>
            </w:rPr>
            <w:fldChar w:fldCharType="end"/>
          </w:r>
        </w:p>
        <w:p w14:paraId="4EACE66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_Toc27468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2</w:t>
          </w:r>
          <w:r>
            <w:rPr>
              <w:rFonts w:ascii="Times New Roman" w:hAnsi="Times New Roman" w:eastAsia="Times New Roman" w:cs="Times New Roman"/>
              <w:bCs/>
              <w:spacing w:val="23"/>
              <w:szCs w:val="28"/>
              <w:highlight w:val="none"/>
            </w:rPr>
            <w:t xml:space="preserve">  </w:t>
          </w:r>
          <w:r>
            <w:rPr>
              <w:rFonts w:ascii="宋体" w:hAnsi="宋体" w:eastAsia="宋体" w:cs="宋体"/>
              <w:bCs/>
              <w:spacing w:val="-7"/>
              <w:szCs w:val="28"/>
              <w:highlight w:val="none"/>
            </w:rPr>
            <w:t>图纸及其他资料目录</w:t>
          </w:r>
          <w:r>
            <w:tab/>
          </w:r>
          <w:r>
            <w:fldChar w:fldCharType="begin"/>
          </w:r>
          <w:r>
            <w:instrText xml:space="preserve"> PAGEREF _Toc27468 \h </w:instrText>
          </w:r>
          <w:r>
            <w:fldChar w:fldCharType="separate"/>
          </w:r>
          <w:r>
            <w:t>137</w:t>
          </w:r>
          <w:r>
            <w:fldChar w:fldCharType="end"/>
          </w:r>
          <w:r>
            <w:rPr>
              <w:rFonts w:ascii="Times New Roman" w:hAnsi="Times New Roman" w:eastAsia="Times New Roman" w:cs="Times New Roman"/>
              <w:color w:val="auto"/>
              <w:szCs w:val="21"/>
              <w:highlight w:val="none"/>
            </w:rPr>
            <w:fldChar w:fldCharType="end"/>
          </w:r>
        </w:p>
        <w:p w14:paraId="6B0D4E4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_Toc8858 </w:instrText>
          </w:r>
          <w:r>
            <w:rPr>
              <w:rFonts w:ascii="Times New Roman" w:hAnsi="Times New Roman" w:eastAsia="Times New Roman" w:cs="Times New Roman"/>
              <w:szCs w:val="21"/>
              <w:highlight w:val="none"/>
            </w:rPr>
            <w:fldChar w:fldCharType="separate"/>
          </w:r>
          <w:r>
            <w:rPr>
              <w:rFonts w:ascii="Times New Roman" w:hAnsi="Times New Roman" w:eastAsia="Times New Roman" w:cs="Times New Roman"/>
              <w:bCs/>
              <w:spacing w:val="-7"/>
              <w:szCs w:val="28"/>
              <w:highlight w:val="none"/>
            </w:rPr>
            <w:t>3</w:t>
          </w:r>
          <w:r>
            <w:rPr>
              <w:rFonts w:ascii="Times New Roman" w:hAnsi="Times New Roman" w:eastAsia="Times New Roman" w:cs="Times New Roman"/>
              <w:bCs/>
              <w:spacing w:val="19"/>
              <w:szCs w:val="28"/>
              <w:highlight w:val="none"/>
            </w:rPr>
            <w:t xml:space="preserve">  </w:t>
          </w:r>
          <w:r>
            <w:rPr>
              <w:rFonts w:ascii="宋体" w:hAnsi="宋体" w:eastAsia="宋体" w:cs="宋体"/>
              <w:bCs/>
              <w:spacing w:val="-7"/>
              <w:szCs w:val="28"/>
              <w:highlight w:val="none"/>
            </w:rPr>
            <w:t>图纸及其他资料</w:t>
          </w:r>
          <w:r>
            <w:tab/>
          </w:r>
          <w:r>
            <w:fldChar w:fldCharType="begin"/>
          </w:r>
          <w:r>
            <w:instrText xml:space="preserve"> PAGEREF _Toc8858 \h </w:instrText>
          </w:r>
          <w:r>
            <w:fldChar w:fldCharType="separate"/>
          </w:r>
          <w:r>
            <w:t>137</w:t>
          </w:r>
          <w:r>
            <w:fldChar w:fldCharType="end"/>
          </w:r>
          <w:r>
            <w:rPr>
              <w:rFonts w:ascii="Times New Roman" w:hAnsi="Times New Roman" w:eastAsia="Times New Roman" w:cs="Times New Roman"/>
              <w:color w:val="auto"/>
              <w:szCs w:val="21"/>
              <w:highlight w:val="none"/>
            </w:rPr>
            <w:fldChar w:fldCharType="end"/>
          </w:r>
        </w:p>
        <w:p w14:paraId="78691A96">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_Toc10370 </w:instrText>
          </w:r>
          <w:r>
            <w:rPr>
              <w:rFonts w:ascii="Times New Roman" w:hAnsi="Times New Roman" w:eastAsia="Times New Roman" w:cs="Times New Roman"/>
              <w:szCs w:val="21"/>
              <w:highlight w:val="none"/>
            </w:rPr>
            <w:fldChar w:fldCharType="separate"/>
          </w:r>
          <w:r>
            <w:rPr>
              <w:rFonts w:ascii="黑体" w:hAnsi="黑体" w:eastAsia="黑体" w:cs="黑体"/>
              <w:bCs/>
              <w:spacing w:val="-21"/>
              <w:szCs w:val="48"/>
              <w:highlight w:val="none"/>
            </w:rPr>
            <w:t>第</w:t>
          </w:r>
          <w:r>
            <w:rPr>
              <w:rFonts w:ascii="黑体" w:hAnsi="黑体" w:eastAsia="黑体" w:cs="黑体"/>
              <w:spacing w:val="30"/>
              <w:szCs w:val="48"/>
              <w:highlight w:val="none"/>
            </w:rPr>
            <w:t xml:space="preserve"> </w:t>
          </w:r>
          <w:r>
            <w:rPr>
              <w:rFonts w:ascii="黑体" w:hAnsi="黑体" w:eastAsia="黑体" w:cs="黑体"/>
              <w:bCs/>
              <w:spacing w:val="-21"/>
              <w:szCs w:val="48"/>
              <w:highlight w:val="none"/>
            </w:rPr>
            <w:t>三</w:t>
          </w:r>
          <w:r>
            <w:rPr>
              <w:rFonts w:ascii="黑体" w:hAnsi="黑体" w:eastAsia="黑体" w:cs="黑体"/>
              <w:spacing w:val="29"/>
              <w:szCs w:val="48"/>
              <w:highlight w:val="none"/>
            </w:rPr>
            <w:t xml:space="preserve"> </w:t>
          </w:r>
          <w:r>
            <w:rPr>
              <w:rFonts w:ascii="黑体" w:hAnsi="黑体" w:eastAsia="黑体" w:cs="黑体"/>
              <w:bCs/>
              <w:spacing w:val="-21"/>
              <w:szCs w:val="48"/>
              <w:highlight w:val="none"/>
            </w:rPr>
            <w:t>卷</w:t>
          </w:r>
          <w:r>
            <w:tab/>
          </w:r>
          <w:r>
            <w:fldChar w:fldCharType="begin"/>
          </w:r>
          <w:r>
            <w:instrText xml:space="preserve"> PAGEREF _Toc10370 \h </w:instrText>
          </w:r>
          <w:r>
            <w:fldChar w:fldCharType="separate"/>
          </w:r>
          <w:r>
            <w:t>138</w:t>
          </w:r>
          <w:r>
            <w:fldChar w:fldCharType="end"/>
          </w:r>
          <w:r>
            <w:rPr>
              <w:rFonts w:ascii="Times New Roman" w:hAnsi="Times New Roman" w:eastAsia="Times New Roman" w:cs="Times New Roman"/>
              <w:color w:val="auto"/>
              <w:szCs w:val="21"/>
              <w:highlight w:val="none"/>
            </w:rPr>
            <w:fldChar w:fldCharType="end"/>
          </w:r>
        </w:p>
        <w:p w14:paraId="2CC7A10C">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_Toc642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36"/>
              <w:highlight w:val="none"/>
            </w:rPr>
            <w:t>第七章</w:t>
          </w:r>
          <w:r>
            <w:rPr>
              <w:rFonts w:ascii="宋体" w:hAnsi="宋体" w:eastAsia="宋体" w:cs="宋体"/>
              <w:spacing w:val="-3"/>
              <w:szCs w:val="36"/>
              <w:highlight w:val="none"/>
            </w:rPr>
            <w:t xml:space="preserve">  </w:t>
          </w:r>
          <w:r>
            <w:rPr>
              <w:rFonts w:ascii="宋体" w:hAnsi="宋体" w:eastAsia="宋体" w:cs="宋体"/>
              <w:bCs/>
              <w:spacing w:val="-3"/>
              <w:szCs w:val="36"/>
              <w:highlight w:val="none"/>
            </w:rPr>
            <w:t>技术标准和要求（合同技术条款）</w:t>
          </w:r>
          <w:r>
            <w:tab/>
          </w:r>
          <w:r>
            <w:fldChar w:fldCharType="begin"/>
          </w:r>
          <w:r>
            <w:instrText xml:space="preserve"> PAGEREF _Toc642 \h </w:instrText>
          </w:r>
          <w:r>
            <w:fldChar w:fldCharType="separate"/>
          </w:r>
          <w:r>
            <w:t>138</w:t>
          </w:r>
          <w:r>
            <w:fldChar w:fldCharType="end"/>
          </w:r>
          <w:r>
            <w:rPr>
              <w:rFonts w:ascii="Times New Roman" w:hAnsi="Times New Roman" w:eastAsia="Times New Roman" w:cs="Times New Roman"/>
              <w:color w:val="auto"/>
              <w:szCs w:val="21"/>
              <w:highlight w:val="none"/>
            </w:rPr>
            <w:fldChar w:fldCharType="end"/>
          </w:r>
        </w:p>
        <w:p w14:paraId="76BB3738">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_Toc9156 </w:instrText>
          </w:r>
          <w:r>
            <w:rPr>
              <w:rFonts w:ascii="Times New Roman" w:hAnsi="Times New Roman" w:eastAsia="Times New Roman" w:cs="Times New Roman"/>
              <w:szCs w:val="21"/>
              <w:highlight w:val="none"/>
            </w:rPr>
            <w:fldChar w:fldCharType="separate"/>
          </w:r>
          <w:r>
            <w:rPr>
              <w:rFonts w:ascii="黑体" w:hAnsi="黑体" w:eastAsia="黑体" w:cs="黑体"/>
              <w:bCs/>
              <w:spacing w:val="-27"/>
              <w:szCs w:val="48"/>
              <w:highlight w:val="none"/>
            </w:rPr>
            <w:t>第</w:t>
          </w:r>
          <w:r>
            <w:rPr>
              <w:rFonts w:ascii="黑体" w:hAnsi="黑体" w:eastAsia="黑体" w:cs="黑体"/>
              <w:spacing w:val="49"/>
              <w:szCs w:val="48"/>
              <w:highlight w:val="none"/>
            </w:rPr>
            <w:t xml:space="preserve"> </w:t>
          </w:r>
          <w:r>
            <w:rPr>
              <w:rFonts w:ascii="黑体" w:hAnsi="黑体" w:eastAsia="黑体" w:cs="黑体"/>
              <w:bCs/>
              <w:spacing w:val="-27"/>
              <w:szCs w:val="48"/>
              <w:highlight w:val="none"/>
            </w:rPr>
            <w:t>四</w:t>
          </w:r>
          <w:r>
            <w:rPr>
              <w:rFonts w:ascii="黑体" w:hAnsi="黑体" w:eastAsia="黑体" w:cs="黑体"/>
              <w:spacing w:val="28"/>
              <w:szCs w:val="48"/>
              <w:highlight w:val="none"/>
            </w:rPr>
            <w:t xml:space="preserve"> </w:t>
          </w:r>
          <w:r>
            <w:rPr>
              <w:rFonts w:ascii="黑体" w:hAnsi="黑体" w:eastAsia="黑体" w:cs="黑体"/>
              <w:bCs/>
              <w:spacing w:val="-27"/>
              <w:szCs w:val="48"/>
              <w:highlight w:val="none"/>
            </w:rPr>
            <w:t>卷</w:t>
          </w:r>
          <w:r>
            <w:tab/>
          </w:r>
          <w:r>
            <w:fldChar w:fldCharType="begin"/>
          </w:r>
          <w:r>
            <w:instrText xml:space="preserve"> PAGEREF _Toc9156 \h </w:instrText>
          </w:r>
          <w:r>
            <w:fldChar w:fldCharType="separate"/>
          </w:r>
          <w:r>
            <w:t>139</w:t>
          </w:r>
          <w:r>
            <w:fldChar w:fldCharType="end"/>
          </w:r>
          <w:r>
            <w:rPr>
              <w:rFonts w:ascii="Times New Roman" w:hAnsi="Times New Roman" w:eastAsia="Times New Roman" w:cs="Times New Roman"/>
              <w:color w:val="auto"/>
              <w:szCs w:val="21"/>
              <w:highlight w:val="none"/>
            </w:rPr>
            <w:fldChar w:fldCharType="end"/>
          </w:r>
        </w:p>
        <w:p w14:paraId="0B8EEBAE">
          <w:pPr>
            <w:pStyle w:val="12"/>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_Toc6888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36"/>
              <w:highlight w:val="none"/>
            </w:rPr>
            <w:t>第八章</w:t>
          </w:r>
          <w:r>
            <w:rPr>
              <w:rFonts w:ascii="宋体" w:hAnsi="宋体" w:eastAsia="宋体" w:cs="宋体"/>
              <w:spacing w:val="-4"/>
              <w:szCs w:val="36"/>
              <w:highlight w:val="none"/>
            </w:rPr>
            <w:t xml:space="preserve">  </w:t>
          </w:r>
          <w:r>
            <w:rPr>
              <w:rFonts w:ascii="宋体" w:hAnsi="宋体" w:eastAsia="宋体" w:cs="宋体"/>
              <w:bCs/>
              <w:spacing w:val="-4"/>
              <w:szCs w:val="36"/>
              <w:highlight w:val="none"/>
            </w:rPr>
            <w:t>投标文件格式</w:t>
          </w:r>
          <w:r>
            <w:tab/>
          </w:r>
          <w:r>
            <w:fldChar w:fldCharType="begin"/>
          </w:r>
          <w:r>
            <w:instrText xml:space="preserve"> PAGEREF _Toc6888 \h </w:instrText>
          </w:r>
          <w:r>
            <w:fldChar w:fldCharType="separate"/>
          </w:r>
          <w:r>
            <w:t>139</w:t>
          </w:r>
          <w:r>
            <w:fldChar w:fldCharType="end"/>
          </w:r>
          <w:r>
            <w:rPr>
              <w:rFonts w:ascii="Times New Roman" w:hAnsi="Times New Roman" w:eastAsia="Times New Roman" w:cs="Times New Roman"/>
              <w:color w:val="auto"/>
              <w:szCs w:val="21"/>
              <w:highlight w:val="none"/>
            </w:rPr>
            <w:fldChar w:fldCharType="end"/>
          </w:r>
        </w:p>
        <w:p w14:paraId="03ABADB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_Toc10931 </w:instrText>
          </w:r>
          <w:r>
            <w:rPr>
              <w:rFonts w:ascii="Times New Roman" w:hAnsi="Times New Roman" w:eastAsia="Times New Roman" w:cs="Times New Roman"/>
              <w:szCs w:val="21"/>
              <w:highlight w:val="none"/>
            </w:rPr>
            <w:fldChar w:fldCharType="separate"/>
          </w:r>
          <w:r>
            <w:rPr>
              <w:rFonts w:ascii="宋体" w:hAnsi="宋体" w:eastAsia="宋体" w:cs="宋体"/>
              <w:bCs/>
              <w:spacing w:val="-6"/>
              <w:szCs w:val="28"/>
            </w:rPr>
            <w:t>资格审查目录</w:t>
          </w:r>
          <w:r>
            <w:tab/>
          </w:r>
          <w:r>
            <w:fldChar w:fldCharType="begin"/>
          </w:r>
          <w:r>
            <w:instrText xml:space="preserve"> PAGEREF _Toc10931 \h </w:instrText>
          </w:r>
          <w:r>
            <w:fldChar w:fldCharType="separate"/>
          </w:r>
          <w:r>
            <w:t>141</w:t>
          </w:r>
          <w:r>
            <w:fldChar w:fldCharType="end"/>
          </w:r>
          <w:r>
            <w:rPr>
              <w:rFonts w:ascii="Times New Roman" w:hAnsi="Times New Roman" w:eastAsia="Times New Roman" w:cs="Times New Roman"/>
              <w:color w:val="auto"/>
              <w:szCs w:val="21"/>
              <w:highlight w:val="none"/>
            </w:rPr>
            <w:fldChar w:fldCharType="end"/>
          </w:r>
        </w:p>
        <w:p w14:paraId="575120A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_Toc18911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28"/>
              <w:highlight w:val="none"/>
            </w:rPr>
            <w:t>一、法定代表人身份证明、授权委托书（若有）</w:t>
          </w:r>
          <w:r>
            <w:tab/>
          </w:r>
          <w:r>
            <w:fldChar w:fldCharType="begin"/>
          </w:r>
          <w:r>
            <w:instrText xml:space="preserve"> PAGEREF _Toc18911 \h </w:instrText>
          </w:r>
          <w:r>
            <w:fldChar w:fldCharType="separate"/>
          </w:r>
          <w:r>
            <w:t>142</w:t>
          </w:r>
          <w:r>
            <w:fldChar w:fldCharType="end"/>
          </w:r>
          <w:r>
            <w:rPr>
              <w:rFonts w:ascii="Times New Roman" w:hAnsi="Times New Roman" w:eastAsia="Times New Roman" w:cs="Times New Roman"/>
              <w:color w:val="auto"/>
              <w:szCs w:val="21"/>
              <w:highlight w:val="none"/>
            </w:rPr>
            <w:fldChar w:fldCharType="end"/>
          </w:r>
        </w:p>
        <w:p w14:paraId="6EAA85C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_Toc13857 </w:instrText>
          </w:r>
          <w:r>
            <w:rPr>
              <w:rFonts w:ascii="Times New Roman" w:hAnsi="Times New Roman" w:eastAsia="Times New Roman" w:cs="Times New Roman"/>
              <w:szCs w:val="21"/>
              <w:highlight w:val="none"/>
            </w:rPr>
            <w:fldChar w:fldCharType="separate"/>
          </w:r>
          <w:r>
            <w:rPr>
              <w:rFonts w:ascii="宋体" w:hAnsi="宋体" w:eastAsia="宋体" w:cs="宋体"/>
              <w:bCs/>
              <w:strike w:val="0"/>
              <w:dstrike w:val="0"/>
              <w:spacing w:val="-7"/>
              <w:szCs w:val="28"/>
              <w:highlight w:val="none"/>
            </w:rPr>
            <w:t>二、联合体协议书</w:t>
          </w:r>
          <w:r>
            <w:tab/>
          </w:r>
          <w:r>
            <w:fldChar w:fldCharType="begin"/>
          </w:r>
          <w:r>
            <w:instrText xml:space="preserve"> PAGEREF _Toc13857 \h </w:instrText>
          </w:r>
          <w:r>
            <w:fldChar w:fldCharType="separate"/>
          </w:r>
          <w:r>
            <w:t>144</w:t>
          </w:r>
          <w:r>
            <w:fldChar w:fldCharType="end"/>
          </w:r>
          <w:r>
            <w:rPr>
              <w:rFonts w:ascii="Times New Roman" w:hAnsi="Times New Roman" w:eastAsia="Times New Roman" w:cs="Times New Roman"/>
              <w:color w:val="auto"/>
              <w:szCs w:val="21"/>
              <w:highlight w:val="none"/>
            </w:rPr>
            <w:fldChar w:fldCharType="end"/>
          </w:r>
        </w:p>
        <w:p w14:paraId="25B788F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_Toc13246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28"/>
              <w:highlight w:val="none"/>
            </w:rPr>
            <w:t>三、投标保证金</w:t>
          </w:r>
          <w:r>
            <w:tab/>
          </w:r>
          <w:r>
            <w:fldChar w:fldCharType="begin"/>
          </w:r>
          <w:r>
            <w:instrText xml:space="preserve"> PAGEREF _Toc13246 \h </w:instrText>
          </w:r>
          <w:r>
            <w:fldChar w:fldCharType="separate"/>
          </w:r>
          <w:r>
            <w:t>145</w:t>
          </w:r>
          <w:r>
            <w:fldChar w:fldCharType="end"/>
          </w:r>
          <w:r>
            <w:rPr>
              <w:rFonts w:ascii="Times New Roman" w:hAnsi="Times New Roman" w:eastAsia="Times New Roman" w:cs="Times New Roman"/>
              <w:color w:val="auto"/>
              <w:szCs w:val="21"/>
              <w:highlight w:val="none"/>
            </w:rPr>
            <w:fldChar w:fldCharType="end"/>
          </w:r>
        </w:p>
        <w:p w14:paraId="6BD521BB">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_Toc21675 </w:instrText>
          </w:r>
          <w:r>
            <w:rPr>
              <w:rFonts w:ascii="Times New Roman" w:hAnsi="Times New Roman" w:eastAsia="Times New Roman" w:cs="Times New Roman"/>
              <w:szCs w:val="21"/>
              <w:highlight w:val="none"/>
            </w:rPr>
            <w:fldChar w:fldCharType="separate"/>
          </w:r>
          <w:r>
            <w:rPr>
              <w:rFonts w:hint="eastAsia" w:ascii="宋体" w:hAnsi="宋体" w:eastAsia="宋体" w:cs="宋体"/>
              <w:bCs/>
              <w:snapToGrid w:val="0"/>
              <w:spacing w:val="-8"/>
              <w:kern w:val="0"/>
              <w:szCs w:val="28"/>
              <w:lang w:val="en-US" w:eastAsia="en-US" w:bidi="ar-SA"/>
            </w:rPr>
            <w:t>四、</w:t>
          </w:r>
          <w:r>
            <w:rPr>
              <w:rFonts w:ascii="宋体" w:hAnsi="宋体" w:eastAsia="宋体" w:cs="宋体"/>
              <w:bCs/>
              <w:spacing w:val="-8"/>
              <w:szCs w:val="28"/>
            </w:rPr>
            <w:t>资格审查资料</w:t>
          </w:r>
          <w:r>
            <w:tab/>
          </w:r>
          <w:r>
            <w:fldChar w:fldCharType="begin"/>
          </w:r>
          <w:r>
            <w:instrText xml:space="preserve"> PAGEREF _Toc21675 \h </w:instrText>
          </w:r>
          <w:r>
            <w:fldChar w:fldCharType="separate"/>
          </w:r>
          <w:r>
            <w:t>146</w:t>
          </w:r>
          <w:r>
            <w:fldChar w:fldCharType="end"/>
          </w:r>
          <w:r>
            <w:rPr>
              <w:rFonts w:ascii="Times New Roman" w:hAnsi="Times New Roman" w:eastAsia="Times New Roman" w:cs="Times New Roman"/>
              <w:color w:val="auto"/>
              <w:szCs w:val="21"/>
              <w:highlight w:val="none"/>
            </w:rPr>
            <w:fldChar w:fldCharType="end"/>
          </w:r>
        </w:p>
        <w:p w14:paraId="396E7D21">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_Toc16837 </w:instrText>
          </w:r>
          <w:r>
            <w:rPr>
              <w:rFonts w:ascii="Times New Roman" w:hAnsi="Times New Roman" w:eastAsia="Times New Roman" w:cs="Times New Roman"/>
              <w:szCs w:val="21"/>
              <w:highlight w:val="none"/>
            </w:rPr>
            <w:fldChar w:fldCharType="separate"/>
          </w:r>
          <w:r>
            <w:rPr>
              <w:rFonts w:hint="eastAsia" w:ascii="宋体" w:hAnsi="宋体" w:eastAsia="宋体" w:cs="宋体"/>
              <w:bCs/>
              <w:spacing w:val="-8"/>
              <w:szCs w:val="24"/>
              <w:lang w:eastAsia="zh-CN"/>
            </w:rPr>
            <w:t>资格审查自查表</w:t>
          </w:r>
          <w:r>
            <w:tab/>
          </w:r>
          <w:r>
            <w:fldChar w:fldCharType="begin"/>
          </w:r>
          <w:r>
            <w:instrText xml:space="preserve"> PAGEREF _Toc16837 \h </w:instrText>
          </w:r>
          <w:r>
            <w:fldChar w:fldCharType="separate"/>
          </w:r>
          <w:r>
            <w:t>147</w:t>
          </w:r>
          <w:r>
            <w:fldChar w:fldCharType="end"/>
          </w:r>
          <w:r>
            <w:rPr>
              <w:rFonts w:ascii="Times New Roman" w:hAnsi="Times New Roman" w:eastAsia="Times New Roman" w:cs="Times New Roman"/>
              <w:color w:val="auto"/>
              <w:szCs w:val="21"/>
              <w:highlight w:val="none"/>
            </w:rPr>
            <w:fldChar w:fldCharType="end"/>
          </w:r>
        </w:p>
        <w:p w14:paraId="57BF2040">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_Toc29512 </w:instrText>
          </w:r>
          <w:r>
            <w:rPr>
              <w:rFonts w:ascii="Times New Roman" w:hAnsi="Times New Roman" w:eastAsia="Times New Roman" w:cs="Times New Roman"/>
              <w:szCs w:val="21"/>
              <w:highlight w:val="none"/>
            </w:rPr>
            <w:fldChar w:fldCharType="separate"/>
          </w:r>
          <w:r>
            <w:rPr>
              <w:rFonts w:hint="eastAsia" w:ascii="宋体" w:hAnsi="宋体" w:eastAsia="宋体" w:cs="宋体"/>
              <w:bCs/>
              <w:spacing w:val="-6"/>
              <w:szCs w:val="28"/>
              <w:highlight w:val="none"/>
              <w:lang w:eastAsia="zh-CN"/>
            </w:rPr>
            <w:t>五</w:t>
          </w:r>
          <w:r>
            <w:rPr>
              <w:rFonts w:ascii="宋体" w:hAnsi="宋体" w:eastAsia="宋体" w:cs="宋体"/>
              <w:bCs/>
              <w:spacing w:val="-6"/>
              <w:szCs w:val="28"/>
              <w:highlight w:val="none"/>
            </w:rPr>
            <w:t>、其他材料</w:t>
          </w:r>
          <w:r>
            <w:tab/>
          </w:r>
          <w:r>
            <w:fldChar w:fldCharType="begin"/>
          </w:r>
          <w:r>
            <w:instrText xml:space="preserve"> PAGEREF _Toc29512 \h </w:instrText>
          </w:r>
          <w:r>
            <w:fldChar w:fldCharType="separate"/>
          </w:r>
          <w:r>
            <w:t>168</w:t>
          </w:r>
          <w:r>
            <w:fldChar w:fldCharType="end"/>
          </w:r>
          <w:r>
            <w:rPr>
              <w:rFonts w:ascii="Times New Roman" w:hAnsi="Times New Roman" w:eastAsia="Times New Roman" w:cs="Times New Roman"/>
              <w:color w:val="auto"/>
              <w:szCs w:val="21"/>
              <w:highlight w:val="none"/>
            </w:rPr>
            <w:fldChar w:fldCharType="end"/>
          </w:r>
        </w:p>
        <w:p w14:paraId="0FB24441">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_Toc31481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技术标目录</w:t>
          </w:r>
          <w:r>
            <w:tab/>
          </w:r>
          <w:r>
            <w:fldChar w:fldCharType="begin"/>
          </w:r>
          <w:r>
            <w:instrText xml:space="preserve"> PAGEREF _Toc31481 \h </w:instrText>
          </w:r>
          <w:r>
            <w:fldChar w:fldCharType="separate"/>
          </w:r>
          <w:r>
            <w:t>174</w:t>
          </w:r>
          <w:r>
            <w:fldChar w:fldCharType="end"/>
          </w:r>
          <w:r>
            <w:rPr>
              <w:rFonts w:ascii="Times New Roman" w:hAnsi="Times New Roman" w:eastAsia="Times New Roman" w:cs="Times New Roman"/>
              <w:color w:val="auto"/>
              <w:szCs w:val="21"/>
              <w:highlight w:val="none"/>
            </w:rPr>
            <w:fldChar w:fldCharType="end"/>
          </w:r>
        </w:p>
        <w:p w14:paraId="3267AF5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_Toc15143 </w:instrText>
          </w:r>
          <w:r>
            <w:rPr>
              <w:rFonts w:ascii="Times New Roman" w:hAnsi="Times New Roman" w:eastAsia="Times New Roman" w:cs="Times New Roman"/>
              <w:szCs w:val="21"/>
              <w:highlight w:val="none"/>
            </w:rPr>
            <w:fldChar w:fldCharType="separate"/>
          </w:r>
          <w:r>
            <w:rPr>
              <w:rFonts w:hint="eastAsia" w:ascii="宋体" w:hAnsi="宋体" w:eastAsia="宋体" w:cs="宋体"/>
              <w:bCs/>
              <w:spacing w:val="-7"/>
              <w:szCs w:val="28"/>
              <w:highlight w:val="none"/>
              <w:lang w:eastAsia="zh-CN"/>
            </w:rPr>
            <w:t>一</w:t>
          </w:r>
          <w:r>
            <w:rPr>
              <w:rFonts w:ascii="宋体" w:hAnsi="宋体" w:eastAsia="宋体" w:cs="宋体"/>
              <w:bCs/>
              <w:spacing w:val="-7"/>
              <w:szCs w:val="28"/>
              <w:highlight w:val="none"/>
            </w:rPr>
            <w:t>、施工组织设计</w:t>
          </w:r>
          <w:r>
            <w:tab/>
          </w:r>
          <w:r>
            <w:fldChar w:fldCharType="begin"/>
          </w:r>
          <w:r>
            <w:instrText xml:space="preserve"> PAGEREF _Toc15143 \h </w:instrText>
          </w:r>
          <w:r>
            <w:fldChar w:fldCharType="separate"/>
          </w:r>
          <w:r>
            <w:t>175</w:t>
          </w:r>
          <w:r>
            <w:fldChar w:fldCharType="end"/>
          </w:r>
          <w:r>
            <w:rPr>
              <w:rFonts w:ascii="Times New Roman" w:hAnsi="Times New Roman" w:eastAsia="Times New Roman" w:cs="Times New Roman"/>
              <w:color w:val="auto"/>
              <w:szCs w:val="21"/>
              <w:highlight w:val="none"/>
            </w:rPr>
            <w:fldChar w:fldCharType="end"/>
          </w:r>
        </w:p>
        <w:p w14:paraId="679367A7">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_Toc12555 </w:instrText>
          </w:r>
          <w:r>
            <w:rPr>
              <w:rFonts w:ascii="Times New Roman" w:hAnsi="Times New Roman" w:eastAsia="Times New Roman" w:cs="Times New Roman"/>
              <w:szCs w:val="21"/>
              <w:highlight w:val="none"/>
            </w:rPr>
            <w:fldChar w:fldCharType="separate"/>
          </w:r>
          <w:r>
            <w:rPr>
              <w:rFonts w:ascii="宋体" w:hAnsi="宋体" w:eastAsia="宋体" w:cs="宋体"/>
              <w:bCs/>
              <w:spacing w:val="-3"/>
              <w:szCs w:val="28"/>
              <w:highlight w:val="none"/>
            </w:rPr>
            <w:t>施工组织设计编制原则</w:t>
          </w:r>
          <w:r>
            <w:tab/>
          </w:r>
          <w:r>
            <w:fldChar w:fldCharType="begin"/>
          </w:r>
          <w:r>
            <w:instrText xml:space="preserve"> PAGEREF _Toc12555 \h </w:instrText>
          </w:r>
          <w:r>
            <w:fldChar w:fldCharType="separate"/>
          </w:r>
          <w:r>
            <w:t>176</w:t>
          </w:r>
          <w:r>
            <w:fldChar w:fldCharType="end"/>
          </w:r>
          <w:r>
            <w:rPr>
              <w:rFonts w:ascii="Times New Roman" w:hAnsi="Times New Roman" w:eastAsia="Times New Roman" w:cs="Times New Roman"/>
              <w:color w:val="auto"/>
              <w:szCs w:val="21"/>
              <w:highlight w:val="none"/>
            </w:rPr>
            <w:fldChar w:fldCharType="end"/>
          </w:r>
        </w:p>
        <w:p w14:paraId="6DFA2390">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_Toc14216 </w:instrText>
          </w:r>
          <w:r>
            <w:rPr>
              <w:rFonts w:ascii="Times New Roman" w:hAnsi="Times New Roman" w:eastAsia="Times New Roman" w:cs="Times New Roman"/>
              <w:szCs w:val="21"/>
              <w:highlight w:val="none"/>
            </w:rPr>
            <w:fldChar w:fldCharType="separate"/>
          </w:r>
          <w:r>
            <w:rPr>
              <w:rFonts w:hint="eastAsia" w:ascii="宋体" w:hAnsi="宋体" w:eastAsia="宋体" w:cs="宋体"/>
              <w:bCs/>
              <w:strike/>
              <w:dstrike w:val="0"/>
              <w:spacing w:val="-5"/>
              <w:szCs w:val="28"/>
              <w:highlight w:val="none"/>
              <w:lang w:eastAsia="zh-CN"/>
            </w:rPr>
            <w:t>二</w:t>
          </w:r>
          <w:r>
            <w:rPr>
              <w:rFonts w:ascii="宋体" w:hAnsi="宋体" w:eastAsia="宋体" w:cs="宋体"/>
              <w:bCs/>
              <w:strike/>
              <w:dstrike w:val="0"/>
              <w:spacing w:val="-5"/>
              <w:szCs w:val="28"/>
              <w:highlight w:val="none"/>
            </w:rPr>
            <w:t>、拟分包项目情况表</w:t>
          </w:r>
          <w:r>
            <w:tab/>
          </w:r>
          <w:r>
            <w:fldChar w:fldCharType="begin"/>
          </w:r>
          <w:r>
            <w:instrText xml:space="preserve"> PAGEREF _Toc14216 \h </w:instrText>
          </w:r>
          <w:r>
            <w:fldChar w:fldCharType="separate"/>
          </w:r>
          <w:r>
            <w:t>183</w:t>
          </w:r>
          <w:r>
            <w:fldChar w:fldCharType="end"/>
          </w:r>
          <w:r>
            <w:rPr>
              <w:rFonts w:ascii="Times New Roman" w:hAnsi="Times New Roman" w:eastAsia="Times New Roman" w:cs="Times New Roman"/>
              <w:color w:val="auto"/>
              <w:szCs w:val="21"/>
              <w:highlight w:val="none"/>
            </w:rPr>
            <w:fldChar w:fldCharType="end"/>
          </w:r>
        </w:p>
        <w:p w14:paraId="02710B0C">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_Toc2366 </w:instrText>
          </w:r>
          <w:r>
            <w:rPr>
              <w:rFonts w:ascii="Times New Roman" w:hAnsi="Times New Roman" w:eastAsia="Times New Roman" w:cs="Times New Roman"/>
              <w:szCs w:val="21"/>
              <w:highlight w:val="none"/>
            </w:rPr>
            <w:fldChar w:fldCharType="separate"/>
          </w:r>
          <w:r>
            <w:rPr>
              <w:rFonts w:ascii="宋体" w:hAnsi="宋体" w:eastAsia="宋体" w:cs="宋体"/>
              <w:bCs/>
              <w:spacing w:val="-7"/>
              <w:szCs w:val="28"/>
              <w:highlight w:val="none"/>
            </w:rPr>
            <w:t>资信标目录</w:t>
          </w:r>
          <w:r>
            <w:tab/>
          </w:r>
          <w:r>
            <w:fldChar w:fldCharType="begin"/>
          </w:r>
          <w:r>
            <w:instrText xml:space="preserve"> PAGEREF _Toc2366 \h </w:instrText>
          </w:r>
          <w:r>
            <w:fldChar w:fldCharType="separate"/>
          </w:r>
          <w:r>
            <w:t>185</w:t>
          </w:r>
          <w:r>
            <w:fldChar w:fldCharType="end"/>
          </w:r>
          <w:r>
            <w:rPr>
              <w:rFonts w:ascii="Times New Roman" w:hAnsi="Times New Roman" w:eastAsia="Times New Roman" w:cs="Times New Roman"/>
              <w:color w:val="auto"/>
              <w:szCs w:val="21"/>
              <w:highlight w:val="none"/>
            </w:rPr>
            <w:fldChar w:fldCharType="end"/>
          </w:r>
        </w:p>
        <w:p w14:paraId="315E7C84">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_Toc19334 </w:instrText>
          </w:r>
          <w:r>
            <w:rPr>
              <w:rFonts w:ascii="Times New Roman" w:hAnsi="Times New Roman" w:eastAsia="Times New Roman" w:cs="Times New Roman"/>
              <w:szCs w:val="21"/>
              <w:highlight w:val="none"/>
            </w:rPr>
            <w:fldChar w:fldCharType="separate"/>
          </w:r>
          <w:r>
            <w:rPr>
              <w:rFonts w:ascii="宋体" w:hAnsi="宋体" w:eastAsia="宋体" w:cs="宋体"/>
              <w:bCs/>
              <w:spacing w:val="-6"/>
              <w:szCs w:val="28"/>
              <w:highlight w:val="none"/>
            </w:rPr>
            <w:t>一、企业信用等级</w:t>
          </w:r>
          <w:r>
            <w:tab/>
          </w:r>
          <w:r>
            <w:fldChar w:fldCharType="begin"/>
          </w:r>
          <w:r>
            <w:instrText xml:space="preserve"> PAGEREF _Toc19334 \h </w:instrText>
          </w:r>
          <w:r>
            <w:fldChar w:fldCharType="separate"/>
          </w:r>
          <w:r>
            <w:t>186</w:t>
          </w:r>
          <w:r>
            <w:fldChar w:fldCharType="end"/>
          </w:r>
          <w:r>
            <w:rPr>
              <w:rFonts w:ascii="Times New Roman" w:hAnsi="Times New Roman" w:eastAsia="Times New Roman" w:cs="Times New Roman"/>
              <w:color w:val="auto"/>
              <w:szCs w:val="21"/>
              <w:highlight w:val="none"/>
            </w:rPr>
            <w:fldChar w:fldCharType="end"/>
          </w:r>
        </w:p>
        <w:p w14:paraId="0E05189E">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_Toc27044 </w:instrText>
          </w:r>
          <w:r>
            <w:rPr>
              <w:rFonts w:ascii="Times New Roman" w:hAnsi="Times New Roman" w:eastAsia="Times New Roman" w:cs="Times New Roman"/>
              <w:szCs w:val="21"/>
              <w:highlight w:val="none"/>
            </w:rPr>
            <w:fldChar w:fldCharType="separate"/>
          </w:r>
          <w:r>
            <w:rPr>
              <w:rFonts w:ascii="宋体" w:hAnsi="宋体" w:eastAsia="宋体" w:cs="宋体"/>
              <w:bCs/>
              <w:strike/>
              <w:dstrike w:val="0"/>
              <w:spacing w:val="-4"/>
              <w:szCs w:val="28"/>
              <w:highlight w:val="none"/>
            </w:rPr>
            <w:t>二、评审打分业绩</w:t>
          </w:r>
          <w:r>
            <w:tab/>
          </w:r>
          <w:r>
            <w:fldChar w:fldCharType="begin"/>
          </w:r>
          <w:r>
            <w:instrText xml:space="preserve"> PAGEREF _Toc27044 \h </w:instrText>
          </w:r>
          <w:r>
            <w:fldChar w:fldCharType="separate"/>
          </w:r>
          <w:r>
            <w:t>187</w:t>
          </w:r>
          <w:r>
            <w:fldChar w:fldCharType="end"/>
          </w:r>
          <w:r>
            <w:rPr>
              <w:rFonts w:ascii="Times New Roman" w:hAnsi="Times New Roman" w:eastAsia="Times New Roman" w:cs="Times New Roman"/>
              <w:color w:val="auto"/>
              <w:szCs w:val="21"/>
              <w:highlight w:val="none"/>
            </w:rPr>
            <w:fldChar w:fldCharType="end"/>
          </w:r>
        </w:p>
        <w:p w14:paraId="048A9E0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_Toc32475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28"/>
              <w:highlight w:val="none"/>
            </w:rPr>
            <w:t>三、其他材料</w:t>
          </w:r>
          <w:r>
            <w:tab/>
          </w:r>
          <w:r>
            <w:fldChar w:fldCharType="begin"/>
          </w:r>
          <w:r>
            <w:instrText xml:space="preserve"> PAGEREF _Toc32475 \h </w:instrText>
          </w:r>
          <w:r>
            <w:fldChar w:fldCharType="separate"/>
          </w:r>
          <w:r>
            <w:t>189</w:t>
          </w:r>
          <w:r>
            <w:fldChar w:fldCharType="end"/>
          </w:r>
          <w:r>
            <w:rPr>
              <w:rFonts w:ascii="Times New Roman" w:hAnsi="Times New Roman" w:eastAsia="Times New Roman" w:cs="Times New Roman"/>
              <w:color w:val="auto"/>
              <w:szCs w:val="21"/>
              <w:highlight w:val="none"/>
            </w:rPr>
            <w:fldChar w:fldCharType="end"/>
          </w:r>
        </w:p>
        <w:p w14:paraId="752C2C78">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_Toc21809 </w:instrText>
          </w:r>
          <w:r>
            <w:rPr>
              <w:rFonts w:ascii="Times New Roman" w:hAnsi="Times New Roman" w:eastAsia="Times New Roman" w:cs="Times New Roman"/>
              <w:szCs w:val="21"/>
              <w:highlight w:val="none"/>
            </w:rPr>
            <w:fldChar w:fldCharType="separate"/>
          </w:r>
          <w:r>
            <w:rPr>
              <w:rFonts w:ascii="宋体" w:hAnsi="宋体" w:eastAsia="宋体" w:cs="宋体"/>
              <w:bCs/>
              <w:spacing w:val="-7"/>
              <w:szCs w:val="28"/>
              <w:highlight w:val="none"/>
            </w:rPr>
            <w:t>四、原件的复制件</w:t>
          </w:r>
          <w:r>
            <w:tab/>
          </w:r>
          <w:r>
            <w:fldChar w:fldCharType="begin"/>
          </w:r>
          <w:r>
            <w:instrText xml:space="preserve"> PAGEREF _Toc21809 \h </w:instrText>
          </w:r>
          <w:r>
            <w:fldChar w:fldCharType="separate"/>
          </w:r>
          <w:r>
            <w:t>190</w:t>
          </w:r>
          <w:r>
            <w:fldChar w:fldCharType="end"/>
          </w:r>
          <w:r>
            <w:rPr>
              <w:rFonts w:ascii="Times New Roman" w:hAnsi="Times New Roman" w:eastAsia="Times New Roman" w:cs="Times New Roman"/>
              <w:color w:val="auto"/>
              <w:szCs w:val="21"/>
              <w:highlight w:val="none"/>
            </w:rPr>
            <w:fldChar w:fldCharType="end"/>
          </w:r>
        </w:p>
        <w:p w14:paraId="172F48DD">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_Toc8749 </w:instrText>
          </w:r>
          <w:r>
            <w:rPr>
              <w:rFonts w:ascii="Times New Roman" w:hAnsi="Times New Roman" w:eastAsia="Times New Roman" w:cs="Times New Roman"/>
              <w:szCs w:val="21"/>
              <w:highlight w:val="none"/>
            </w:rPr>
            <w:fldChar w:fldCharType="separate"/>
          </w:r>
          <w:r>
            <w:rPr>
              <w:rFonts w:hint="eastAsia" w:ascii="宋体" w:hAnsi="宋体" w:eastAsia="宋体" w:cs="宋体"/>
              <w:bCs/>
              <w:strike w:val="0"/>
              <w:dstrike w:val="0"/>
              <w:snapToGrid w:val="0"/>
              <w:spacing w:val="-7"/>
              <w:kern w:val="0"/>
              <w:szCs w:val="24"/>
              <w:lang w:val="en-US" w:eastAsia="zh-CN" w:bidi="ar-SA"/>
            </w:rPr>
            <w:t>1.</w:t>
          </w:r>
          <w:r>
            <w:rPr>
              <w:rFonts w:hint="eastAsia" w:ascii="宋体" w:hAnsi="宋体" w:eastAsia="宋体" w:cs="宋体"/>
              <w:bCs/>
              <w:strike w:val="0"/>
              <w:dstrike w:val="0"/>
              <w:spacing w:val="-7"/>
              <w:szCs w:val="24"/>
              <w:highlight w:val="none"/>
              <w:lang w:val="en-US" w:eastAsia="zh-CN"/>
            </w:rPr>
            <w:t>企业信用等级</w:t>
          </w:r>
          <w:r>
            <w:tab/>
          </w:r>
          <w:r>
            <w:fldChar w:fldCharType="begin"/>
          </w:r>
          <w:r>
            <w:instrText xml:space="preserve"> PAGEREF _Toc8749 \h </w:instrText>
          </w:r>
          <w:r>
            <w:fldChar w:fldCharType="separate"/>
          </w:r>
          <w:r>
            <w:t>191</w:t>
          </w:r>
          <w:r>
            <w:fldChar w:fldCharType="end"/>
          </w:r>
          <w:r>
            <w:rPr>
              <w:rFonts w:ascii="Times New Roman" w:hAnsi="Times New Roman" w:eastAsia="Times New Roman" w:cs="Times New Roman"/>
              <w:color w:val="auto"/>
              <w:szCs w:val="21"/>
              <w:highlight w:val="none"/>
            </w:rPr>
            <w:fldChar w:fldCharType="end"/>
          </w:r>
        </w:p>
        <w:p w14:paraId="40941F33">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_Toc21873 </w:instrText>
          </w:r>
          <w:r>
            <w:rPr>
              <w:rFonts w:ascii="Times New Roman" w:hAnsi="Times New Roman" w:eastAsia="Times New Roman" w:cs="Times New Roman"/>
              <w:szCs w:val="21"/>
              <w:highlight w:val="none"/>
            </w:rPr>
            <w:fldChar w:fldCharType="separate"/>
          </w:r>
          <w:r>
            <w:rPr>
              <w:rFonts w:ascii="宋体" w:hAnsi="宋体" w:eastAsia="宋体" w:cs="宋体"/>
              <w:strike/>
              <w:dstrike w:val="0"/>
              <w:spacing w:val="-1"/>
              <w:szCs w:val="21"/>
            </w:rPr>
            <w:t>注：如提供的是联合体业绩，还须提供联合体协议书。</w:t>
          </w:r>
          <w:r>
            <w:tab/>
          </w:r>
          <w:r>
            <w:fldChar w:fldCharType="begin"/>
          </w:r>
          <w:r>
            <w:instrText xml:space="preserve"> PAGEREF _Toc21873 \h </w:instrText>
          </w:r>
          <w:r>
            <w:fldChar w:fldCharType="separate"/>
          </w:r>
          <w:r>
            <w:t>192</w:t>
          </w:r>
          <w:r>
            <w:fldChar w:fldCharType="end"/>
          </w:r>
          <w:r>
            <w:rPr>
              <w:rFonts w:ascii="Times New Roman" w:hAnsi="Times New Roman" w:eastAsia="Times New Roman" w:cs="Times New Roman"/>
              <w:color w:val="auto"/>
              <w:szCs w:val="21"/>
              <w:highlight w:val="none"/>
            </w:rPr>
            <w:fldChar w:fldCharType="end"/>
          </w:r>
        </w:p>
        <w:p w14:paraId="153BC7C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_Toc3689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商务标目录</w:t>
          </w:r>
          <w:r>
            <w:tab/>
          </w:r>
          <w:r>
            <w:fldChar w:fldCharType="begin"/>
          </w:r>
          <w:r>
            <w:instrText xml:space="preserve"> PAGEREF _Toc3689 \h </w:instrText>
          </w:r>
          <w:r>
            <w:fldChar w:fldCharType="separate"/>
          </w:r>
          <w:r>
            <w:t>195</w:t>
          </w:r>
          <w:r>
            <w:fldChar w:fldCharType="end"/>
          </w:r>
          <w:r>
            <w:rPr>
              <w:rFonts w:ascii="Times New Roman" w:hAnsi="Times New Roman" w:eastAsia="Times New Roman" w:cs="Times New Roman"/>
              <w:color w:val="auto"/>
              <w:szCs w:val="21"/>
              <w:highlight w:val="none"/>
            </w:rPr>
            <w:fldChar w:fldCharType="end"/>
          </w:r>
        </w:p>
        <w:p w14:paraId="3431DE8E">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_Toc18151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一、投标函及投标函附录</w:t>
          </w:r>
          <w:r>
            <w:tab/>
          </w:r>
          <w:r>
            <w:fldChar w:fldCharType="begin"/>
          </w:r>
          <w:r>
            <w:instrText xml:space="preserve"> PAGEREF _Toc18151 \h </w:instrText>
          </w:r>
          <w:r>
            <w:fldChar w:fldCharType="separate"/>
          </w:r>
          <w:r>
            <w:t>196</w:t>
          </w:r>
          <w:r>
            <w:fldChar w:fldCharType="end"/>
          </w:r>
          <w:r>
            <w:rPr>
              <w:rFonts w:ascii="Times New Roman" w:hAnsi="Times New Roman" w:eastAsia="Times New Roman" w:cs="Times New Roman"/>
              <w:color w:val="auto"/>
              <w:szCs w:val="21"/>
              <w:highlight w:val="none"/>
            </w:rPr>
            <w:fldChar w:fldCharType="end"/>
          </w:r>
        </w:p>
        <w:p w14:paraId="4DEDDFC2">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_Toc8235 </w:instrText>
          </w:r>
          <w:r>
            <w:rPr>
              <w:rFonts w:ascii="Times New Roman" w:hAnsi="Times New Roman" w:eastAsia="Times New Roman" w:cs="Times New Roman"/>
              <w:szCs w:val="21"/>
              <w:highlight w:val="none"/>
            </w:rPr>
            <w:fldChar w:fldCharType="separate"/>
          </w:r>
          <w:r>
            <w:rPr>
              <w:rFonts w:ascii="宋体" w:hAnsi="宋体" w:eastAsia="宋体" w:cs="宋体"/>
              <w:bCs/>
              <w:spacing w:val="-5"/>
              <w:szCs w:val="28"/>
              <w:highlight w:val="none"/>
            </w:rPr>
            <w:t>二、已标价工程量清单</w:t>
          </w:r>
          <w:r>
            <w:tab/>
          </w:r>
          <w:r>
            <w:fldChar w:fldCharType="begin"/>
          </w:r>
          <w:r>
            <w:instrText xml:space="preserve"> PAGEREF _Toc8235 \h </w:instrText>
          </w:r>
          <w:r>
            <w:fldChar w:fldCharType="separate"/>
          </w:r>
          <w:r>
            <w:t>198</w:t>
          </w:r>
          <w:r>
            <w:fldChar w:fldCharType="end"/>
          </w:r>
          <w:r>
            <w:rPr>
              <w:rFonts w:ascii="Times New Roman" w:hAnsi="Times New Roman" w:eastAsia="Times New Roman" w:cs="Times New Roman"/>
              <w:color w:val="auto"/>
              <w:szCs w:val="21"/>
              <w:highlight w:val="none"/>
            </w:rPr>
            <w:fldChar w:fldCharType="end"/>
          </w:r>
        </w:p>
        <w:p w14:paraId="543CE6C6">
          <w:pPr>
            <w:pStyle w:val="14"/>
            <w:tabs>
              <w:tab w:val="right" w:leader="dot" w:pos="8923"/>
            </w:tabs>
          </w:pPr>
          <w:r>
            <w:rPr>
              <w:rFonts w:ascii="Times New Roman" w:hAnsi="Times New Roman" w:eastAsia="Times New Roman" w:cs="Times New Roman"/>
              <w:color w:val="auto"/>
              <w:szCs w:val="21"/>
              <w:highlight w:val="none"/>
            </w:rPr>
            <w:fldChar w:fldCharType="begin"/>
          </w:r>
          <w:r>
            <w:rPr>
              <w:rFonts w:ascii="Times New Roman" w:hAnsi="Times New Roman" w:eastAsia="Times New Roman" w:cs="Times New Roman"/>
              <w:szCs w:val="21"/>
              <w:highlight w:val="none"/>
            </w:rPr>
            <w:instrText xml:space="preserve"> HYPERLINK \l _Toc17753 </w:instrText>
          </w:r>
          <w:r>
            <w:rPr>
              <w:rFonts w:ascii="Times New Roman" w:hAnsi="Times New Roman" w:eastAsia="Times New Roman" w:cs="Times New Roman"/>
              <w:szCs w:val="21"/>
              <w:highlight w:val="none"/>
            </w:rPr>
            <w:fldChar w:fldCharType="separate"/>
          </w:r>
          <w:r>
            <w:rPr>
              <w:rFonts w:ascii="宋体" w:hAnsi="宋体" w:eastAsia="宋体" w:cs="宋体"/>
              <w:bCs/>
              <w:spacing w:val="-4"/>
              <w:szCs w:val="28"/>
              <w:highlight w:val="none"/>
            </w:rPr>
            <w:t>三、其他材料</w:t>
          </w:r>
          <w:r>
            <w:tab/>
          </w:r>
          <w:r>
            <w:fldChar w:fldCharType="begin"/>
          </w:r>
          <w:r>
            <w:instrText xml:space="preserve"> PAGEREF _Toc17753 \h </w:instrText>
          </w:r>
          <w:r>
            <w:fldChar w:fldCharType="separate"/>
          </w:r>
          <w:r>
            <w:t>218</w:t>
          </w:r>
          <w:r>
            <w:fldChar w:fldCharType="end"/>
          </w:r>
          <w:r>
            <w:rPr>
              <w:rFonts w:ascii="Times New Roman" w:hAnsi="Times New Roman" w:eastAsia="Times New Roman" w:cs="Times New Roman"/>
              <w:color w:val="auto"/>
              <w:szCs w:val="21"/>
              <w:highlight w:val="none"/>
            </w:rPr>
            <w:fldChar w:fldCharType="end"/>
          </w:r>
        </w:p>
        <w:p w14:paraId="29E43478">
          <w:pPr>
            <w:spacing w:line="221" w:lineRule="auto"/>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zCs w:val="21"/>
              <w:highlight w:val="none"/>
            </w:rPr>
            <w:fldChar w:fldCharType="end"/>
          </w:r>
        </w:p>
      </w:sdtContent>
    </w:sdt>
    <w:p w14:paraId="74392031">
      <w:pPr>
        <w:pStyle w:val="17"/>
        <w:rPr>
          <w:color w:val="auto"/>
          <w:highlight w:val="none"/>
        </w:rPr>
      </w:pPr>
    </w:p>
    <w:p w14:paraId="4A587ED6">
      <w:pPr>
        <w:pStyle w:val="8"/>
        <w:rPr>
          <w:color w:val="auto"/>
          <w:highlight w:val="none"/>
        </w:rPr>
      </w:pPr>
    </w:p>
    <w:p w14:paraId="544EE7A5">
      <w:pPr>
        <w:pStyle w:val="9"/>
        <w:rPr>
          <w:color w:val="auto"/>
          <w:highlight w:val="none"/>
        </w:rPr>
      </w:pPr>
    </w:p>
    <w:p w14:paraId="2BA1C254">
      <w:pPr>
        <w:rPr>
          <w:color w:val="auto"/>
          <w:highlight w:val="none"/>
        </w:rPr>
      </w:pPr>
    </w:p>
    <w:p w14:paraId="7831AF7B">
      <w:pPr>
        <w:pStyle w:val="17"/>
        <w:rPr>
          <w:color w:val="auto"/>
          <w:highlight w:val="none"/>
        </w:rPr>
      </w:pPr>
    </w:p>
    <w:sdt>
      <w:sdtPr>
        <w:rPr>
          <w:rFonts w:ascii="宋体" w:hAnsi="宋体" w:eastAsia="宋体" w:cs="宋体"/>
          <w:color w:val="auto"/>
          <w:sz w:val="28"/>
          <w:szCs w:val="28"/>
          <w:highlight w:val="none"/>
        </w:rPr>
        <w:id w:val="147474258"/>
        <w:showingPlcHdr/>
        <w:docPartObj>
          <w:docPartGallery w:val="Table of Contents"/>
          <w:docPartUnique/>
        </w:docPartObj>
      </w:sdtPr>
      <w:sdtEndPr>
        <w:rPr>
          <w:rFonts w:ascii="Times New Roman" w:hAnsi="Times New Roman" w:eastAsia="Times New Roman" w:cs="Times New Roman"/>
          <w:color w:val="auto"/>
          <w:sz w:val="24"/>
          <w:szCs w:val="24"/>
          <w:highlight w:val="none"/>
        </w:rPr>
      </w:sdtEndPr>
      <w:sdtContent>
        <w:p w14:paraId="1F962BA9">
          <w:pPr>
            <w:pStyle w:val="3"/>
            <w:spacing w:line="247" w:lineRule="auto"/>
            <w:rPr>
              <w:color w:val="auto"/>
              <w:highlight w:val="none"/>
            </w:rPr>
          </w:pPr>
          <w:r>
            <w:rPr>
              <w:rFonts w:hint="eastAsia" w:ascii="宋体" w:hAnsi="宋体" w:eastAsia="宋体" w:cs="宋体"/>
              <w:color w:val="auto"/>
              <w:sz w:val="28"/>
              <w:szCs w:val="28"/>
              <w:highlight w:val="none"/>
              <w:lang w:eastAsia="zh-CN"/>
            </w:rPr>
            <w:t xml:space="preserve">     </w:t>
          </w:r>
        </w:p>
      </w:sdtContent>
    </w:sdt>
    <w:p w14:paraId="7A100ED6">
      <w:pPr>
        <w:pStyle w:val="3"/>
        <w:spacing w:line="247" w:lineRule="auto"/>
        <w:rPr>
          <w:color w:val="auto"/>
          <w:highlight w:val="none"/>
        </w:rPr>
      </w:pPr>
    </w:p>
    <w:p w14:paraId="0B390E6D">
      <w:pPr>
        <w:pStyle w:val="3"/>
        <w:spacing w:line="247" w:lineRule="auto"/>
        <w:rPr>
          <w:color w:val="auto"/>
          <w:highlight w:val="none"/>
        </w:rPr>
      </w:pPr>
    </w:p>
    <w:p w14:paraId="58EE7149">
      <w:pPr>
        <w:pStyle w:val="3"/>
        <w:spacing w:line="247" w:lineRule="auto"/>
        <w:rPr>
          <w:color w:val="auto"/>
          <w:highlight w:val="none"/>
        </w:rPr>
      </w:pPr>
    </w:p>
    <w:p w14:paraId="160A79B4">
      <w:pPr>
        <w:pStyle w:val="3"/>
        <w:spacing w:line="247" w:lineRule="auto"/>
        <w:rPr>
          <w:color w:val="auto"/>
          <w:highlight w:val="none"/>
        </w:rPr>
      </w:pPr>
    </w:p>
    <w:p w14:paraId="340ABDFB">
      <w:pPr>
        <w:pStyle w:val="3"/>
        <w:spacing w:line="247" w:lineRule="auto"/>
        <w:rPr>
          <w:color w:val="auto"/>
          <w:highlight w:val="none"/>
        </w:rPr>
      </w:pPr>
    </w:p>
    <w:p w14:paraId="1DD8EC6B">
      <w:pPr>
        <w:pStyle w:val="3"/>
        <w:spacing w:line="247" w:lineRule="auto"/>
        <w:rPr>
          <w:color w:val="auto"/>
          <w:highlight w:val="none"/>
        </w:rPr>
      </w:pPr>
    </w:p>
    <w:p w14:paraId="3E3B6551">
      <w:pPr>
        <w:pStyle w:val="3"/>
        <w:spacing w:line="247" w:lineRule="auto"/>
        <w:rPr>
          <w:color w:val="auto"/>
          <w:highlight w:val="none"/>
        </w:rPr>
      </w:pPr>
    </w:p>
    <w:p w14:paraId="1DA7FD6D">
      <w:pPr>
        <w:pStyle w:val="3"/>
        <w:spacing w:line="247" w:lineRule="auto"/>
        <w:rPr>
          <w:color w:val="auto"/>
          <w:highlight w:val="none"/>
        </w:rPr>
      </w:pPr>
    </w:p>
    <w:p w14:paraId="229A3136">
      <w:pPr>
        <w:pStyle w:val="3"/>
        <w:spacing w:line="247" w:lineRule="auto"/>
        <w:rPr>
          <w:color w:val="auto"/>
          <w:highlight w:val="none"/>
        </w:rPr>
      </w:pPr>
    </w:p>
    <w:p w14:paraId="40762DC7">
      <w:pPr>
        <w:pStyle w:val="3"/>
        <w:spacing w:line="248" w:lineRule="auto"/>
        <w:rPr>
          <w:color w:val="auto"/>
          <w:highlight w:val="none"/>
        </w:rPr>
      </w:pPr>
    </w:p>
    <w:p w14:paraId="03595E4A">
      <w:pPr>
        <w:pStyle w:val="3"/>
        <w:spacing w:line="248" w:lineRule="auto"/>
        <w:rPr>
          <w:color w:val="auto"/>
          <w:highlight w:val="none"/>
        </w:rPr>
      </w:pPr>
    </w:p>
    <w:p w14:paraId="28035FBA">
      <w:pPr>
        <w:pStyle w:val="3"/>
        <w:spacing w:line="248" w:lineRule="auto"/>
        <w:rPr>
          <w:color w:val="auto"/>
          <w:highlight w:val="none"/>
        </w:rPr>
      </w:pPr>
    </w:p>
    <w:p w14:paraId="6952CA8F">
      <w:pPr>
        <w:pStyle w:val="3"/>
        <w:spacing w:line="248" w:lineRule="auto"/>
        <w:rPr>
          <w:color w:val="auto"/>
          <w:highlight w:val="none"/>
        </w:rPr>
      </w:pPr>
    </w:p>
    <w:p w14:paraId="163F6FAC">
      <w:pPr>
        <w:pStyle w:val="3"/>
        <w:spacing w:line="248" w:lineRule="auto"/>
        <w:rPr>
          <w:color w:val="auto"/>
          <w:highlight w:val="none"/>
        </w:rPr>
      </w:pPr>
    </w:p>
    <w:p w14:paraId="0865B60C">
      <w:pPr>
        <w:pStyle w:val="3"/>
        <w:spacing w:line="248" w:lineRule="auto"/>
        <w:rPr>
          <w:color w:val="auto"/>
          <w:highlight w:val="none"/>
        </w:rPr>
      </w:pPr>
    </w:p>
    <w:p w14:paraId="42AB248F">
      <w:pPr>
        <w:pStyle w:val="3"/>
        <w:spacing w:line="248" w:lineRule="auto"/>
        <w:rPr>
          <w:color w:val="auto"/>
          <w:highlight w:val="none"/>
        </w:rPr>
      </w:pPr>
    </w:p>
    <w:p w14:paraId="69E18A3F">
      <w:pPr>
        <w:pStyle w:val="3"/>
        <w:spacing w:line="248" w:lineRule="auto"/>
        <w:rPr>
          <w:color w:val="auto"/>
          <w:highlight w:val="none"/>
        </w:rPr>
      </w:pPr>
    </w:p>
    <w:p w14:paraId="4325271D">
      <w:pPr>
        <w:pStyle w:val="3"/>
        <w:spacing w:line="248" w:lineRule="auto"/>
        <w:rPr>
          <w:color w:val="auto"/>
          <w:highlight w:val="none"/>
        </w:rPr>
      </w:pPr>
    </w:p>
    <w:p w14:paraId="35B3F988">
      <w:pPr>
        <w:pStyle w:val="3"/>
        <w:spacing w:line="248" w:lineRule="auto"/>
        <w:rPr>
          <w:color w:val="auto"/>
          <w:highlight w:val="none"/>
        </w:rPr>
      </w:pPr>
    </w:p>
    <w:p w14:paraId="266E3050">
      <w:pPr>
        <w:pStyle w:val="3"/>
        <w:spacing w:line="248" w:lineRule="auto"/>
        <w:rPr>
          <w:color w:val="auto"/>
          <w:highlight w:val="none"/>
        </w:rPr>
      </w:pPr>
    </w:p>
    <w:p w14:paraId="6EE71E4D">
      <w:pPr>
        <w:pStyle w:val="3"/>
        <w:spacing w:line="248" w:lineRule="auto"/>
        <w:rPr>
          <w:color w:val="auto"/>
          <w:highlight w:val="none"/>
        </w:rPr>
      </w:pPr>
    </w:p>
    <w:p w14:paraId="1AADE889">
      <w:pPr>
        <w:pStyle w:val="3"/>
        <w:spacing w:line="248" w:lineRule="auto"/>
        <w:rPr>
          <w:color w:val="auto"/>
          <w:highlight w:val="none"/>
        </w:rPr>
      </w:pPr>
    </w:p>
    <w:p w14:paraId="78678376">
      <w:pPr>
        <w:pStyle w:val="3"/>
        <w:spacing w:line="248" w:lineRule="auto"/>
        <w:rPr>
          <w:color w:val="auto"/>
          <w:highlight w:val="none"/>
        </w:rPr>
      </w:pPr>
    </w:p>
    <w:p w14:paraId="5D24A40D">
      <w:pPr>
        <w:pStyle w:val="3"/>
        <w:spacing w:line="248" w:lineRule="auto"/>
        <w:rPr>
          <w:color w:val="auto"/>
          <w:highlight w:val="none"/>
        </w:rPr>
      </w:pPr>
    </w:p>
    <w:p w14:paraId="060DA3FF">
      <w:pPr>
        <w:pStyle w:val="3"/>
        <w:spacing w:line="248" w:lineRule="auto"/>
        <w:rPr>
          <w:color w:val="auto"/>
          <w:highlight w:val="none"/>
        </w:rPr>
      </w:pPr>
    </w:p>
    <w:p w14:paraId="09419A1E">
      <w:pPr>
        <w:pStyle w:val="3"/>
        <w:spacing w:line="248" w:lineRule="auto"/>
        <w:rPr>
          <w:color w:val="auto"/>
          <w:highlight w:val="none"/>
        </w:rPr>
      </w:pPr>
    </w:p>
    <w:p w14:paraId="015F9E51">
      <w:pPr>
        <w:pStyle w:val="3"/>
        <w:spacing w:line="248" w:lineRule="auto"/>
        <w:rPr>
          <w:color w:val="auto"/>
          <w:highlight w:val="none"/>
        </w:rPr>
      </w:pPr>
    </w:p>
    <w:p w14:paraId="30F46C38">
      <w:pPr>
        <w:pStyle w:val="3"/>
        <w:spacing w:line="248" w:lineRule="auto"/>
        <w:rPr>
          <w:color w:val="auto"/>
          <w:highlight w:val="none"/>
        </w:rPr>
      </w:pPr>
    </w:p>
    <w:p w14:paraId="2B8A8842">
      <w:pPr>
        <w:pStyle w:val="3"/>
        <w:spacing w:line="248" w:lineRule="auto"/>
        <w:rPr>
          <w:color w:val="auto"/>
          <w:highlight w:val="none"/>
        </w:rPr>
      </w:pPr>
    </w:p>
    <w:p w14:paraId="1BC91FCE">
      <w:pPr>
        <w:pStyle w:val="3"/>
        <w:spacing w:line="248" w:lineRule="auto"/>
        <w:rPr>
          <w:color w:val="auto"/>
          <w:highlight w:val="none"/>
        </w:rPr>
      </w:pPr>
    </w:p>
    <w:p w14:paraId="10AA8864">
      <w:pPr>
        <w:pStyle w:val="3"/>
        <w:spacing w:line="248" w:lineRule="auto"/>
        <w:rPr>
          <w:color w:val="auto"/>
          <w:highlight w:val="none"/>
        </w:rPr>
      </w:pPr>
    </w:p>
    <w:p w14:paraId="186F1823">
      <w:pPr>
        <w:pStyle w:val="3"/>
        <w:spacing w:line="248" w:lineRule="auto"/>
        <w:rPr>
          <w:color w:val="auto"/>
          <w:highlight w:val="none"/>
        </w:rPr>
      </w:pPr>
    </w:p>
    <w:p w14:paraId="024116B7">
      <w:pPr>
        <w:pStyle w:val="3"/>
        <w:spacing w:line="248" w:lineRule="auto"/>
        <w:rPr>
          <w:color w:val="auto"/>
          <w:highlight w:val="none"/>
        </w:rPr>
      </w:pPr>
    </w:p>
    <w:p w14:paraId="5AF22849">
      <w:pPr>
        <w:pStyle w:val="3"/>
        <w:spacing w:line="248" w:lineRule="auto"/>
        <w:rPr>
          <w:color w:val="auto"/>
          <w:highlight w:val="none"/>
        </w:rPr>
      </w:pPr>
    </w:p>
    <w:p w14:paraId="5FED486C">
      <w:pPr>
        <w:spacing w:before="156" w:line="222" w:lineRule="auto"/>
        <w:ind w:left="3251"/>
        <w:outlineLvl w:val="0"/>
        <w:rPr>
          <w:rFonts w:ascii="黑体" w:hAnsi="黑体" w:eastAsia="黑体" w:cs="黑体"/>
          <w:b/>
          <w:bCs/>
          <w:color w:val="auto"/>
          <w:spacing w:val="-21"/>
          <w:sz w:val="48"/>
          <w:szCs w:val="48"/>
          <w:highlight w:val="none"/>
        </w:rPr>
      </w:pPr>
      <w:bookmarkStart w:id="6" w:name="bookmark3"/>
      <w:bookmarkEnd w:id="6"/>
      <w:bookmarkStart w:id="7" w:name="_Toc19254"/>
      <w:bookmarkStart w:id="8" w:name="_Toc29318"/>
    </w:p>
    <w:p w14:paraId="3DECC8A5">
      <w:pPr>
        <w:spacing w:before="156" w:line="222" w:lineRule="auto"/>
        <w:ind w:left="3251"/>
        <w:outlineLvl w:val="0"/>
        <w:rPr>
          <w:rFonts w:ascii="黑体" w:hAnsi="黑体" w:eastAsia="黑体" w:cs="黑体"/>
          <w:b/>
          <w:bCs/>
          <w:color w:val="auto"/>
          <w:spacing w:val="-21"/>
          <w:sz w:val="48"/>
          <w:szCs w:val="48"/>
          <w:highlight w:val="none"/>
        </w:rPr>
      </w:pPr>
    </w:p>
    <w:p w14:paraId="2CD28632">
      <w:pPr>
        <w:spacing w:before="156" w:line="222" w:lineRule="auto"/>
        <w:ind w:left="3251"/>
        <w:outlineLvl w:val="0"/>
        <w:rPr>
          <w:rFonts w:ascii="黑体" w:hAnsi="黑体" w:eastAsia="黑体" w:cs="黑体"/>
          <w:b/>
          <w:bCs/>
          <w:color w:val="auto"/>
          <w:spacing w:val="-21"/>
          <w:sz w:val="48"/>
          <w:szCs w:val="48"/>
          <w:highlight w:val="none"/>
        </w:rPr>
      </w:pPr>
    </w:p>
    <w:p w14:paraId="0D692B1B">
      <w:pPr>
        <w:spacing w:before="156" w:line="222" w:lineRule="auto"/>
        <w:ind w:left="3251"/>
        <w:outlineLvl w:val="0"/>
        <w:rPr>
          <w:rFonts w:ascii="黑体" w:hAnsi="黑体" w:eastAsia="黑体" w:cs="黑体"/>
          <w:b/>
          <w:bCs/>
          <w:color w:val="auto"/>
          <w:spacing w:val="-21"/>
          <w:sz w:val="48"/>
          <w:szCs w:val="48"/>
          <w:highlight w:val="none"/>
        </w:rPr>
      </w:pPr>
    </w:p>
    <w:p w14:paraId="71782919">
      <w:pPr>
        <w:spacing w:before="156" w:line="222" w:lineRule="auto"/>
        <w:ind w:left="3251"/>
        <w:outlineLvl w:val="0"/>
        <w:rPr>
          <w:rFonts w:ascii="黑体" w:hAnsi="黑体" w:eastAsia="黑体" w:cs="黑体"/>
          <w:b/>
          <w:bCs/>
          <w:color w:val="auto"/>
          <w:spacing w:val="-21"/>
          <w:sz w:val="48"/>
          <w:szCs w:val="48"/>
          <w:highlight w:val="none"/>
        </w:rPr>
      </w:pPr>
    </w:p>
    <w:p w14:paraId="1DE87C59">
      <w:pPr>
        <w:spacing w:before="156" w:line="222" w:lineRule="auto"/>
        <w:ind w:left="3251"/>
        <w:outlineLvl w:val="0"/>
        <w:rPr>
          <w:rFonts w:ascii="黑体" w:hAnsi="黑体" w:eastAsia="黑体" w:cs="黑体"/>
          <w:b/>
          <w:bCs/>
          <w:color w:val="auto"/>
          <w:spacing w:val="-21"/>
          <w:sz w:val="48"/>
          <w:szCs w:val="48"/>
          <w:highlight w:val="none"/>
        </w:rPr>
      </w:pPr>
    </w:p>
    <w:p w14:paraId="1E9BB36F">
      <w:pPr>
        <w:spacing w:before="156" w:line="222" w:lineRule="auto"/>
        <w:ind w:left="3251"/>
        <w:outlineLvl w:val="0"/>
        <w:rPr>
          <w:rFonts w:ascii="黑体" w:hAnsi="黑体" w:eastAsia="黑体" w:cs="黑体"/>
          <w:b/>
          <w:bCs/>
          <w:color w:val="auto"/>
          <w:spacing w:val="-21"/>
          <w:sz w:val="48"/>
          <w:szCs w:val="48"/>
          <w:highlight w:val="none"/>
        </w:rPr>
      </w:pPr>
    </w:p>
    <w:p w14:paraId="1D66F7A7">
      <w:pPr>
        <w:spacing w:before="156" w:line="222" w:lineRule="auto"/>
        <w:ind w:left="3251"/>
        <w:outlineLvl w:val="0"/>
        <w:rPr>
          <w:rFonts w:ascii="黑体" w:hAnsi="黑体" w:eastAsia="黑体" w:cs="黑体"/>
          <w:color w:val="auto"/>
          <w:sz w:val="48"/>
          <w:szCs w:val="48"/>
          <w:highlight w:val="none"/>
        </w:rPr>
      </w:pPr>
      <w:r>
        <w:rPr>
          <w:rFonts w:ascii="黑体" w:hAnsi="黑体" w:eastAsia="黑体" w:cs="黑体"/>
          <w:b/>
          <w:bCs/>
          <w:color w:val="auto"/>
          <w:spacing w:val="-21"/>
          <w:sz w:val="48"/>
          <w:szCs w:val="48"/>
          <w:highlight w:val="none"/>
        </w:rPr>
        <w:t>第</w:t>
      </w:r>
      <w:r>
        <w:rPr>
          <w:rFonts w:ascii="黑体" w:hAnsi="黑体" w:eastAsia="黑体" w:cs="黑体"/>
          <w:color w:val="auto"/>
          <w:spacing w:val="30"/>
          <w:sz w:val="48"/>
          <w:szCs w:val="48"/>
          <w:highlight w:val="none"/>
        </w:rPr>
        <w:t xml:space="preserve"> </w:t>
      </w:r>
      <w:r>
        <w:rPr>
          <w:rFonts w:ascii="黑体" w:hAnsi="黑体" w:eastAsia="黑体" w:cs="黑体"/>
          <w:b/>
          <w:bCs/>
          <w:color w:val="auto"/>
          <w:spacing w:val="-21"/>
          <w:sz w:val="48"/>
          <w:szCs w:val="48"/>
          <w:highlight w:val="none"/>
        </w:rPr>
        <w:t>一</w:t>
      </w:r>
      <w:r>
        <w:rPr>
          <w:rFonts w:ascii="黑体" w:hAnsi="黑体" w:eastAsia="黑体" w:cs="黑体"/>
          <w:color w:val="auto"/>
          <w:spacing w:val="29"/>
          <w:sz w:val="48"/>
          <w:szCs w:val="48"/>
          <w:highlight w:val="none"/>
        </w:rPr>
        <w:t xml:space="preserve"> </w:t>
      </w:r>
      <w:r>
        <w:rPr>
          <w:rFonts w:ascii="黑体" w:hAnsi="黑体" w:eastAsia="黑体" w:cs="黑体"/>
          <w:b/>
          <w:bCs/>
          <w:color w:val="auto"/>
          <w:spacing w:val="-21"/>
          <w:sz w:val="48"/>
          <w:szCs w:val="48"/>
          <w:highlight w:val="none"/>
        </w:rPr>
        <w:t>卷</w:t>
      </w:r>
      <w:bookmarkEnd w:id="7"/>
      <w:bookmarkEnd w:id="8"/>
    </w:p>
    <w:p w14:paraId="7D31B25A">
      <w:pPr>
        <w:spacing w:line="222" w:lineRule="auto"/>
        <w:rPr>
          <w:rFonts w:ascii="黑体" w:hAnsi="黑体" w:eastAsia="黑体" w:cs="黑体"/>
          <w:color w:val="auto"/>
          <w:sz w:val="48"/>
          <w:szCs w:val="48"/>
          <w:highlight w:val="none"/>
        </w:rPr>
        <w:sectPr>
          <w:pgSz w:w="11905" w:h="16843"/>
          <w:pgMar w:top="1429" w:right="1361" w:bottom="1253" w:left="1621" w:header="0" w:footer="1094" w:gutter="0"/>
          <w:pgNumType w:fmt="decimal"/>
          <w:cols w:space="0" w:num="1"/>
          <w:rtlGutter w:val="0"/>
          <w:docGrid w:linePitch="0" w:charSpace="0"/>
        </w:sectPr>
      </w:pPr>
    </w:p>
    <w:p w14:paraId="76218AA6">
      <w:pPr>
        <w:spacing w:before="304" w:line="218" w:lineRule="auto"/>
        <w:ind w:left="1000"/>
        <w:outlineLvl w:val="0"/>
        <w:rPr>
          <w:rFonts w:ascii="宋体" w:hAnsi="宋体" w:eastAsia="宋体" w:cs="宋体"/>
          <w:color w:val="auto"/>
          <w:sz w:val="36"/>
          <w:szCs w:val="36"/>
          <w:highlight w:val="none"/>
        </w:rPr>
      </w:pPr>
      <w:bookmarkStart w:id="9" w:name="bookmark5"/>
      <w:bookmarkEnd w:id="9"/>
      <w:bookmarkStart w:id="10" w:name="_Toc25395"/>
      <w:bookmarkStart w:id="11" w:name="_Toc24036"/>
      <w:r>
        <w:rPr>
          <w:rFonts w:ascii="宋体" w:hAnsi="宋体" w:eastAsia="宋体" w:cs="宋体"/>
          <w:b/>
          <w:bCs/>
          <w:color w:val="auto"/>
          <w:spacing w:val="-3"/>
          <w:sz w:val="36"/>
          <w:szCs w:val="36"/>
          <w:highlight w:val="none"/>
        </w:rPr>
        <w:t>第一章</w:t>
      </w:r>
      <w:r>
        <w:rPr>
          <w:rFonts w:ascii="宋体" w:hAnsi="宋体" w:eastAsia="宋体" w:cs="宋体"/>
          <w:color w:val="auto"/>
          <w:spacing w:val="-3"/>
          <w:sz w:val="36"/>
          <w:szCs w:val="36"/>
          <w:highlight w:val="none"/>
        </w:rPr>
        <w:t xml:space="preserve">  </w:t>
      </w:r>
      <w:r>
        <w:rPr>
          <w:rFonts w:ascii="宋体" w:hAnsi="宋体" w:eastAsia="宋体" w:cs="宋体"/>
          <w:b/>
          <w:bCs/>
          <w:color w:val="auto"/>
          <w:spacing w:val="-3"/>
          <w:sz w:val="36"/>
          <w:szCs w:val="36"/>
          <w:highlight w:val="none"/>
        </w:rPr>
        <w:t>招标公告（适用于资格后审招标）</w:t>
      </w:r>
      <w:bookmarkEnd w:id="10"/>
      <w:bookmarkEnd w:id="11"/>
    </w:p>
    <w:p w14:paraId="0CA6CC27">
      <w:pPr>
        <w:pStyle w:val="3"/>
        <w:spacing w:line="454" w:lineRule="auto"/>
        <w:rPr>
          <w:color w:val="auto"/>
          <w:highlight w:val="none"/>
        </w:rPr>
      </w:pPr>
    </w:p>
    <w:p w14:paraId="59219B1C">
      <w:pPr>
        <w:tabs>
          <w:tab w:val="left" w:pos="2622"/>
        </w:tabs>
        <w:spacing w:before="81" w:line="212" w:lineRule="auto"/>
        <w:jc w:val="center"/>
        <w:rPr>
          <w:rFonts w:ascii="宋体" w:hAnsi="宋体" w:eastAsia="宋体" w:cs="宋体"/>
          <w:color w:val="auto"/>
          <w:sz w:val="24"/>
          <w:szCs w:val="24"/>
          <w:highlight w:val="none"/>
        </w:rPr>
      </w:pPr>
      <w:r>
        <w:rPr>
          <w:rFonts w:hint="eastAsia" w:ascii="宋体" w:hAnsi="宋体" w:eastAsia="宋体" w:cs="宋体"/>
          <w:color w:val="auto"/>
          <w:sz w:val="24"/>
          <w:szCs w:val="24"/>
          <w:highlight w:val="none"/>
          <w:u w:val="single" w:color="auto"/>
          <w:lang w:eastAsia="zh-CN"/>
        </w:rPr>
        <w:t>水系连通工程--蛟闸江、小善江、石珓河等河道疏浚连通工程先行段</w:t>
      </w:r>
      <w:r>
        <w:rPr>
          <w:rFonts w:ascii="宋体" w:hAnsi="宋体" w:eastAsia="宋体" w:cs="宋体"/>
          <w:color w:val="auto"/>
          <w:spacing w:val="1"/>
          <w:sz w:val="24"/>
          <w:szCs w:val="24"/>
          <w:highlight w:val="none"/>
        </w:rPr>
        <w:t>招标公告</w:t>
      </w:r>
    </w:p>
    <w:p w14:paraId="4345976A">
      <w:pPr>
        <w:pStyle w:val="3"/>
        <w:spacing w:line="313" w:lineRule="auto"/>
        <w:rPr>
          <w:color w:val="auto"/>
          <w:highlight w:val="none"/>
        </w:rPr>
      </w:pPr>
    </w:p>
    <w:p w14:paraId="180E4ED1">
      <w:pPr>
        <w:spacing w:before="91" w:line="220" w:lineRule="auto"/>
        <w:ind w:left="47"/>
        <w:outlineLvl w:val="1"/>
        <w:rPr>
          <w:rFonts w:ascii="宋体" w:hAnsi="宋体" w:eastAsia="宋体" w:cs="宋体"/>
          <w:color w:val="auto"/>
          <w:sz w:val="28"/>
          <w:szCs w:val="28"/>
          <w:highlight w:val="none"/>
        </w:rPr>
      </w:pPr>
      <w:bookmarkStart w:id="12" w:name="bookmark7"/>
      <w:bookmarkEnd w:id="12"/>
      <w:bookmarkStart w:id="13" w:name="_Toc32495"/>
      <w:bookmarkStart w:id="14" w:name="_Toc30875"/>
      <w:r>
        <w:rPr>
          <w:rFonts w:ascii="Times New Roman" w:hAnsi="Times New Roman" w:eastAsia="Times New Roman" w:cs="Times New Roman"/>
          <w:b/>
          <w:bCs/>
          <w:color w:val="auto"/>
          <w:spacing w:val="-8"/>
          <w:sz w:val="28"/>
          <w:szCs w:val="28"/>
          <w:highlight w:val="none"/>
        </w:rPr>
        <w:t>1</w:t>
      </w:r>
      <w:r>
        <w:rPr>
          <w:rFonts w:ascii="Times New Roman" w:hAnsi="Times New Roman" w:eastAsia="Times New Roman" w:cs="Times New Roman"/>
          <w:b/>
          <w:bCs/>
          <w:color w:val="auto"/>
          <w:spacing w:val="7"/>
          <w:sz w:val="28"/>
          <w:szCs w:val="28"/>
          <w:highlight w:val="none"/>
        </w:rPr>
        <w:t xml:space="preserve">  </w:t>
      </w:r>
      <w:r>
        <w:rPr>
          <w:rFonts w:ascii="宋体" w:hAnsi="宋体" w:eastAsia="宋体" w:cs="宋体"/>
          <w:b/>
          <w:bCs/>
          <w:color w:val="auto"/>
          <w:spacing w:val="-8"/>
          <w:sz w:val="28"/>
          <w:szCs w:val="28"/>
          <w:highlight w:val="none"/>
        </w:rPr>
        <w:t>招标条件</w:t>
      </w:r>
      <w:bookmarkEnd w:id="13"/>
      <w:bookmarkEnd w:id="14"/>
    </w:p>
    <w:p w14:paraId="6C3B29EF">
      <w:pPr>
        <w:pStyle w:val="3"/>
        <w:spacing w:line="241" w:lineRule="auto"/>
        <w:rPr>
          <w:color w:val="auto"/>
          <w:highlight w:val="none"/>
        </w:rPr>
      </w:pPr>
    </w:p>
    <w:p w14:paraId="6477F4FF">
      <w:pPr>
        <w:keepNext w:val="0"/>
        <w:keepLines w:val="0"/>
        <w:pageBreakBefore w:val="0"/>
        <w:widowControl/>
        <w:kinsoku w:val="0"/>
        <w:wordWrap/>
        <w:overflowPunct/>
        <w:topLinePunct w:val="0"/>
        <w:autoSpaceDE w:val="0"/>
        <w:autoSpaceDN w:val="0"/>
        <w:bidi w:val="0"/>
        <w:adjustRightInd w:val="0"/>
        <w:snapToGrid w:val="0"/>
        <w:spacing w:line="344" w:lineRule="auto"/>
        <w:ind w:firstLine="476" w:firstLineChars="200"/>
        <w:jc w:val="both"/>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本招标项目</w:t>
      </w:r>
      <w:r>
        <w:rPr>
          <w:rFonts w:hint="eastAsia" w:ascii="宋体" w:hAnsi="宋体" w:eastAsia="宋体" w:cs="宋体"/>
          <w:color w:val="auto"/>
          <w:spacing w:val="-1"/>
          <w:sz w:val="24"/>
          <w:szCs w:val="24"/>
          <w:highlight w:val="none"/>
          <w:u w:val="single" w:color="auto"/>
          <w:lang w:eastAsia="zh-CN"/>
        </w:rPr>
        <w:t>水系连通工程--蛟闸江、小善江、石珓河等河道疏浚连通工程</w:t>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项目名称</w:t>
      </w:r>
      <w:r>
        <w:rPr>
          <w:rFonts w:ascii="宋体" w:hAnsi="宋体" w:eastAsia="宋体" w:cs="宋体"/>
          <w:color w:val="auto"/>
          <w:spacing w:val="-1"/>
          <w:sz w:val="24"/>
          <w:szCs w:val="24"/>
          <w:highlight w:val="none"/>
        </w:rPr>
        <w:t>）已由</w:t>
      </w:r>
      <w:r>
        <w:rPr>
          <w:rFonts w:ascii="宋体" w:hAnsi="宋体" w:eastAsia="宋体" w:cs="宋体"/>
          <w:color w:val="auto"/>
          <w:spacing w:val="-118"/>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镜湖新区规划管理部</w:t>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项目审批、核准或备</w:t>
      </w:r>
      <w:r>
        <w:rPr>
          <w:rFonts w:ascii="宋体" w:hAnsi="宋体" w:eastAsia="宋体" w:cs="宋体"/>
          <w:i/>
          <w:iCs/>
          <w:color w:val="auto"/>
          <w:spacing w:val="-7"/>
          <w:sz w:val="25"/>
          <w:szCs w:val="25"/>
          <w:highlight w:val="none"/>
        </w:rPr>
        <w:t>案机关名称</w:t>
      </w:r>
      <w:r>
        <w:rPr>
          <w:rFonts w:ascii="宋体" w:hAnsi="宋体" w:eastAsia="宋体" w:cs="宋体"/>
          <w:color w:val="auto"/>
          <w:spacing w:val="-7"/>
          <w:sz w:val="24"/>
          <w:szCs w:val="24"/>
          <w:highlight w:val="none"/>
        </w:rPr>
        <w:t>）以</w:t>
      </w:r>
      <w:r>
        <w:rPr>
          <w:rFonts w:ascii="宋体" w:hAnsi="宋体" w:eastAsia="宋体" w:cs="宋体"/>
          <w:color w:val="auto"/>
          <w:spacing w:val="-98"/>
          <w:sz w:val="24"/>
          <w:szCs w:val="24"/>
          <w:highlight w:val="none"/>
        </w:rPr>
        <w:t xml:space="preserve"> </w:t>
      </w:r>
      <w:r>
        <w:rPr>
          <w:rFonts w:hint="eastAsia" w:ascii="宋体" w:hAnsi="宋体" w:eastAsia="宋体" w:cs="宋体"/>
          <w:color w:val="auto"/>
          <w:spacing w:val="-7"/>
          <w:sz w:val="24"/>
          <w:szCs w:val="24"/>
          <w:highlight w:val="none"/>
          <w:u w:val="single" w:color="auto"/>
          <w:lang w:val="en-US" w:eastAsia="zh-CN"/>
        </w:rPr>
        <w:t>2512-330654-04-01-290876</w:t>
      </w:r>
      <w:r>
        <w:rPr>
          <w:rFonts w:ascii="宋体" w:hAnsi="宋体" w:eastAsia="宋体" w:cs="宋体"/>
          <w:color w:val="auto"/>
          <w:spacing w:val="-7"/>
          <w:sz w:val="24"/>
          <w:szCs w:val="24"/>
          <w:highlight w:val="none"/>
        </w:rPr>
        <w:t>（</w:t>
      </w:r>
      <w:r>
        <w:rPr>
          <w:rFonts w:ascii="宋体" w:hAnsi="宋体" w:eastAsia="宋体" w:cs="宋体"/>
          <w:i/>
          <w:iCs/>
          <w:color w:val="auto"/>
          <w:spacing w:val="-7"/>
          <w:sz w:val="25"/>
          <w:szCs w:val="25"/>
          <w:highlight w:val="none"/>
        </w:rPr>
        <w:t>批文名</w:t>
      </w:r>
      <w:r>
        <w:rPr>
          <w:rFonts w:ascii="宋体" w:hAnsi="宋体" w:eastAsia="宋体" w:cs="宋体"/>
          <w:i/>
          <w:iCs/>
          <w:color w:val="auto"/>
          <w:spacing w:val="-8"/>
          <w:sz w:val="25"/>
          <w:szCs w:val="25"/>
          <w:highlight w:val="none"/>
        </w:rPr>
        <w:t>称及编号</w:t>
      </w:r>
      <w:r>
        <w:rPr>
          <w:rFonts w:ascii="宋体" w:hAnsi="宋体" w:eastAsia="宋体" w:cs="宋体"/>
          <w:color w:val="auto"/>
          <w:spacing w:val="-8"/>
          <w:sz w:val="24"/>
          <w:szCs w:val="24"/>
          <w:highlight w:val="none"/>
        </w:rPr>
        <w:t>）批准建设，建设资金来自</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rPr>
        <w:t>自筹</w:t>
      </w:r>
      <w:r>
        <w:rPr>
          <w:rFonts w:ascii="宋体" w:hAnsi="宋体" w:eastAsia="宋体" w:cs="宋体"/>
          <w:color w:val="auto"/>
          <w:spacing w:val="-8"/>
          <w:sz w:val="24"/>
          <w:szCs w:val="24"/>
          <w:highlight w:val="none"/>
        </w:rPr>
        <w:t>（</w:t>
      </w:r>
      <w:r>
        <w:rPr>
          <w:rFonts w:ascii="宋体" w:hAnsi="宋体" w:eastAsia="宋体" w:cs="宋体"/>
          <w:i/>
          <w:iCs/>
          <w:color w:val="auto"/>
          <w:spacing w:val="-8"/>
          <w:sz w:val="25"/>
          <w:szCs w:val="25"/>
          <w:highlight w:val="none"/>
        </w:rPr>
        <w:t>资</w:t>
      </w:r>
      <w:r>
        <w:rPr>
          <w:rFonts w:ascii="宋体" w:hAnsi="宋体" w:eastAsia="宋体" w:cs="宋体"/>
          <w:i/>
          <w:iCs/>
          <w:color w:val="auto"/>
          <w:spacing w:val="14"/>
          <w:sz w:val="25"/>
          <w:szCs w:val="25"/>
          <w:highlight w:val="none"/>
        </w:rPr>
        <w:t>金来源</w:t>
      </w:r>
      <w:r>
        <w:rPr>
          <w:rFonts w:ascii="宋体" w:hAnsi="宋体" w:eastAsia="宋体" w:cs="宋体"/>
          <w:color w:val="auto"/>
          <w:spacing w:val="9"/>
          <w:sz w:val="24"/>
          <w:szCs w:val="24"/>
          <w:highlight w:val="none"/>
        </w:rPr>
        <w:t>），</w:t>
      </w:r>
      <w:r>
        <w:rPr>
          <w:rFonts w:ascii="宋体" w:hAnsi="宋体" w:eastAsia="宋体" w:cs="宋体"/>
          <w:color w:val="auto"/>
          <w:spacing w:val="14"/>
          <w:sz w:val="24"/>
          <w:szCs w:val="24"/>
          <w:highlight w:val="none"/>
        </w:rPr>
        <w:t>项目出资比例为</w:t>
      </w:r>
      <w:r>
        <w:rPr>
          <w:rFonts w:ascii="宋体" w:hAnsi="宋体" w:eastAsia="宋体" w:cs="宋体"/>
          <w:color w:val="auto"/>
          <w:spacing w:val="-100"/>
          <w:sz w:val="24"/>
          <w:szCs w:val="24"/>
          <w:highlight w:val="none"/>
        </w:rPr>
        <w:t xml:space="preserve"> </w:t>
      </w:r>
      <w:r>
        <w:rPr>
          <w:rFonts w:hint="eastAsia" w:ascii="宋体" w:hAnsi="宋体" w:eastAsia="宋体" w:cs="宋体"/>
          <w:color w:val="auto"/>
          <w:spacing w:val="14"/>
          <w:sz w:val="24"/>
          <w:szCs w:val="24"/>
          <w:highlight w:val="none"/>
          <w:u w:val="single" w:color="auto"/>
        </w:rPr>
        <w:t>100%</w:t>
      </w:r>
      <w:r>
        <w:rPr>
          <w:rFonts w:ascii="宋体" w:hAnsi="宋体" w:eastAsia="宋体" w:cs="宋体"/>
          <w:color w:val="auto"/>
          <w:spacing w:val="14"/>
          <w:sz w:val="24"/>
          <w:szCs w:val="24"/>
          <w:highlight w:val="none"/>
          <w:u w:val="single" w:color="auto"/>
        </w:rPr>
        <w:t xml:space="preserve"> </w:t>
      </w:r>
      <w:r>
        <w:rPr>
          <w:rFonts w:ascii="宋体" w:hAnsi="宋体" w:eastAsia="宋体" w:cs="宋体"/>
          <w:color w:val="auto"/>
          <w:spacing w:val="14"/>
          <w:sz w:val="24"/>
          <w:szCs w:val="24"/>
          <w:highlight w:val="none"/>
        </w:rPr>
        <w:t>，项目法人为</w:t>
      </w:r>
      <w:r>
        <w:rPr>
          <w:rFonts w:ascii="宋体" w:hAnsi="宋体" w:eastAsia="宋体" w:cs="宋体"/>
          <w:color w:val="auto"/>
          <w:spacing w:val="-101"/>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eastAsia="zh-CN"/>
        </w:rPr>
        <w:t>绍兴市镜湖综合保护投资建设有限公司</w:t>
      </w:r>
      <w:r>
        <w:rPr>
          <w:rFonts w:ascii="宋体" w:hAnsi="宋体" w:eastAsia="宋体" w:cs="宋体"/>
          <w:color w:val="auto"/>
          <w:spacing w:val="-74"/>
          <w:sz w:val="24"/>
          <w:szCs w:val="24"/>
          <w:highlight w:val="none"/>
        </w:rPr>
        <w:t xml:space="preserve"> </w:t>
      </w:r>
      <w:r>
        <w:rPr>
          <w:rFonts w:ascii="宋体" w:hAnsi="宋体" w:eastAsia="宋体" w:cs="宋体"/>
          <w:color w:val="auto"/>
          <w:spacing w:val="14"/>
          <w:sz w:val="24"/>
          <w:szCs w:val="24"/>
          <w:highlight w:val="none"/>
        </w:rPr>
        <w:t>，招标人</w:t>
      </w:r>
      <w:r>
        <w:rPr>
          <w:rFonts w:ascii="宋体" w:hAnsi="宋体" w:eastAsia="宋体" w:cs="宋体"/>
          <w:color w:val="auto"/>
          <w:spacing w:val="1"/>
          <w:sz w:val="24"/>
          <w:szCs w:val="24"/>
          <w:highlight w:val="none"/>
        </w:rPr>
        <w:t>为</w:t>
      </w:r>
      <w:r>
        <w:rPr>
          <w:rFonts w:ascii="宋体" w:hAnsi="宋体" w:eastAsia="宋体" w:cs="宋体"/>
          <w:color w:val="auto"/>
          <w:spacing w:val="-114"/>
          <w:sz w:val="24"/>
          <w:szCs w:val="24"/>
          <w:highlight w:val="none"/>
        </w:rPr>
        <w:t xml:space="preserve"> </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eastAsia="zh-CN"/>
        </w:rPr>
        <w:t>绍兴市镜湖综合保护投资建设有限公司</w:t>
      </w:r>
      <w:r>
        <w:rPr>
          <w:rFonts w:ascii="宋体" w:hAnsi="宋体" w:eastAsia="宋体" w:cs="宋体"/>
          <w:color w:val="auto"/>
          <w:spacing w:val="1"/>
          <w:sz w:val="24"/>
          <w:szCs w:val="24"/>
          <w:highlight w:val="none"/>
        </w:rPr>
        <w:t>，招标代理机构为</w:t>
      </w:r>
      <w:r>
        <w:rPr>
          <w:rFonts w:ascii="宋体" w:hAnsi="宋体" w:eastAsia="宋体" w:cs="宋体"/>
          <w:color w:val="auto"/>
          <w:spacing w:val="-118"/>
          <w:sz w:val="24"/>
          <w:szCs w:val="24"/>
          <w:highlight w:val="none"/>
        </w:rPr>
        <w:t xml:space="preserve"> </w:t>
      </w:r>
      <w:r>
        <w:rPr>
          <w:rFonts w:ascii="宋体" w:hAnsi="宋体" w:eastAsia="宋体" w:cs="宋体"/>
          <w:color w:val="auto"/>
          <w:spacing w:val="9"/>
          <w:sz w:val="24"/>
          <w:szCs w:val="24"/>
          <w:highlight w:val="none"/>
          <w:u w:val="single" w:color="auto"/>
        </w:rPr>
        <w:t xml:space="preserve"> </w:t>
      </w:r>
      <w:r>
        <w:rPr>
          <w:rFonts w:hint="eastAsia" w:ascii="宋体" w:hAnsi="宋体" w:eastAsia="宋体" w:cs="宋体"/>
          <w:color w:val="auto"/>
          <w:spacing w:val="9"/>
          <w:sz w:val="24"/>
          <w:szCs w:val="24"/>
          <w:highlight w:val="none"/>
          <w:u w:val="single" w:color="auto"/>
          <w:lang w:eastAsia="zh-CN"/>
        </w:rPr>
        <w:t>绍兴明晨建设项目管理有限公司</w:t>
      </w:r>
      <w:r>
        <w:rPr>
          <w:rFonts w:ascii="宋体" w:hAnsi="宋体" w:eastAsia="宋体" w:cs="宋体"/>
          <w:color w:val="auto"/>
          <w:spacing w:val="1"/>
          <w:sz w:val="24"/>
          <w:szCs w:val="24"/>
          <w:highlight w:val="none"/>
        </w:rPr>
        <w:t>。项目已具备招标条件，现对该项</w:t>
      </w:r>
      <w:r>
        <w:rPr>
          <w:rFonts w:ascii="宋体" w:hAnsi="宋体" w:eastAsia="宋体" w:cs="宋体"/>
          <w:color w:val="auto"/>
          <w:spacing w:val="-3"/>
          <w:sz w:val="24"/>
          <w:szCs w:val="24"/>
          <w:highlight w:val="none"/>
        </w:rPr>
        <w:t>目</w:t>
      </w:r>
      <w:r>
        <w:rPr>
          <w:rFonts w:hint="eastAsia" w:ascii="宋体" w:hAnsi="宋体" w:eastAsia="宋体" w:cs="宋体"/>
          <w:color w:val="auto"/>
          <w:spacing w:val="-1"/>
          <w:sz w:val="24"/>
          <w:szCs w:val="24"/>
          <w:highlight w:val="none"/>
          <w:u w:val="single" w:color="auto"/>
          <w:lang w:eastAsia="zh-CN"/>
        </w:rPr>
        <w:t>水系连通工程--蛟闸江、小善江、石珓河等河道疏浚连通工程先行段</w:t>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标段名称</w:t>
      </w:r>
      <w:r>
        <w:rPr>
          <w:rFonts w:ascii="宋体" w:hAnsi="宋体" w:eastAsia="宋体" w:cs="宋体"/>
          <w:color w:val="auto"/>
          <w:spacing w:val="-3"/>
          <w:sz w:val="24"/>
          <w:szCs w:val="24"/>
          <w:highlight w:val="none"/>
        </w:rPr>
        <w:t>）进行公开招标。</w:t>
      </w:r>
    </w:p>
    <w:p w14:paraId="23F606B1">
      <w:pPr>
        <w:spacing w:before="156" w:line="220" w:lineRule="auto"/>
        <w:ind w:left="35"/>
        <w:outlineLvl w:val="1"/>
        <w:rPr>
          <w:rFonts w:ascii="宋体" w:hAnsi="宋体" w:eastAsia="宋体" w:cs="宋体"/>
          <w:color w:val="auto"/>
          <w:sz w:val="28"/>
          <w:szCs w:val="28"/>
          <w:highlight w:val="none"/>
        </w:rPr>
      </w:pPr>
      <w:bookmarkStart w:id="15" w:name="bookmark9"/>
      <w:bookmarkEnd w:id="15"/>
      <w:bookmarkStart w:id="16" w:name="_Toc15798"/>
      <w:bookmarkStart w:id="17" w:name="_Toc11694"/>
      <w:r>
        <w:rPr>
          <w:rFonts w:ascii="Times New Roman" w:hAnsi="Times New Roman" w:eastAsia="Times New Roman" w:cs="Times New Roman"/>
          <w:b/>
          <w:bCs/>
          <w:color w:val="auto"/>
          <w:spacing w:val="-2"/>
          <w:sz w:val="28"/>
          <w:szCs w:val="28"/>
          <w:highlight w:val="none"/>
        </w:rPr>
        <w:t xml:space="preserve">2  </w:t>
      </w:r>
      <w:r>
        <w:rPr>
          <w:rFonts w:ascii="宋体" w:hAnsi="宋体" w:eastAsia="宋体" w:cs="宋体"/>
          <w:b/>
          <w:bCs/>
          <w:color w:val="auto"/>
          <w:spacing w:val="-2"/>
          <w:sz w:val="28"/>
          <w:szCs w:val="28"/>
          <w:highlight w:val="none"/>
        </w:rPr>
        <w:t>项目概况与招标范围</w:t>
      </w:r>
      <w:bookmarkEnd w:id="16"/>
      <w:bookmarkEnd w:id="17"/>
    </w:p>
    <w:p w14:paraId="52FE3B1D">
      <w:pPr>
        <w:pStyle w:val="3"/>
        <w:spacing w:line="243" w:lineRule="auto"/>
        <w:rPr>
          <w:color w:val="auto"/>
          <w:highlight w:val="none"/>
        </w:rPr>
      </w:pPr>
    </w:p>
    <w:p w14:paraId="28ADB49B">
      <w:pPr>
        <w:keepNext w:val="0"/>
        <w:keepLines w:val="0"/>
        <w:pageBreakBefore w:val="0"/>
        <w:widowControl/>
        <w:kinsoku w:val="0"/>
        <w:wordWrap/>
        <w:overflowPunct/>
        <w:topLinePunct w:val="0"/>
        <w:autoSpaceDE w:val="0"/>
        <w:autoSpaceDN w:val="0"/>
        <w:bidi w:val="0"/>
        <w:adjustRightInd w:val="0"/>
        <w:snapToGrid w:val="0"/>
        <w:spacing w:line="339" w:lineRule="auto"/>
        <w:ind w:right="0" w:firstLine="444" w:firstLineChars="200"/>
        <w:textAlignment w:val="baseline"/>
        <w:rPr>
          <w:rFonts w:hint="eastAsia" w:ascii="宋体" w:hAnsi="宋体" w:eastAsia="宋体" w:cs="宋体"/>
          <w:color w:val="auto"/>
          <w:sz w:val="24"/>
          <w:szCs w:val="24"/>
          <w:highlight w:val="none"/>
          <w:lang w:eastAsia="zh-CN"/>
        </w:rPr>
      </w:pPr>
      <w:r>
        <w:rPr>
          <w:rFonts w:ascii="宋体" w:hAnsi="宋体" w:eastAsia="宋体" w:cs="宋体"/>
          <w:color w:val="auto"/>
          <w:spacing w:val="-9"/>
          <w:sz w:val="24"/>
          <w:szCs w:val="24"/>
          <w:highlight w:val="none"/>
        </w:rPr>
        <w:t>项目概况</w:t>
      </w:r>
      <w:r>
        <w:rPr>
          <w:rFonts w:ascii="宋体" w:hAnsi="宋体" w:eastAsia="宋体" w:cs="宋体"/>
          <w:color w:val="auto"/>
          <w:spacing w:val="-28"/>
          <w:sz w:val="24"/>
          <w:szCs w:val="24"/>
          <w:highlight w:val="none"/>
        </w:rPr>
        <w:t>：</w:t>
      </w:r>
      <w:r>
        <w:rPr>
          <w:rFonts w:hint="eastAsia" w:ascii="宋体" w:hAnsi="宋体" w:eastAsia="宋体" w:cs="宋体"/>
          <w:color w:val="auto"/>
          <w:sz w:val="24"/>
          <w:szCs w:val="24"/>
          <w:highlight w:val="none"/>
          <w:u w:val="single" w:color="auto"/>
          <w:lang w:eastAsia="zh-CN"/>
        </w:rPr>
        <w:t>一是</w:t>
      </w:r>
      <w:r>
        <w:rPr>
          <w:rFonts w:hint="eastAsia" w:ascii="宋体" w:hAnsi="宋体" w:eastAsia="宋体" w:cs="宋体"/>
          <w:color w:val="auto"/>
          <w:spacing w:val="-1"/>
          <w:sz w:val="24"/>
          <w:szCs w:val="24"/>
          <w:highlight w:val="none"/>
          <w:u w:val="single" w:color="auto"/>
          <w:lang w:eastAsia="zh-CN"/>
        </w:rPr>
        <w:t>蛟闸江、小善江、石珓河、马家溇、狮子口等</w:t>
      </w:r>
      <w:r>
        <w:rPr>
          <w:rFonts w:hint="eastAsia" w:ascii="宋体" w:hAnsi="宋体" w:eastAsia="宋体" w:cs="宋体"/>
          <w:color w:val="auto"/>
          <w:spacing w:val="-1"/>
          <w:sz w:val="24"/>
          <w:szCs w:val="24"/>
          <w:highlight w:val="none"/>
          <w:u w:val="single" w:color="auto"/>
          <w:lang w:val="en-US" w:eastAsia="zh-CN"/>
        </w:rPr>
        <w:t>5条河道整治，整治面积约56704平方米，内容包括河道土方开挖约90330立方米、河道疏浚241525立方米、新建护岸约3556米、老桥拆除7座等；二是潞家湾、墨庄村局部地块提升改造21382平方米</w:t>
      </w:r>
      <w:r>
        <w:rPr>
          <w:rFonts w:hint="eastAsia" w:ascii="宋体" w:hAnsi="宋体" w:eastAsia="宋体" w:cs="宋体"/>
          <w:color w:val="auto"/>
          <w:sz w:val="24"/>
          <w:szCs w:val="24"/>
          <w:highlight w:val="none"/>
          <w:u w:val="single" w:color="auto"/>
        </w:rPr>
        <w:t>。建设地点：</w:t>
      </w:r>
      <w:r>
        <w:rPr>
          <w:rFonts w:hint="eastAsia" w:ascii="宋体" w:hAnsi="宋体" w:eastAsia="宋体" w:cs="宋体"/>
          <w:color w:val="auto"/>
          <w:sz w:val="24"/>
          <w:szCs w:val="24"/>
          <w:highlight w:val="none"/>
          <w:u w:val="single" w:color="auto"/>
          <w:lang w:eastAsia="zh-CN"/>
        </w:rPr>
        <w:t>东至解放大道，南至凤林西路，西至绿云路，北至洋江西路。</w:t>
      </w:r>
      <w:r>
        <w:rPr>
          <w:rFonts w:hint="eastAsia" w:ascii="宋体" w:hAnsi="宋体" w:eastAsia="宋体" w:cs="宋体"/>
          <w:color w:val="auto"/>
          <w:sz w:val="24"/>
          <w:szCs w:val="24"/>
          <w:highlight w:val="none"/>
          <w:u w:val="single" w:color="auto"/>
        </w:rPr>
        <w:t>项目概算静态总投资</w:t>
      </w:r>
      <w:r>
        <w:rPr>
          <w:rFonts w:hint="eastAsia" w:ascii="宋体" w:hAnsi="宋体" w:eastAsia="宋体" w:cs="宋体"/>
          <w:color w:val="auto"/>
          <w:sz w:val="24"/>
          <w:szCs w:val="24"/>
          <w:highlight w:val="none"/>
          <w:u w:val="single" w:color="auto"/>
          <w:lang w:eastAsia="zh-CN"/>
        </w:rPr>
        <w:t>约</w:t>
      </w:r>
      <w:r>
        <w:rPr>
          <w:rFonts w:hint="eastAsia" w:ascii="宋体" w:hAnsi="宋体" w:eastAsia="宋体" w:cs="宋体"/>
          <w:color w:val="auto"/>
          <w:sz w:val="24"/>
          <w:szCs w:val="24"/>
          <w:highlight w:val="none"/>
          <w:u w:val="single" w:color="auto"/>
        </w:rPr>
        <w:t>为</w:t>
      </w:r>
      <w:r>
        <w:rPr>
          <w:rFonts w:hint="eastAsia" w:ascii="宋体" w:hAnsi="宋体" w:eastAsia="宋体" w:cs="宋体"/>
          <w:color w:val="auto"/>
          <w:sz w:val="24"/>
          <w:szCs w:val="24"/>
          <w:highlight w:val="none"/>
          <w:u w:val="single" w:color="auto"/>
          <w:lang w:val="en-US" w:eastAsia="zh-CN"/>
        </w:rPr>
        <w:t>10149.53</w:t>
      </w:r>
      <w:r>
        <w:rPr>
          <w:rFonts w:hint="eastAsia" w:ascii="宋体" w:hAnsi="宋体" w:eastAsia="宋体" w:cs="宋体"/>
          <w:color w:val="auto"/>
          <w:sz w:val="24"/>
          <w:szCs w:val="24"/>
          <w:highlight w:val="none"/>
          <w:u w:val="single" w:color="auto"/>
        </w:rPr>
        <w:t>万元</w:t>
      </w:r>
      <w:r>
        <w:rPr>
          <w:rFonts w:hint="eastAsia" w:ascii="宋体" w:hAnsi="宋体" w:eastAsia="宋体" w:cs="宋体"/>
          <w:color w:val="auto"/>
          <w:sz w:val="24"/>
          <w:szCs w:val="24"/>
          <w:highlight w:val="none"/>
          <w:u w:val="single" w:color="auto"/>
          <w:lang w:eastAsia="zh-CN"/>
        </w:rPr>
        <w:t>。本工程治涝面积为大于15万亩</w:t>
      </w:r>
      <w:r>
        <w:rPr>
          <w:rFonts w:hint="eastAsia" w:ascii="宋体" w:hAnsi="宋体" w:eastAsia="宋体" w:cs="宋体"/>
          <w:color w:val="auto"/>
          <w:sz w:val="24"/>
          <w:szCs w:val="24"/>
          <w:highlight w:val="none"/>
          <w:u w:val="single" w:color="auto"/>
          <w:lang w:val="en-US" w:eastAsia="zh-CN"/>
        </w:rPr>
        <w:t>,</w:t>
      </w:r>
      <w:r>
        <w:rPr>
          <w:rFonts w:hint="eastAsia" w:ascii="宋体" w:hAnsi="宋体" w:eastAsia="宋体" w:cs="宋体"/>
          <w:color w:val="auto"/>
          <w:sz w:val="24"/>
          <w:szCs w:val="24"/>
          <w:highlight w:val="none"/>
          <w:u w:val="single" w:color="auto"/>
          <w:lang w:eastAsia="zh-CN"/>
        </w:rPr>
        <w:t>等别为Ⅲ等，河道护岸建筑物级别为3级，属于中型工程。</w:t>
      </w:r>
    </w:p>
    <w:p w14:paraId="4A30DDE0">
      <w:pPr>
        <w:keepNext w:val="0"/>
        <w:keepLines w:val="0"/>
        <w:pageBreakBefore w:val="0"/>
        <w:widowControl/>
        <w:kinsoku w:val="0"/>
        <w:wordWrap w:val="0"/>
        <w:overflowPunct/>
        <w:topLinePunct w:val="0"/>
        <w:autoSpaceDE w:val="0"/>
        <w:autoSpaceDN w:val="0"/>
        <w:bidi w:val="0"/>
        <w:adjustRightInd w:val="0"/>
        <w:snapToGrid w:val="0"/>
        <w:spacing w:line="356" w:lineRule="auto"/>
        <w:ind w:right="0" w:firstLine="476" w:firstLineChars="200"/>
        <w:textAlignment w:val="baseline"/>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本标段招标范围为</w:t>
      </w:r>
      <w:r>
        <w:rPr>
          <w:rFonts w:hint="eastAsia" w:ascii="宋体" w:hAnsi="宋体" w:eastAsia="宋体" w:cs="宋体"/>
          <w:color w:val="auto"/>
          <w:spacing w:val="-1"/>
          <w:sz w:val="24"/>
          <w:szCs w:val="24"/>
          <w:highlight w:val="none"/>
          <w:u w:val="none" w:color="auto"/>
          <w:lang w:val="en-US" w:eastAsia="zh-CN"/>
        </w:rPr>
        <w:t>：</w:t>
      </w:r>
      <w:r>
        <w:rPr>
          <w:rFonts w:hint="eastAsia" w:ascii="宋体" w:hAnsi="宋体" w:eastAsia="宋体" w:cs="宋体"/>
          <w:color w:val="auto"/>
          <w:spacing w:val="-1"/>
          <w:sz w:val="24"/>
          <w:szCs w:val="24"/>
          <w:highlight w:val="none"/>
          <w:u w:val="single" w:color="auto"/>
          <w:lang w:val="en-US" w:eastAsia="zh-CN"/>
        </w:rPr>
        <w:t>本项目先行段位于镜湖新区，项目范围东至越西路、西至绿云路，南至灵芝路北至洋江西路，主要建设内容涉及部分小善江、马家溇疏浚，部分蛟闸江护岸整治，总长1.85km</w:t>
      </w:r>
      <w:r>
        <w:rPr>
          <w:rFonts w:hint="eastAsia" w:ascii="宋体" w:hAnsi="宋体" w:eastAsia="宋体" w:cs="宋体"/>
          <w:color w:val="auto"/>
          <w:spacing w:val="6"/>
          <w:sz w:val="24"/>
          <w:szCs w:val="24"/>
          <w:highlight w:val="none"/>
          <w:u w:val="single" w:color="auto"/>
        </w:rPr>
        <w:t>；具体详见施工图纸及标底工程量清单</w:t>
      </w: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rPr>
        <w:t>本标段工程造价</w:t>
      </w:r>
      <w:r>
        <w:rPr>
          <w:rFonts w:hint="eastAsia" w:ascii="宋体" w:hAnsi="宋体" w:eastAsia="宋体" w:cs="宋体"/>
          <w:color w:val="auto"/>
          <w:spacing w:val="-1"/>
          <w:sz w:val="24"/>
          <w:szCs w:val="24"/>
          <w:highlight w:val="none"/>
          <w:u w:val="single"/>
          <w:lang w:val="en-US" w:eastAsia="zh-CN"/>
        </w:rPr>
        <w:t>665.4895</w:t>
      </w:r>
      <w:r>
        <w:rPr>
          <w:rFonts w:hint="eastAsia" w:ascii="宋体" w:hAnsi="宋体" w:eastAsia="宋体" w:cs="宋体"/>
          <w:color w:val="auto"/>
          <w:spacing w:val="-1"/>
          <w:sz w:val="24"/>
          <w:szCs w:val="24"/>
          <w:highlight w:val="none"/>
        </w:rPr>
        <w:t>万元，计划工期</w:t>
      </w:r>
      <w:r>
        <w:rPr>
          <w:rFonts w:hint="eastAsia" w:ascii="宋体" w:hAnsi="宋体" w:eastAsia="宋体" w:cs="宋体"/>
          <w:color w:val="auto"/>
          <w:spacing w:val="-1"/>
          <w:sz w:val="24"/>
          <w:szCs w:val="24"/>
          <w:highlight w:val="none"/>
          <w:u w:val="single"/>
          <w:lang w:val="en-US" w:eastAsia="zh-CN"/>
        </w:rPr>
        <w:t xml:space="preserve"> 180 </w:t>
      </w:r>
      <w:r>
        <w:rPr>
          <w:rFonts w:hint="eastAsia" w:ascii="宋体" w:hAnsi="宋体" w:eastAsia="宋体" w:cs="宋体"/>
          <w:color w:val="auto"/>
          <w:spacing w:val="-1"/>
          <w:sz w:val="24"/>
          <w:szCs w:val="24"/>
          <w:highlight w:val="none"/>
        </w:rPr>
        <w:t>日历天</w:t>
      </w:r>
      <w:r>
        <w:rPr>
          <w:rFonts w:ascii="宋体" w:hAnsi="宋体" w:eastAsia="宋体" w:cs="宋体"/>
          <w:color w:val="auto"/>
          <w:spacing w:val="-2"/>
          <w:sz w:val="24"/>
          <w:szCs w:val="24"/>
          <w:highlight w:val="none"/>
        </w:rPr>
        <w:t>。</w:t>
      </w:r>
    </w:p>
    <w:p w14:paraId="522F2454">
      <w:pPr>
        <w:keepNext w:val="0"/>
        <w:keepLines w:val="0"/>
        <w:pageBreakBefore w:val="0"/>
        <w:widowControl/>
        <w:kinsoku w:val="0"/>
        <w:wordWrap/>
        <w:overflowPunct/>
        <w:topLinePunct w:val="0"/>
        <w:autoSpaceDE w:val="0"/>
        <w:autoSpaceDN w:val="0"/>
        <w:bidi w:val="0"/>
        <w:adjustRightInd w:val="0"/>
        <w:snapToGrid w:val="0"/>
        <w:spacing w:before="13" w:line="219" w:lineRule="auto"/>
        <w:ind w:firstLine="460" w:firstLineChars="200"/>
        <w:textAlignment w:val="baseline"/>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5"/>
          <w:sz w:val="24"/>
          <w:szCs w:val="24"/>
          <w:highlight w:val="none"/>
        </w:rPr>
        <w:t>是否属于政府采购工程</w:t>
      </w:r>
      <w:r>
        <w:rPr>
          <w:rFonts w:ascii="宋体" w:hAnsi="宋体" w:eastAsia="宋体" w:cs="宋体"/>
          <w:strike w:val="0"/>
          <w:dstrike w:val="0"/>
          <w:color w:val="auto"/>
          <w:spacing w:val="12"/>
          <w:sz w:val="24"/>
          <w:szCs w:val="24"/>
          <w:highlight w:val="none"/>
        </w:rPr>
        <w:t xml:space="preserve"> </w:t>
      </w:r>
      <w:r>
        <w:rPr>
          <w:rFonts w:ascii="宋体" w:hAnsi="宋体" w:eastAsia="宋体" w:cs="宋体"/>
          <w:strike w:val="0"/>
          <w:dstrike w:val="0"/>
          <w:color w:val="auto"/>
          <w:spacing w:val="-5"/>
          <w:sz w:val="24"/>
          <w:szCs w:val="24"/>
          <w:highlight w:val="none"/>
        </w:rPr>
        <w:t>□是</w:t>
      </w:r>
      <w:r>
        <w:rPr>
          <w:rFonts w:ascii="宋体" w:hAnsi="宋体" w:eastAsia="宋体" w:cs="宋体"/>
          <w:strike w:val="0"/>
          <w:dstrike w:val="0"/>
          <w:color w:val="auto"/>
          <w:spacing w:val="18"/>
          <w:sz w:val="24"/>
          <w:szCs w:val="24"/>
          <w:highlight w:val="none"/>
        </w:rPr>
        <w:t xml:space="preserve">  </w:t>
      </w:r>
      <w:r>
        <w:rPr>
          <w:rFonts w:hint="eastAsia" w:ascii="宋体" w:hAnsi="宋体" w:eastAsia="宋体" w:cs="宋体"/>
          <w:strike w:val="0"/>
          <w:dstrike w:val="0"/>
          <w:color w:val="auto"/>
          <w:spacing w:val="-5"/>
          <w:sz w:val="24"/>
          <w:szCs w:val="24"/>
          <w:highlight w:val="none"/>
          <w:lang w:eastAsia="zh-CN"/>
        </w:rPr>
        <w:t>☑</w:t>
      </w:r>
      <w:r>
        <w:rPr>
          <w:rFonts w:ascii="宋体" w:hAnsi="宋体" w:eastAsia="宋体" w:cs="宋体"/>
          <w:strike w:val="0"/>
          <w:dstrike w:val="0"/>
          <w:color w:val="auto"/>
          <w:spacing w:val="-5"/>
          <w:sz w:val="24"/>
          <w:szCs w:val="24"/>
          <w:highlight w:val="none"/>
        </w:rPr>
        <w:t>否</w:t>
      </w:r>
    </w:p>
    <w:p w14:paraId="46B81707">
      <w:pPr>
        <w:keepNext w:val="0"/>
        <w:keepLines w:val="0"/>
        <w:pageBreakBefore w:val="0"/>
        <w:widowControl/>
        <w:kinsoku w:val="0"/>
        <w:wordWrap/>
        <w:overflowPunct/>
        <w:topLinePunct w:val="0"/>
        <w:autoSpaceDE w:val="0"/>
        <w:autoSpaceDN w:val="0"/>
        <w:bidi w:val="0"/>
        <w:adjustRightInd w:val="0"/>
        <w:snapToGrid w:val="0"/>
        <w:spacing w:before="184" w:line="220" w:lineRule="auto"/>
        <w:ind w:firstLine="472" w:firstLineChars="200"/>
        <w:textAlignment w:val="baseline"/>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2"/>
          <w:sz w:val="24"/>
          <w:szCs w:val="24"/>
          <w:highlight w:val="none"/>
        </w:rPr>
        <w:t>是否专门面向中小企业预留</w:t>
      </w:r>
    </w:p>
    <w:p w14:paraId="6876F464">
      <w:pPr>
        <w:keepNext w:val="0"/>
        <w:keepLines w:val="0"/>
        <w:pageBreakBefore w:val="0"/>
        <w:widowControl/>
        <w:kinsoku w:val="0"/>
        <w:wordWrap/>
        <w:overflowPunct/>
        <w:topLinePunct w:val="0"/>
        <w:autoSpaceDE w:val="0"/>
        <w:autoSpaceDN w:val="0"/>
        <w:bidi w:val="0"/>
        <w:adjustRightInd w:val="0"/>
        <w:snapToGrid w:val="0"/>
        <w:spacing w:before="180" w:line="284" w:lineRule="auto"/>
        <w:ind w:right="1482" w:firstLine="452" w:firstLineChars="200"/>
        <w:textAlignment w:val="baseline"/>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7"/>
          <w:sz w:val="24"/>
          <w:szCs w:val="24"/>
          <w:highlight w:val="none"/>
        </w:rPr>
        <w:t xml:space="preserve">□是  </w:t>
      </w:r>
      <w:r>
        <w:rPr>
          <w:rFonts w:hint="eastAsia" w:ascii="宋体" w:hAnsi="宋体" w:eastAsia="宋体" w:cs="宋体"/>
          <w:strike w:val="0"/>
          <w:dstrike w:val="0"/>
          <w:color w:val="auto"/>
          <w:spacing w:val="-7"/>
          <w:sz w:val="24"/>
          <w:szCs w:val="24"/>
          <w:highlight w:val="none"/>
          <w:lang w:eastAsia="zh-CN"/>
        </w:rPr>
        <w:t>☑</w:t>
      </w:r>
      <w:r>
        <w:rPr>
          <w:rFonts w:ascii="宋体" w:hAnsi="宋体" w:eastAsia="宋体" w:cs="宋体"/>
          <w:strike w:val="0"/>
          <w:dstrike w:val="0"/>
          <w:color w:val="auto"/>
          <w:spacing w:val="-7"/>
          <w:sz w:val="24"/>
          <w:szCs w:val="24"/>
          <w:highlight w:val="none"/>
        </w:rPr>
        <w:t xml:space="preserve">否 </w:t>
      </w:r>
      <w:r>
        <w:rPr>
          <w:rFonts w:ascii="宋体" w:hAnsi="宋体" w:eastAsia="宋体" w:cs="宋体"/>
          <w:i/>
          <w:iCs/>
          <w:strike w:val="0"/>
          <w:dstrike w:val="0"/>
          <w:color w:val="auto"/>
          <w:spacing w:val="-7"/>
          <w:sz w:val="25"/>
          <w:szCs w:val="25"/>
          <w:highlight w:val="none"/>
          <w:u w:val="single" w:color="auto"/>
        </w:rPr>
        <w:t>（不专门面向中小企业采购的原因及适用情形）</w:t>
      </w:r>
      <w:r>
        <w:rPr>
          <w:rFonts w:ascii="宋体" w:hAnsi="宋体" w:eastAsia="宋体" w:cs="宋体"/>
          <w:strike w:val="0"/>
          <w:dstrike w:val="0"/>
          <w:color w:val="auto"/>
          <w:spacing w:val="9"/>
          <w:sz w:val="25"/>
          <w:szCs w:val="25"/>
          <w:highlight w:val="none"/>
        </w:rPr>
        <w:t xml:space="preserve"> </w:t>
      </w:r>
      <w:r>
        <w:rPr>
          <w:rFonts w:ascii="宋体" w:hAnsi="宋体" w:eastAsia="宋体" w:cs="宋体"/>
          <w:strike w:val="0"/>
          <w:dstrike w:val="0"/>
          <w:color w:val="auto"/>
          <w:spacing w:val="-1"/>
          <w:sz w:val="24"/>
          <w:szCs w:val="24"/>
          <w:highlight w:val="none"/>
        </w:rPr>
        <w:t>专门面向中小企业预留的实施方式</w:t>
      </w:r>
    </w:p>
    <w:p w14:paraId="4DC5B9D5">
      <w:pPr>
        <w:keepNext w:val="0"/>
        <w:keepLines w:val="0"/>
        <w:pageBreakBefore w:val="0"/>
        <w:widowControl/>
        <w:kinsoku w:val="0"/>
        <w:wordWrap/>
        <w:overflowPunct/>
        <w:topLinePunct w:val="0"/>
        <w:autoSpaceDE w:val="0"/>
        <w:autoSpaceDN w:val="0"/>
        <w:bidi w:val="0"/>
        <w:adjustRightInd w:val="0"/>
        <w:snapToGrid w:val="0"/>
        <w:spacing w:before="179" w:line="219" w:lineRule="auto"/>
        <w:ind w:firstLine="452" w:firstLineChars="200"/>
        <w:textAlignment w:val="baseline"/>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7"/>
          <w:sz w:val="24"/>
          <w:szCs w:val="24"/>
          <w:highlight w:val="none"/>
        </w:rPr>
        <w:t>□本标段整体面向中小企业；</w:t>
      </w:r>
    </w:p>
    <w:p w14:paraId="38F58FC9">
      <w:pPr>
        <w:keepNext w:val="0"/>
        <w:keepLines w:val="0"/>
        <w:pageBreakBefore w:val="0"/>
        <w:widowControl/>
        <w:kinsoku w:val="0"/>
        <w:wordWrap/>
        <w:overflowPunct/>
        <w:topLinePunct w:val="0"/>
        <w:autoSpaceDE w:val="0"/>
        <w:autoSpaceDN w:val="0"/>
        <w:bidi w:val="0"/>
        <w:adjustRightInd w:val="0"/>
        <w:snapToGrid w:val="0"/>
        <w:spacing w:before="184" w:line="284" w:lineRule="auto"/>
        <w:ind w:right="71" w:firstLine="464" w:firstLineChars="200"/>
        <w:textAlignment w:val="baseline"/>
        <w:rPr>
          <w:rFonts w:ascii="宋体" w:hAnsi="宋体" w:eastAsia="宋体" w:cs="宋体"/>
          <w:strike w:val="0"/>
          <w:dstrike w:val="0"/>
          <w:color w:val="auto"/>
          <w:sz w:val="24"/>
          <w:szCs w:val="24"/>
          <w:highlight w:val="none"/>
        </w:rPr>
      </w:pPr>
      <w:r>
        <w:rPr>
          <w:rFonts w:hint="eastAsia" w:ascii="宋体" w:hAnsi="宋体" w:eastAsia="宋体" w:cs="宋体"/>
          <w:strike w:val="0"/>
          <w:dstrike w:val="0"/>
          <w:color w:val="auto"/>
          <w:spacing w:val="-4"/>
          <w:sz w:val="24"/>
          <w:szCs w:val="24"/>
          <w:highlight w:val="none"/>
          <w:lang w:eastAsia="zh-CN"/>
        </w:rPr>
        <w:t>□</w:t>
      </w:r>
      <w:r>
        <w:rPr>
          <w:rFonts w:ascii="宋体" w:hAnsi="宋体" w:eastAsia="宋体" w:cs="宋体"/>
          <w:strike w:val="0"/>
          <w:dstrike w:val="0"/>
          <w:color w:val="auto"/>
          <w:spacing w:val="-4"/>
          <w:sz w:val="24"/>
          <w:szCs w:val="24"/>
          <w:highlight w:val="none"/>
        </w:rPr>
        <w:t>本标段联合体形式面向中小企业，以联合体形式参加本次投标的，联合体中中小企业承担的合同份额需达到</w:t>
      </w:r>
      <w:r>
        <w:rPr>
          <w:rFonts w:ascii="宋体" w:hAnsi="宋体" w:eastAsia="宋体" w:cs="宋体"/>
          <w:i/>
          <w:iCs/>
          <w:strike w:val="0"/>
          <w:dstrike w:val="0"/>
          <w:color w:val="auto"/>
          <w:spacing w:val="-4"/>
          <w:sz w:val="25"/>
          <w:szCs w:val="25"/>
          <w:highlight w:val="none"/>
          <w:u w:val="single" w:color="auto"/>
        </w:rPr>
        <w:t>（不低于</w:t>
      </w:r>
      <w:r>
        <w:rPr>
          <w:rFonts w:ascii="Times New Roman" w:hAnsi="Times New Roman" w:eastAsia="Times New Roman" w:cs="Times New Roman"/>
          <w:i/>
          <w:iCs/>
          <w:strike w:val="0"/>
          <w:dstrike w:val="0"/>
          <w:color w:val="auto"/>
          <w:spacing w:val="-4"/>
          <w:sz w:val="24"/>
          <w:szCs w:val="24"/>
          <w:highlight w:val="none"/>
          <w:u w:val="single" w:color="auto"/>
        </w:rPr>
        <w:t>40%</w:t>
      </w:r>
      <w:r>
        <w:rPr>
          <w:rFonts w:ascii="宋体" w:hAnsi="宋体" w:eastAsia="宋体" w:cs="宋体"/>
          <w:i/>
          <w:iCs/>
          <w:strike w:val="0"/>
          <w:dstrike w:val="0"/>
          <w:color w:val="auto"/>
          <w:spacing w:val="-4"/>
          <w:sz w:val="25"/>
          <w:szCs w:val="25"/>
          <w:highlight w:val="none"/>
          <w:u w:val="single" w:color="auto"/>
        </w:rPr>
        <w:t>）</w:t>
      </w:r>
      <w:r>
        <w:rPr>
          <w:rFonts w:ascii="宋体" w:hAnsi="宋体" w:eastAsia="宋体" w:cs="宋体"/>
          <w:strike w:val="0"/>
          <w:dstrike w:val="0"/>
          <w:color w:val="auto"/>
          <w:spacing w:val="-4"/>
          <w:sz w:val="24"/>
          <w:szCs w:val="24"/>
          <w:highlight w:val="none"/>
        </w:rPr>
        <w:t>以上。</w:t>
      </w:r>
    </w:p>
    <w:p w14:paraId="3E2E925E">
      <w:pPr>
        <w:spacing w:before="305" w:line="220" w:lineRule="auto"/>
        <w:ind w:left="33"/>
        <w:outlineLvl w:val="1"/>
        <w:rPr>
          <w:rFonts w:ascii="宋体" w:hAnsi="宋体" w:eastAsia="宋体" w:cs="宋体"/>
          <w:color w:val="auto"/>
          <w:sz w:val="28"/>
          <w:szCs w:val="28"/>
          <w:highlight w:val="none"/>
        </w:rPr>
      </w:pPr>
      <w:bookmarkStart w:id="18" w:name="bookmark11"/>
      <w:bookmarkEnd w:id="18"/>
      <w:bookmarkStart w:id="19" w:name="_Toc8538"/>
      <w:bookmarkStart w:id="20" w:name="_Toc27586"/>
      <w:r>
        <w:rPr>
          <w:rFonts w:ascii="Times New Roman" w:hAnsi="Times New Roman" w:eastAsia="Times New Roman" w:cs="Times New Roman"/>
          <w:b/>
          <w:bCs/>
          <w:color w:val="auto"/>
          <w:spacing w:val="-2"/>
          <w:sz w:val="28"/>
          <w:szCs w:val="28"/>
          <w:highlight w:val="none"/>
        </w:rPr>
        <w:t xml:space="preserve">3  </w:t>
      </w:r>
      <w:r>
        <w:rPr>
          <w:rFonts w:ascii="宋体" w:hAnsi="宋体" w:eastAsia="宋体" w:cs="宋体"/>
          <w:b/>
          <w:bCs/>
          <w:color w:val="auto"/>
          <w:spacing w:val="-2"/>
          <w:sz w:val="28"/>
          <w:szCs w:val="28"/>
          <w:highlight w:val="none"/>
        </w:rPr>
        <w:t>投标人资格要求</w:t>
      </w:r>
      <w:bookmarkEnd w:id="19"/>
      <w:bookmarkEnd w:id="20"/>
    </w:p>
    <w:p w14:paraId="491B8F68">
      <w:pPr>
        <w:pStyle w:val="3"/>
        <w:spacing w:line="245" w:lineRule="auto"/>
        <w:rPr>
          <w:color w:val="auto"/>
          <w:highlight w:val="none"/>
        </w:rPr>
      </w:pPr>
    </w:p>
    <w:p w14:paraId="229C65D1">
      <w:pPr>
        <w:spacing w:line="420" w:lineRule="exact"/>
        <w:ind w:firstLine="476" w:firstLineChars="200"/>
        <w:rPr>
          <w:rFonts w:ascii="Times New Roman" w:hAnsi="Times New Roman" w:eastAsia="宋体" w:cs="Times New Roman"/>
          <w:strike w:val="0"/>
          <w:color w:val="auto"/>
          <w:sz w:val="24"/>
          <w:szCs w:val="24"/>
          <w:highlight w:val="none"/>
          <w:lang w:eastAsia="zh-CN"/>
        </w:rPr>
      </w:pPr>
      <w:r>
        <w:rPr>
          <w:rFonts w:ascii="Times New Roman" w:hAnsi="Times New Roman" w:eastAsia="Times New Roman" w:cs="Times New Roman"/>
          <w:color w:val="auto"/>
          <w:spacing w:val="-1"/>
          <w:sz w:val="24"/>
          <w:szCs w:val="24"/>
          <w:highlight w:val="none"/>
          <w:lang w:eastAsia="zh-CN"/>
        </w:rPr>
        <w:t>3.1本</w:t>
      </w:r>
      <w:r>
        <w:rPr>
          <w:rFonts w:ascii="Times New Roman" w:hAnsi="Times New Roman" w:eastAsia="宋体" w:cs="Times New Roman"/>
          <w:color w:val="auto"/>
          <w:sz w:val="24"/>
          <w:szCs w:val="24"/>
          <w:highlight w:val="none"/>
          <w:lang w:eastAsia="zh-CN"/>
        </w:rPr>
        <w:t>次招标要求投标人具备</w:t>
      </w:r>
      <w:r>
        <w:rPr>
          <w:rFonts w:hint="eastAsia" w:ascii="Times New Roman" w:hAnsi="Times New Roman" w:eastAsia="宋体" w:cs="Times New Roman"/>
          <w:b/>
          <w:bCs/>
          <w:color w:val="auto"/>
          <w:sz w:val="24"/>
          <w:szCs w:val="24"/>
          <w:highlight w:val="none"/>
          <w:u w:val="single"/>
          <w:lang w:eastAsia="zh-CN"/>
        </w:rPr>
        <w:t>建设行政主管部门核发的水利水电工程施工总承包</w:t>
      </w:r>
      <w:r>
        <w:rPr>
          <w:rFonts w:hint="eastAsia" w:ascii="Times New Roman" w:hAnsi="Times New Roman" w:eastAsia="宋体" w:cs="Times New Roman"/>
          <w:b/>
          <w:bCs/>
          <w:color w:val="auto"/>
          <w:sz w:val="24"/>
          <w:szCs w:val="24"/>
          <w:highlight w:val="none"/>
          <w:u w:val="single"/>
          <w:lang w:val="en-US" w:eastAsia="zh-CN"/>
        </w:rPr>
        <w:t>二</w:t>
      </w:r>
      <w:r>
        <w:rPr>
          <w:rFonts w:hint="eastAsia" w:ascii="Times New Roman" w:hAnsi="Times New Roman" w:eastAsia="宋体" w:cs="Times New Roman"/>
          <w:b/>
          <w:bCs/>
          <w:color w:val="auto"/>
          <w:sz w:val="24"/>
          <w:szCs w:val="24"/>
          <w:highlight w:val="none"/>
          <w:u w:val="single"/>
          <w:lang w:eastAsia="zh-CN"/>
        </w:rPr>
        <w:t>级及以上资质</w:t>
      </w:r>
      <w:r>
        <w:rPr>
          <w:rFonts w:ascii="Times New Roman" w:hAnsi="Times New Roman" w:eastAsia="宋体" w:cs="Times New Roman"/>
          <w:color w:val="auto"/>
          <w:sz w:val="24"/>
          <w:szCs w:val="24"/>
          <w:highlight w:val="none"/>
          <w:lang w:eastAsia="zh-CN"/>
        </w:rPr>
        <w:t>，其它条件详见附表。</w:t>
      </w:r>
    </w:p>
    <w:p w14:paraId="7C18CD68">
      <w:pPr>
        <w:spacing w:before="180" w:line="285" w:lineRule="auto"/>
        <w:ind w:left="39" w:right="93" w:firstLine="479"/>
        <w:rPr>
          <w:rFonts w:ascii="宋体" w:hAnsi="宋体" w:eastAsia="宋体" w:cs="宋体"/>
          <w:color w:val="auto"/>
          <w:sz w:val="24"/>
          <w:szCs w:val="24"/>
          <w:highlight w:val="none"/>
        </w:rPr>
      </w:pPr>
      <w:r>
        <w:rPr>
          <w:rFonts w:ascii="Times New Roman" w:hAnsi="Times New Roman" w:eastAsia="Times New Roman" w:cs="Times New Roman"/>
          <w:color w:val="auto"/>
          <w:spacing w:val="-8"/>
          <w:sz w:val="24"/>
          <w:szCs w:val="24"/>
          <w:highlight w:val="none"/>
        </w:rPr>
        <w:t xml:space="preserve">3.2  </w:t>
      </w:r>
      <w:r>
        <w:rPr>
          <w:rFonts w:ascii="宋体" w:hAnsi="宋体" w:eastAsia="宋体" w:cs="宋体"/>
          <w:color w:val="auto"/>
          <w:spacing w:val="-8"/>
          <w:sz w:val="24"/>
          <w:szCs w:val="24"/>
          <w:highlight w:val="none"/>
        </w:rPr>
        <w:t>本次招标</w:t>
      </w:r>
      <w:r>
        <w:rPr>
          <w:rFonts w:ascii="宋体" w:hAnsi="宋体" w:eastAsia="宋体" w:cs="宋体"/>
          <w:color w:val="auto"/>
          <w:spacing w:val="-8"/>
          <w:sz w:val="24"/>
          <w:szCs w:val="24"/>
          <w:highlight w:val="none"/>
          <w:u w:val="single" w:color="auto"/>
        </w:rPr>
        <w:t xml:space="preserve"> </w:t>
      </w:r>
      <w:r>
        <w:rPr>
          <w:rFonts w:ascii="宋体" w:hAnsi="宋体" w:eastAsia="宋体" w:cs="宋体"/>
          <w:i w:val="0"/>
          <w:iCs w:val="0"/>
          <w:color w:val="auto"/>
          <w:spacing w:val="-8"/>
          <w:sz w:val="24"/>
          <w:szCs w:val="24"/>
          <w:highlight w:val="none"/>
          <w:u w:val="single" w:color="auto"/>
        </w:rPr>
        <w:t xml:space="preserve"> </w:t>
      </w:r>
      <w:r>
        <w:rPr>
          <w:rFonts w:ascii="宋体" w:hAnsi="宋体" w:eastAsia="宋体" w:cs="宋体"/>
          <w:i w:val="0"/>
          <w:iCs w:val="0"/>
          <w:color w:val="auto"/>
          <w:spacing w:val="-8"/>
          <w:sz w:val="25"/>
          <w:szCs w:val="25"/>
          <w:highlight w:val="none"/>
          <w:u w:val="single" w:color="auto"/>
        </w:rPr>
        <w:t>不接受</w:t>
      </w:r>
      <w:r>
        <w:rPr>
          <w:rFonts w:hint="eastAsia" w:ascii="宋体" w:hAnsi="宋体" w:eastAsia="宋体" w:cs="宋体"/>
          <w:i/>
          <w:iCs/>
          <w:color w:val="auto"/>
          <w:spacing w:val="-8"/>
          <w:sz w:val="25"/>
          <w:szCs w:val="25"/>
          <w:highlight w:val="none"/>
          <w:lang w:val="en-US" w:eastAsia="zh-CN"/>
        </w:rPr>
        <w:t xml:space="preserve"> </w:t>
      </w:r>
      <w:r>
        <w:rPr>
          <w:rFonts w:ascii="宋体" w:hAnsi="宋体" w:eastAsia="宋体" w:cs="宋体"/>
          <w:color w:val="auto"/>
          <w:spacing w:val="-8"/>
          <w:sz w:val="24"/>
          <w:szCs w:val="24"/>
          <w:highlight w:val="none"/>
        </w:rPr>
        <w:t>联合体投标。接受联合体投标，</w:t>
      </w:r>
      <w:r>
        <w:rPr>
          <w:rFonts w:ascii="宋体" w:hAnsi="宋体" w:eastAsia="宋体" w:cs="宋体"/>
          <w:color w:val="auto"/>
          <w:spacing w:val="-33"/>
          <w:sz w:val="24"/>
          <w:szCs w:val="24"/>
          <w:highlight w:val="none"/>
        </w:rPr>
        <w:t xml:space="preserve"> </w:t>
      </w:r>
      <w:r>
        <w:rPr>
          <w:rFonts w:ascii="宋体" w:hAnsi="宋体" w:eastAsia="宋体" w:cs="宋体"/>
          <w:color w:val="auto"/>
          <w:spacing w:val="-8"/>
          <w:sz w:val="24"/>
          <w:szCs w:val="24"/>
          <w:highlight w:val="none"/>
        </w:rPr>
        <w:t>应</w:t>
      </w:r>
      <w:r>
        <w:rPr>
          <w:rFonts w:ascii="宋体" w:hAnsi="宋体" w:eastAsia="宋体" w:cs="宋体"/>
          <w:color w:val="auto"/>
          <w:spacing w:val="-9"/>
          <w:sz w:val="24"/>
          <w:szCs w:val="24"/>
          <w:highlight w:val="none"/>
        </w:rPr>
        <w:t>满足下列</w:t>
      </w:r>
      <w:r>
        <w:rPr>
          <w:rFonts w:ascii="宋体" w:hAnsi="宋体" w:eastAsia="宋体" w:cs="宋体"/>
          <w:color w:val="auto"/>
          <w:spacing w:val="-15"/>
          <w:sz w:val="24"/>
          <w:szCs w:val="24"/>
          <w:highlight w:val="none"/>
        </w:rPr>
        <w:t>要求：</w:t>
      </w:r>
    </w:p>
    <w:p w14:paraId="39E9CC87">
      <w:pPr>
        <w:spacing w:before="177" w:line="220" w:lineRule="auto"/>
        <w:ind w:left="524"/>
        <w:rPr>
          <w:rFonts w:ascii="宋体" w:hAnsi="宋体" w:eastAsia="宋体" w:cs="宋体"/>
          <w:strike/>
          <w:dstrike w:val="0"/>
          <w:color w:val="auto"/>
          <w:spacing w:val="-4"/>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）联合体所有成员数量不得超过</w:t>
      </w:r>
      <w:r>
        <w:rPr>
          <w:rFonts w:ascii="宋体" w:hAnsi="宋体" w:eastAsia="宋体" w:cs="宋体"/>
          <w:strike/>
          <w:dstrike w:val="0"/>
          <w:color w:val="auto"/>
          <w:spacing w:val="-9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1"/>
          <w:sz w:val="24"/>
          <w:szCs w:val="24"/>
          <w:highlight w:val="none"/>
        </w:rPr>
        <w:t xml:space="preserve"> </w:t>
      </w:r>
      <w:r>
        <w:rPr>
          <w:rFonts w:ascii="宋体" w:hAnsi="宋体" w:eastAsia="宋体" w:cs="宋体"/>
          <w:strike/>
          <w:dstrike w:val="0"/>
          <w:color w:val="auto"/>
          <w:spacing w:val="-4"/>
          <w:sz w:val="24"/>
          <w:szCs w:val="24"/>
          <w:highlight w:val="none"/>
        </w:rPr>
        <w:t>个；</w:t>
      </w:r>
    </w:p>
    <w:p w14:paraId="024E49BD">
      <w:pPr>
        <w:spacing w:before="177" w:line="220" w:lineRule="auto"/>
        <w:ind w:left="52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）以</w:t>
      </w:r>
      <w:r>
        <w:rPr>
          <w:rFonts w:ascii="宋体" w:hAnsi="宋体" w:eastAsia="宋体" w:cs="宋体"/>
          <w:strike/>
          <w:dstrike w:val="0"/>
          <w:color w:val="auto"/>
          <w:spacing w:val="-99"/>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7"/>
          <w:sz w:val="24"/>
          <w:szCs w:val="24"/>
          <w:highlight w:val="none"/>
        </w:rPr>
        <w:t>方作为联合体牵头人；</w:t>
      </w:r>
    </w:p>
    <w:p w14:paraId="0830C33E">
      <w:pPr>
        <w:spacing w:before="183" w:line="219" w:lineRule="auto"/>
        <w:ind w:left="49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1"/>
          <w:sz w:val="24"/>
          <w:szCs w:val="24"/>
          <w:highlight w:val="none"/>
        </w:rPr>
        <w:t>）拟派项目主要成员的委派要求</w:t>
      </w:r>
      <w:r>
        <w:rPr>
          <w:rFonts w:ascii="宋体" w:hAnsi="宋体" w:eastAsia="宋体" w:cs="宋体"/>
          <w:strike/>
          <w:dstrike w:val="0"/>
          <w:color w:val="auto"/>
          <w:spacing w:val="-107"/>
          <w:sz w:val="24"/>
          <w:szCs w:val="24"/>
          <w:highlight w:val="none"/>
        </w:rPr>
        <w:t xml:space="preserve">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1"/>
          <w:sz w:val="24"/>
          <w:szCs w:val="24"/>
          <w:highlight w:val="none"/>
        </w:rPr>
        <w:t>；</w:t>
      </w:r>
    </w:p>
    <w:p w14:paraId="54897FDC">
      <w:pPr>
        <w:spacing w:before="302" w:line="220" w:lineRule="auto"/>
        <w:ind w:left="9"/>
        <w:outlineLvl w:val="1"/>
        <w:rPr>
          <w:rFonts w:ascii="宋体" w:hAnsi="宋体" w:eastAsia="宋体" w:cs="宋体"/>
          <w:color w:val="auto"/>
          <w:sz w:val="28"/>
          <w:szCs w:val="28"/>
          <w:highlight w:val="none"/>
        </w:rPr>
      </w:pPr>
      <w:bookmarkStart w:id="21" w:name="bookmark13"/>
      <w:bookmarkEnd w:id="21"/>
      <w:bookmarkStart w:id="22" w:name="_Toc4817"/>
      <w:bookmarkStart w:id="23" w:name="_Toc21681"/>
      <w:r>
        <w:rPr>
          <w:rFonts w:ascii="Times New Roman" w:hAnsi="Times New Roman" w:eastAsia="Times New Roman" w:cs="Times New Roman"/>
          <w:b/>
          <w:bCs/>
          <w:color w:val="auto"/>
          <w:spacing w:val="-2"/>
          <w:sz w:val="28"/>
          <w:szCs w:val="28"/>
          <w:highlight w:val="none"/>
        </w:rPr>
        <w:t xml:space="preserve">4  </w:t>
      </w:r>
      <w:r>
        <w:rPr>
          <w:rFonts w:ascii="宋体" w:hAnsi="宋体" w:eastAsia="宋体" w:cs="宋体"/>
          <w:b/>
          <w:bCs/>
          <w:color w:val="auto"/>
          <w:spacing w:val="-2"/>
          <w:sz w:val="28"/>
          <w:szCs w:val="28"/>
          <w:highlight w:val="none"/>
        </w:rPr>
        <w:t>招标文件的获取</w:t>
      </w:r>
      <w:bookmarkEnd w:id="22"/>
      <w:bookmarkEnd w:id="23"/>
    </w:p>
    <w:p w14:paraId="2C12C8CD">
      <w:pPr>
        <w:spacing w:line="420" w:lineRule="exact"/>
        <w:ind w:firstLine="480" w:firstLineChars="200"/>
        <w:rPr>
          <w:rFonts w:ascii="Times New Roman" w:hAnsi="Times New Roman" w:cs="Times New Roman"/>
          <w:color w:val="auto"/>
          <w:sz w:val="24"/>
          <w:szCs w:val="24"/>
          <w:highlight w:val="none"/>
          <w:lang w:eastAsia="zh-CN"/>
        </w:rPr>
      </w:pPr>
      <w:bookmarkStart w:id="24" w:name="_Toc370458980"/>
      <w:r>
        <w:rPr>
          <w:rFonts w:hint="eastAsia" w:ascii="宋体" w:hAnsi="宋体" w:eastAsia="宋体" w:cs="宋体"/>
          <w:sz w:val="24"/>
          <w:szCs w:val="24"/>
          <w:lang w:eastAsia="zh-CN"/>
        </w:rPr>
        <w:t>凡有</w:t>
      </w:r>
      <w:r>
        <w:rPr>
          <w:rFonts w:ascii="宋体" w:hAnsi="宋体" w:eastAsia="宋体" w:cs="宋体"/>
          <w:sz w:val="24"/>
          <w:szCs w:val="24"/>
        </w:rPr>
        <w:t>意参加投标者，招标公告发布之日起至投</w:t>
      </w:r>
      <w:r>
        <w:rPr>
          <w:rFonts w:ascii="宋体" w:hAnsi="宋体" w:eastAsia="宋体" w:cs="宋体"/>
          <w:spacing w:val="-1"/>
          <w:sz w:val="24"/>
          <w:szCs w:val="24"/>
        </w:rPr>
        <w:t>标文件递交截止时间</w:t>
      </w:r>
      <w:r>
        <w:rPr>
          <w:rFonts w:ascii="Times New Roman" w:hAnsi="Times New Roman" w:cs="Times New Roman"/>
          <w:color w:val="auto"/>
          <w:sz w:val="24"/>
          <w:szCs w:val="24"/>
          <w:highlight w:val="none"/>
          <w:lang w:eastAsia="zh-CN"/>
        </w:rPr>
        <w:t>，登录</w:t>
      </w:r>
      <w:r>
        <w:rPr>
          <w:rFonts w:hint="eastAsia" w:ascii="Times New Roman" w:hAnsi="Times New Roman" w:cs="Times New Roman"/>
          <w:color w:val="auto"/>
          <w:sz w:val="24"/>
          <w:szCs w:val="24"/>
          <w:highlight w:val="none"/>
          <w:u w:val="single"/>
          <w:lang w:eastAsia="zh-CN"/>
        </w:rPr>
        <w:t>绍兴市公共资源交易中心电子招投标交易平台（ http://220.187.225.202:8088/TPBidder-ztk/memberLogin）</w:t>
      </w:r>
      <w:bookmarkEnd w:id="24"/>
      <w:r>
        <w:rPr>
          <w:rFonts w:ascii="宋体" w:hAnsi="宋体" w:eastAsia="宋体" w:cs="宋体"/>
          <w:spacing w:val="-2"/>
          <w:sz w:val="24"/>
          <w:szCs w:val="24"/>
        </w:rPr>
        <w:t>下载电子招标文件。</w:t>
      </w:r>
    </w:p>
    <w:p w14:paraId="45001D02">
      <w:pPr>
        <w:spacing w:before="159" w:line="220" w:lineRule="auto"/>
        <w:ind w:left="12"/>
        <w:outlineLvl w:val="1"/>
        <w:rPr>
          <w:rFonts w:ascii="宋体" w:hAnsi="宋体" w:eastAsia="宋体" w:cs="宋体"/>
          <w:color w:val="auto"/>
          <w:sz w:val="28"/>
          <w:szCs w:val="28"/>
          <w:highlight w:val="none"/>
        </w:rPr>
      </w:pPr>
      <w:bookmarkStart w:id="25" w:name="bookmark15"/>
      <w:bookmarkEnd w:id="25"/>
      <w:bookmarkStart w:id="26" w:name="_Toc20020"/>
      <w:bookmarkStart w:id="27" w:name="_Toc9558"/>
      <w:r>
        <w:rPr>
          <w:rFonts w:ascii="Times New Roman" w:hAnsi="Times New Roman" w:eastAsia="Times New Roman" w:cs="Times New Roman"/>
          <w:b/>
          <w:bCs/>
          <w:color w:val="auto"/>
          <w:spacing w:val="-3"/>
          <w:sz w:val="28"/>
          <w:szCs w:val="28"/>
          <w:highlight w:val="none"/>
        </w:rPr>
        <w:t xml:space="preserve">5  </w:t>
      </w:r>
      <w:r>
        <w:rPr>
          <w:rFonts w:ascii="宋体" w:hAnsi="宋体" w:eastAsia="宋体" w:cs="宋体"/>
          <w:b/>
          <w:bCs/>
          <w:color w:val="auto"/>
          <w:spacing w:val="-3"/>
          <w:sz w:val="28"/>
          <w:szCs w:val="28"/>
          <w:highlight w:val="none"/>
        </w:rPr>
        <w:t>投标文件的递交</w:t>
      </w:r>
      <w:bookmarkEnd w:id="26"/>
      <w:bookmarkEnd w:id="27"/>
    </w:p>
    <w:p w14:paraId="7ED656AF">
      <w:pPr>
        <w:pStyle w:val="3"/>
        <w:spacing w:line="245" w:lineRule="auto"/>
        <w:rPr>
          <w:color w:val="auto"/>
          <w:highlight w:val="none"/>
        </w:rPr>
      </w:pPr>
    </w:p>
    <w:p w14:paraId="281EFFB8">
      <w:pPr>
        <w:spacing w:line="420" w:lineRule="exact"/>
        <w:ind w:firstLine="480" w:firstLineChars="200"/>
        <w:rPr>
          <w:rFonts w:hint="eastAsia" w:asciiTheme="minorEastAsia" w:hAnsiTheme="minorEastAsia" w:eastAsiaTheme="minorEastAsia" w:cstheme="minorEastAsia"/>
          <w:color w:val="auto"/>
          <w:sz w:val="24"/>
          <w:szCs w:val="24"/>
          <w:highlight w:val="none"/>
          <w:lang w:eastAsia="zh-CN"/>
        </w:rPr>
      </w:pPr>
      <w:bookmarkStart w:id="28" w:name="_Toc370458982"/>
      <w:r>
        <w:rPr>
          <w:rFonts w:hint="eastAsia" w:asciiTheme="minorEastAsia" w:hAnsiTheme="minorEastAsia" w:eastAsiaTheme="minorEastAsia" w:cstheme="minorEastAsia"/>
          <w:color w:val="auto"/>
          <w:sz w:val="24"/>
          <w:szCs w:val="24"/>
          <w:highlight w:val="none"/>
          <w:lang w:eastAsia="zh-CN"/>
        </w:rPr>
        <w:t>5.1投标文件递交的截止时间为</w:t>
      </w:r>
      <w:r>
        <w:rPr>
          <w:rFonts w:hint="eastAsia" w:asciiTheme="minorEastAsia" w:hAnsiTheme="minorEastAsia" w:eastAsiaTheme="minorEastAsia" w:cstheme="minorEastAsia"/>
          <w:color w:val="auto"/>
          <w:sz w:val="24"/>
          <w:szCs w:val="24"/>
          <w:highlight w:val="none"/>
          <w:u w:val="single"/>
          <w:lang w:val="en-US" w:eastAsia="zh-CN"/>
        </w:rPr>
        <w:t>2026</w:t>
      </w:r>
      <w:r>
        <w:rPr>
          <w:rFonts w:hint="eastAsia" w:asciiTheme="minorEastAsia" w:hAnsiTheme="minorEastAsia" w:eastAsiaTheme="minorEastAsia" w:cstheme="minorEastAsia"/>
          <w:color w:val="auto"/>
          <w:sz w:val="24"/>
          <w:szCs w:val="24"/>
          <w:highlight w:val="none"/>
          <w:lang w:eastAsia="zh-CN"/>
        </w:rPr>
        <w:t>年</w:t>
      </w:r>
      <w:r>
        <w:rPr>
          <w:rFonts w:hint="eastAsia" w:asciiTheme="minorEastAsia" w:hAnsiTheme="minorEastAsia" w:eastAsiaTheme="minorEastAsia" w:cstheme="minorEastAsia"/>
          <w:color w:val="auto"/>
          <w:sz w:val="24"/>
          <w:szCs w:val="24"/>
          <w:highlight w:val="none"/>
          <w:u w:val="single"/>
          <w:lang w:val="en-US" w:eastAsia="zh-CN"/>
        </w:rPr>
        <w:t xml:space="preserve"> 4 </w:t>
      </w:r>
      <w:r>
        <w:rPr>
          <w:rFonts w:hint="eastAsia" w:asciiTheme="minorEastAsia" w:hAnsiTheme="minorEastAsia" w:eastAsiaTheme="minorEastAsia" w:cstheme="minorEastAsia"/>
          <w:color w:val="auto"/>
          <w:sz w:val="24"/>
          <w:szCs w:val="24"/>
          <w:highlight w:val="none"/>
          <w:lang w:eastAsia="zh-CN"/>
        </w:rPr>
        <w:t>月</w:t>
      </w:r>
      <w:r>
        <w:rPr>
          <w:rFonts w:hint="eastAsia" w:asciiTheme="minorEastAsia" w:hAnsiTheme="minorEastAsia" w:eastAsiaTheme="minorEastAsia" w:cstheme="minorEastAsia"/>
          <w:color w:val="auto"/>
          <w:sz w:val="24"/>
          <w:szCs w:val="24"/>
          <w:highlight w:val="none"/>
          <w:u w:val="single"/>
          <w:lang w:val="en-US" w:eastAsia="zh-CN"/>
        </w:rPr>
        <w:t xml:space="preserve"> 1 </w:t>
      </w:r>
      <w:r>
        <w:rPr>
          <w:rFonts w:hint="eastAsia" w:asciiTheme="minorEastAsia" w:hAnsiTheme="minorEastAsia" w:eastAsiaTheme="minorEastAsia" w:cstheme="minorEastAsia"/>
          <w:color w:val="auto"/>
          <w:sz w:val="24"/>
          <w:szCs w:val="24"/>
          <w:highlight w:val="none"/>
          <w:lang w:eastAsia="zh-CN"/>
        </w:rPr>
        <w:t>日</w:t>
      </w:r>
      <w:r>
        <w:rPr>
          <w:rFonts w:hint="eastAsia" w:asciiTheme="minorEastAsia" w:hAnsiTheme="minorEastAsia" w:eastAsiaTheme="minorEastAsia" w:cstheme="minorEastAsia"/>
          <w:color w:val="auto"/>
          <w:sz w:val="24"/>
          <w:szCs w:val="24"/>
          <w:highlight w:val="none"/>
          <w:lang w:val="en-US" w:eastAsia="zh-CN"/>
        </w:rPr>
        <w:t>14</w:t>
      </w:r>
      <w:r>
        <w:rPr>
          <w:rFonts w:hint="eastAsia" w:asciiTheme="minorEastAsia" w:hAnsiTheme="minorEastAsia" w:eastAsiaTheme="minorEastAsia" w:cstheme="minorEastAsia"/>
          <w:color w:val="auto"/>
          <w:sz w:val="24"/>
          <w:szCs w:val="24"/>
          <w:highlight w:val="none"/>
          <w:lang w:eastAsia="zh-CN"/>
        </w:rPr>
        <w:t>:30时</w:t>
      </w:r>
      <w:bookmarkEnd w:id="28"/>
      <w:r>
        <w:rPr>
          <w:rFonts w:hint="eastAsia" w:asciiTheme="minorEastAsia" w:hAnsiTheme="minorEastAsia" w:eastAsiaTheme="minorEastAsia" w:cstheme="minorEastAsia"/>
          <w:color w:val="auto"/>
          <w:sz w:val="24"/>
          <w:szCs w:val="24"/>
          <w:highlight w:val="none"/>
          <w:lang w:eastAsia="zh-CN"/>
        </w:rPr>
        <w:t>（北京时间，下同），投标人应在截止时间前通过“绍兴市公共资源交易中心电子招投标交易平台（ http://220.187.225.202:8088/TPBidder-ztk/memberLogin）”上传加密电子投标文件。</w:t>
      </w:r>
    </w:p>
    <w:p w14:paraId="16EAB3B1">
      <w:pPr>
        <w:keepNext w:val="0"/>
        <w:keepLines w:val="0"/>
        <w:pageBreakBefore w:val="0"/>
        <w:widowControl/>
        <w:kinsoku w:val="0"/>
        <w:wordWrap w:val="0"/>
        <w:overflowPunct/>
        <w:topLinePunct w:val="0"/>
        <w:autoSpaceDE w:val="0"/>
        <w:autoSpaceDN w:val="0"/>
        <w:bidi w:val="0"/>
        <w:adjustRightInd w:val="0"/>
        <w:snapToGrid w:val="0"/>
        <w:spacing w:line="420" w:lineRule="exact"/>
        <w:ind w:firstLine="480" w:firstLineChars="200"/>
        <w:textAlignment w:val="baseline"/>
        <w:rPr>
          <w:rFonts w:hint="eastAsia" w:asciiTheme="minorEastAsia" w:hAnsiTheme="minorEastAsia" w:eastAsiaTheme="minorEastAsia" w:cstheme="minorEastAsia"/>
          <w:color w:val="auto"/>
          <w:sz w:val="24"/>
          <w:szCs w:val="24"/>
          <w:highlight w:val="none"/>
          <w:lang w:eastAsia="zh-CN"/>
        </w:rPr>
      </w:pPr>
      <w:bookmarkStart w:id="29" w:name="bookmark17"/>
      <w:bookmarkEnd w:id="29"/>
      <w:bookmarkStart w:id="30" w:name="_Toc8990"/>
      <w:r>
        <w:rPr>
          <w:rFonts w:hint="eastAsia" w:asciiTheme="minorEastAsia" w:hAnsiTheme="minorEastAsia" w:eastAsiaTheme="minorEastAsia" w:cstheme="minorEastAsia"/>
          <w:color w:val="auto"/>
          <w:sz w:val="24"/>
          <w:szCs w:val="24"/>
          <w:highlight w:val="none"/>
          <w:lang w:eastAsia="zh-CN"/>
        </w:rPr>
        <w:t>本项目采用网上远程开标方式，无需提供纸质投标文件、样品等材料，投标人无需至开标现场。开标网址：http://220.187.225.202:18088/BidOpening/bidopeninghallaction/hall/login</w:t>
      </w:r>
    </w:p>
    <w:p w14:paraId="0C78A56D">
      <w:pPr>
        <w:spacing w:line="420" w:lineRule="exact"/>
        <w:ind w:firstLine="480" w:firstLineChars="200"/>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5.2未按招标文件要求上传或未按规定加密的投标文件，招标人将予以拒收。</w:t>
      </w:r>
    </w:p>
    <w:p w14:paraId="795AF46C">
      <w:pPr>
        <w:spacing w:before="307" w:line="219" w:lineRule="auto"/>
        <w:ind w:left="13"/>
        <w:outlineLvl w:val="1"/>
        <w:rPr>
          <w:rFonts w:ascii="宋体" w:hAnsi="宋体" w:eastAsia="宋体" w:cs="宋体"/>
          <w:color w:val="auto"/>
          <w:sz w:val="28"/>
          <w:szCs w:val="28"/>
          <w:highlight w:val="none"/>
        </w:rPr>
      </w:pPr>
      <w:bookmarkStart w:id="31" w:name="_Toc19719"/>
      <w:r>
        <w:rPr>
          <w:rFonts w:ascii="Times New Roman" w:hAnsi="Times New Roman" w:eastAsia="Times New Roman" w:cs="Times New Roman"/>
          <w:b/>
          <w:bCs/>
          <w:color w:val="auto"/>
          <w:spacing w:val="-3"/>
          <w:sz w:val="28"/>
          <w:szCs w:val="28"/>
          <w:highlight w:val="none"/>
        </w:rPr>
        <w:t xml:space="preserve">6  </w:t>
      </w:r>
      <w:r>
        <w:rPr>
          <w:rFonts w:ascii="宋体" w:hAnsi="宋体" w:eastAsia="宋体" w:cs="宋体"/>
          <w:b/>
          <w:bCs/>
          <w:color w:val="auto"/>
          <w:spacing w:val="-3"/>
          <w:sz w:val="28"/>
          <w:szCs w:val="28"/>
          <w:highlight w:val="none"/>
        </w:rPr>
        <w:t>发布公告的媒介</w:t>
      </w:r>
      <w:bookmarkEnd w:id="30"/>
      <w:bookmarkEnd w:id="31"/>
    </w:p>
    <w:p w14:paraId="1069B178">
      <w:pPr>
        <w:pStyle w:val="3"/>
        <w:spacing w:line="244" w:lineRule="auto"/>
        <w:rPr>
          <w:color w:val="auto"/>
          <w:highlight w:val="none"/>
        </w:rPr>
      </w:pPr>
    </w:p>
    <w:p w14:paraId="37D0AC51">
      <w:pPr>
        <w:spacing w:before="81" w:line="211" w:lineRule="auto"/>
        <w:ind w:firstLine="468" w:firstLineChars="20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本招标公告同时在</w:t>
      </w:r>
      <w:r>
        <w:rPr>
          <w:rFonts w:ascii="宋体" w:hAnsi="宋体" w:eastAsia="宋体" w:cs="宋体"/>
          <w:spacing w:val="-2"/>
          <w:sz w:val="24"/>
          <w:szCs w:val="24"/>
        </w:rPr>
        <w:t>浙江省公共资源交易服务平台、</w:t>
      </w:r>
      <w:r>
        <w:rPr>
          <w:rFonts w:ascii="宋体" w:hAnsi="宋体" w:eastAsia="宋体" w:cs="宋体"/>
          <w:color w:val="auto"/>
          <w:spacing w:val="-3"/>
          <w:sz w:val="24"/>
          <w:szCs w:val="24"/>
          <w:highlight w:val="none"/>
          <w:u w:val="single" w:color="auto"/>
        </w:rPr>
        <w:t xml:space="preserve"> </w:t>
      </w:r>
      <w:r>
        <w:rPr>
          <w:rFonts w:hint="eastAsia" w:ascii="宋体" w:hAnsi="宋体" w:eastAsia="宋体" w:cs="宋体"/>
          <w:color w:val="auto"/>
          <w:spacing w:val="-3"/>
          <w:sz w:val="24"/>
          <w:szCs w:val="24"/>
          <w:highlight w:val="none"/>
          <w:u w:val="single" w:color="auto"/>
          <w:lang w:eastAsia="zh-CN"/>
        </w:rPr>
        <w:t>绍兴公共资源交易中心</w:t>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发布公告的媒介名称</w:t>
      </w:r>
      <w:r>
        <w:rPr>
          <w:rFonts w:ascii="宋体" w:hAnsi="宋体" w:eastAsia="宋体" w:cs="宋体"/>
          <w:color w:val="auto"/>
          <w:spacing w:val="-3"/>
          <w:sz w:val="24"/>
          <w:szCs w:val="24"/>
          <w:highlight w:val="none"/>
        </w:rPr>
        <w:t>）上发布。</w:t>
      </w:r>
    </w:p>
    <w:p w14:paraId="036BAC34">
      <w:pPr>
        <w:spacing w:before="309" w:line="220" w:lineRule="auto"/>
        <w:ind w:left="12"/>
        <w:outlineLvl w:val="1"/>
        <w:rPr>
          <w:rFonts w:ascii="宋体" w:hAnsi="宋体" w:eastAsia="宋体" w:cs="宋体"/>
          <w:b/>
          <w:bCs/>
          <w:color w:val="auto"/>
          <w:spacing w:val="-3"/>
          <w:sz w:val="28"/>
          <w:szCs w:val="28"/>
          <w:highlight w:val="none"/>
        </w:rPr>
      </w:pPr>
      <w:bookmarkStart w:id="32" w:name="bookmark19"/>
      <w:bookmarkEnd w:id="32"/>
      <w:bookmarkStart w:id="33" w:name="_Toc2960"/>
      <w:bookmarkStart w:id="34" w:name="_Toc13702"/>
      <w:r>
        <w:rPr>
          <w:rFonts w:ascii="Times New Roman" w:hAnsi="Times New Roman" w:eastAsia="Times New Roman" w:cs="Times New Roman"/>
          <w:b/>
          <w:bCs/>
          <w:color w:val="auto"/>
          <w:spacing w:val="-3"/>
          <w:sz w:val="28"/>
          <w:szCs w:val="28"/>
          <w:highlight w:val="none"/>
        </w:rPr>
        <w:t xml:space="preserve">7  </w:t>
      </w:r>
      <w:r>
        <w:rPr>
          <w:rFonts w:ascii="宋体" w:hAnsi="宋体" w:eastAsia="宋体" w:cs="宋体"/>
          <w:b/>
          <w:bCs/>
          <w:color w:val="auto"/>
          <w:spacing w:val="-3"/>
          <w:sz w:val="28"/>
          <w:szCs w:val="28"/>
          <w:highlight w:val="none"/>
        </w:rPr>
        <w:t>行政监督部门</w:t>
      </w:r>
      <w:bookmarkEnd w:id="33"/>
      <w:bookmarkEnd w:id="34"/>
    </w:p>
    <w:p w14:paraId="45FEDCA8">
      <w:pPr>
        <w:keepNext w:val="0"/>
        <w:keepLines w:val="0"/>
        <w:pageBreakBefore w:val="0"/>
        <w:widowControl/>
        <w:kinsoku w:val="0"/>
        <w:wordWrap/>
        <w:overflowPunct/>
        <w:topLinePunct w:val="0"/>
        <w:autoSpaceDE w:val="0"/>
        <w:autoSpaceDN w:val="0"/>
        <w:bidi w:val="0"/>
        <w:adjustRightInd w:val="0"/>
        <w:snapToGrid w:val="0"/>
        <w:spacing w:before="309" w:line="221" w:lineRule="auto"/>
        <w:ind w:left="11" w:firstLine="468" w:firstLineChars="200"/>
        <w:textAlignment w:val="baseline"/>
        <w:outlineLvl w:val="1"/>
        <w:rPr>
          <w:rFonts w:hint="eastAsia" w:ascii="宋体" w:hAnsi="宋体" w:eastAsia="宋体" w:cs="宋体"/>
          <w:b w:val="0"/>
          <w:bCs w:val="0"/>
          <w:color w:val="auto"/>
          <w:spacing w:val="-3"/>
          <w:sz w:val="24"/>
          <w:szCs w:val="24"/>
          <w:highlight w:val="none"/>
          <w:lang w:val="en-US" w:eastAsia="zh-CN"/>
        </w:rPr>
      </w:pPr>
      <w:bookmarkStart w:id="35" w:name="_Toc9554"/>
      <w:r>
        <w:rPr>
          <w:rFonts w:hint="eastAsia" w:ascii="宋体" w:hAnsi="宋体" w:eastAsia="宋体" w:cs="宋体"/>
          <w:b w:val="0"/>
          <w:bCs w:val="0"/>
          <w:color w:val="auto"/>
          <w:spacing w:val="-3"/>
          <w:sz w:val="24"/>
          <w:szCs w:val="24"/>
          <w:highlight w:val="none"/>
          <w:lang w:val="en-US" w:eastAsia="zh-CN"/>
        </w:rPr>
        <w:t>行政监督：</w:t>
      </w:r>
      <w:r>
        <w:rPr>
          <w:rFonts w:hint="eastAsia" w:ascii="宋体" w:hAnsi="宋体" w:eastAsia="宋体" w:cs="宋体"/>
          <w:b w:val="0"/>
          <w:bCs w:val="0"/>
          <w:color w:val="auto"/>
          <w:spacing w:val="-3"/>
          <w:sz w:val="24"/>
          <w:szCs w:val="24"/>
          <w:highlight w:val="none"/>
          <w:u w:val="single"/>
          <w:lang w:val="en-US" w:eastAsia="zh-CN"/>
        </w:rPr>
        <w:t>绍兴市水利局</w:t>
      </w:r>
      <w:bookmarkEnd w:id="35"/>
    </w:p>
    <w:p w14:paraId="110319B7">
      <w:pPr>
        <w:keepNext w:val="0"/>
        <w:keepLines w:val="0"/>
        <w:pageBreakBefore w:val="0"/>
        <w:widowControl/>
        <w:kinsoku w:val="0"/>
        <w:wordWrap/>
        <w:overflowPunct/>
        <w:topLinePunct w:val="0"/>
        <w:autoSpaceDE w:val="0"/>
        <w:autoSpaceDN w:val="0"/>
        <w:bidi w:val="0"/>
        <w:adjustRightInd w:val="0"/>
        <w:snapToGrid w:val="0"/>
        <w:spacing w:before="309" w:line="221" w:lineRule="auto"/>
        <w:ind w:left="11" w:firstLine="468" w:firstLineChars="200"/>
        <w:textAlignment w:val="baseline"/>
        <w:outlineLvl w:val="1"/>
        <w:rPr>
          <w:rFonts w:hint="eastAsia" w:ascii="宋体" w:hAnsi="宋体" w:eastAsia="宋体" w:cs="宋体"/>
          <w:b w:val="0"/>
          <w:bCs w:val="0"/>
          <w:color w:val="auto"/>
          <w:spacing w:val="-3"/>
          <w:sz w:val="24"/>
          <w:szCs w:val="24"/>
          <w:highlight w:val="none"/>
          <w:lang w:val="en-US" w:eastAsia="zh-CN"/>
        </w:rPr>
      </w:pPr>
      <w:bookmarkStart w:id="36" w:name="_Toc4486"/>
      <w:r>
        <w:rPr>
          <w:rFonts w:hint="eastAsia" w:ascii="宋体" w:hAnsi="宋体" w:eastAsia="宋体" w:cs="宋体"/>
          <w:b w:val="0"/>
          <w:bCs w:val="0"/>
          <w:color w:val="auto"/>
          <w:spacing w:val="-3"/>
          <w:sz w:val="24"/>
          <w:szCs w:val="24"/>
          <w:highlight w:val="none"/>
          <w:lang w:val="en-US" w:eastAsia="zh-CN"/>
        </w:rPr>
        <w:t>地    址：</w:t>
      </w:r>
      <w:r>
        <w:rPr>
          <w:rFonts w:hint="eastAsia" w:ascii="宋体" w:hAnsi="宋体" w:eastAsia="宋体" w:cs="宋体"/>
          <w:b w:val="0"/>
          <w:bCs w:val="0"/>
          <w:color w:val="auto"/>
          <w:spacing w:val="-3"/>
          <w:sz w:val="24"/>
          <w:szCs w:val="24"/>
          <w:highlight w:val="none"/>
          <w:u w:val="single"/>
          <w:lang w:val="en-US" w:eastAsia="zh-CN"/>
        </w:rPr>
        <w:t>绍兴市越城区洋江西路589号</w:t>
      </w:r>
      <w:bookmarkEnd w:id="36"/>
    </w:p>
    <w:p w14:paraId="02FF089F">
      <w:pPr>
        <w:keepNext w:val="0"/>
        <w:keepLines w:val="0"/>
        <w:pageBreakBefore w:val="0"/>
        <w:widowControl/>
        <w:kinsoku w:val="0"/>
        <w:wordWrap/>
        <w:overflowPunct/>
        <w:topLinePunct w:val="0"/>
        <w:autoSpaceDE w:val="0"/>
        <w:autoSpaceDN w:val="0"/>
        <w:bidi w:val="0"/>
        <w:adjustRightInd w:val="0"/>
        <w:snapToGrid w:val="0"/>
        <w:spacing w:before="309" w:line="221" w:lineRule="auto"/>
        <w:ind w:left="11" w:firstLine="468" w:firstLineChars="200"/>
        <w:textAlignment w:val="baseline"/>
        <w:outlineLvl w:val="1"/>
        <w:rPr>
          <w:rFonts w:hint="eastAsia" w:ascii="宋体" w:hAnsi="宋体" w:eastAsia="宋体" w:cs="宋体"/>
          <w:b w:val="0"/>
          <w:bCs w:val="0"/>
          <w:color w:val="auto"/>
          <w:spacing w:val="-3"/>
          <w:sz w:val="24"/>
          <w:szCs w:val="24"/>
          <w:highlight w:val="none"/>
          <w:lang w:val="en-US" w:eastAsia="zh-CN"/>
        </w:rPr>
      </w:pPr>
      <w:bookmarkStart w:id="37" w:name="_Toc13259"/>
      <w:r>
        <w:rPr>
          <w:rFonts w:hint="eastAsia" w:ascii="宋体" w:hAnsi="宋体" w:eastAsia="宋体" w:cs="宋体"/>
          <w:b w:val="0"/>
          <w:bCs w:val="0"/>
          <w:color w:val="auto"/>
          <w:spacing w:val="-3"/>
          <w:sz w:val="24"/>
          <w:szCs w:val="24"/>
          <w:highlight w:val="none"/>
          <w:lang w:val="en-US" w:eastAsia="zh-CN"/>
        </w:rPr>
        <w:t>邮政编码：</w:t>
      </w:r>
      <w:r>
        <w:rPr>
          <w:rFonts w:hint="eastAsia" w:ascii="宋体" w:hAnsi="宋体" w:eastAsia="宋体" w:cs="宋体"/>
          <w:b w:val="0"/>
          <w:bCs w:val="0"/>
          <w:color w:val="auto"/>
          <w:spacing w:val="-3"/>
          <w:sz w:val="24"/>
          <w:szCs w:val="24"/>
          <w:highlight w:val="none"/>
          <w:u w:val="single"/>
          <w:lang w:val="en-US" w:eastAsia="zh-CN"/>
        </w:rPr>
        <w:t>312000</w:t>
      </w:r>
      <w:bookmarkEnd w:id="37"/>
    </w:p>
    <w:p w14:paraId="4CCD69FC">
      <w:pPr>
        <w:keepNext w:val="0"/>
        <w:keepLines w:val="0"/>
        <w:pageBreakBefore w:val="0"/>
        <w:widowControl/>
        <w:kinsoku w:val="0"/>
        <w:wordWrap/>
        <w:overflowPunct/>
        <w:topLinePunct w:val="0"/>
        <w:autoSpaceDE w:val="0"/>
        <w:autoSpaceDN w:val="0"/>
        <w:bidi w:val="0"/>
        <w:adjustRightInd w:val="0"/>
        <w:snapToGrid w:val="0"/>
        <w:spacing w:before="309" w:line="221" w:lineRule="auto"/>
        <w:ind w:left="11" w:firstLine="468" w:firstLineChars="200"/>
        <w:textAlignment w:val="baseline"/>
        <w:outlineLvl w:val="1"/>
        <w:rPr>
          <w:rFonts w:hint="eastAsia" w:ascii="宋体" w:hAnsi="宋体" w:eastAsia="宋体" w:cs="宋体"/>
          <w:b w:val="0"/>
          <w:bCs w:val="0"/>
          <w:color w:val="auto"/>
          <w:spacing w:val="-3"/>
          <w:sz w:val="24"/>
          <w:szCs w:val="24"/>
          <w:highlight w:val="none"/>
          <w:u w:val="single"/>
          <w:lang w:val="en-US" w:eastAsia="zh-CN"/>
        </w:rPr>
      </w:pPr>
      <w:bookmarkStart w:id="38" w:name="_Toc2894"/>
      <w:r>
        <w:rPr>
          <w:rFonts w:hint="eastAsia" w:ascii="宋体" w:hAnsi="宋体" w:eastAsia="宋体" w:cs="宋体"/>
          <w:b w:val="0"/>
          <w:bCs w:val="0"/>
          <w:color w:val="auto"/>
          <w:spacing w:val="-3"/>
          <w:sz w:val="24"/>
          <w:szCs w:val="24"/>
          <w:highlight w:val="none"/>
          <w:lang w:val="en-US" w:eastAsia="zh-CN"/>
        </w:rPr>
        <w:t>电    话：</w:t>
      </w:r>
      <w:r>
        <w:rPr>
          <w:rFonts w:hint="eastAsia" w:ascii="宋体" w:hAnsi="宋体" w:eastAsia="宋体" w:cs="宋体"/>
          <w:b w:val="0"/>
          <w:bCs w:val="0"/>
          <w:color w:val="auto"/>
          <w:spacing w:val="-3"/>
          <w:sz w:val="24"/>
          <w:szCs w:val="24"/>
          <w:highlight w:val="none"/>
          <w:u w:val="single"/>
          <w:lang w:val="en-US" w:eastAsia="zh-CN"/>
        </w:rPr>
        <w:t>0575-87523317</w:t>
      </w:r>
      <w:bookmarkEnd w:id="38"/>
    </w:p>
    <w:p w14:paraId="00D64148">
      <w:pPr>
        <w:keepNext w:val="0"/>
        <w:keepLines w:val="0"/>
        <w:pageBreakBefore w:val="0"/>
        <w:widowControl/>
        <w:kinsoku w:val="0"/>
        <w:wordWrap/>
        <w:overflowPunct/>
        <w:topLinePunct w:val="0"/>
        <w:autoSpaceDE w:val="0"/>
        <w:autoSpaceDN w:val="0"/>
        <w:bidi w:val="0"/>
        <w:adjustRightInd w:val="0"/>
        <w:snapToGrid w:val="0"/>
        <w:spacing w:before="309" w:line="221" w:lineRule="auto"/>
        <w:ind w:left="11" w:firstLine="468" w:firstLineChars="200"/>
        <w:textAlignment w:val="baseline"/>
        <w:outlineLvl w:val="1"/>
        <w:rPr>
          <w:rFonts w:hint="default" w:ascii="宋体" w:hAnsi="宋体" w:eastAsia="宋体" w:cs="宋体"/>
          <w:b w:val="0"/>
          <w:bCs w:val="0"/>
          <w:color w:val="auto"/>
          <w:spacing w:val="-3"/>
          <w:sz w:val="24"/>
          <w:szCs w:val="24"/>
          <w:highlight w:val="none"/>
          <w:u w:val="single"/>
          <w:lang w:val="en-US" w:eastAsia="zh-CN"/>
        </w:rPr>
      </w:pPr>
      <w:bookmarkStart w:id="39" w:name="_Toc12549"/>
      <w:r>
        <w:rPr>
          <w:rFonts w:hint="eastAsia" w:ascii="宋体" w:hAnsi="宋体" w:eastAsia="宋体" w:cs="宋体"/>
          <w:b w:val="0"/>
          <w:bCs w:val="0"/>
          <w:color w:val="auto"/>
          <w:spacing w:val="-3"/>
          <w:sz w:val="24"/>
          <w:szCs w:val="24"/>
          <w:highlight w:val="none"/>
          <w:u w:val="none"/>
          <w:lang w:val="en-US" w:eastAsia="zh-CN"/>
        </w:rPr>
        <w:t>投诉受理部门：</w:t>
      </w:r>
      <w:bookmarkEnd w:id="39"/>
      <w:r>
        <w:rPr>
          <w:rFonts w:hint="eastAsia" w:ascii="宋体" w:hAnsi="宋体" w:eastAsia="宋体" w:cs="宋体"/>
          <w:b w:val="0"/>
          <w:bCs w:val="0"/>
          <w:color w:val="auto"/>
          <w:spacing w:val="-3"/>
          <w:sz w:val="24"/>
          <w:szCs w:val="24"/>
          <w:highlight w:val="none"/>
          <w:u w:val="single"/>
          <w:lang w:val="en-US" w:eastAsia="zh-CN"/>
        </w:rPr>
        <w:t>绍兴市水利局</w:t>
      </w:r>
    </w:p>
    <w:p w14:paraId="6CCD7881">
      <w:pPr>
        <w:keepNext w:val="0"/>
        <w:keepLines w:val="0"/>
        <w:pageBreakBefore w:val="0"/>
        <w:widowControl/>
        <w:kinsoku w:val="0"/>
        <w:wordWrap/>
        <w:overflowPunct/>
        <w:topLinePunct w:val="0"/>
        <w:autoSpaceDE w:val="0"/>
        <w:autoSpaceDN w:val="0"/>
        <w:bidi w:val="0"/>
        <w:adjustRightInd w:val="0"/>
        <w:snapToGrid w:val="0"/>
        <w:spacing w:before="309" w:line="221" w:lineRule="auto"/>
        <w:ind w:left="11" w:firstLine="468" w:firstLineChars="200"/>
        <w:textAlignment w:val="baseline"/>
        <w:outlineLvl w:val="1"/>
        <w:rPr>
          <w:rFonts w:hint="eastAsia" w:ascii="宋体" w:hAnsi="宋体" w:eastAsia="宋体" w:cs="宋体"/>
          <w:b w:val="0"/>
          <w:bCs w:val="0"/>
          <w:color w:val="auto"/>
          <w:spacing w:val="-3"/>
          <w:sz w:val="24"/>
          <w:szCs w:val="24"/>
          <w:highlight w:val="none"/>
          <w:u w:val="single"/>
          <w:lang w:val="en-US" w:eastAsia="zh-CN"/>
        </w:rPr>
      </w:pPr>
      <w:bookmarkStart w:id="40" w:name="_Toc17808"/>
      <w:r>
        <w:rPr>
          <w:rFonts w:hint="eastAsia" w:ascii="宋体" w:hAnsi="宋体" w:eastAsia="宋体" w:cs="宋体"/>
          <w:b w:val="0"/>
          <w:bCs w:val="0"/>
          <w:color w:val="auto"/>
          <w:spacing w:val="-3"/>
          <w:sz w:val="24"/>
          <w:szCs w:val="24"/>
          <w:highlight w:val="none"/>
          <w:u w:val="none"/>
          <w:lang w:val="en-US" w:eastAsia="zh-CN"/>
        </w:rPr>
        <w:t>地    址：</w:t>
      </w:r>
      <w:r>
        <w:rPr>
          <w:rFonts w:hint="eastAsia" w:ascii="宋体" w:hAnsi="宋体" w:eastAsia="宋体" w:cs="宋体"/>
          <w:b w:val="0"/>
          <w:bCs w:val="0"/>
          <w:color w:val="auto"/>
          <w:spacing w:val="-3"/>
          <w:sz w:val="24"/>
          <w:szCs w:val="24"/>
          <w:highlight w:val="none"/>
          <w:u w:val="single"/>
          <w:lang w:val="en-US" w:eastAsia="zh-CN"/>
        </w:rPr>
        <w:t>绍兴市越城区洋江西路589号</w:t>
      </w:r>
      <w:bookmarkEnd w:id="40"/>
    </w:p>
    <w:p w14:paraId="35B2DCB9">
      <w:pPr>
        <w:keepNext w:val="0"/>
        <w:keepLines w:val="0"/>
        <w:pageBreakBefore w:val="0"/>
        <w:widowControl/>
        <w:kinsoku w:val="0"/>
        <w:wordWrap/>
        <w:overflowPunct/>
        <w:topLinePunct w:val="0"/>
        <w:autoSpaceDE w:val="0"/>
        <w:autoSpaceDN w:val="0"/>
        <w:bidi w:val="0"/>
        <w:adjustRightInd w:val="0"/>
        <w:snapToGrid w:val="0"/>
        <w:spacing w:before="309" w:line="221" w:lineRule="auto"/>
        <w:ind w:left="11" w:firstLine="468" w:firstLineChars="200"/>
        <w:textAlignment w:val="baseline"/>
        <w:outlineLvl w:val="1"/>
        <w:rPr>
          <w:color w:val="auto"/>
          <w:highlight w:val="none"/>
        </w:rPr>
      </w:pPr>
      <w:bookmarkStart w:id="41" w:name="_Toc6028"/>
      <w:r>
        <w:rPr>
          <w:rFonts w:hint="eastAsia" w:ascii="宋体" w:hAnsi="宋体" w:eastAsia="宋体" w:cs="宋体"/>
          <w:b w:val="0"/>
          <w:bCs w:val="0"/>
          <w:color w:val="auto"/>
          <w:spacing w:val="-3"/>
          <w:sz w:val="24"/>
          <w:szCs w:val="24"/>
          <w:highlight w:val="none"/>
          <w:u w:val="none"/>
          <w:lang w:val="en-US" w:eastAsia="zh-CN"/>
        </w:rPr>
        <w:t>电    话：</w:t>
      </w:r>
      <w:bookmarkEnd w:id="41"/>
      <w:r>
        <w:rPr>
          <w:rFonts w:hint="eastAsia" w:ascii="宋体" w:hAnsi="宋体" w:eastAsia="宋体" w:cs="宋体"/>
          <w:b w:val="0"/>
          <w:bCs w:val="0"/>
          <w:color w:val="auto"/>
          <w:spacing w:val="-3"/>
          <w:sz w:val="24"/>
          <w:szCs w:val="24"/>
          <w:highlight w:val="none"/>
          <w:u w:val="single"/>
          <w:lang w:val="en-US" w:eastAsia="zh-CN"/>
        </w:rPr>
        <w:t>0575-87523317</w:t>
      </w:r>
    </w:p>
    <w:p w14:paraId="6BF442F5">
      <w:pPr>
        <w:pStyle w:val="3"/>
        <w:spacing w:line="259" w:lineRule="auto"/>
        <w:rPr>
          <w:color w:val="auto"/>
          <w:highlight w:val="none"/>
        </w:rPr>
      </w:pPr>
    </w:p>
    <w:p w14:paraId="6AF21F96">
      <w:pPr>
        <w:spacing w:before="92" w:line="221" w:lineRule="auto"/>
        <w:ind w:left="12"/>
        <w:outlineLvl w:val="1"/>
        <w:rPr>
          <w:rFonts w:ascii="宋体" w:hAnsi="宋体" w:eastAsia="宋体" w:cs="宋体"/>
          <w:color w:val="auto"/>
          <w:sz w:val="28"/>
          <w:szCs w:val="28"/>
          <w:highlight w:val="none"/>
        </w:rPr>
      </w:pPr>
      <w:bookmarkStart w:id="42" w:name="bookmark21"/>
      <w:bookmarkEnd w:id="42"/>
      <w:bookmarkStart w:id="43" w:name="_Toc20652"/>
      <w:bookmarkStart w:id="44" w:name="_Toc23054"/>
      <w:r>
        <w:rPr>
          <w:rFonts w:ascii="Times New Roman" w:hAnsi="Times New Roman" w:eastAsia="Times New Roman" w:cs="Times New Roman"/>
          <w:b/>
          <w:bCs/>
          <w:color w:val="auto"/>
          <w:spacing w:val="-6"/>
          <w:sz w:val="28"/>
          <w:szCs w:val="28"/>
          <w:highlight w:val="none"/>
        </w:rPr>
        <w:t>8</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6"/>
          <w:sz w:val="28"/>
          <w:szCs w:val="28"/>
          <w:highlight w:val="none"/>
        </w:rPr>
        <w:t>联系方式</w:t>
      </w:r>
      <w:bookmarkEnd w:id="43"/>
      <w:bookmarkEnd w:id="44"/>
    </w:p>
    <w:p w14:paraId="3796EF4F">
      <w:pPr>
        <w:pStyle w:val="3"/>
        <w:spacing w:line="362" w:lineRule="auto"/>
        <w:rPr>
          <w:color w:val="auto"/>
          <w:sz w:val="24"/>
          <w:szCs w:val="24"/>
          <w:highlight w:val="none"/>
        </w:rPr>
      </w:pPr>
    </w:p>
    <w:p w14:paraId="35DDBE3B">
      <w:pPr>
        <w:pStyle w:val="3"/>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leftChars="0" w:firstLine="480" w:firstLineChars="200"/>
        <w:jc w:val="both"/>
        <w:textAlignment w:val="baseline"/>
        <w:rPr>
          <w:rFonts w:hint="default" w:eastAsia="宋体"/>
          <w:i w:val="0"/>
          <w:iCs w:val="0"/>
          <w:color w:val="auto"/>
          <w:sz w:val="24"/>
          <w:szCs w:val="24"/>
          <w:highlight w:val="none"/>
          <w:lang w:val="en-US" w:eastAsia="zh-CN"/>
        </w:rPr>
      </w:pPr>
      <w:r>
        <w:rPr>
          <w:rFonts w:hint="eastAsia" w:ascii="宋体" w:hAnsi="宋体"/>
          <w:i w:val="0"/>
          <w:iCs w:val="0"/>
          <w:color w:val="auto"/>
          <w:sz w:val="24"/>
          <w:szCs w:val="24"/>
          <w:highlight w:val="none"/>
        </w:rPr>
        <w:t>招标人：</w:t>
      </w:r>
      <w:r>
        <w:rPr>
          <w:rFonts w:hint="eastAsia" w:ascii="宋体" w:hAnsi="宋体" w:eastAsia="宋体" w:cs="Times New Roman"/>
          <w:i w:val="0"/>
          <w:iCs w:val="0"/>
          <w:color w:val="auto"/>
          <w:spacing w:val="0"/>
          <w:sz w:val="24"/>
          <w:szCs w:val="24"/>
          <w:highlight w:val="none"/>
          <w:u w:val="single"/>
          <w:lang w:val="en-US" w:eastAsia="zh-CN"/>
        </w:rPr>
        <w:t>绍兴市镜湖综合保护投资建设有限公司</w:t>
      </w:r>
    </w:p>
    <w:p w14:paraId="200B710D">
      <w:pPr>
        <w:pStyle w:val="3"/>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leftChars="0" w:firstLine="480" w:firstLineChars="200"/>
        <w:jc w:val="both"/>
        <w:textAlignment w:val="baseline"/>
        <w:rPr>
          <w:rFonts w:hint="default"/>
          <w:i w:val="0"/>
          <w:iCs w:val="0"/>
          <w:color w:val="auto"/>
          <w:sz w:val="24"/>
          <w:szCs w:val="24"/>
          <w:highlight w:val="none"/>
          <w:u w:val="single"/>
          <w:lang w:val="en-US"/>
        </w:rPr>
      </w:pPr>
      <w:r>
        <w:rPr>
          <w:rFonts w:hint="eastAsia" w:ascii="宋体" w:hAnsi="宋体"/>
          <w:i w:val="0"/>
          <w:iCs w:val="0"/>
          <w:color w:val="auto"/>
          <w:sz w:val="24"/>
          <w:szCs w:val="24"/>
          <w:highlight w:val="none"/>
        </w:rPr>
        <w:t>地  址：</w:t>
      </w:r>
      <w:r>
        <w:rPr>
          <w:rFonts w:hint="eastAsia" w:ascii="宋体" w:hAnsi="宋体" w:eastAsia="宋体" w:cs="Times New Roman"/>
          <w:i w:val="0"/>
          <w:iCs w:val="0"/>
          <w:color w:val="auto"/>
          <w:spacing w:val="0"/>
          <w:sz w:val="24"/>
          <w:szCs w:val="24"/>
          <w:highlight w:val="none"/>
          <w:u w:val="single"/>
          <w:lang w:eastAsia="zh-CN"/>
        </w:rPr>
        <w:t>绍兴市越城区凤林西路155号</w:t>
      </w:r>
      <w:r>
        <w:rPr>
          <w:rFonts w:hint="eastAsia" w:ascii="宋体" w:hAnsi="宋体" w:eastAsia="宋体" w:cs="Times New Roman"/>
          <w:i w:val="0"/>
          <w:iCs w:val="0"/>
          <w:color w:val="auto"/>
          <w:spacing w:val="0"/>
          <w:sz w:val="24"/>
          <w:szCs w:val="24"/>
          <w:highlight w:val="none"/>
          <w:u w:val="none"/>
          <w:lang w:val="en-US" w:eastAsia="zh-CN"/>
        </w:rPr>
        <w:t xml:space="preserve">    </w:t>
      </w:r>
    </w:p>
    <w:p w14:paraId="6724CA16">
      <w:pPr>
        <w:pStyle w:val="3"/>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leftChars="0" w:firstLine="480" w:firstLineChars="200"/>
        <w:jc w:val="both"/>
        <w:textAlignment w:val="baseline"/>
        <w:rPr>
          <w:i w:val="0"/>
          <w:iCs w:val="0"/>
          <w:color w:val="auto"/>
          <w:sz w:val="24"/>
          <w:szCs w:val="24"/>
          <w:highlight w:val="none"/>
          <w:u w:val="single"/>
        </w:rPr>
      </w:pPr>
      <w:r>
        <w:rPr>
          <w:rFonts w:hint="eastAsia" w:ascii="宋体" w:hAnsi="宋体"/>
          <w:i w:val="0"/>
          <w:iCs w:val="0"/>
          <w:color w:val="auto"/>
          <w:sz w:val="24"/>
          <w:szCs w:val="24"/>
          <w:highlight w:val="none"/>
        </w:rPr>
        <w:t>联系人：</w:t>
      </w:r>
      <w:r>
        <w:rPr>
          <w:rFonts w:hint="eastAsia" w:ascii="宋体" w:hAnsi="宋体" w:eastAsia="宋体"/>
          <w:i w:val="0"/>
          <w:iCs w:val="0"/>
          <w:color w:val="auto"/>
          <w:sz w:val="24"/>
          <w:szCs w:val="24"/>
          <w:highlight w:val="none"/>
          <w:u w:val="single"/>
          <w:lang w:eastAsia="zh-CN"/>
        </w:rPr>
        <w:t>蒋工</w:t>
      </w:r>
      <w:r>
        <w:rPr>
          <w:rFonts w:hint="eastAsia"/>
          <w:i w:val="0"/>
          <w:iCs w:val="0"/>
          <w:color w:val="auto"/>
          <w:sz w:val="24"/>
          <w:szCs w:val="24"/>
          <w:highlight w:val="none"/>
          <w:u w:val="single"/>
        </w:rPr>
        <w:t xml:space="preserve">      </w:t>
      </w:r>
      <w:r>
        <w:rPr>
          <w:rFonts w:hint="eastAsia"/>
          <w:i w:val="0"/>
          <w:iCs w:val="0"/>
          <w:color w:val="auto"/>
          <w:sz w:val="24"/>
          <w:szCs w:val="24"/>
          <w:highlight w:val="none"/>
          <w:u w:val="single"/>
          <w:lang w:val="en-US" w:eastAsia="zh-CN"/>
        </w:rPr>
        <w:t xml:space="preserve">      </w:t>
      </w:r>
      <w:r>
        <w:rPr>
          <w:rFonts w:hint="eastAsia"/>
          <w:i w:val="0"/>
          <w:iCs w:val="0"/>
          <w:color w:val="auto"/>
          <w:sz w:val="24"/>
          <w:szCs w:val="24"/>
          <w:highlight w:val="none"/>
          <w:u w:val="none"/>
          <w:lang w:val="en-US" w:eastAsia="zh-CN"/>
        </w:rPr>
        <w:t xml:space="preserve">    </w:t>
      </w:r>
    </w:p>
    <w:p w14:paraId="3DD1A980">
      <w:pPr>
        <w:pStyle w:val="3"/>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leftChars="0" w:firstLine="480" w:firstLineChars="200"/>
        <w:jc w:val="both"/>
        <w:textAlignment w:val="baseline"/>
        <w:rPr>
          <w:rFonts w:hint="default"/>
          <w:i w:val="0"/>
          <w:iCs w:val="0"/>
          <w:color w:val="auto"/>
          <w:sz w:val="24"/>
          <w:szCs w:val="24"/>
          <w:highlight w:val="none"/>
          <w:u w:val="single"/>
          <w:lang w:val="en-US"/>
        </w:rPr>
      </w:pPr>
      <w:r>
        <w:rPr>
          <w:rFonts w:hint="eastAsia" w:ascii="宋体" w:hAnsi="宋体"/>
          <w:i w:val="0"/>
          <w:iCs w:val="0"/>
          <w:color w:val="auto"/>
          <w:sz w:val="24"/>
          <w:szCs w:val="24"/>
          <w:highlight w:val="none"/>
        </w:rPr>
        <w:t>电  话：</w:t>
      </w:r>
      <w:r>
        <w:rPr>
          <w:rFonts w:hint="eastAsia" w:ascii="宋体" w:hAnsi="宋体"/>
          <w:i w:val="0"/>
          <w:iCs w:val="0"/>
          <w:color w:val="auto"/>
          <w:sz w:val="24"/>
          <w:szCs w:val="24"/>
          <w:highlight w:val="none"/>
          <w:u w:val="single"/>
        </w:rPr>
        <w:t>0575-88122928</w:t>
      </w:r>
    </w:p>
    <w:p w14:paraId="3168BC88">
      <w:pPr>
        <w:pStyle w:val="3"/>
        <w:keepNext w:val="0"/>
        <w:keepLines w:val="0"/>
        <w:pageBreakBefore w:val="0"/>
        <w:widowControl/>
        <w:kinsoku w:val="0"/>
        <w:wordWrap/>
        <w:overflowPunct/>
        <w:topLinePunct w:val="0"/>
        <w:autoSpaceDE w:val="0"/>
        <w:autoSpaceDN w:val="0"/>
        <w:bidi w:val="0"/>
        <w:adjustRightInd w:val="0"/>
        <w:snapToGrid w:val="0"/>
        <w:spacing w:before="0" w:beforeAutospacing="0" w:after="0" w:afterAutospacing="0" w:line="360" w:lineRule="auto"/>
        <w:ind w:left="0" w:leftChars="0" w:firstLine="480" w:firstLineChars="200"/>
        <w:jc w:val="both"/>
        <w:textAlignment w:val="baseline"/>
        <w:rPr>
          <w:i/>
          <w:color w:val="auto"/>
          <w:sz w:val="24"/>
          <w:szCs w:val="24"/>
          <w:highlight w:val="none"/>
        </w:rPr>
      </w:pPr>
      <w:r>
        <w:rPr>
          <w:rFonts w:hint="eastAsia" w:ascii="宋体" w:hAnsi="宋体"/>
          <w:color w:val="auto"/>
          <w:sz w:val="24"/>
          <w:szCs w:val="24"/>
          <w:highlight w:val="none"/>
        </w:rPr>
        <w:t>邮  箱：</w:t>
      </w:r>
      <w:r>
        <w:rPr>
          <w:i/>
          <w:color w:val="auto"/>
          <w:sz w:val="24"/>
          <w:szCs w:val="24"/>
          <w:highlight w:val="none"/>
          <w:u w:val="single"/>
        </w:rPr>
        <w:tab/>
      </w:r>
      <w:r>
        <w:rPr>
          <w:rFonts w:hint="eastAsia"/>
          <w:i/>
          <w:color w:val="auto"/>
          <w:sz w:val="24"/>
          <w:szCs w:val="24"/>
          <w:highlight w:val="none"/>
          <w:u w:val="single"/>
        </w:rPr>
        <w:t xml:space="preserve">          </w:t>
      </w:r>
      <w:r>
        <w:rPr>
          <w:rFonts w:hint="eastAsia"/>
          <w:i/>
          <w:color w:val="auto"/>
          <w:sz w:val="24"/>
          <w:szCs w:val="24"/>
          <w:highlight w:val="none"/>
          <w:u w:val="single"/>
          <w:lang w:val="en-US" w:eastAsia="zh-CN"/>
        </w:rPr>
        <w:t>/</w:t>
      </w:r>
      <w:r>
        <w:rPr>
          <w:rFonts w:hint="eastAsia"/>
          <w:i/>
          <w:color w:val="auto"/>
          <w:sz w:val="24"/>
          <w:szCs w:val="24"/>
          <w:highlight w:val="none"/>
          <w:u w:val="single"/>
        </w:rPr>
        <w:t xml:space="preserve">        </w:t>
      </w:r>
      <w:r>
        <w:rPr>
          <w:rFonts w:hint="eastAsia" w:eastAsia="宋体"/>
          <w:i w:val="0"/>
          <w:iCs/>
          <w:color w:val="auto"/>
          <w:sz w:val="24"/>
          <w:szCs w:val="24"/>
          <w:highlight w:val="none"/>
          <w:u w:val="none"/>
          <w:lang w:val="en-US" w:eastAsia="zh-CN"/>
        </w:rPr>
        <w:t xml:space="preserve">                  </w:t>
      </w:r>
    </w:p>
    <w:p w14:paraId="47D8EB0A">
      <w:pPr>
        <w:keepNext w:val="0"/>
        <w:keepLines w:val="0"/>
        <w:pageBreakBefore w:val="0"/>
        <w:widowControl/>
        <w:tabs>
          <w:tab w:val="left" w:pos="6832"/>
        </w:tabs>
        <w:kinsoku w:val="0"/>
        <w:wordWrap/>
        <w:overflowPunct/>
        <w:topLinePunct w:val="0"/>
        <w:autoSpaceDE w:val="0"/>
        <w:autoSpaceDN w:val="0"/>
        <w:bidi w:val="0"/>
        <w:adjustRightInd w:val="0"/>
        <w:snapToGrid w:val="0"/>
        <w:spacing w:before="78" w:line="360" w:lineRule="auto"/>
        <w:ind w:firstLine="480" w:firstLineChars="200"/>
        <w:textAlignment w:val="baseline"/>
        <w:rPr>
          <w:rFonts w:hint="eastAsia" w:ascii="宋体" w:hAnsi="宋体" w:eastAsia="宋体" w:cs="Times New Roman"/>
          <w:i w:val="0"/>
          <w:iCs w:val="0"/>
          <w:color w:val="auto"/>
          <w:spacing w:val="0"/>
          <w:sz w:val="24"/>
          <w:szCs w:val="24"/>
          <w:highlight w:val="none"/>
          <w:u w:val="single"/>
          <w:lang w:val="en-US" w:eastAsia="zh-CN"/>
        </w:rPr>
      </w:pPr>
      <w:r>
        <w:rPr>
          <w:rFonts w:hint="eastAsia" w:ascii="宋体" w:hAnsi="宋体" w:eastAsia="宋体" w:cs="Times New Roman"/>
          <w:i w:val="0"/>
          <w:iCs w:val="0"/>
          <w:color w:val="auto"/>
          <w:spacing w:val="0"/>
          <w:sz w:val="24"/>
          <w:szCs w:val="24"/>
          <w:highlight w:val="none"/>
          <w:u w:val="none"/>
          <w:lang w:eastAsia="zh-CN"/>
        </w:rPr>
        <w:t>招标代理机构：</w:t>
      </w:r>
      <w:r>
        <w:rPr>
          <w:rFonts w:hint="eastAsia" w:ascii="宋体" w:hAnsi="宋体" w:eastAsia="宋体" w:cs="Times New Roman"/>
          <w:i w:val="0"/>
          <w:iCs w:val="0"/>
          <w:color w:val="auto"/>
          <w:spacing w:val="0"/>
          <w:sz w:val="24"/>
          <w:szCs w:val="24"/>
          <w:highlight w:val="none"/>
          <w:u w:val="single"/>
          <w:lang w:val="en-US" w:eastAsia="zh-CN"/>
        </w:rPr>
        <w:t>绍兴明晨建设项目管理有限公司</w:t>
      </w:r>
    </w:p>
    <w:p w14:paraId="08DEB793">
      <w:pPr>
        <w:keepNext w:val="0"/>
        <w:keepLines w:val="0"/>
        <w:pageBreakBefore w:val="0"/>
        <w:widowControl/>
        <w:tabs>
          <w:tab w:val="left" w:pos="6832"/>
        </w:tabs>
        <w:kinsoku w:val="0"/>
        <w:wordWrap/>
        <w:overflowPunct/>
        <w:topLinePunct w:val="0"/>
        <w:autoSpaceDE w:val="0"/>
        <w:autoSpaceDN w:val="0"/>
        <w:bidi w:val="0"/>
        <w:adjustRightInd w:val="0"/>
        <w:snapToGrid w:val="0"/>
        <w:spacing w:before="78" w:line="360" w:lineRule="auto"/>
        <w:ind w:firstLine="480" w:firstLineChars="200"/>
        <w:textAlignment w:val="baseline"/>
        <w:rPr>
          <w:rFonts w:hint="eastAsia"/>
          <w:i w:val="0"/>
          <w:iCs w:val="0"/>
          <w:color w:val="auto"/>
          <w:sz w:val="24"/>
          <w:szCs w:val="24"/>
          <w:highlight w:val="none"/>
          <w:u w:val="single"/>
          <w:lang w:val="en-US" w:eastAsia="zh-CN"/>
        </w:rPr>
      </w:pPr>
      <w:r>
        <w:rPr>
          <w:rFonts w:hint="eastAsia" w:ascii="宋体" w:hAnsi="宋体"/>
          <w:i w:val="0"/>
          <w:iCs w:val="0"/>
          <w:color w:val="auto"/>
          <w:sz w:val="24"/>
          <w:szCs w:val="24"/>
          <w:highlight w:val="none"/>
        </w:rPr>
        <w:t>地  址：</w:t>
      </w:r>
      <w:r>
        <w:rPr>
          <w:rFonts w:hint="eastAsia"/>
          <w:i w:val="0"/>
          <w:iCs w:val="0"/>
          <w:color w:val="auto"/>
          <w:sz w:val="24"/>
          <w:szCs w:val="24"/>
          <w:highlight w:val="none"/>
          <w:u w:val="single"/>
          <w:lang w:eastAsia="zh-CN"/>
        </w:rPr>
        <w:t>绍兴市越城区延安东路</w:t>
      </w:r>
      <w:r>
        <w:rPr>
          <w:rFonts w:hint="eastAsia" w:ascii="宋体" w:hAnsi="宋体" w:eastAsia="宋体" w:cs="宋体"/>
          <w:i w:val="0"/>
          <w:iCs w:val="0"/>
          <w:color w:val="auto"/>
          <w:sz w:val="24"/>
          <w:szCs w:val="24"/>
          <w:highlight w:val="none"/>
          <w:u w:val="single"/>
          <w:lang w:val="en-US" w:eastAsia="zh-CN"/>
        </w:rPr>
        <w:t>505</w:t>
      </w:r>
      <w:r>
        <w:rPr>
          <w:rFonts w:hint="eastAsia"/>
          <w:i w:val="0"/>
          <w:iCs w:val="0"/>
          <w:color w:val="auto"/>
          <w:sz w:val="24"/>
          <w:szCs w:val="24"/>
          <w:highlight w:val="none"/>
          <w:u w:val="single"/>
          <w:lang w:val="en-US" w:eastAsia="zh-CN"/>
        </w:rPr>
        <w:t>号十楼</w:t>
      </w:r>
    </w:p>
    <w:p w14:paraId="5C717F9D">
      <w:pPr>
        <w:keepNext w:val="0"/>
        <w:keepLines w:val="0"/>
        <w:pageBreakBefore w:val="0"/>
        <w:widowControl/>
        <w:tabs>
          <w:tab w:val="left" w:pos="6832"/>
        </w:tabs>
        <w:kinsoku w:val="0"/>
        <w:wordWrap/>
        <w:overflowPunct/>
        <w:topLinePunct w:val="0"/>
        <w:autoSpaceDE w:val="0"/>
        <w:autoSpaceDN w:val="0"/>
        <w:bidi w:val="0"/>
        <w:adjustRightInd w:val="0"/>
        <w:snapToGrid w:val="0"/>
        <w:spacing w:before="78" w:line="360" w:lineRule="auto"/>
        <w:ind w:firstLine="480" w:firstLineChars="200"/>
        <w:textAlignment w:val="baseline"/>
        <w:rPr>
          <w:rFonts w:hint="eastAsia"/>
          <w:i w:val="0"/>
          <w:iCs w:val="0"/>
          <w:color w:val="auto"/>
          <w:sz w:val="24"/>
          <w:szCs w:val="24"/>
          <w:highlight w:val="none"/>
          <w:u w:val="single"/>
          <w:lang w:val="en-US" w:eastAsia="zh-CN"/>
        </w:rPr>
      </w:pPr>
      <w:r>
        <w:rPr>
          <w:rFonts w:hint="eastAsia" w:ascii="宋体" w:hAnsi="宋体"/>
          <w:i w:val="0"/>
          <w:iCs w:val="0"/>
          <w:color w:val="auto"/>
          <w:sz w:val="24"/>
          <w:szCs w:val="24"/>
          <w:highlight w:val="none"/>
        </w:rPr>
        <w:t>联系人：</w:t>
      </w:r>
      <w:r>
        <w:rPr>
          <w:rFonts w:hint="eastAsia"/>
          <w:i w:val="0"/>
          <w:iCs w:val="0"/>
          <w:color w:val="auto"/>
          <w:sz w:val="24"/>
          <w:szCs w:val="24"/>
          <w:highlight w:val="none"/>
          <w:u w:val="single"/>
          <w:lang w:val="en-US" w:eastAsia="zh-CN"/>
        </w:rPr>
        <w:t>陶芳芳、阮俊晋(代理)</w:t>
      </w:r>
      <w:r>
        <w:rPr>
          <w:rFonts w:hint="eastAsia"/>
          <w:i w:val="0"/>
          <w:iCs w:val="0"/>
          <w:color w:val="auto"/>
          <w:sz w:val="24"/>
          <w:szCs w:val="24"/>
          <w:highlight w:val="none"/>
          <w:u w:val="single"/>
          <w:lang w:eastAsia="zh-CN"/>
        </w:rPr>
        <w:t>，</w:t>
      </w:r>
      <w:r>
        <w:rPr>
          <w:rFonts w:hint="eastAsia"/>
          <w:i w:val="0"/>
          <w:iCs w:val="0"/>
          <w:color w:val="auto"/>
          <w:sz w:val="24"/>
          <w:szCs w:val="24"/>
          <w:highlight w:val="none"/>
          <w:u w:val="single"/>
          <w:lang w:val="en-US" w:eastAsia="zh-CN"/>
        </w:rPr>
        <w:t>郑瑜(</w:t>
      </w:r>
      <w:r>
        <w:rPr>
          <w:rFonts w:hint="eastAsia"/>
          <w:i w:val="0"/>
          <w:iCs w:val="0"/>
          <w:color w:val="auto"/>
          <w:sz w:val="24"/>
          <w:szCs w:val="24"/>
          <w:highlight w:val="none"/>
          <w:u w:val="single"/>
          <w:lang w:eastAsia="zh-CN"/>
        </w:rPr>
        <w:t>预算</w:t>
      </w:r>
      <w:r>
        <w:rPr>
          <w:rFonts w:hint="eastAsia"/>
          <w:i w:val="0"/>
          <w:iCs w:val="0"/>
          <w:color w:val="auto"/>
          <w:sz w:val="24"/>
          <w:szCs w:val="24"/>
          <w:highlight w:val="none"/>
          <w:u w:val="single"/>
          <w:lang w:val="en-US" w:eastAsia="zh-CN"/>
        </w:rPr>
        <w:t>)</w:t>
      </w:r>
    </w:p>
    <w:p w14:paraId="16AA0944">
      <w:pPr>
        <w:keepNext w:val="0"/>
        <w:keepLines w:val="0"/>
        <w:pageBreakBefore w:val="0"/>
        <w:widowControl/>
        <w:tabs>
          <w:tab w:val="left" w:pos="6832"/>
        </w:tabs>
        <w:kinsoku w:val="0"/>
        <w:wordWrap/>
        <w:overflowPunct/>
        <w:topLinePunct w:val="0"/>
        <w:autoSpaceDE w:val="0"/>
        <w:autoSpaceDN w:val="0"/>
        <w:bidi w:val="0"/>
        <w:adjustRightInd w:val="0"/>
        <w:snapToGrid w:val="0"/>
        <w:spacing w:before="78" w:line="360" w:lineRule="auto"/>
        <w:ind w:firstLine="480" w:firstLineChars="200"/>
        <w:textAlignment w:val="baseline"/>
        <w:rPr>
          <w:rFonts w:hint="eastAsia" w:ascii="宋体" w:hAnsi="宋体" w:eastAsia="宋体" w:cs="Times New Roman"/>
          <w:i w:val="0"/>
          <w:iCs w:val="0"/>
          <w:snapToGrid w:val="0"/>
          <w:color w:val="auto"/>
          <w:spacing w:val="0"/>
          <w:kern w:val="0"/>
          <w:sz w:val="24"/>
          <w:szCs w:val="24"/>
          <w:highlight w:val="none"/>
          <w:u w:val="single"/>
          <w:lang w:val="en-US" w:eastAsia="zh-CN" w:bidi="ar-SA"/>
        </w:rPr>
      </w:pPr>
      <w:r>
        <w:rPr>
          <w:rFonts w:hint="eastAsia" w:ascii="宋体" w:hAnsi="宋体" w:eastAsia="宋体" w:cs="Times New Roman"/>
          <w:i w:val="0"/>
          <w:iCs w:val="0"/>
          <w:snapToGrid w:val="0"/>
          <w:color w:val="auto"/>
          <w:spacing w:val="0"/>
          <w:kern w:val="0"/>
          <w:sz w:val="24"/>
          <w:szCs w:val="24"/>
          <w:highlight w:val="none"/>
          <w:u w:val="none"/>
          <w:lang w:val="en-US" w:eastAsia="zh-CN" w:bidi="ar-SA"/>
        </w:rPr>
        <w:t>电  话：</w:t>
      </w:r>
      <w:r>
        <w:rPr>
          <w:rFonts w:hint="eastAsia" w:ascii="宋体" w:hAnsi="宋体" w:eastAsia="宋体" w:cs="Times New Roman"/>
          <w:i w:val="0"/>
          <w:iCs w:val="0"/>
          <w:snapToGrid w:val="0"/>
          <w:color w:val="auto"/>
          <w:spacing w:val="0"/>
          <w:kern w:val="0"/>
          <w:sz w:val="24"/>
          <w:szCs w:val="24"/>
          <w:highlight w:val="none"/>
          <w:u w:val="single"/>
          <w:lang w:val="en-US" w:eastAsia="zh-CN" w:bidi="ar-SA"/>
        </w:rPr>
        <w:t>15157588551，0575-88313149(代理)，13357525598郑瑜(预算)</w:t>
      </w:r>
    </w:p>
    <w:p w14:paraId="2337A68A">
      <w:pPr>
        <w:keepNext w:val="0"/>
        <w:keepLines w:val="0"/>
        <w:pageBreakBefore w:val="0"/>
        <w:widowControl/>
        <w:tabs>
          <w:tab w:val="left" w:pos="6832"/>
        </w:tabs>
        <w:kinsoku w:val="0"/>
        <w:wordWrap/>
        <w:overflowPunct/>
        <w:topLinePunct w:val="0"/>
        <w:autoSpaceDE w:val="0"/>
        <w:autoSpaceDN w:val="0"/>
        <w:bidi w:val="0"/>
        <w:adjustRightInd w:val="0"/>
        <w:snapToGrid w:val="0"/>
        <w:spacing w:before="78" w:line="360" w:lineRule="auto"/>
        <w:ind w:firstLine="480" w:firstLineChars="200"/>
        <w:textAlignment w:val="baseline"/>
        <w:rPr>
          <w:rFonts w:hint="eastAsia" w:ascii="宋体" w:hAnsi="宋体" w:eastAsia="宋体" w:cs="Times New Roman"/>
          <w:i w:val="0"/>
          <w:iCs w:val="0"/>
          <w:snapToGrid w:val="0"/>
          <w:color w:val="auto"/>
          <w:spacing w:val="0"/>
          <w:kern w:val="0"/>
          <w:sz w:val="24"/>
          <w:szCs w:val="24"/>
          <w:highlight w:val="none"/>
          <w:u w:val="single"/>
          <w:lang w:val="en-US" w:eastAsia="zh-CN" w:bidi="ar-SA"/>
        </w:rPr>
      </w:pPr>
      <w:r>
        <w:rPr>
          <w:rFonts w:hint="eastAsia" w:ascii="宋体" w:hAnsi="宋体" w:eastAsia="宋体" w:cs="Times New Roman"/>
          <w:i w:val="0"/>
          <w:iCs w:val="0"/>
          <w:snapToGrid w:val="0"/>
          <w:color w:val="auto"/>
          <w:spacing w:val="0"/>
          <w:kern w:val="0"/>
          <w:sz w:val="24"/>
          <w:szCs w:val="24"/>
          <w:highlight w:val="none"/>
          <w:u w:val="none"/>
          <w:lang w:val="en-US" w:eastAsia="zh-CN" w:bidi="ar-SA"/>
        </w:rPr>
        <w:t>邮  箱：</w:t>
      </w:r>
      <w:r>
        <w:rPr>
          <w:rFonts w:hint="eastAsia" w:ascii="宋体" w:hAnsi="宋体" w:eastAsia="宋体" w:cs="Times New Roman"/>
          <w:i w:val="0"/>
          <w:iCs w:val="0"/>
          <w:snapToGrid w:val="0"/>
          <w:color w:val="auto"/>
          <w:spacing w:val="0"/>
          <w:kern w:val="0"/>
          <w:sz w:val="24"/>
          <w:szCs w:val="24"/>
          <w:highlight w:val="none"/>
          <w:u w:val="single"/>
          <w:lang w:val="en-US" w:eastAsia="zh-CN" w:bidi="ar-SA"/>
        </w:rPr>
        <w:t xml:space="preserve">294148036@qq.com   </w:t>
      </w:r>
    </w:p>
    <w:p w14:paraId="5AD0B635">
      <w:pPr>
        <w:tabs>
          <w:tab w:val="left" w:pos="6832"/>
        </w:tabs>
        <w:spacing w:before="78" w:line="220" w:lineRule="auto"/>
        <w:ind w:left="6113"/>
        <w:rPr>
          <w:rFonts w:hint="eastAsia" w:ascii="宋体" w:hAnsi="宋体" w:eastAsia="宋体" w:cs="宋体"/>
          <w:color w:val="auto"/>
          <w:sz w:val="24"/>
          <w:szCs w:val="24"/>
          <w:highlight w:val="none"/>
          <w:u w:val="single" w:color="auto"/>
          <w:lang w:val="en-US" w:eastAsia="zh-CN"/>
        </w:rPr>
      </w:pPr>
    </w:p>
    <w:p w14:paraId="21719FED">
      <w:pPr>
        <w:tabs>
          <w:tab w:val="left" w:pos="6832"/>
        </w:tabs>
        <w:spacing w:before="78" w:line="220" w:lineRule="auto"/>
        <w:ind w:left="6113"/>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r>
        <w:rPr>
          <w:rFonts w:hint="eastAsia" w:ascii="宋体" w:hAnsi="宋体" w:eastAsia="宋体" w:cs="宋体"/>
          <w:color w:val="auto"/>
          <w:sz w:val="24"/>
          <w:szCs w:val="24"/>
          <w:highlight w:val="none"/>
          <w:u w:val="single" w:color="auto"/>
          <w:lang w:val="en-US" w:eastAsia="zh-CN"/>
        </w:rPr>
        <w:t>2026</w:t>
      </w:r>
      <w:r>
        <w:rPr>
          <w:rFonts w:ascii="宋体" w:hAnsi="宋体" w:eastAsia="宋体" w:cs="宋体"/>
          <w:color w:val="auto"/>
          <w:spacing w:val="-110"/>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30"/>
          <w:sz w:val="24"/>
          <w:szCs w:val="24"/>
          <w:highlight w:val="none"/>
          <w:u w:val="single" w:color="auto"/>
        </w:rPr>
        <w:t xml:space="preserve"> </w:t>
      </w:r>
      <w:r>
        <w:rPr>
          <w:rFonts w:hint="eastAsia" w:ascii="宋体" w:hAnsi="宋体" w:eastAsia="宋体" w:cs="宋体"/>
          <w:color w:val="auto"/>
          <w:spacing w:val="30"/>
          <w:sz w:val="24"/>
          <w:szCs w:val="24"/>
          <w:highlight w:val="none"/>
          <w:u w:val="single" w:color="auto"/>
          <w:lang w:val="en-US" w:eastAsia="zh-CN"/>
        </w:rPr>
        <w:t xml:space="preserve"> 3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9"/>
          <w:sz w:val="24"/>
          <w:szCs w:val="24"/>
          <w:highlight w:val="none"/>
        </w:rPr>
        <w:t>月</w:t>
      </w:r>
      <w:r>
        <w:rPr>
          <w:rFonts w:hint="eastAsia" w:ascii="宋体" w:hAnsi="宋体" w:eastAsia="宋体" w:cs="宋体"/>
          <w:color w:val="auto"/>
          <w:spacing w:val="30"/>
          <w:sz w:val="24"/>
          <w:szCs w:val="24"/>
          <w:highlight w:val="none"/>
          <w:u w:val="single" w:color="auto"/>
          <w:lang w:val="en-US" w:eastAsia="zh-CN"/>
        </w:rPr>
        <w:t xml:space="preserve">  9 </w:t>
      </w:r>
      <w:r>
        <w:rPr>
          <w:rFonts w:ascii="宋体" w:hAnsi="宋体" w:eastAsia="宋体" w:cs="宋体"/>
          <w:color w:val="auto"/>
          <w:spacing w:val="-70"/>
          <w:sz w:val="24"/>
          <w:szCs w:val="24"/>
          <w:highlight w:val="none"/>
        </w:rPr>
        <w:t xml:space="preserve"> </w:t>
      </w:r>
      <w:r>
        <w:rPr>
          <w:rFonts w:ascii="宋体" w:hAnsi="宋体" w:eastAsia="宋体" w:cs="宋体"/>
          <w:color w:val="auto"/>
          <w:spacing w:val="-9"/>
          <w:sz w:val="24"/>
          <w:szCs w:val="24"/>
          <w:highlight w:val="none"/>
        </w:rPr>
        <w:t>日</w:t>
      </w:r>
    </w:p>
    <w:p w14:paraId="5D0D3E01">
      <w:pPr>
        <w:spacing w:before="57" w:line="222" w:lineRule="auto"/>
        <w:ind w:left="2857"/>
        <w:outlineLvl w:val="2"/>
        <w:rPr>
          <w:rFonts w:ascii="黑体" w:hAnsi="黑体" w:eastAsia="黑体" w:cs="黑体"/>
          <w:color w:val="auto"/>
          <w:sz w:val="28"/>
          <w:szCs w:val="28"/>
          <w:highlight w:val="none"/>
        </w:rPr>
      </w:pPr>
      <w:bookmarkStart w:id="45" w:name="bookmark23"/>
      <w:bookmarkEnd w:id="45"/>
      <w:bookmarkStart w:id="46" w:name="_Toc15939"/>
      <w:bookmarkStart w:id="47" w:name="_Toc3977"/>
      <w:r>
        <w:rPr>
          <w:rFonts w:ascii="黑体" w:hAnsi="黑体" w:eastAsia="黑体" w:cs="黑体"/>
          <w:b/>
          <w:bCs/>
          <w:color w:val="auto"/>
          <w:spacing w:val="-3"/>
          <w:sz w:val="28"/>
          <w:szCs w:val="28"/>
          <w:highlight w:val="none"/>
        </w:rPr>
        <w:t>投标人资格条件要求附表</w:t>
      </w:r>
      <w:bookmarkEnd w:id="46"/>
      <w:bookmarkEnd w:id="47"/>
    </w:p>
    <w:p w14:paraId="4B329DFB">
      <w:pPr>
        <w:spacing w:line="165" w:lineRule="exact"/>
        <w:rPr>
          <w:color w:val="auto"/>
          <w:highlight w:val="none"/>
        </w:rPr>
      </w:pPr>
    </w:p>
    <w:tbl>
      <w:tblPr>
        <w:tblStyle w:val="32"/>
        <w:tblW w:w="9208"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31"/>
        <w:gridCol w:w="8477"/>
      </w:tblGrid>
      <w:tr w14:paraId="630C94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7" w:hRule="atLeast"/>
        </w:trPr>
        <w:tc>
          <w:tcPr>
            <w:tcW w:w="731" w:type="dxa"/>
            <w:tcBorders>
              <w:top w:val="single" w:color="000000" w:sz="6" w:space="0"/>
              <w:left w:val="single" w:color="000000" w:sz="6" w:space="0"/>
            </w:tcBorders>
            <w:vAlign w:val="top"/>
          </w:tcPr>
          <w:p w14:paraId="1C742C4D">
            <w:pPr>
              <w:pStyle w:val="33"/>
              <w:spacing w:before="96" w:line="222" w:lineRule="auto"/>
              <w:ind w:left="150"/>
              <w:rPr>
                <w:color w:val="auto"/>
                <w:sz w:val="21"/>
                <w:szCs w:val="21"/>
                <w:highlight w:val="none"/>
              </w:rPr>
            </w:pPr>
            <w:r>
              <w:rPr>
                <w:b/>
                <w:bCs/>
                <w:color w:val="auto"/>
                <w:spacing w:val="-4"/>
                <w:sz w:val="21"/>
                <w:szCs w:val="21"/>
                <w:highlight w:val="none"/>
              </w:rPr>
              <w:t>序号</w:t>
            </w:r>
          </w:p>
        </w:tc>
        <w:tc>
          <w:tcPr>
            <w:tcW w:w="8477" w:type="dxa"/>
            <w:tcBorders>
              <w:top w:val="single" w:color="000000" w:sz="6" w:space="0"/>
              <w:right w:val="single" w:color="000000" w:sz="6" w:space="0"/>
            </w:tcBorders>
            <w:vAlign w:val="top"/>
          </w:tcPr>
          <w:p w14:paraId="4FB40E3D">
            <w:pPr>
              <w:pStyle w:val="33"/>
              <w:spacing w:before="95" w:line="221" w:lineRule="auto"/>
              <w:ind w:left="3351"/>
              <w:rPr>
                <w:color w:val="auto"/>
                <w:sz w:val="21"/>
                <w:szCs w:val="21"/>
                <w:highlight w:val="none"/>
              </w:rPr>
            </w:pPr>
            <w:r>
              <w:rPr>
                <w:b/>
                <w:bCs/>
                <w:color w:val="auto"/>
                <w:spacing w:val="-12"/>
                <w:sz w:val="21"/>
                <w:szCs w:val="21"/>
                <w:highlight w:val="none"/>
              </w:rPr>
              <w:t>资</w:t>
            </w:r>
            <w:r>
              <w:rPr>
                <w:color w:val="auto"/>
                <w:spacing w:val="13"/>
                <w:sz w:val="21"/>
                <w:szCs w:val="21"/>
                <w:highlight w:val="none"/>
              </w:rPr>
              <w:t xml:space="preserve"> </w:t>
            </w:r>
            <w:r>
              <w:rPr>
                <w:b/>
                <w:bCs/>
                <w:color w:val="auto"/>
                <w:spacing w:val="-12"/>
                <w:sz w:val="21"/>
                <w:szCs w:val="21"/>
                <w:highlight w:val="none"/>
              </w:rPr>
              <w:t>格</w:t>
            </w:r>
            <w:r>
              <w:rPr>
                <w:color w:val="auto"/>
                <w:spacing w:val="11"/>
                <w:sz w:val="21"/>
                <w:szCs w:val="21"/>
                <w:highlight w:val="none"/>
              </w:rPr>
              <w:t xml:space="preserve"> </w:t>
            </w:r>
            <w:r>
              <w:rPr>
                <w:b/>
                <w:bCs/>
                <w:color w:val="auto"/>
                <w:spacing w:val="-12"/>
                <w:sz w:val="21"/>
                <w:szCs w:val="21"/>
                <w:highlight w:val="none"/>
              </w:rPr>
              <w:t>条</w:t>
            </w:r>
            <w:r>
              <w:rPr>
                <w:color w:val="auto"/>
                <w:spacing w:val="-12"/>
                <w:sz w:val="21"/>
                <w:szCs w:val="21"/>
                <w:highlight w:val="none"/>
              </w:rPr>
              <w:t xml:space="preserve"> </w:t>
            </w:r>
            <w:r>
              <w:rPr>
                <w:b/>
                <w:bCs/>
                <w:color w:val="auto"/>
                <w:spacing w:val="-12"/>
                <w:sz w:val="21"/>
                <w:szCs w:val="21"/>
                <w:highlight w:val="none"/>
              </w:rPr>
              <w:t>件</w:t>
            </w:r>
            <w:r>
              <w:rPr>
                <w:color w:val="auto"/>
                <w:spacing w:val="34"/>
                <w:sz w:val="21"/>
                <w:szCs w:val="21"/>
                <w:highlight w:val="none"/>
              </w:rPr>
              <w:t xml:space="preserve"> </w:t>
            </w:r>
            <w:r>
              <w:rPr>
                <w:b/>
                <w:bCs/>
                <w:color w:val="auto"/>
                <w:spacing w:val="-12"/>
                <w:sz w:val="21"/>
                <w:szCs w:val="21"/>
                <w:highlight w:val="none"/>
              </w:rPr>
              <w:t>内</w:t>
            </w:r>
            <w:r>
              <w:rPr>
                <w:color w:val="auto"/>
                <w:spacing w:val="11"/>
                <w:sz w:val="21"/>
                <w:szCs w:val="21"/>
                <w:highlight w:val="none"/>
              </w:rPr>
              <w:t xml:space="preserve"> </w:t>
            </w:r>
            <w:r>
              <w:rPr>
                <w:b/>
                <w:bCs/>
                <w:color w:val="auto"/>
                <w:spacing w:val="-12"/>
                <w:sz w:val="21"/>
                <w:szCs w:val="21"/>
                <w:highlight w:val="none"/>
              </w:rPr>
              <w:t>容</w:t>
            </w:r>
          </w:p>
        </w:tc>
      </w:tr>
      <w:tr w14:paraId="071256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31" w:type="dxa"/>
            <w:tcBorders>
              <w:left w:val="single" w:color="000000" w:sz="6" w:space="0"/>
            </w:tcBorders>
            <w:vAlign w:val="top"/>
          </w:tcPr>
          <w:p w14:paraId="235F27EA">
            <w:pPr>
              <w:pStyle w:val="33"/>
              <w:spacing w:before="171" w:line="163" w:lineRule="exact"/>
              <w:ind w:left="260"/>
              <w:rPr>
                <w:color w:val="auto"/>
                <w:sz w:val="21"/>
                <w:szCs w:val="21"/>
                <w:highlight w:val="none"/>
              </w:rPr>
            </w:pPr>
            <w:r>
              <w:rPr>
                <w:b/>
                <w:bCs/>
                <w:color w:val="auto"/>
                <w:spacing w:val="-3"/>
                <w:position w:val="-4"/>
                <w:sz w:val="21"/>
                <w:szCs w:val="21"/>
                <w:highlight w:val="none"/>
              </w:rPr>
              <w:t>一</w:t>
            </w:r>
          </w:p>
        </w:tc>
        <w:tc>
          <w:tcPr>
            <w:tcW w:w="8477" w:type="dxa"/>
            <w:tcBorders>
              <w:right w:val="single" w:color="000000" w:sz="6" w:space="0"/>
            </w:tcBorders>
            <w:vAlign w:val="top"/>
          </w:tcPr>
          <w:p w14:paraId="4A4C1A6F">
            <w:pPr>
              <w:pStyle w:val="33"/>
              <w:spacing w:before="91" w:line="231" w:lineRule="auto"/>
              <w:ind w:left="110"/>
              <w:rPr>
                <w:color w:val="auto"/>
                <w:sz w:val="21"/>
                <w:szCs w:val="21"/>
                <w:highlight w:val="none"/>
              </w:rPr>
            </w:pPr>
            <w:r>
              <w:rPr>
                <w:b/>
                <w:bCs/>
                <w:color w:val="auto"/>
                <w:spacing w:val="-5"/>
                <w:sz w:val="21"/>
                <w:szCs w:val="21"/>
                <w:highlight w:val="none"/>
              </w:rPr>
              <w:t>企业</w:t>
            </w:r>
          </w:p>
        </w:tc>
      </w:tr>
      <w:tr w14:paraId="77EBD6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31" w:type="dxa"/>
            <w:tcBorders>
              <w:left w:val="single" w:color="000000" w:sz="6" w:space="0"/>
            </w:tcBorders>
            <w:vAlign w:val="top"/>
          </w:tcPr>
          <w:p w14:paraId="154AB0A5">
            <w:pPr>
              <w:spacing w:line="416" w:lineRule="auto"/>
              <w:rPr>
                <w:rFonts w:ascii="Arial"/>
                <w:color w:val="auto"/>
                <w:sz w:val="21"/>
                <w:highlight w:val="none"/>
              </w:rPr>
            </w:pPr>
          </w:p>
          <w:p w14:paraId="28F85B1F">
            <w:pPr>
              <w:spacing w:before="61" w:line="187" w:lineRule="auto"/>
              <w:ind w:left="32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8477" w:type="dxa"/>
            <w:tcBorders>
              <w:right w:val="single" w:color="000000" w:sz="6" w:space="0"/>
            </w:tcBorders>
            <w:vAlign w:val="top"/>
          </w:tcPr>
          <w:p w14:paraId="1ADBB094">
            <w:pPr>
              <w:pStyle w:val="33"/>
              <w:spacing w:before="30" w:line="221" w:lineRule="auto"/>
              <w:ind w:left="107"/>
              <w:rPr>
                <w:color w:val="auto"/>
                <w:sz w:val="21"/>
                <w:szCs w:val="21"/>
                <w:highlight w:val="none"/>
              </w:rPr>
            </w:pPr>
            <w:r>
              <w:rPr>
                <w:color w:val="auto"/>
                <w:spacing w:val="-1"/>
                <w:sz w:val="21"/>
                <w:szCs w:val="21"/>
                <w:highlight w:val="none"/>
              </w:rPr>
              <w:t>应具备</w:t>
            </w:r>
            <w:r>
              <w:rPr>
                <w:rFonts w:hint="eastAsia"/>
                <w:b/>
                <w:bCs/>
                <w:color w:val="auto"/>
                <w:spacing w:val="-1"/>
                <w:sz w:val="21"/>
                <w:szCs w:val="21"/>
                <w:highlight w:val="none"/>
                <w:u w:val="single" w:color="auto"/>
                <w:lang w:eastAsia="zh-CN"/>
              </w:rPr>
              <w:t>建设行政主管部门核发的</w:t>
            </w:r>
            <w:r>
              <w:rPr>
                <w:rFonts w:hint="eastAsia"/>
                <w:b/>
                <w:bCs/>
                <w:color w:val="auto"/>
                <w:spacing w:val="-1"/>
                <w:sz w:val="21"/>
                <w:szCs w:val="21"/>
                <w:highlight w:val="none"/>
                <w:u w:val="single" w:color="auto"/>
              </w:rPr>
              <w:t>水利水电工程施工总承包</w:t>
            </w:r>
            <w:r>
              <w:rPr>
                <w:rFonts w:hint="eastAsia"/>
                <w:b/>
                <w:bCs/>
                <w:color w:val="auto"/>
                <w:spacing w:val="-1"/>
                <w:sz w:val="21"/>
                <w:szCs w:val="21"/>
                <w:highlight w:val="none"/>
                <w:u w:val="single" w:color="auto"/>
                <w:lang w:val="en-US" w:eastAsia="zh-CN"/>
              </w:rPr>
              <w:t>二</w:t>
            </w:r>
            <w:r>
              <w:rPr>
                <w:rFonts w:hint="eastAsia"/>
                <w:b/>
                <w:bCs/>
                <w:color w:val="auto"/>
                <w:spacing w:val="-1"/>
                <w:sz w:val="21"/>
                <w:szCs w:val="21"/>
                <w:highlight w:val="none"/>
                <w:u w:val="single" w:color="auto"/>
              </w:rPr>
              <w:t>级及以上</w:t>
            </w:r>
            <w:r>
              <w:rPr>
                <w:color w:val="auto"/>
                <w:spacing w:val="-1"/>
                <w:sz w:val="21"/>
                <w:szCs w:val="21"/>
                <w:highlight w:val="none"/>
              </w:rPr>
              <w:t>资质，具有有效的营业执照和安全生产许可证。</w:t>
            </w:r>
          </w:p>
          <w:p w14:paraId="13C2A021">
            <w:pPr>
              <w:pStyle w:val="33"/>
              <w:spacing w:before="23" w:line="228" w:lineRule="auto"/>
              <w:ind w:left="109" w:right="97" w:hanging="1"/>
              <w:jc w:val="both"/>
              <w:rPr>
                <w:rFonts w:ascii="Times New Roman" w:hAnsi="Times New Roman" w:cs="Times New Roman"/>
                <w:color w:val="auto"/>
                <w:spacing w:val="-2"/>
                <w:sz w:val="21"/>
                <w:szCs w:val="21"/>
                <w:highlight w:val="none"/>
                <w:lang w:eastAsia="zh-CN"/>
              </w:rPr>
            </w:pPr>
            <w:r>
              <w:rPr>
                <w:color w:val="auto"/>
                <w:spacing w:val="2"/>
                <w:sz w:val="21"/>
                <w:szCs w:val="21"/>
                <w:highlight w:val="none"/>
              </w:rPr>
              <w:t>提供投标人自公告发布之日至投标截止日之间在“浙江省建筑市场监管</w:t>
            </w:r>
            <w:r>
              <w:rPr>
                <w:color w:val="auto"/>
                <w:spacing w:val="1"/>
                <w:sz w:val="21"/>
                <w:szCs w:val="21"/>
                <w:highlight w:val="none"/>
              </w:rPr>
              <w:t>公共服务系统”上</w:t>
            </w:r>
            <w:r>
              <w:rPr>
                <w:color w:val="auto"/>
                <w:spacing w:val="-4"/>
                <w:sz w:val="21"/>
                <w:szCs w:val="21"/>
                <w:highlight w:val="none"/>
              </w:rPr>
              <w:t>公布的参与投标施工资质的任意一期“资质动态核查结果证明”。（对应资质应在“浙江省</w:t>
            </w:r>
            <w:r>
              <w:rPr>
                <w:color w:val="auto"/>
                <w:spacing w:val="-1"/>
                <w:sz w:val="21"/>
                <w:szCs w:val="21"/>
                <w:highlight w:val="none"/>
              </w:rPr>
              <w:t>建筑市场监管公共服务系统”上资质动态核查结果处于“合格”状态。）</w:t>
            </w:r>
          </w:p>
        </w:tc>
      </w:tr>
      <w:tr w14:paraId="36B17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31" w:type="dxa"/>
            <w:tcBorders>
              <w:left w:val="single" w:color="000000" w:sz="6" w:space="0"/>
            </w:tcBorders>
            <w:vAlign w:val="top"/>
          </w:tcPr>
          <w:p w14:paraId="16986952">
            <w:pPr>
              <w:spacing w:before="135" w:line="187" w:lineRule="auto"/>
              <w:ind w:left="30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8477" w:type="dxa"/>
            <w:tcBorders>
              <w:right w:val="single" w:color="000000" w:sz="6" w:space="0"/>
            </w:tcBorders>
            <w:vAlign w:val="top"/>
          </w:tcPr>
          <w:p w14:paraId="61D5AB13">
            <w:pPr>
              <w:pStyle w:val="33"/>
              <w:spacing w:before="70" w:line="232" w:lineRule="auto"/>
              <w:ind w:left="108"/>
              <w:rPr>
                <w:color w:val="auto"/>
                <w:sz w:val="21"/>
                <w:szCs w:val="21"/>
                <w:highlight w:val="none"/>
              </w:rPr>
            </w:pPr>
            <w:r>
              <w:rPr>
                <w:color w:val="auto"/>
                <w:sz w:val="21"/>
                <w:szCs w:val="21"/>
                <w:highlight w:val="none"/>
              </w:rPr>
              <w:t>本次招标</w:t>
            </w:r>
            <w:r>
              <w:rPr>
                <w:rFonts w:hint="eastAsia" w:ascii="Times New Roman" w:hAnsi="Times New Roman" w:cs="Times New Roman"/>
                <w:color w:val="auto"/>
                <w:spacing w:val="-16"/>
                <w:sz w:val="21"/>
                <w:szCs w:val="21"/>
                <w:highlight w:val="none"/>
                <w:u w:val="single"/>
                <w:lang w:val="en-US" w:eastAsia="zh-CN"/>
              </w:rPr>
              <w:t>不</w:t>
            </w:r>
            <w:r>
              <w:rPr>
                <w:rFonts w:ascii="Times New Roman" w:hAnsi="Times New Roman" w:cs="Times New Roman"/>
                <w:color w:val="auto"/>
                <w:spacing w:val="-16"/>
                <w:sz w:val="21"/>
                <w:szCs w:val="21"/>
                <w:highlight w:val="none"/>
                <w:u w:val="single"/>
                <w:lang w:eastAsia="zh-CN"/>
              </w:rPr>
              <w:t>接受</w:t>
            </w:r>
            <w:r>
              <w:rPr>
                <w:rFonts w:hint="eastAsia" w:ascii="Times New Roman" w:hAnsi="Times New Roman" w:cs="Times New Roman"/>
                <w:color w:val="auto"/>
                <w:spacing w:val="-16"/>
                <w:sz w:val="21"/>
                <w:szCs w:val="21"/>
                <w:highlight w:val="none"/>
                <w:u w:val="single"/>
                <w:lang w:val="en-US" w:eastAsia="zh-CN"/>
              </w:rPr>
              <w:t xml:space="preserve"> </w:t>
            </w:r>
            <w:r>
              <w:rPr>
                <w:color w:val="auto"/>
                <w:sz w:val="21"/>
                <w:szCs w:val="21"/>
                <w:highlight w:val="none"/>
              </w:rPr>
              <w:t>联合体投标</w:t>
            </w:r>
            <w:r>
              <w:rPr>
                <w:color w:val="auto"/>
                <w:position w:val="10"/>
                <w:sz w:val="11"/>
                <w:szCs w:val="11"/>
                <w:highlight w:val="none"/>
              </w:rPr>
              <w:t>①</w:t>
            </w:r>
            <w:r>
              <w:rPr>
                <w:color w:val="auto"/>
                <w:sz w:val="21"/>
                <w:szCs w:val="21"/>
                <w:highlight w:val="none"/>
              </w:rPr>
              <w:t>。</w:t>
            </w:r>
          </w:p>
        </w:tc>
      </w:tr>
      <w:tr w14:paraId="1ECEFA7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731" w:type="dxa"/>
            <w:tcBorders>
              <w:left w:val="single" w:color="000000" w:sz="6" w:space="0"/>
            </w:tcBorders>
            <w:vAlign w:val="top"/>
          </w:tcPr>
          <w:p w14:paraId="0CE7DA4B">
            <w:pPr>
              <w:spacing w:line="282" w:lineRule="auto"/>
              <w:rPr>
                <w:rFonts w:ascii="Arial"/>
                <w:color w:val="auto"/>
                <w:sz w:val="21"/>
                <w:highlight w:val="none"/>
              </w:rPr>
            </w:pPr>
          </w:p>
          <w:p w14:paraId="516E635A">
            <w:pPr>
              <w:spacing w:before="61" w:line="187" w:lineRule="auto"/>
              <w:ind w:left="31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8477" w:type="dxa"/>
            <w:tcBorders>
              <w:right w:val="single" w:color="000000" w:sz="6" w:space="0"/>
            </w:tcBorders>
            <w:vAlign w:val="top"/>
          </w:tcPr>
          <w:p w14:paraId="4BA623A5">
            <w:pPr>
              <w:pStyle w:val="33"/>
              <w:spacing w:before="31" w:line="225" w:lineRule="auto"/>
              <w:ind w:left="106" w:right="41" w:firstLine="3"/>
              <w:jc w:val="both"/>
              <w:rPr>
                <w:color w:val="auto"/>
                <w:sz w:val="21"/>
                <w:szCs w:val="21"/>
                <w:highlight w:val="none"/>
              </w:rPr>
            </w:pPr>
            <w:r>
              <w:rPr>
                <w:rFonts w:ascii="Times New Roman" w:hAnsi="Times New Roman" w:cs="Times New Roman"/>
                <w:color w:val="auto"/>
                <w:spacing w:val="-5"/>
                <w:sz w:val="21"/>
                <w:szCs w:val="21"/>
                <w:highlight w:val="none"/>
              </w:rPr>
              <w:t>投标人及其法定代表人自</w:t>
            </w:r>
            <w:r>
              <w:rPr>
                <w:rFonts w:ascii="Times New Roman" w:hAnsi="Times New Roman" w:cs="Times New Roman"/>
                <w:color w:val="auto"/>
                <w:spacing w:val="-5"/>
                <w:sz w:val="21"/>
                <w:szCs w:val="21"/>
                <w:highlight w:val="none"/>
                <w:u w:val="single"/>
                <w:lang w:eastAsia="zh-CN"/>
              </w:rPr>
              <w:t>202</w:t>
            </w:r>
            <w:r>
              <w:rPr>
                <w:rFonts w:hint="eastAsia" w:ascii="Times New Roman" w:hAnsi="Times New Roman" w:cs="Times New Roman"/>
                <w:color w:val="auto"/>
                <w:spacing w:val="-5"/>
                <w:sz w:val="21"/>
                <w:szCs w:val="21"/>
                <w:highlight w:val="none"/>
                <w:u w:val="single"/>
                <w:lang w:val="en-US" w:eastAsia="zh-CN"/>
              </w:rPr>
              <w:t>3</w:t>
            </w:r>
            <w:r>
              <w:rPr>
                <w:rFonts w:ascii="Times New Roman" w:hAnsi="Times New Roman" w:cs="Times New Roman"/>
                <w:color w:val="auto"/>
                <w:spacing w:val="-5"/>
                <w:sz w:val="21"/>
                <w:szCs w:val="21"/>
                <w:highlight w:val="none"/>
              </w:rPr>
              <w:t>年</w:t>
            </w:r>
            <w:r>
              <w:rPr>
                <w:rFonts w:hint="eastAsia" w:ascii="Times New Roman" w:hAnsi="Times New Roman" w:cs="Times New Roman"/>
                <w:color w:val="auto"/>
                <w:spacing w:val="-5"/>
                <w:sz w:val="21"/>
                <w:szCs w:val="21"/>
                <w:highlight w:val="none"/>
                <w:u w:val="single"/>
                <w:lang w:val="en-US" w:eastAsia="zh-CN"/>
              </w:rPr>
              <w:t>1</w:t>
            </w:r>
            <w:r>
              <w:rPr>
                <w:rFonts w:ascii="Times New Roman" w:hAnsi="Times New Roman" w:cs="Times New Roman"/>
                <w:color w:val="auto"/>
                <w:spacing w:val="-5"/>
                <w:sz w:val="21"/>
                <w:szCs w:val="21"/>
                <w:highlight w:val="none"/>
              </w:rPr>
              <w:t>月</w:t>
            </w:r>
            <w:r>
              <w:rPr>
                <w:rFonts w:ascii="Times New Roman" w:hAnsi="Times New Roman" w:cs="Times New Roman"/>
                <w:color w:val="auto"/>
                <w:spacing w:val="-5"/>
                <w:sz w:val="21"/>
                <w:szCs w:val="21"/>
                <w:highlight w:val="none"/>
                <w:u w:val="single"/>
                <w:lang w:eastAsia="zh-CN"/>
              </w:rPr>
              <w:t>1</w:t>
            </w:r>
            <w:r>
              <w:rPr>
                <w:rFonts w:ascii="Times New Roman" w:hAnsi="Times New Roman" w:cs="Times New Roman"/>
                <w:color w:val="auto"/>
                <w:spacing w:val="-5"/>
                <w:sz w:val="21"/>
                <w:szCs w:val="21"/>
                <w:highlight w:val="none"/>
              </w:rPr>
              <w:t>日至投标截止时间</w:t>
            </w:r>
            <w:r>
              <w:rPr>
                <w:rFonts w:ascii="Times New Roman" w:hAnsi="Times New Roman" w:cs="Times New Roman"/>
                <w:i/>
                <w:iCs/>
                <w:color w:val="auto"/>
                <w:spacing w:val="-5"/>
                <w:sz w:val="22"/>
                <w:szCs w:val="22"/>
                <w:highlight w:val="none"/>
              </w:rPr>
              <w:t>（不得少于</w:t>
            </w:r>
            <w:r>
              <w:rPr>
                <w:rFonts w:ascii="Times New Roman" w:hAnsi="Times New Roman" w:eastAsia="Times New Roman" w:cs="Times New Roman"/>
                <w:i/>
                <w:iCs/>
                <w:color w:val="auto"/>
                <w:spacing w:val="-5"/>
                <w:sz w:val="21"/>
                <w:szCs w:val="21"/>
                <w:highlight w:val="none"/>
              </w:rPr>
              <w:t>3</w:t>
            </w:r>
            <w:r>
              <w:rPr>
                <w:rFonts w:ascii="Times New Roman" w:hAnsi="Times New Roman" w:cs="Times New Roman"/>
                <w:i/>
                <w:iCs/>
                <w:color w:val="auto"/>
                <w:spacing w:val="-5"/>
                <w:sz w:val="22"/>
                <w:szCs w:val="22"/>
                <w:highlight w:val="none"/>
              </w:rPr>
              <w:t>年）</w:t>
            </w:r>
            <w:r>
              <w:rPr>
                <w:rFonts w:ascii="Times New Roman" w:hAnsi="Times New Roman" w:cs="Times New Roman"/>
                <w:color w:val="auto"/>
                <w:spacing w:val="-5"/>
                <w:sz w:val="21"/>
                <w:szCs w:val="21"/>
                <w:highlight w:val="none"/>
              </w:rPr>
              <w:t>无行贿犯</w:t>
            </w:r>
            <w:r>
              <w:rPr>
                <w:rFonts w:ascii="Times New Roman" w:hAnsi="Times New Roman" w:cs="Times New Roman"/>
                <w:color w:val="auto"/>
                <w:spacing w:val="-1"/>
                <w:sz w:val="21"/>
                <w:szCs w:val="21"/>
                <w:highlight w:val="none"/>
              </w:rPr>
              <w:t>罪记录（以中国裁判文书网（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http://wenshu.c</w:t>
            </w:r>
            <w:r>
              <w:rPr>
                <w:rFonts w:ascii="Times New Roman" w:hAnsi="Times New Roman" w:eastAsia="Times New Roman" w:cs="Times New Roman"/>
                <w:color w:val="auto"/>
                <w:spacing w:val="-2"/>
                <w:sz w:val="21"/>
                <w:szCs w:val="21"/>
                <w:highlight w:val="none"/>
              </w:rPr>
              <w:t>ourt.gov.cn/</w:t>
            </w:r>
            <w:r>
              <w:rPr>
                <w:rFonts w:ascii="Times New Roman" w:hAnsi="Times New Roman" w:eastAsia="Times New Roman" w:cs="Times New Roman"/>
                <w:color w:val="auto"/>
                <w:spacing w:val="-2"/>
                <w:sz w:val="21"/>
                <w:szCs w:val="21"/>
                <w:highlight w:val="none"/>
              </w:rPr>
              <w:fldChar w:fldCharType="end"/>
            </w:r>
            <w:r>
              <w:rPr>
                <w:rFonts w:ascii="Times New Roman" w:hAnsi="Times New Roman" w:cs="Times New Roman"/>
                <w:color w:val="auto"/>
                <w:spacing w:val="-2"/>
                <w:sz w:val="21"/>
                <w:szCs w:val="21"/>
                <w:highlight w:val="none"/>
              </w:rPr>
              <w:t>）查询结果为准）。</w:t>
            </w:r>
          </w:p>
        </w:tc>
      </w:tr>
      <w:tr w14:paraId="0F5F9F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8" w:hRule="atLeast"/>
        </w:trPr>
        <w:tc>
          <w:tcPr>
            <w:tcW w:w="731" w:type="dxa"/>
            <w:tcBorders>
              <w:left w:val="single" w:color="000000" w:sz="6" w:space="0"/>
            </w:tcBorders>
            <w:vAlign w:val="top"/>
          </w:tcPr>
          <w:p w14:paraId="3AF29975">
            <w:pPr>
              <w:spacing w:before="206" w:line="187" w:lineRule="auto"/>
              <w:ind w:left="305"/>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val="0"/>
                <w:dstrike w:val="0"/>
                <w:color w:val="auto"/>
                <w:sz w:val="21"/>
                <w:szCs w:val="21"/>
                <w:highlight w:val="none"/>
              </w:rPr>
              <w:t>4</w:t>
            </w:r>
          </w:p>
        </w:tc>
        <w:tc>
          <w:tcPr>
            <w:tcW w:w="8477" w:type="dxa"/>
            <w:tcBorders>
              <w:right w:val="single" w:color="000000" w:sz="6" w:space="0"/>
            </w:tcBorders>
            <w:vAlign w:val="center"/>
          </w:tcPr>
          <w:p w14:paraId="0831E5FB">
            <w:pPr>
              <w:pStyle w:val="33"/>
              <w:spacing w:before="13" w:line="235" w:lineRule="auto"/>
              <w:ind w:left="106" w:right="97" w:firstLine="4"/>
              <w:jc w:val="both"/>
              <w:rPr>
                <w:strike/>
                <w:dstrike w:val="0"/>
                <w:color w:val="auto"/>
                <w:sz w:val="21"/>
                <w:szCs w:val="21"/>
                <w:highlight w:val="none"/>
              </w:rPr>
            </w:pPr>
            <w:r>
              <w:rPr>
                <w:strike/>
                <w:dstrike w:val="0"/>
                <w:color w:val="auto"/>
                <w:spacing w:val="-1"/>
                <w:sz w:val="21"/>
                <w:szCs w:val="21"/>
                <w:highlight w:val="none"/>
              </w:rPr>
              <w:t xml:space="preserve">投标人自   年   月   日至投标截止时间，完成过 </w:t>
            </w:r>
            <w:r>
              <w:rPr>
                <w:rFonts w:ascii="隶书" w:hAnsi="隶书" w:eastAsia="隶书" w:cs="隶书"/>
                <w:strike/>
                <w:dstrike w:val="0"/>
                <w:color w:val="auto"/>
                <w:spacing w:val="10"/>
                <w:sz w:val="21"/>
                <w:szCs w:val="21"/>
                <w:highlight w:val="none"/>
                <w:u w:val="single" w:color="auto"/>
              </w:rPr>
              <w:t xml:space="preserve">       </w:t>
            </w:r>
            <w:r>
              <w:rPr>
                <w:rFonts w:ascii="隶书" w:hAnsi="隶书" w:eastAsia="隶书" w:cs="隶书"/>
                <w:strike/>
                <w:dstrike w:val="0"/>
                <w:color w:val="auto"/>
                <w:spacing w:val="-93"/>
                <w:sz w:val="21"/>
                <w:szCs w:val="21"/>
                <w:highlight w:val="none"/>
              </w:rPr>
              <w:t xml:space="preserve"> </w:t>
            </w:r>
            <w:r>
              <w:rPr>
                <w:rFonts w:ascii="隶书" w:hAnsi="隶书" w:eastAsia="隶书" w:cs="隶书"/>
                <w:strike/>
                <w:dstrike w:val="0"/>
                <w:color w:val="auto"/>
                <w:spacing w:val="-8"/>
                <w:sz w:val="21"/>
                <w:szCs w:val="21"/>
                <w:highlight w:val="none"/>
              </w:rPr>
              <w:t>业绩</w:t>
            </w:r>
            <w:r>
              <w:rPr>
                <w:rFonts w:ascii="隶书" w:hAnsi="隶书" w:eastAsia="隶书" w:cs="隶书"/>
                <w:strike/>
                <w:dstrike w:val="0"/>
                <w:color w:val="auto"/>
                <w:spacing w:val="-8"/>
                <w:position w:val="10"/>
                <w:sz w:val="11"/>
                <w:szCs w:val="11"/>
                <w:highlight w:val="none"/>
              </w:rPr>
              <w:t>②</w:t>
            </w:r>
            <w:r>
              <w:rPr>
                <w:strike/>
                <w:dstrike w:val="0"/>
                <w:color w:val="auto"/>
                <w:spacing w:val="-8"/>
                <w:sz w:val="21"/>
                <w:szCs w:val="21"/>
                <w:highlight w:val="none"/>
              </w:rPr>
              <w:t>。</w:t>
            </w:r>
            <w:r>
              <w:rPr>
                <w:strike/>
                <w:dstrike w:val="0"/>
                <w:color w:val="auto"/>
                <w:sz w:val="21"/>
                <w:szCs w:val="21"/>
                <w:highlight w:val="none"/>
              </w:rPr>
              <w:t xml:space="preserve"> </w:t>
            </w:r>
            <w:r>
              <w:rPr>
                <w:strike/>
                <w:dstrike w:val="0"/>
                <w:color w:val="auto"/>
                <w:spacing w:val="17"/>
                <w:sz w:val="21"/>
                <w:szCs w:val="21"/>
                <w:highlight w:val="none"/>
              </w:rPr>
              <w:t>业</w:t>
            </w:r>
            <w:r>
              <w:rPr>
                <w:strike/>
                <w:dstrike w:val="0"/>
                <w:color w:val="auto"/>
                <w:spacing w:val="-1"/>
                <w:sz w:val="21"/>
                <w:szCs w:val="21"/>
                <w:highlight w:val="none"/>
              </w:rPr>
              <w:t>绩证明材料见下文。</w:t>
            </w:r>
          </w:p>
        </w:tc>
      </w:tr>
      <w:tr w14:paraId="54D18B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31" w:type="dxa"/>
            <w:tcBorders>
              <w:left w:val="single" w:color="000000" w:sz="6" w:space="0"/>
            </w:tcBorders>
            <w:vAlign w:val="top"/>
          </w:tcPr>
          <w:p w14:paraId="272AA5C7">
            <w:pPr>
              <w:spacing w:before="138" w:line="184" w:lineRule="auto"/>
              <w:ind w:left="31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5</w:t>
            </w:r>
          </w:p>
        </w:tc>
        <w:tc>
          <w:tcPr>
            <w:tcW w:w="8477" w:type="dxa"/>
            <w:tcBorders>
              <w:right w:val="single" w:color="000000" w:sz="6" w:space="0"/>
            </w:tcBorders>
            <w:vAlign w:val="top"/>
          </w:tcPr>
          <w:p w14:paraId="1326E3E9">
            <w:pPr>
              <w:pStyle w:val="33"/>
              <w:spacing w:before="96" w:line="221" w:lineRule="auto"/>
              <w:ind w:left="131"/>
              <w:rPr>
                <w:strike/>
                <w:dstrike w:val="0"/>
                <w:color w:val="auto"/>
                <w:sz w:val="21"/>
                <w:szCs w:val="21"/>
                <w:highlight w:val="none"/>
              </w:rPr>
            </w:pPr>
            <w:r>
              <w:rPr>
                <w:strike/>
                <w:dstrike w:val="0"/>
                <w:color w:val="auto"/>
                <w:spacing w:val="-1"/>
                <w:sz w:val="21"/>
                <w:szCs w:val="21"/>
                <w:highlight w:val="none"/>
              </w:rPr>
              <w:t>□面向中小企业招标的，投标人（或联合体中的中小企业）应提交《中小企业声明函》。</w:t>
            </w:r>
          </w:p>
        </w:tc>
      </w:tr>
      <w:tr w14:paraId="43540D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31" w:type="dxa"/>
            <w:tcBorders>
              <w:left w:val="single" w:color="000000" w:sz="6" w:space="0"/>
            </w:tcBorders>
            <w:vAlign w:val="top"/>
          </w:tcPr>
          <w:p w14:paraId="4C1FD15B">
            <w:pPr>
              <w:pStyle w:val="33"/>
              <w:spacing w:before="136" w:line="179" w:lineRule="auto"/>
              <w:ind w:left="260"/>
              <w:rPr>
                <w:color w:val="auto"/>
                <w:sz w:val="21"/>
                <w:szCs w:val="21"/>
                <w:highlight w:val="none"/>
              </w:rPr>
            </w:pPr>
            <w:r>
              <w:rPr>
                <w:b/>
                <w:bCs/>
                <w:color w:val="auto"/>
                <w:spacing w:val="-3"/>
                <w:sz w:val="21"/>
                <w:szCs w:val="21"/>
                <w:highlight w:val="none"/>
              </w:rPr>
              <w:t>二</w:t>
            </w:r>
          </w:p>
        </w:tc>
        <w:tc>
          <w:tcPr>
            <w:tcW w:w="8477" w:type="dxa"/>
            <w:tcBorders>
              <w:right w:val="single" w:color="000000" w:sz="6" w:space="0"/>
            </w:tcBorders>
            <w:vAlign w:val="top"/>
          </w:tcPr>
          <w:p w14:paraId="1128F39B">
            <w:pPr>
              <w:pStyle w:val="33"/>
              <w:spacing w:before="96" w:line="220" w:lineRule="auto"/>
              <w:ind w:left="107"/>
              <w:rPr>
                <w:color w:val="auto"/>
                <w:sz w:val="21"/>
                <w:szCs w:val="21"/>
                <w:highlight w:val="none"/>
              </w:rPr>
            </w:pPr>
            <w:r>
              <w:rPr>
                <w:b/>
                <w:bCs/>
                <w:color w:val="auto"/>
                <w:spacing w:val="-2"/>
                <w:sz w:val="21"/>
                <w:szCs w:val="21"/>
                <w:highlight w:val="none"/>
              </w:rPr>
              <w:t>拟派项目组主要人员</w:t>
            </w:r>
          </w:p>
        </w:tc>
      </w:tr>
      <w:tr w14:paraId="431BFF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93" w:hRule="atLeast"/>
        </w:trPr>
        <w:tc>
          <w:tcPr>
            <w:tcW w:w="731" w:type="dxa"/>
            <w:tcBorders>
              <w:left w:val="single" w:color="000000" w:sz="6" w:space="0"/>
            </w:tcBorders>
            <w:vAlign w:val="top"/>
          </w:tcPr>
          <w:p w14:paraId="40C16CD2">
            <w:pPr>
              <w:spacing w:line="419" w:lineRule="auto"/>
              <w:rPr>
                <w:rFonts w:ascii="Arial"/>
                <w:color w:val="auto"/>
                <w:sz w:val="21"/>
                <w:highlight w:val="none"/>
              </w:rPr>
            </w:pPr>
          </w:p>
          <w:p w14:paraId="0F42B11E">
            <w:pPr>
              <w:spacing w:before="60" w:line="187" w:lineRule="auto"/>
              <w:ind w:left="32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8477" w:type="dxa"/>
            <w:tcBorders>
              <w:right w:val="single" w:color="000000" w:sz="6" w:space="0"/>
            </w:tcBorders>
            <w:vAlign w:val="top"/>
          </w:tcPr>
          <w:p w14:paraId="5CCEF671">
            <w:pPr>
              <w:pStyle w:val="33"/>
              <w:spacing w:before="13" w:line="235" w:lineRule="auto"/>
              <w:ind w:left="106" w:right="97" w:firstLine="4"/>
              <w:jc w:val="both"/>
              <w:rPr>
                <w:color w:val="auto"/>
                <w:sz w:val="21"/>
                <w:szCs w:val="21"/>
                <w:highlight w:val="none"/>
              </w:rPr>
            </w:pPr>
            <w:r>
              <w:rPr>
                <w:color w:val="auto"/>
                <w:spacing w:val="1"/>
                <w:sz w:val="21"/>
                <w:szCs w:val="21"/>
                <w:highlight w:val="none"/>
              </w:rPr>
              <w:t>项目负责人应持有注册在投标人单位的</w:t>
            </w:r>
            <w:r>
              <w:rPr>
                <w:color w:val="auto"/>
                <w:spacing w:val="-87"/>
                <w:sz w:val="21"/>
                <w:szCs w:val="21"/>
                <w:highlight w:val="none"/>
              </w:rPr>
              <w:t xml:space="preserve"> </w:t>
            </w:r>
            <w:r>
              <w:rPr>
                <w:rFonts w:hint="eastAsia" w:ascii="宋体" w:hAnsi="宋体" w:eastAsia="宋体" w:cs="宋体"/>
                <w:color w:val="auto"/>
                <w:spacing w:val="-4"/>
                <w:sz w:val="21"/>
                <w:szCs w:val="21"/>
                <w:highlight w:val="none"/>
                <w:u w:val="single" w:color="auto"/>
                <w:lang w:val="en-US" w:eastAsia="zh-CN"/>
              </w:rPr>
              <w:t>水利水电工程专业二级及以上建造师执业资格，且具有省级及以上水行政主管部门颁发的安全生产考核B证</w:t>
            </w:r>
            <w:r>
              <w:rPr>
                <w:color w:val="auto"/>
                <w:sz w:val="21"/>
                <w:szCs w:val="21"/>
                <w:highlight w:val="none"/>
                <w:u w:val="single" w:color="auto"/>
              </w:rPr>
              <w:t xml:space="preserve"> </w:t>
            </w:r>
            <w:r>
              <w:rPr>
                <w:color w:val="auto"/>
                <w:spacing w:val="-96"/>
                <w:sz w:val="21"/>
                <w:szCs w:val="21"/>
                <w:highlight w:val="none"/>
              </w:rPr>
              <w:t xml:space="preserve"> </w:t>
            </w:r>
            <w:r>
              <w:rPr>
                <w:color w:val="auto"/>
                <w:spacing w:val="1"/>
                <w:sz w:val="21"/>
                <w:szCs w:val="21"/>
                <w:highlight w:val="none"/>
              </w:rPr>
              <w:t>证书</w:t>
            </w:r>
            <w:r>
              <w:rPr>
                <w:color w:val="auto"/>
                <w:spacing w:val="1"/>
                <w:position w:val="10"/>
                <w:sz w:val="11"/>
                <w:szCs w:val="11"/>
                <w:highlight w:val="none"/>
              </w:rPr>
              <w:t>③</w:t>
            </w:r>
            <w:r>
              <w:rPr>
                <w:color w:val="auto"/>
                <w:spacing w:val="1"/>
                <w:sz w:val="21"/>
                <w:szCs w:val="21"/>
                <w:highlight w:val="none"/>
              </w:rPr>
              <w:t>。投标人拟派的项目负责人在</w:t>
            </w:r>
            <w:r>
              <w:rPr>
                <w:color w:val="auto"/>
                <w:spacing w:val="2"/>
                <w:sz w:val="21"/>
                <w:szCs w:val="21"/>
                <w:highlight w:val="none"/>
              </w:rPr>
              <w:t>投标截止时间不得在其他任何在建合同工程中担任项目负责人（包括工程总</w:t>
            </w:r>
            <w:r>
              <w:rPr>
                <w:color w:val="auto"/>
                <w:spacing w:val="1"/>
                <w:sz w:val="21"/>
                <w:szCs w:val="21"/>
                <w:highlight w:val="none"/>
              </w:rPr>
              <w:t>承包项目中的</w:t>
            </w:r>
            <w:r>
              <w:rPr>
                <w:color w:val="auto"/>
                <w:spacing w:val="-3"/>
                <w:sz w:val="21"/>
                <w:szCs w:val="21"/>
                <w:highlight w:val="none"/>
              </w:rPr>
              <w:t>施工负责人）。在建合同工程的开始时间为合同工</w:t>
            </w:r>
            <w:r>
              <w:rPr>
                <w:color w:val="auto"/>
                <w:spacing w:val="-4"/>
                <w:sz w:val="21"/>
                <w:szCs w:val="21"/>
                <w:highlight w:val="none"/>
              </w:rPr>
              <w:t>程中标通知书发出之日（不通过招标方式</w:t>
            </w:r>
            <w:r>
              <w:rPr>
                <w:color w:val="auto"/>
                <w:sz w:val="21"/>
                <w:szCs w:val="21"/>
                <w:highlight w:val="none"/>
              </w:rPr>
              <w:t>的，开始时间为合同签订之日</w:t>
            </w:r>
            <w:r>
              <w:rPr>
                <w:color w:val="auto"/>
                <w:spacing w:val="-1"/>
                <w:sz w:val="21"/>
                <w:szCs w:val="21"/>
                <w:highlight w:val="none"/>
              </w:rPr>
              <w:t>），</w:t>
            </w:r>
            <w:r>
              <w:rPr>
                <w:color w:val="auto"/>
                <w:sz w:val="21"/>
                <w:szCs w:val="21"/>
                <w:highlight w:val="none"/>
              </w:rPr>
              <w:t>结束时间为该合同工程通过验收或合同解除之日。</w:t>
            </w:r>
          </w:p>
          <w:p w14:paraId="46F201F6">
            <w:pPr>
              <w:pStyle w:val="33"/>
              <w:spacing w:before="13" w:line="235" w:lineRule="auto"/>
              <w:ind w:left="106" w:right="97" w:firstLine="4"/>
              <w:jc w:val="both"/>
              <w:rPr>
                <w:color w:val="auto"/>
                <w:sz w:val="21"/>
                <w:szCs w:val="21"/>
                <w:highlight w:val="none"/>
              </w:rPr>
            </w:pPr>
            <w:r>
              <w:rPr>
                <w:rFonts w:hint="eastAsia" w:ascii="Times New Roman" w:hAnsi="Times New Roman" w:cs="Times New Roman"/>
                <w:color w:val="auto"/>
                <w:spacing w:val="-9"/>
                <w:sz w:val="21"/>
                <w:szCs w:val="21"/>
                <w:highlight w:val="none"/>
                <w:lang w:eastAsia="zh-CN"/>
              </w:rPr>
              <w:t>注：根据《住房和城乡建设部办公厅关于全面实行一级建造师电子注册证书的通知》（建办市〔2021〕40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p>
        </w:tc>
      </w:tr>
      <w:tr w14:paraId="0BC42E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31" w:type="dxa"/>
            <w:tcBorders>
              <w:left w:val="single" w:color="000000" w:sz="6" w:space="0"/>
            </w:tcBorders>
            <w:vAlign w:val="top"/>
          </w:tcPr>
          <w:p w14:paraId="753CAC53">
            <w:pPr>
              <w:spacing w:before="138" w:line="187" w:lineRule="auto"/>
              <w:ind w:left="30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8477" w:type="dxa"/>
            <w:tcBorders>
              <w:right w:val="single" w:color="000000" w:sz="6" w:space="0"/>
            </w:tcBorders>
            <w:vAlign w:val="top"/>
          </w:tcPr>
          <w:p w14:paraId="5FAF442F">
            <w:pPr>
              <w:pStyle w:val="33"/>
              <w:spacing w:before="63" w:line="241" w:lineRule="auto"/>
              <w:ind w:left="110"/>
              <w:rPr>
                <w:rFonts w:ascii="华文隶书" w:hAnsi="华文隶书" w:eastAsia="华文隶书" w:cs="华文隶书"/>
                <w:color w:val="auto"/>
                <w:sz w:val="21"/>
                <w:szCs w:val="21"/>
                <w:highlight w:val="none"/>
              </w:rPr>
            </w:pPr>
            <w:r>
              <w:rPr>
                <w:rFonts w:hint="eastAsia"/>
                <w:color w:val="auto"/>
                <w:spacing w:val="-1"/>
                <w:sz w:val="21"/>
                <w:szCs w:val="21"/>
                <w:highlight w:val="none"/>
              </w:rPr>
              <w:t>项目技术负责人应持有</w:t>
            </w:r>
            <w:r>
              <w:rPr>
                <w:rFonts w:hint="eastAsia"/>
                <w:snapToGrid w:val="0"/>
                <w:color w:val="auto"/>
                <w:sz w:val="21"/>
                <w:szCs w:val="21"/>
                <w:highlight w:val="none"/>
                <w:u w:val="single"/>
              </w:rPr>
              <w:t>水利水电</w:t>
            </w:r>
            <w:r>
              <w:rPr>
                <w:snapToGrid w:val="0"/>
                <w:color w:val="auto"/>
                <w:sz w:val="21"/>
                <w:szCs w:val="21"/>
                <w:highlight w:val="none"/>
                <w:u w:val="single"/>
              </w:rPr>
              <w:t>工程</w:t>
            </w:r>
            <w:r>
              <w:rPr>
                <w:rFonts w:hint="eastAsia"/>
                <w:snapToGrid w:val="0"/>
                <w:color w:val="auto"/>
                <w:sz w:val="21"/>
                <w:szCs w:val="21"/>
                <w:highlight w:val="none"/>
                <w:u w:val="single"/>
              </w:rPr>
              <w:t>专业二级及以上注册建造师或水利水电工程专业工程师及以上职称</w:t>
            </w:r>
            <w:r>
              <w:rPr>
                <w:color w:val="auto"/>
                <w:spacing w:val="-91"/>
                <w:sz w:val="21"/>
                <w:szCs w:val="21"/>
                <w:highlight w:val="none"/>
              </w:rPr>
              <w:t xml:space="preserve"> </w:t>
            </w:r>
            <w:r>
              <w:rPr>
                <w:rFonts w:hint="eastAsia"/>
                <w:color w:val="auto"/>
                <w:spacing w:val="-91"/>
                <w:sz w:val="21"/>
                <w:szCs w:val="21"/>
                <w:highlight w:val="none"/>
                <w:lang w:val="en-US" w:eastAsia="zh-CN"/>
              </w:rPr>
              <w:t xml:space="preserve"> </w:t>
            </w:r>
            <w:r>
              <w:rPr>
                <w:color w:val="auto"/>
                <w:spacing w:val="-1"/>
                <w:sz w:val="21"/>
                <w:szCs w:val="21"/>
                <w:highlight w:val="none"/>
              </w:rPr>
              <w:t>证书</w:t>
            </w:r>
            <w:r>
              <w:rPr>
                <w:color w:val="auto"/>
                <w:spacing w:val="-1"/>
                <w:position w:val="10"/>
                <w:sz w:val="11"/>
                <w:szCs w:val="11"/>
                <w:highlight w:val="none"/>
              </w:rPr>
              <w:t>③</w:t>
            </w:r>
            <w:r>
              <w:rPr>
                <w:rFonts w:hint="eastAsia"/>
                <w:color w:val="auto"/>
                <w:spacing w:val="-1"/>
                <w:sz w:val="21"/>
                <w:szCs w:val="21"/>
                <w:highlight w:val="none"/>
              </w:rPr>
              <w:t>。</w:t>
            </w:r>
          </w:p>
        </w:tc>
      </w:tr>
      <w:tr w14:paraId="61254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10" w:hRule="atLeast"/>
        </w:trPr>
        <w:tc>
          <w:tcPr>
            <w:tcW w:w="731" w:type="dxa"/>
            <w:tcBorders>
              <w:left w:val="single" w:color="000000" w:sz="6" w:space="0"/>
            </w:tcBorders>
            <w:vAlign w:val="top"/>
          </w:tcPr>
          <w:p w14:paraId="1A6B1790">
            <w:pPr>
              <w:spacing w:line="276" w:lineRule="auto"/>
              <w:rPr>
                <w:rFonts w:ascii="Arial"/>
                <w:strike/>
                <w:dstrike w:val="0"/>
                <w:color w:val="auto"/>
                <w:sz w:val="21"/>
                <w:highlight w:val="none"/>
              </w:rPr>
            </w:pPr>
          </w:p>
          <w:p w14:paraId="50512E71">
            <w:pPr>
              <w:spacing w:line="276" w:lineRule="auto"/>
              <w:rPr>
                <w:rFonts w:ascii="Arial"/>
                <w:strike/>
                <w:dstrike w:val="0"/>
                <w:color w:val="auto"/>
                <w:sz w:val="21"/>
                <w:highlight w:val="none"/>
              </w:rPr>
            </w:pPr>
          </w:p>
          <w:p w14:paraId="727CFD00">
            <w:pPr>
              <w:spacing w:line="277" w:lineRule="auto"/>
              <w:rPr>
                <w:rFonts w:ascii="Arial"/>
                <w:strike/>
                <w:dstrike w:val="0"/>
                <w:color w:val="auto"/>
                <w:sz w:val="21"/>
                <w:highlight w:val="none"/>
              </w:rPr>
            </w:pPr>
          </w:p>
          <w:p w14:paraId="655E1B77">
            <w:pPr>
              <w:spacing w:before="60" w:line="187" w:lineRule="auto"/>
              <w:ind w:left="31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3</w:t>
            </w:r>
          </w:p>
        </w:tc>
        <w:tc>
          <w:tcPr>
            <w:tcW w:w="8477" w:type="dxa"/>
            <w:tcBorders>
              <w:right w:val="single" w:color="000000" w:sz="6" w:space="0"/>
            </w:tcBorders>
            <w:vAlign w:val="top"/>
          </w:tcPr>
          <w:p w14:paraId="43A900A0">
            <w:pPr>
              <w:pStyle w:val="33"/>
              <w:tabs>
                <w:tab w:val="left" w:pos="577"/>
              </w:tabs>
              <w:spacing w:before="41" w:line="229" w:lineRule="auto"/>
              <w:ind w:left="98" w:right="100" w:firstLine="32"/>
              <w:rPr>
                <w:strike/>
                <w:dstrike w:val="0"/>
                <w:color w:val="auto"/>
                <w:sz w:val="21"/>
                <w:szCs w:val="21"/>
                <w:highlight w:val="none"/>
              </w:rPr>
            </w:pPr>
            <w:r>
              <w:rPr>
                <w:strike/>
                <w:dstrike w:val="0"/>
                <w:color w:val="auto"/>
                <w:spacing w:val="-1"/>
                <w:sz w:val="21"/>
                <w:szCs w:val="21"/>
                <w:highlight w:val="none"/>
              </w:rPr>
              <w:t>□</w:t>
            </w:r>
            <w:r>
              <w:rPr>
                <w:rFonts w:ascii="隶书" w:hAnsi="隶书" w:eastAsia="隶书" w:cs="隶书"/>
                <w:strike/>
                <w:dstrike w:val="0"/>
                <w:color w:val="auto"/>
                <w:spacing w:val="-1"/>
                <w:sz w:val="21"/>
                <w:szCs w:val="21"/>
                <w:highlight w:val="none"/>
              </w:rPr>
              <w:t>项目负责人自</w:t>
            </w:r>
            <w:r>
              <w:rPr>
                <w:rFonts w:ascii="隶书" w:hAnsi="隶书" w:eastAsia="隶书" w:cs="隶书"/>
                <w:strike/>
                <w:dstrike w:val="0"/>
                <w:color w:val="auto"/>
                <w:spacing w:val="-88"/>
                <w:sz w:val="21"/>
                <w:szCs w:val="21"/>
                <w:highlight w:val="none"/>
              </w:rPr>
              <w:t xml:space="preserve"> </w:t>
            </w:r>
            <w:r>
              <w:rPr>
                <w:rFonts w:ascii="隶书" w:hAnsi="隶书" w:eastAsia="隶书" w:cs="隶书"/>
                <w:strike/>
                <w:dstrike w:val="0"/>
                <w:color w:val="auto"/>
                <w:spacing w:val="104"/>
                <w:sz w:val="21"/>
                <w:szCs w:val="21"/>
                <w:highlight w:val="none"/>
                <w:u w:val="single" w:color="auto"/>
              </w:rPr>
              <w:t xml:space="preserve"> </w:t>
            </w:r>
            <w:r>
              <w:rPr>
                <w:rFonts w:ascii="隶书" w:hAnsi="隶书" w:eastAsia="隶书" w:cs="隶书"/>
                <w:strike/>
                <w:dstrike w:val="0"/>
                <w:color w:val="auto"/>
                <w:spacing w:val="-99"/>
                <w:sz w:val="21"/>
                <w:szCs w:val="21"/>
                <w:highlight w:val="none"/>
              </w:rPr>
              <w:t xml:space="preserve"> </w:t>
            </w:r>
            <w:r>
              <w:rPr>
                <w:rFonts w:ascii="隶书" w:hAnsi="隶书" w:eastAsia="隶书" w:cs="隶书"/>
                <w:strike/>
                <w:dstrike w:val="0"/>
                <w:color w:val="auto"/>
                <w:spacing w:val="-1"/>
                <w:sz w:val="21"/>
                <w:szCs w:val="21"/>
                <w:highlight w:val="none"/>
              </w:rPr>
              <w:t>年</w:t>
            </w:r>
            <w:r>
              <w:rPr>
                <w:rFonts w:ascii="隶书" w:hAnsi="隶书" w:eastAsia="隶书" w:cs="隶书"/>
                <w:strike/>
                <w:dstrike w:val="0"/>
                <w:color w:val="auto"/>
                <w:spacing w:val="-102"/>
                <w:sz w:val="21"/>
                <w:szCs w:val="21"/>
                <w:highlight w:val="none"/>
              </w:rPr>
              <w:t xml:space="preserve"> </w:t>
            </w:r>
            <w:r>
              <w:rPr>
                <w:rFonts w:ascii="隶书" w:hAnsi="隶书" w:eastAsia="隶书" w:cs="隶书"/>
                <w:strike/>
                <w:dstrike w:val="0"/>
                <w:color w:val="auto"/>
                <w:spacing w:val="104"/>
                <w:sz w:val="21"/>
                <w:szCs w:val="21"/>
                <w:highlight w:val="none"/>
                <w:u w:val="single" w:color="auto"/>
              </w:rPr>
              <w:t xml:space="preserve"> </w:t>
            </w:r>
            <w:r>
              <w:rPr>
                <w:rFonts w:ascii="隶书" w:hAnsi="隶书" w:eastAsia="隶书" w:cs="隶书"/>
                <w:strike/>
                <w:dstrike w:val="0"/>
                <w:color w:val="auto"/>
                <w:spacing w:val="-97"/>
                <w:sz w:val="21"/>
                <w:szCs w:val="21"/>
                <w:highlight w:val="none"/>
              </w:rPr>
              <w:t xml:space="preserve"> </w:t>
            </w:r>
            <w:r>
              <w:rPr>
                <w:rFonts w:ascii="隶书" w:hAnsi="隶书" w:eastAsia="隶书" w:cs="隶书"/>
                <w:strike/>
                <w:dstrike w:val="0"/>
                <w:color w:val="auto"/>
                <w:spacing w:val="-1"/>
                <w:sz w:val="21"/>
                <w:szCs w:val="21"/>
                <w:highlight w:val="none"/>
              </w:rPr>
              <w:t>月</w:t>
            </w:r>
            <w:r>
              <w:rPr>
                <w:rFonts w:ascii="隶书" w:hAnsi="隶书" w:eastAsia="隶书" w:cs="隶书"/>
                <w:strike/>
                <w:dstrike w:val="0"/>
                <w:color w:val="auto"/>
                <w:spacing w:val="104"/>
                <w:sz w:val="21"/>
                <w:szCs w:val="21"/>
                <w:highlight w:val="none"/>
                <w:u w:val="single" w:color="auto"/>
              </w:rPr>
              <w:t xml:space="preserve"> </w:t>
            </w:r>
            <w:r>
              <w:rPr>
                <w:rFonts w:ascii="隶书" w:hAnsi="隶书" w:eastAsia="隶书" w:cs="隶书"/>
                <w:strike/>
                <w:dstrike w:val="0"/>
                <w:color w:val="auto"/>
                <w:spacing w:val="-56"/>
                <w:sz w:val="21"/>
                <w:szCs w:val="21"/>
                <w:highlight w:val="none"/>
              </w:rPr>
              <w:t xml:space="preserve"> </w:t>
            </w:r>
            <w:r>
              <w:rPr>
                <w:rFonts w:ascii="隶书" w:hAnsi="隶书" w:eastAsia="隶书" w:cs="隶书"/>
                <w:strike/>
                <w:dstrike w:val="0"/>
                <w:color w:val="auto"/>
                <w:spacing w:val="-1"/>
                <w:sz w:val="21"/>
                <w:szCs w:val="21"/>
                <w:highlight w:val="none"/>
              </w:rPr>
              <w:t>日至投标截止时间，以项目负责人或技术负责人或副项目负责</w:t>
            </w:r>
            <w:r>
              <w:rPr>
                <w:rFonts w:ascii="隶书" w:hAnsi="隶书" w:eastAsia="隶书" w:cs="隶书"/>
                <w:strike/>
                <w:dstrike w:val="0"/>
                <w:color w:val="auto"/>
                <w:sz w:val="21"/>
                <w:szCs w:val="21"/>
                <w:highlight w:val="none"/>
              </w:rPr>
              <w:t xml:space="preserve"> </w:t>
            </w:r>
            <w:r>
              <w:rPr>
                <w:rFonts w:ascii="隶书" w:hAnsi="隶书" w:eastAsia="隶书" w:cs="隶书"/>
                <w:strike/>
                <w:dstrike w:val="0"/>
                <w:color w:val="auto"/>
                <w:spacing w:val="2"/>
                <w:sz w:val="21"/>
                <w:szCs w:val="21"/>
                <w:highlight w:val="none"/>
              </w:rPr>
              <w:t>人（包括工程总承包项目中的施工负责人或施工技术负责人或施工副负责人）身份完</w:t>
            </w:r>
            <w:r>
              <w:rPr>
                <w:rFonts w:ascii="隶书" w:hAnsi="隶书" w:eastAsia="隶书" w:cs="隶书"/>
                <w:strike/>
                <w:dstrike w:val="0"/>
                <w:color w:val="auto"/>
                <w:spacing w:val="1"/>
                <w:sz w:val="21"/>
                <w:szCs w:val="21"/>
                <w:highlight w:val="none"/>
              </w:rPr>
              <w:t>成过</w:t>
            </w:r>
            <w:r>
              <w:rPr>
                <w:rFonts w:ascii="隶书" w:hAnsi="隶书" w:eastAsia="隶书" w:cs="隶书"/>
                <w:strike/>
                <w:dstrike w:val="0"/>
                <w:color w:val="auto"/>
                <w:sz w:val="21"/>
                <w:szCs w:val="21"/>
                <w:highlight w:val="none"/>
              </w:rPr>
              <w:t xml:space="preserve"> </w:t>
            </w:r>
            <w:r>
              <w:rPr>
                <w:rFonts w:ascii="隶书" w:hAnsi="隶书" w:eastAsia="隶书" w:cs="隶书"/>
                <w:strike/>
                <w:dstrike w:val="0"/>
                <w:color w:val="auto"/>
                <w:position w:val="-2"/>
                <w:sz w:val="21"/>
                <w:szCs w:val="21"/>
                <w:highlight w:val="none"/>
                <w:u w:val="single" w:color="auto"/>
              </w:rPr>
              <w:tab/>
            </w:r>
            <w:r>
              <w:rPr>
                <w:rFonts w:ascii="隶书" w:hAnsi="隶书" w:eastAsia="隶书" w:cs="隶书"/>
                <w:strike/>
                <w:dstrike w:val="0"/>
                <w:color w:val="auto"/>
                <w:spacing w:val="-98"/>
                <w:position w:val="-2"/>
                <w:sz w:val="21"/>
                <w:szCs w:val="21"/>
                <w:highlight w:val="none"/>
              </w:rPr>
              <w:t xml:space="preserve"> </w:t>
            </w:r>
            <w:r>
              <w:rPr>
                <w:rFonts w:ascii="隶书" w:hAnsi="隶书" w:eastAsia="隶书" w:cs="隶书"/>
                <w:strike/>
                <w:dstrike w:val="0"/>
                <w:color w:val="auto"/>
                <w:spacing w:val="-1"/>
                <w:position w:val="-2"/>
                <w:sz w:val="21"/>
                <w:szCs w:val="21"/>
                <w:highlight w:val="none"/>
              </w:rPr>
              <w:t>业绩</w:t>
            </w:r>
            <w:r>
              <w:rPr>
                <w:rFonts w:ascii="隶书" w:hAnsi="隶书" w:eastAsia="隶书" w:cs="隶书"/>
                <w:strike/>
                <w:dstrike w:val="0"/>
                <w:color w:val="auto"/>
                <w:spacing w:val="-1"/>
                <w:position w:val="8"/>
                <w:sz w:val="11"/>
                <w:szCs w:val="11"/>
                <w:highlight w:val="none"/>
              </w:rPr>
              <w:t>②</w:t>
            </w:r>
            <w:r>
              <w:rPr>
                <w:strike/>
                <w:dstrike w:val="0"/>
                <w:color w:val="auto"/>
                <w:spacing w:val="-1"/>
                <w:position w:val="-2"/>
                <w:sz w:val="21"/>
                <w:szCs w:val="21"/>
                <w:highlight w:val="none"/>
              </w:rPr>
              <w:t>。</w:t>
            </w:r>
          </w:p>
          <w:p w14:paraId="1D5F90B4">
            <w:pPr>
              <w:pStyle w:val="33"/>
              <w:tabs>
                <w:tab w:val="left" w:pos="577"/>
              </w:tabs>
              <w:spacing w:before="34" w:line="230" w:lineRule="auto"/>
              <w:ind w:left="98" w:right="99" w:firstLine="32"/>
              <w:rPr>
                <w:strike/>
                <w:dstrike w:val="0"/>
                <w:color w:val="auto"/>
                <w:sz w:val="21"/>
                <w:szCs w:val="21"/>
                <w:highlight w:val="none"/>
              </w:rPr>
            </w:pPr>
            <w:r>
              <w:rPr>
                <w:strike/>
                <w:dstrike w:val="0"/>
                <w:color w:val="auto"/>
                <w:spacing w:val="-1"/>
                <w:sz w:val="21"/>
                <w:szCs w:val="21"/>
                <w:highlight w:val="none"/>
              </w:rPr>
              <w:t>□</w:t>
            </w:r>
            <w:r>
              <w:rPr>
                <w:rFonts w:ascii="隶书" w:hAnsi="隶书" w:eastAsia="隶书" w:cs="隶书"/>
                <w:strike/>
                <w:dstrike w:val="0"/>
                <w:color w:val="auto"/>
                <w:spacing w:val="-1"/>
                <w:sz w:val="21"/>
                <w:szCs w:val="21"/>
                <w:highlight w:val="none"/>
              </w:rPr>
              <w:t>项目负责人自</w:t>
            </w:r>
            <w:r>
              <w:rPr>
                <w:rFonts w:ascii="隶书" w:hAnsi="隶书" w:eastAsia="隶书" w:cs="隶书"/>
                <w:strike/>
                <w:dstrike w:val="0"/>
                <w:color w:val="auto"/>
                <w:spacing w:val="-88"/>
                <w:sz w:val="21"/>
                <w:szCs w:val="21"/>
                <w:highlight w:val="none"/>
              </w:rPr>
              <w:t xml:space="preserve"> </w:t>
            </w:r>
            <w:r>
              <w:rPr>
                <w:rFonts w:ascii="隶书" w:hAnsi="隶书" w:eastAsia="隶书" w:cs="隶书"/>
                <w:strike/>
                <w:dstrike w:val="0"/>
                <w:color w:val="auto"/>
                <w:spacing w:val="104"/>
                <w:sz w:val="21"/>
                <w:szCs w:val="21"/>
                <w:highlight w:val="none"/>
                <w:u w:val="single" w:color="auto"/>
              </w:rPr>
              <w:t xml:space="preserve"> </w:t>
            </w:r>
            <w:r>
              <w:rPr>
                <w:rFonts w:ascii="隶书" w:hAnsi="隶书" w:eastAsia="隶书" w:cs="隶书"/>
                <w:strike/>
                <w:dstrike w:val="0"/>
                <w:color w:val="auto"/>
                <w:spacing w:val="-99"/>
                <w:sz w:val="21"/>
                <w:szCs w:val="21"/>
                <w:highlight w:val="none"/>
              </w:rPr>
              <w:t xml:space="preserve"> </w:t>
            </w:r>
            <w:r>
              <w:rPr>
                <w:rFonts w:ascii="隶书" w:hAnsi="隶书" w:eastAsia="隶书" w:cs="隶书"/>
                <w:strike/>
                <w:dstrike w:val="0"/>
                <w:color w:val="auto"/>
                <w:spacing w:val="-1"/>
                <w:sz w:val="21"/>
                <w:szCs w:val="21"/>
                <w:highlight w:val="none"/>
              </w:rPr>
              <w:t>年</w:t>
            </w:r>
            <w:r>
              <w:rPr>
                <w:rFonts w:ascii="隶书" w:hAnsi="隶书" w:eastAsia="隶书" w:cs="隶书"/>
                <w:strike/>
                <w:dstrike w:val="0"/>
                <w:color w:val="auto"/>
                <w:spacing w:val="-102"/>
                <w:sz w:val="21"/>
                <w:szCs w:val="21"/>
                <w:highlight w:val="none"/>
              </w:rPr>
              <w:t xml:space="preserve"> </w:t>
            </w:r>
            <w:r>
              <w:rPr>
                <w:rFonts w:ascii="隶书" w:hAnsi="隶书" w:eastAsia="隶书" w:cs="隶书"/>
                <w:strike/>
                <w:dstrike w:val="0"/>
                <w:color w:val="auto"/>
                <w:spacing w:val="104"/>
                <w:sz w:val="21"/>
                <w:szCs w:val="21"/>
                <w:highlight w:val="none"/>
                <w:u w:val="single" w:color="auto"/>
              </w:rPr>
              <w:t xml:space="preserve"> </w:t>
            </w:r>
            <w:r>
              <w:rPr>
                <w:rFonts w:ascii="隶书" w:hAnsi="隶书" w:eastAsia="隶书" w:cs="隶书"/>
                <w:strike/>
                <w:dstrike w:val="0"/>
                <w:color w:val="auto"/>
                <w:spacing w:val="-97"/>
                <w:sz w:val="21"/>
                <w:szCs w:val="21"/>
                <w:highlight w:val="none"/>
              </w:rPr>
              <w:t xml:space="preserve"> </w:t>
            </w:r>
            <w:r>
              <w:rPr>
                <w:rFonts w:ascii="隶书" w:hAnsi="隶书" w:eastAsia="隶书" w:cs="隶书"/>
                <w:strike/>
                <w:dstrike w:val="0"/>
                <w:color w:val="auto"/>
                <w:spacing w:val="-1"/>
                <w:sz w:val="21"/>
                <w:szCs w:val="21"/>
                <w:highlight w:val="none"/>
              </w:rPr>
              <w:t>月</w:t>
            </w:r>
            <w:r>
              <w:rPr>
                <w:rFonts w:ascii="隶书" w:hAnsi="隶书" w:eastAsia="隶书" w:cs="隶书"/>
                <w:strike/>
                <w:dstrike w:val="0"/>
                <w:color w:val="auto"/>
                <w:spacing w:val="104"/>
                <w:sz w:val="21"/>
                <w:szCs w:val="21"/>
                <w:highlight w:val="none"/>
                <w:u w:val="single" w:color="auto"/>
              </w:rPr>
              <w:t xml:space="preserve"> </w:t>
            </w:r>
            <w:r>
              <w:rPr>
                <w:rFonts w:ascii="隶书" w:hAnsi="隶书" w:eastAsia="隶书" w:cs="隶书"/>
                <w:strike/>
                <w:dstrike w:val="0"/>
                <w:color w:val="auto"/>
                <w:spacing w:val="-56"/>
                <w:sz w:val="21"/>
                <w:szCs w:val="21"/>
                <w:highlight w:val="none"/>
              </w:rPr>
              <w:t xml:space="preserve"> </w:t>
            </w:r>
            <w:r>
              <w:rPr>
                <w:rFonts w:ascii="隶书" w:hAnsi="隶书" w:eastAsia="隶书" w:cs="隶书"/>
                <w:strike/>
                <w:dstrike w:val="0"/>
                <w:color w:val="auto"/>
                <w:spacing w:val="-1"/>
                <w:sz w:val="21"/>
                <w:szCs w:val="21"/>
                <w:highlight w:val="none"/>
              </w:rPr>
              <w:t>日至投标截止时间，以项目负责人或技术负责人或副项目负责</w:t>
            </w:r>
            <w:r>
              <w:rPr>
                <w:rFonts w:ascii="隶书" w:hAnsi="隶书" w:eastAsia="隶书" w:cs="隶书"/>
                <w:strike/>
                <w:dstrike w:val="0"/>
                <w:color w:val="auto"/>
                <w:sz w:val="21"/>
                <w:szCs w:val="21"/>
                <w:highlight w:val="none"/>
              </w:rPr>
              <w:t xml:space="preserve"> </w:t>
            </w:r>
            <w:r>
              <w:rPr>
                <w:rFonts w:ascii="隶书" w:hAnsi="隶书" w:eastAsia="隶书" w:cs="隶书"/>
                <w:strike/>
                <w:dstrike w:val="0"/>
                <w:color w:val="auto"/>
                <w:spacing w:val="2"/>
                <w:sz w:val="21"/>
                <w:szCs w:val="21"/>
                <w:highlight w:val="none"/>
              </w:rPr>
              <w:t>人（包括工程总承包项目中的施工负责人或施工技术负责人或施工副负责人）身份完</w:t>
            </w:r>
            <w:r>
              <w:rPr>
                <w:rFonts w:ascii="隶书" w:hAnsi="隶书" w:eastAsia="隶书" w:cs="隶书"/>
                <w:strike/>
                <w:dstrike w:val="0"/>
                <w:color w:val="auto"/>
                <w:spacing w:val="1"/>
                <w:sz w:val="21"/>
                <w:szCs w:val="21"/>
                <w:highlight w:val="none"/>
              </w:rPr>
              <w:t>成过</w:t>
            </w:r>
            <w:r>
              <w:rPr>
                <w:rFonts w:ascii="隶书" w:hAnsi="隶书" w:eastAsia="隶书" w:cs="隶书"/>
                <w:strike/>
                <w:dstrike w:val="0"/>
                <w:color w:val="auto"/>
                <w:sz w:val="21"/>
                <w:szCs w:val="21"/>
                <w:highlight w:val="none"/>
              </w:rPr>
              <w:t xml:space="preserve"> </w:t>
            </w:r>
            <w:r>
              <w:rPr>
                <w:rFonts w:ascii="隶书" w:hAnsi="隶书" w:eastAsia="隶书" w:cs="隶书"/>
                <w:strike/>
                <w:dstrike w:val="0"/>
                <w:color w:val="auto"/>
                <w:sz w:val="21"/>
                <w:szCs w:val="21"/>
                <w:highlight w:val="none"/>
                <w:u w:val="single" w:color="auto"/>
              </w:rPr>
              <w:tab/>
            </w:r>
            <w:r>
              <w:rPr>
                <w:rFonts w:ascii="隶书" w:hAnsi="隶书" w:eastAsia="隶书" w:cs="隶书"/>
                <w:strike/>
                <w:dstrike w:val="0"/>
                <w:color w:val="auto"/>
                <w:spacing w:val="-92"/>
                <w:sz w:val="21"/>
                <w:szCs w:val="21"/>
                <w:highlight w:val="none"/>
              </w:rPr>
              <w:t xml:space="preserve"> </w:t>
            </w:r>
            <w:r>
              <w:rPr>
                <w:rFonts w:ascii="隶书" w:hAnsi="隶书" w:eastAsia="隶书" w:cs="隶书"/>
                <w:strike/>
                <w:dstrike w:val="0"/>
                <w:color w:val="auto"/>
                <w:spacing w:val="-6"/>
                <w:sz w:val="21"/>
                <w:szCs w:val="21"/>
                <w:highlight w:val="none"/>
              </w:rPr>
              <w:t>业绩或</w:t>
            </w:r>
            <w:r>
              <w:rPr>
                <w:rFonts w:ascii="Times New Roman" w:hAnsi="Times New Roman" w:eastAsia="Times New Roman" w:cs="Times New Roman"/>
                <w:strike/>
                <w:dstrike w:val="0"/>
                <w:color w:val="auto"/>
                <w:spacing w:val="-6"/>
                <w:sz w:val="21"/>
                <w:szCs w:val="21"/>
                <w:highlight w:val="none"/>
              </w:rPr>
              <w:t>2</w:t>
            </w:r>
            <w:r>
              <w:rPr>
                <w:rFonts w:ascii="隶书" w:hAnsi="隶书" w:eastAsia="隶书" w:cs="隶书"/>
                <w:strike/>
                <w:dstrike w:val="0"/>
                <w:color w:val="auto"/>
                <w:spacing w:val="-6"/>
                <w:sz w:val="21"/>
                <w:szCs w:val="21"/>
                <w:highlight w:val="none"/>
              </w:rPr>
              <w:t>项</w:t>
            </w:r>
            <w:r>
              <w:rPr>
                <w:strike/>
                <w:dstrike w:val="0"/>
                <w:color w:val="auto"/>
                <w:spacing w:val="26"/>
                <w:sz w:val="22"/>
                <w:szCs w:val="22"/>
                <w:highlight w:val="none"/>
                <w:u w:val="single" w:color="auto"/>
              </w:rPr>
              <w:t xml:space="preserve"> </w:t>
            </w:r>
            <w:r>
              <w:rPr>
                <w:i/>
                <w:iCs/>
                <w:strike/>
                <w:dstrike w:val="0"/>
                <w:color w:val="auto"/>
                <w:spacing w:val="-6"/>
                <w:sz w:val="22"/>
                <w:szCs w:val="22"/>
                <w:highlight w:val="none"/>
                <w:u w:val="single" w:color="auto"/>
              </w:rPr>
              <w:t>（前述业绩指标的</w:t>
            </w:r>
            <w:r>
              <w:rPr>
                <w:rFonts w:ascii="Times New Roman" w:hAnsi="Times New Roman" w:eastAsia="Times New Roman" w:cs="Times New Roman"/>
                <w:i/>
                <w:iCs/>
                <w:strike/>
                <w:dstrike w:val="0"/>
                <w:color w:val="auto"/>
                <w:spacing w:val="-6"/>
                <w:sz w:val="21"/>
                <w:szCs w:val="21"/>
                <w:highlight w:val="none"/>
                <w:u w:val="single" w:color="auto"/>
              </w:rPr>
              <w:t>80%</w:t>
            </w:r>
            <w:r>
              <w:rPr>
                <w:i/>
                <w:iCs/>
                <w:strike/>
                <w:dstrike w:val="0"/>
                <w:color w:val="auto"/>
                <w:spacing w:val="-6"/>
                <w:sz w:val="22"/>
                <w:szCs w:val="22"/>
                <w:highlight w:val="none"/>
                <w:u w:val="single" w:color="auto"/>
              </w:rPr>
              <w:t>）</w:t>
            </w:r>
            <w:r>
              <w:rPr>
                <w:strike/>
                <w:dstrike w:val="0"/>
                <w:color w:val="auto"/>
                <w:spacing w:val="89"/>
                <w:sz w:val="22"/>
                <w:szCs w:val="22"/>
                <w:highlight w:val="none"/>
                <w:u w:val="single" w:color="auto"/>
              </w:rPr>
              <w:t xml:space="preserve"> </w:t>
            </w:r>
            <w:r>
              <w:rPr>
                <w:strike/>
                <w:dstrike w:val="0"/>
                <w:color w:val="auto"/>
                <w:spacing w:val="-104"/>
                <w:sz w:val="22"/>
                <w:szCs w:val="22"/>
                <w:highlight w:val="none"/>
              </w:rPr>
              <w:t xml:space="preserve"> </w:t>
            </w:r>
            <w:r>
              <w:rPr>
                <w:rFonts w:ascii="隶书" w:hAnsi="隶书" w:eastAsia="隶书" w:cs="隶书"/>
                <w:strike/>
                <w:dstrike w:val="0"/>
                <w:color w:val="auto"/>
                <w:spacing w:val="-6"/>
                <w:sz w:val="21"/>
                <w:szCs w:val="21"/>
                <w:highlight w:val="none"/>
              </w:rPr>
              <w:t>业绩</w:t>
            </w:r>
            <w:r>
              <w:rPr>
                <w:rFonts w:ascii="隶书" w:hAnsi="隶书" w:eastAsia="隶书" w:cs="隶书"/>
                <w:strike/>
                <w:dstrike w:val="0"/>
                <w:color w:val="auto"/>
                <w:spacing w:val="-6"/>
                <w:position w:val="10"/>
                <w:sz w:val="11"/>
                <w:szCs w:val="11"/>
                <w:highlight w:val="none"/>
              </w:rPr>
              <w:t>②</w:t>
            </w:r>
            <w:r>
              <w:rPr>
                <w:strike/>
                <w:dstrike w:val="0"/>
                <w:color w:val="auto"/>
                <w:spacing w:val="-6"/>
                <w:sz w:val="21"/>
                <w:szCs w:val="21"/>
                <w:highlight w:val="none"/>
              </w:rPr>
              <w:t>。</w:t>
            </w:r>
          </w:p>
          <w:p w14:paraId="001D3B94">
            <w:pPr>
              <w:pStyle w:val="33"/>
              <w:spacing w:before="20" w:line="198" w:lineRule="auto"/>
              <w:ind w:left="107"/>
              <w:rPr>
                <w:strike/>
                <w:dstrike w:val="0"/>
                <w:color w:val="auto"/>
                <w:sz w:val="21"/>
                <w:szCs w:val="21"/>
                <w:highlight w:val="none"/>
              </w:rPr>
            </w:pPr>
            <w:r>
              <w:rPr>
                <w:strike/>
                <w:dstrike w:val="0"/>
                <w:color w:val="auto"/>
                <w:spacing w:val="17"/>
                <w:sz w:val="21"/>
                <w:szCs w:val="21"/>
                <w:highlight w:val="none"/>
              </w:rPr>
              <w:t>业绩证明材料见下文。</w:t>
            </w:r>
          </w:p>
        </w:tc>
      </w:tr>
      <w:tr w14:paraId="56193E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1" w:type="dxa"/>
            <w:tcBorders>
              <w:left w:val="single" w:color="000000" w:sz="6" w:space="0"/>
            </w:tcBorders>
            <w:vAlign w:val="top"/>
          </w:tcPr>
          <w:p w14:paraId="3C522B77">
            <w:pPr>
              <w:spacing w:before="215" w:line="187" w:lineRule="auto"/>
              <w:ind w:left="305"/>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4</w:t>
            </w:r>
          </w:p>
        </w:tc>
        <w:tc>
          <w:tcPr>
            <w:tcW w:w="8477" w:type="dxa"/>
            <w:tcBorders>
              <w:right w:val="single" w:color="000000" w:sz="6" w:space="0"/>
            </w:tcBorders>
            <w:vAlign w:val="top"/>
          </w:tcPr>
          <w:p w14:paraId="3066902C">
            <w:pPr>
              <w:pStyle w:val="33"/>
              <w:spacing w:before="15" w:line="230" w:lineRule="auto"/>
              <w:ind w:left="110" w:right="104" w:firstLine="20"/>
              <w:rPr>
                <w:color w:val="auto"/>
                <w:sz w:val="21"/>
                <w:szCs w:val="21"/>
                <w:highlight w:val="none"/>
              </w:rPr>
            </w:pPr>
            <w:r>
              <w:rPr>
                <w:strike/>
                <w:dstrike w:val="0"/>
                <w:color w:val="auto"/>
                <w:spacing w:val="1"/>
                <w:sz w:val="21"/>
                <w:szCs w:val="21"/>
                <w:highlight w:val="none"/>
              </w:rPr>
              <w:t>□本项目需设置</w:t>
            </w:r>
            <w:r>
              <w:rPr>
                <w:rFonts w:ascii="Times New Roman" w:hAnsi="Times New Roman" w:eastAsia="Times New Roman" w:cs="Times New Roman"/>
                <w:strike/>
                <w:dstrike w:val="0"/>
                <w:color w:val="auto"/>
                <w:spacing w:val="1"/>
                <w:sz w:val="21"/>
                <w:szCs w:val="21"/>
                <w:highlight w:val="none"/>
              </w:rPr>
              <w:t>1</w:t>
            </w:r>
            <w:r>
              <w:rPr>
                <w:strike/>
                <w:dstrike w:val="0"/>
                <w:color w:val="auto"/>
                <w:spacing w:val="1"/>
                <w:sz w:val="21"/>
                <w:szCs w:val="21"/>
                <w:highlight w:val="none"/>
              </w:rPr>
              <w:t>位副项目负责人</w:t>
            </w:r>
            <w:r>
              <w:rPr>
                <w:strike/>
                <w:dstrike w:val="0"/>
                <w:color w:val="auto"/>
                <w:spacing w:val="1"/>
                <w:position w:val="10"/>
                <w:sz w:val="11"/>
                <w:szCs w:val="11"/>
                <w:highlight w:val="none"/>
              </w:rPr>
              <w:t>④</w:t>
            </w:r>
            <w:r>
              <w:rPr>
                <w:strike/>
                <w:dstrike w:val="0"/>
                <w:color w:val="auto"/>
                <w:spacing w:val="1"/>
                <w:sz w:val="21"/>
                <w:szCs w:val="21"/>
                <w:highlight w:val="none"/>
              </w:rPr>
              <w:t>。副项目负责人应持有水利水电工程相关</w:t>
            </w:r>
            <w:r>
              <w:rPr>
                <w:strike/>
                <w:dstrike w:val="0"/>
                <w:color w:val="auto"/>
                <w:sz w:val="21"/>
                <w:szCs w:val="21"/>
                <w:highlight w:val="none"/>
              </w:rPr>
              <w:t xml:space="preserve">专业中级工程 </w:t>
            </w:r>
            <w:r>
              <w:rPr>
                <w:strike/>
                <w:dstrike w:val="0"/>
                <w:color w:val="auto"/>
                <w:spacing w:val="-1"/>
                <w:sz w:val="21"/>
                <w:szCs w:val="21"/>
                <w:highlight w:val="none"/>
              </w:rPr>
              <w:t>师及以上职称或注册建造师（水利水电工程）。</w:t>
            </w:r>
          </w:p>
        </w:tc>
      </w:tr>
      <w:tr w14:paraId="660B28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1" w:type="dxa"/>
            <w:tcBorders>
              <w:left w:val="single" w:color="000000" w:sz="6" w:space="0"/>
            </w:tcBorders>
            <w:vAlign w:val="top"/>
          </w:tcPr>
          <w:p w14:paraId="48EB0A12">
            <w:pPr>
              <w:spacing w:before="218" w:line="184" w:lineRule="auto"/>
              <w:ind w:left="31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5</w:t>
            </w:r>
          </w:p>
        </w:tc>
        <w:tc>
          <w:tcPr>
            <w:tcW w:w="8477" w:type="dxa"/>
            <w:tcBorders>
              <w:right w:val="single" w:color="000000" w:sz="6" w:space="0"/>
            </w:tcBorders>
            <w:vAlign w:val="top"/>
          </w:tcPr>
          <w:p w14:paraId="06864C95">
            <w:pPr>
              <w:pStyle w:val="33"/>
              <w:spacing w:before="40" w:line="219" w:lineRule="auto"/>
              <w:ind w:left="109" w:right="97" w:hanging="2"/>
              <w:rPr>
                <w:color w:val="auto"/>
                <w:sz w:val="21"/>
                <w:szCs w:val="21"/>
                <w:highlight w:val="none"/>
              </w:rPr>
            </w:pPr>
            <w:r>
              <w:rPr>
                <w:color w:val="auto"/>
                <w:spacing w:val="-3"/>
                <w:sz w:val="21"/>
                <w:szCs w:val="21"/>
                <w:highlight w:val="none"/>
              </w:rPr>
              <w:t>拟派项目组主要人员（指项目负责人、项目技术</w:t>
            </w:r>
            <w:r>
              <w:rPr>
                <w:color w:val="auto"/>
                <w:spacing w:val="-4"/>
                <w:sz w:val="21"/>
                <w:szCs w:val="21"/>
                <w:highlight w:val="none"/>
              </w:rPr>
              <w:t>负责人、</w:t>
            </w:r>
            <w:r>
              <w:rPr>
                <w:strike/>
                <w:dstrike w:val="0"/>
                <w:color w:val="auto"/>
                <w:spacing w:val="-4"/>
                <w:sz w:val="21"/>
                <w:szCs w:val="21"/>
                <w:highlight w:val="none"/>
              </w:rPr>
              <w:t>□副项目负责人</w:t>
            </w:r>
            <w:r>
              <w:rPr>
                <w:color w:val="auto"/>
                <w:spacing w:val="-4"/>
                <w:sz w:val="21"/>
                <w:szCs w:val="21"/>
                <w:highlight w:val="none"/>
              </w:rPr>
              <w:t>、专职安全生产管</w:t>
            </w:r>
            <w:r>
              <w:rPr>
                <w:color w:val="auto"/>
                <w:sz w:val="21"/>
                <w:szCs w:val="21"/>
                <w:highlight w:val="none"/>
              </w:rPr>
              <w:t xml:space="preserve"> </w:t>
            </w:r>
            <w:r>
              <w:rPr>
                <w:color w:val="auto"/>
                <w:spacing w:val="-1"/>
                <w:sz w:val="21"/>
                <w:szCs w:val="21"/>
                <w:highlight w:val="none"/>
              </w:rPr>
              <w:t>理人员，下同）必须已在浙江省水利厅“浙江省水利建设市场信息”上公示。</w:t>
            </w:r>
          </w:p>
        </w:tc>
      </w:tr>
      <w:tr w14:paraId="54B4EA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51" w:hRule="atLeast"/>
        </w:trPr>
        <w:tc>
          <w:tcPr>
            <w:tcW w:w="731" w:type="dxa"/>
            <w:tcBorders>
              <w:left w:val="single" w:color="000000" w:sz="6" w:space="0"/>
            </w:tcBorders>
            <w:vAlign w:val="top"/>
          </w:tcPr>
          <w:p w14:paraId="7242A3A8">
            <w:pPr>
              <w:spacing w:line="426" w:lineRule="auto"/>
              <w:rPr>
                <w:rFonts w:ascii="Arial"/>
                <w:color w:val="auto"/>
                <w:sz w:val="21"/>
                <w:highlight w:val="none"/>
              </w:rPr>
            </w:pPr>
          </w:p>
          <w:p w14:paraId="2001C9F5">
            <w:pPr>
              <w:spacing w:before="61" w:line="187" w:lineRule="auto"/>
              <w:ind w:left="31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6</w:t>
            </w:r>
          </w:p>
        </w:tc>
        <w:tc>
          <w:tcPr>
            <w:tcW w:w="8477" w:type="dxa"/>
            <w:tcBorders>
              <w:right w:val="single" w:color="000000" w:sz="6" w:space="0"/>
            </w:tcBorders>
            <w:vAlign w:val="center"/>
          </w:tcPr>
          <w:p w14:paraId="623DD784">
            <w:pPr>
              <w:pStyle w:val="33"/>
              <w:spacing w:before="41" w:line="229" w:lineRule="auto"/>
              <w:ind w:left="109" w:right="97"/>
              <w:jc w:val="both"/>
              <w:rPr>
                <w:color w:val="auto"/>
                <w:spacing w:val="-5"/>
                <w:sz w:val="21"/>
                <w:szCs w:val="21"/>
                <w:highlight w:val="none"/>
              </w:rPr>
            </w:pPr>
            <w:r>
              <w:rPr>
                <w:color w:val="auto"/>
                <w:spacing w:val="-4"/>
                <w:sz w:val="21"/>
                <w:szCs w:val="21"/>
                <w:highlight w:val="none"/>
              </w:rPr>
              <w:t>投标人的“三类人员”（企业主要负责人、项目负责人、专职安全生产管理人员，下同）必</w:t>
            </w:r>
            <w:r>
              <w:rPr>
                <w:color w:val="auto"/>
                <w:spacing w:val="16"/>
                <w:sz w:val="21"/>
                <w:szCs w:val="21"/>
                <w:highlight w:val="none"/>
              </w:rPr>
              <w:t xml:space="preserve"> </w:t>
            </w:r>
            <w:r>
              <w:rPr>
                <w:color w:val="auto"/>
                <w:spacing w:val="-3"/>
                <w:sz w:val="21"/>
                <w:szCs w:val="21"/>
                <w:highlight w:val="none"/>
              </w:rPr>
              <w:t>须持有省级及以上</w:t>
            </w:r>
            <w:r>
              <w:rPr>
                <w:rFonts w:hint="eastAsia"/>
                <w:color w:val="auto"/>
                <w:spacing w:val="-3"/>
                <w:sz w:val="21"/>
                <w:szCs w:val="21"/>
                <w:highlight w:val="none"/>
              </w:rPr>
              <w:t>水</w:t>
            </w:r>
            <w:r>
              <w:rPr>
                <w:color w:val="auto"/>
                <w:spacing w:val="-3"/>
                <w:sz w:val="21"/>
                <w:szCs w:val="21"/>
                <w:highlight w:val="none"/>
              </w:rPr>
              <w:t>行政主管部门颁发的安全生产考核合格证书（</w:t>
            </w:r>
            <w:r>
              <w:rPr>
                <w:rFonts w:ascii="Times New Roman" w:hAnsi="Times New Roman" w:eastAsia="Times New Roman" w:cs="Times New Roman"/>
                <w:color w:val="auto"/>
                <w:spacing w:val="-3"/>
                <w:sz w:val="21"/>
                <w:szCs w:val="21"/>
                <w:highlight w:val="none"/>
              </w:rPr>
              <w:t>A</w:t>
            </w: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B</w:t>
            </w: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C</w:t>
            </w:r>
            <w:r>
              <w:rPr>
                <w:color w:val="auto"/>
                <w:spacing w:val="-3"/>
                <w:sz w:val="21"/>
                <w:szCs w:val="21"/>
                <w:highlight w:val="none"/>
              </w:rPr>
              <w:t>证</w:t>
            </w:r>
            <w:r>
              <w:rPr>
                <w:color w:val="auto"/>
                <w:spacing w:val="-18"/>
                <w:sz w:val="21"/>
                <w:szCs w:val="21"/>
                <w:highlight w:val="none"/>
              </w:rPr>
              <w:t>），</w:t>
            </w:r>
            <w:r>
              <w:rPr>
                <w:color w:val="auto"/>
                <w:spacing w:val="-3"/>
                <w:sz w:val="21"/>
                <w:szCs w:val="21"/>
                <w:highlight w:val="none"/>
              </w:rPr>
              <w:t>其中企业经</w:t>
            </w:r>
            <w:r>
              <w:rPr>
                <w:color w:val="auto"/>
                <w:spacing w:val="-4"/>
                <w:sz w:val="21"/>
                <w:szCs w:val="21"/>
                <w:highlight w:val="none"/>
              </w:rPr>
              <w:t>理、企业技术负责人、企业分管安全生产的副总经理应有任命文件；专职安全生产管理人员</w:t>
            </w:r>
            <w:r>
              <w:rPr>
                <w:color w:val="auto"/>
                <w:spacing w:val="-3"/>
                <w:sz w:val="21"/>
                <w:szCs w:val="21"/>
                <w:highlight w:val="none"/>
              </w:rPr>
              <w:t>不少于</w:t>
            </w:r>
            <w:r>
              <w:rPr>
                <w:rFonts w:hint="eastAsia"/>
                <w:color w:val="auto"/>
                <w:spacing w:val="-3"/>
                <w:sz w:val="21"/>
                <w:szCs w:val="21"/>
                <w:highlight w:val="none"/>
                <w:u w:val="single"/>
                <w:lang w:val="en-US" w:eastAsia="zh-CN"/>
              </w:rPr>
              <w:t xml:space="preserve"> </w:t>
            </w:r>
            <w:r>
              <w:rPr>
                <w:rFonts w:hint="eastAsia"/>
                <w:color w:val="auto"/>
                <w:spacing w:val="-3"/>
                <w:sz w:val="21"/>
                <w:szCs w:val="21"/>
                <w:highlight w:val="none"/>
                <w:u w:val="single" w:color="auto"/>
                <w:lang w:val="en-US" w:eastAsia="zh-CN"/>
              </w:rPr>
              <w:t xml:space="preserve">1 </w:t>
            </w:r>
            <w:r>
              <w:rPr>
                <w:color w:val="auto"/>
                <w:spacing w:val="-3"/>
                <w:sz w:val="21"/>
                <w:szCs w:val="21"/>
                <w:highlight w:val="none"/>
              </w:rPr>
              <w:t>人</w:t>
            </w:r>
            <w:r>
              <w:rPr>
                <w:spacing w:val="2"/>
                <w:position w:val="10"/>
                <w:sz w:val="11"/>
                <w:szCs w:val="11"/>
                <w:highlight w:val="none"/>
              </w:rPr>
              <w:t>⑤</w:t>
            </w:r>
            <w:r>
              <w:rPr>
                <w:color w:val="auto"/>
                <w:spacing w:val="-30"/>
                <w:position w:val="10"/>
                <w:sz w:val="11"/>
                <w:szCs w:val="11"/>
                <w:highlight w:val="none"/>
              </w:rPr>
              <w:t xml:space="preserve"> </w:t>
            </w:r>
            <w:r>
              <w:rPr>
                <w:color w:val="auto"/>
                <w:spacing w:val="-5"/>
                <w:sz w:val="21"/>
                <w:szCs w:val="21"/>
                <w:highlight w:val="none"/>
              </w:rPr>
              <w:t>,</w:t>
            </w:r>
            <w:r>
              <w:rPr>
                <w:color w:val="auto"/>
                <w:spacing w:val="54"/>
                <w:sz w:val="21"/>
                <w:szCs w:val="21"/>
                <w:highlight w:val="none"/>
              </w:rPr>
              <w:t xml:space="preserve"> </w:t>
            </w:r>
            <w:r>
              <w:rPr>
                <w:color w:val="auto"/>
                <w:spacing w:val="-5"/>
                <w:sz w:val="21"/>
                <w:szCs w:val="21"/>
                <w:highlight w:val="none"/>
              </w:rPr>
              <w:t>且不得与拟派项目组其他主要人员相互兼任。</w:t>
            </w:r>
          </w:p>
          <w:p w14:paraId="568690C9">
            <w:pPr>
              <w:pStyle w:val="33"/>
              <w:spacing w:before="41" w:line="229" w:lineRule="auto"/>
              <w:ind w:left="109" w:right="97"/>
              <w:jc w:val="both"/>
              <w:rPr>
                <w:color w:val="auto"/>
                <w:spacing w:val="-5"/>
                <w:sz w:val="21"/>
                <w:szCs w:val="21"/>
                <w:highlight w:val="none"/>
              </w:rPr>
            </w:pPr>
            <w:r>
              <w:rPr>
                <w:rFonts w:hint="eastAsia"/>
                <w:color w:val="auto"/>
                <w:spacing w:val="-5"/>
                <w:sz w:val="21"/>
                <w:szCs w:val="21"/>
                <w:highlight w:val="none"/>
              </w:rPr>
              <w:t>注：根据《浙江省水利厅关于全面启用水利水电施工企业“三类人员”电子证书的公告》(浙水监督[2020]1号)规定，由浙江省水利厅颁发的企业主要负责人、项目负责人、专职安全生产管理人员的安全生产考核合格证书(A、B、C证)，以浙江省水利厅颁发的电子证书为准，原浙江省水利厅颁发的纸质证书不予认可。</w:t>
            </w:r>
          </w:p>
        </w:tc>
      </w:tr>
      <w:tr w14:paraId="2F8578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2" w:hRule="atLeast"/>
        </w:trPr>
        <w:tc>
          <w:tcPr>
            <w:tcW w:w="731" w:type="dxa"/>
            <w:tcBorders>
              <w:left w:val="single" w:color="000000" w:sz="6" w:space="0"/>
            </w:tcBorders>
            <w:vAlign w:val="top"/>
          </w:tcPr>
          <w:p w14:paraId="47BE9CA6">
            <w:pPr>
              <w:pStyle w:val="33"/>
              <w:spacing w:before="104" w:line="238" w:lineRule="auto"/>
              <w:ind w:left="257"/>
              <w:rPr>
                <w:color w:val="auto"/>
                <w:sz w:val="21"/>
                <w:szCs w:val="21"/>
                <w:highlight w:val="none"/>
              </w:rPr>
            </w:pPr>
            <w:r>
              <w:rPr>
                <w:b/>
                <w:bCs/>
                <w:color w:val="auto"/>
                <w:spacing w:val="-3"/>
                <w:sz w:val="21"/>
                <w:szCs w:val="21"/>
                <w:highlight w:val="none"/>
              </w:rPr>
              <w:t>三</w:t>
            </w:r>
          </w:p>
        </w:tc>
        <w:tc>
          <w:tcPr>
            <w:tcW w:w="8477" w:type="dxa"/>
            <w:tcBorders>
              <w:right w:val="single" w:color="000000" w:sz="6" w:space="0"/>
            </w:tcBorders>
            <w:vAlign w:val="top"/>
          </w:tcPr>
          <w:p w14:paraId="48EE717E">
            <w:pPr>
              <w:pStyle w:val="33"/>
              <w:spacing w:before="104" w:line="221" w:lineRule="auto"/>
              <w:ind w:left="108"/>
              <w:rPr>
                <w:color w:val="auto"/>
                <w:sz w:val="21"/>
                <w:szCs w:val="21"/>
                <w:highlight w:val="none"/>
              </w:rPr>
            </w:pPr>
            <w:r>
              <w:rPr>
                <w:b/>
                <w:bCs/>
                <w:color w:val="auto"/>
                <w:spacing w:val="-4"/>
                <w:sz w:val="21"/>
                <w:szCs w:val="21"/>
                <w:highlight w:val="none"/>
              </w:rPr>
              <w:t>其他</w:t>
            </w:r>
          </w:p>
        </w:tc>
      </w:tr>
      <w:tr w14:paraId="0BEE3A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00" w:hRule="atLeast"/>
        </w:trPr>
        <w:tc>
          <w:tcPr>
            <w:tcW w:w="731" w:type="dxa"/>
            <w:tcBorders>
              <w:left w:val="single" w:color="000000" w:sz="6" w:space="0"/>
            </w:tcBorders>
            <w:vAlign w:val="top"/>
          </w:tcPr>
          <w:p w14:paraId="6026DC0A">
            <w:pPr>
              <w:spacing w:before="144" w:line="187" w:lineRule="auto"/>
              <w:ind w:left="32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8477" w:type="dxa"/>
            <w:tcBorders>
              <w:right w:val="single" w:color="000000" w:sz="6" w:space="0"/>
            </w:tcBorders>
            <w:vAlign w:val="top"/>
          </w:tcPr>
          <w:p w14:paraId="6BCFF0E9">
            <w:pPr>
              <w:pStyle w:val="33"/>
              <w:spacing w:before="105" w:line="220" w:lineRule="auto"/>
              <w:ind w:left="108"/>
              <w:rPr>
                <w:color w:val="auto"/>
                <w:sz w:val="21"/>
                <w:szCs w:val="21"/>
                <w:highlight w:val="none"/>
              </w:rPr>
            </w:pPr>
            <w:r>
              <w:rPr>
                <w:color w:val="auto"/>
                <w:sz w:val="21"/>
                <w:szCs w:val="21"/>
                <w:highlight w:val="none"/>
              </w:rPr>
              <w:t>法定代表人的委托代理人（若有）及拟派项</w:t>
            </w:r>
            <w:r>
              <w:rPr>
                <w:color w:val="auto"/>
                <w:spacing w:val="-1"/>
                <w:sz w:val="21"/>
                <w:szCs w:val="21"/>
                <w:highlight w:val="none"/>
              </w:rPr>
              <w:t>目组主要人员应为投标人本单位正式员工。</w:t>
            </w:r>
          </w:p>
        </w:tc>
      </w:tr>
      <w:tr w14:paraId="62794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731" w:type="dxa"/>
            <w:tcBorders>
              <w:left w:val="single" w:color="000000" w:sz="6" w:space="0"/>
            </w:tcBorders>
            <w:vAlign w:val="top"/>
          </w:tcPr>
          <w:p w14:paraId="5BB724ED">
            <w:pPr>
              <w:spacing w:before="219" w:line="187" w:lineRule="auto"/>
              <w:ind w:left="30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8477" w:type="dxa"/>
            <w:tcBorders>
              <w:right w:val="single" w:color="000000" w:sz="6" w:space="0"/>
            </w:tcBorders>
            <w:vAlign w:val="top"/>
          </w:tcPr>
          <w:p w14:paraId="45042428">
            <w:pPr>
              <w:pStyle w:val="33"/>
              <w:spacing w:before="47" w:line="212" w:lineRule="auto"/>
              <w:ind w:left="127" w:right="97" w:hanging="17"/>
              <w:rPr>
                <w:color w:val="auto"/>
                <w:sz w:val="21"/>
                <w:szCs w:val="21"/>
                <w:highlight w:val="none"/>
              </w:rPr>
            </w:pPr>
            <w:r>
              <w:rPr>
                <w:color w:val="auto"/>
                <w:spacing w:val="-4"/>
                <w:sz w:val="21"/>
                <w:szCs w:val="21"/>
                <w:highlight w:val="none"/>
              </w:rPr>
              <w:t>项目负责人自</w:t>
            </w:r>
            <w:r>
              <w:rPr>
                <w:color w:val="auto"/>
                <w:spacing w:val="-105"/>
                <w:sz w:val="21"/>
                <w:szCs w:val="21"/>
                <w:highlight w:val="none"/>
              </w:rPr>
              <w:t xml:space="preserve"> </w:t>
            </w:r>
            <w:r>
              <w:rPr>
                <w:color w:val="auto"/>
                <w:sz w:val="21"/>
                <w:szCs w:val="21"/>
                <w:highlight w:val="none"/>
                <w:u w:val="single" w:color="auto"/>
              </w:rPr>
              <w:t xml:space="preserve"> </w:t>
            </w:r>
            <w:r>
              <w:rPr>
                <w:rFonts w:hint="eastAsia"/>
                <w:color w:val="auto"/>
                <w:sz w:val="21"/>
                <w:szCs w:val="21"/>
                <w:highlight w:val="none"/>
                <w:u w:val="single" w:color="auto"/>
                <w:lang w:val="en-US" w:eastAsia="zh-CN"/>
              </w:rPr>
              <w:t>2023</w:t>
            </w:r>
            <w:r>
              <w:rPr>
                <w:color w:val="auto"/>
                <w:sz w:val="21"/>
                <w:szCs w:val="21"/>
                <w:highlight w:val="none"/>
                <w:u w:val="single" w:color="auto"/>
              </w:rPr>
              <w:t xml:space="preserve"> </w:t>
            </w:r>
            <w:r>
              <w:rPr>
                <w:color w:val="auto"/>
                <w:spacing w:val="-96"/>
                <w:sz w:val="21"/>
                <w:szCs w:val="21"/>
                <w:highlight w:val="none"/>
              </w:rPr>
              <w:t xml:space="preserve"> </w:t>
            </w:r>
            <w:r>
              <w:rPr>
                <w:color w:val="auto"/>
                <w:spacing w:val="-4"/>
                <w:sz w:val="21"/>
                <w:szCs w:val="21"/>
                <w:highlight w:val="none"/>
              </w:rPr>
              <w:t>年</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91"/>
                <w:sz w:val="21"/>
                <w:szCs w:val="21"/>
                <w:highlight w:val="none"/>
              </w:rPr>
              <w:t xml:space="preserve"> </w:t>
            </w:r>
            <w:r>
              <w:rPr>
                <w:color w:val="auto"/>
                <w:spacing w:val="-4"/>
                <w:sz w:val="21"/>
                <w:szCs w:val="21"/>
                <w:highlight w:val="none"/>
              </w:rPr>
              <w:t>月</w:t>
            </w:r>
            <w:r>
              <w:rPr>
                <w:color w:val="auto"/>
                <w:spacing w:val="-4"/>
                <w:sz w:val="21"/>
                <w:szCs w:val="21"/>
                <w:highlight w:val="none"/>
                <w:u w:val="single" w:color="auto"/>
              </w:rPr>
              <w:t xml:space="preserve"> </w:t>
            </w:r>
            <w:r>
              <w:rPr>
                <w:rFonts w:hint="eastAsia"/>
                <w:color w:val="auto"/>
                <w:spacing w:val="-4"/>
                <w:sz w:val="21"/>
                <w:szCs w:val="21"/>
                <w:highlight w:val="none"/>
                <w:u w:val="single" w:color="auto"/>
                <w:lang w:val="en-US" w:eastAsia="zh-CN"/>
              </w:rPr>
              <w:t>1</w:t>
            </w:r>
            <w:r>
              <w:rPr>
                <w:color w:val="auto"/>
                <w:spacing w:val="-4"/>
                <w:sz w:val="21"/>
                <w:szCs w:val="21"/>
                <w:highlight w:val="none"/>
                <w:u w:val="single" w:color="auto"/>
              </w:rPr>
              <w:t xml:space="preserve"> </w:t>
            </w:r>
            <w:r>
              <w:rPr>
                <w:color w:val="auto"/>
                <w:spacing w:val="-61"/>
                <w:sz w:val="21"/>
                <w:szCs w:val="21"/>
                <w:highlight w:val="none"/>
              </w:rPr>
              <w:t xml:space="preserve"> </w:t>
            </w:r>
            <w:r>
              <w:rPr>
                <w:color w:val="auto"/>
                <w:spacing w:val="-4"/>
                <w:sz w:val="21"/>
                <w:szCs w:val="21"/>
                <w:highlight w:val="none"/>
              </w:rPr>
              <w:t>日至投标截止时间</w:t>
            </w:r>
            <w:r>
              <w:rPr>
                <w:i/>
                <w:iCs/>
                <w:color w:val="auto"/>
                <w:spacing w:val="-4"/>
                <w:sz w:val="22"/>
                <w:szCs w:val="22"/>
                <w:highlight w:val="none"/>
              </w:rPr>
              <w:t>（不得少于</w:t>
            </w:r>
            <w:r>
              <w:rPr>
                <w:rFonts w:ascii="Times New Roman" w:hAnsi="Times New Roman" w:eastAsia="Times New Roman" w:cs="Times New Roman"/>
                <w:i/>
                <w:iCs/>
                <w:color w:val="auto"/>
                <w:spacing w:val="-4"/>
                <w:sz w:val="21"/>
                <w:szCs w:val="21"/>
                <w:highlight w:val="none"/>
              </w:rPr>
              <w:t>3</w:t>
            </w:r>
            <w:r>
              <w:rPr>
                <w:i/>
                <w:iCs/>
                <w:color w:val="auto"/>
                <w:spacing w:val="-4"/>
                <w:sz w:val="22"/>
                <w:szCs w:val="22"/>
                <w:highlight w:val="none"/>
              </w:rPr>
              <w:t>年）</w:t>
            </w:r>
            <w:r>
              <w:rPr>
                <w:color w:val="auto"/>
                <w:spacing w:val="-4"/>
                <w:sz w:val="21"/>
                <w:szCs w:val="21"/>
                <w:highlight w:val="none"/>
              </w:rPr>
              <w:t>无行贿</w:t>
            </w:r>
            <w:r>
              <w:rPr>
                <w:color w:val="auto"/>
                <w:spacing w:val="-5"/>
                <w:sz w:val="21"/>
                <w:szCs w:val="21"/>
                <w:highlight w:val="none"/>
              </w:rPr>
              <w:t>犯罪记录（以中</w:t>
            </w:r>
            <w:r>
              <w:rPr>
                <w:color w:val="auto"/>
                <w:spacing w:val="-1"/>
                <w:sz w:val="21"/>
                <w:szCs w:val="21"/>
                <w:highlight w:val="none"/>
              </w:rPr>
              <w:t>国裁判文书网（</w:t>
            </w:r>
            <w:r>
              <w:rPr>
                <w:color w:val="auto"/>
                <w:highlight w:val="none"/>
              </w:rPr>
              <w:fldChar w:fldCharType="begin"/>
            </w:r>
            <w:r>
              <w:rPr>
                <w:color w:val="auto"/>
                <w:highlight w:val="none"/>
              </w:rPr>
              <w:instrText xml:space="preserve"> HYPERLINK "http://wenshu.court.gov.cn/" </w:instrText>
            </w:r>
            <w:r>
              <w:rPr>
                <w:color w:val="auto"/>
                <w:highlight w:val="none"/>
              </w:rPr>
              <w:fldChar w:fldCharType="separate"/>
            </w:r>
            <w:r>
              <w:rPr>
                <w:rFonts w:ascii="Times New Roman" w:hAnsi="Times New Roman" w:eastAsia="Times New Roman" w:cs="Times New Roman"/>
                <w:color w:val="auto"/>
                <w:spacing w:val="-1"/>
                <w:sz w:val="21"/>
                <w:szCs w:val="21"/>
                <w:highlight w:val="none"/>
              </w:rPr>
              <w:t>http://wenshu.court.gov.cn/</w:t>
            </w:r>
            <w:r>
              <w:rPr>
                <w:rFonts w:ascii="Times New Roman" w:hAnsi="Times New Roman" w:eastAsia="Times New Roman" w:cs="Times New Roman"/>
                <w:color w:val="auto"/>
                <w:spacing w:val="-1"/>
                <w:sz w:val="21"/>
                <w:szCs w:val="21"/>
                <w:highlight w:val="none"/>
              </w:rPr>
              <w:fldChar w:fldCharType="end"/>
            </w:r>
            <w:r>
              <w:rPr>
                <w:color w:val="auto"/>
                <w:spacing w:val="-1"/>
                <w:sz w:val="21"/>
                <w:szCs w:val="21"/>
                <w:highlight w:val="none"/>
              </w:rPr>
              <w:t>）查询结果为准）。</w:t>
            </w:r>
          </w:p>
        </w:tc>
      </w:tr>
      <w:tr w14:paraId="2A0F4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1" w:type="dxa"/>
            <w:tcBorders>
              <w:left w:val="single" w:color="000000" w:sz="6" w:space="0"/>
            </w:tcBorders>
            <w:vAlign w:val="top"/>
          </w:tcPr>
          <w:p w14:paraId="09D5132C">
            <w:pPr>
              <w:spacing w:before="219" w:line="187" w:lineRule="auto"/>
              <w:ind w:left="31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8477" w:type="dxa"/>
            <w:tcBorders>
              <w:right w:val="single" w:color="000000" w:sz="6" w:space="0"/>
            </w:tcBorders>
            <w:vAlign w:val="top"/>
          </w:tcPr>
          <w:p w14:paraId="400A172C">
            <w:pPr>
              <w:pStyle w:val="33"/>
              <w:spacing w:before="45" w:line="217" w:lineRule="auto"/>
              <w:ind w:left="112" w:right="109" w:hanging="3"/>
              <w:rPr>
                <w:color w:val="auto"/>
                <w:sz w:val="21"/>
                <w:szCs w:val="21"/>
                <w:highlight w:val="none"/>
              </w:rPr>
            </w:pPr>
            <w:r>
              <w:rPr>
                <w:color w:val="auto"/>
                <w:spacing w:val="-4"/>
                <w:sz w:val="21"/>
                <w:szCs w:val="21"/>
                <w:highlight w:val="none"/>
              </w:rPr>
              <w:t>投标人及其法定代表人、拟派项目负责人未被列入失信被执行人名单（以“信用中国”网站</w:t>
            </w:r>
            <w:r>
              <w:rPr>
                <w:color w:val="auto"/>
                <w:spacing w:val="6"/>
                <w:sz w:val="21"/>
                <w:szCs w:val="21"/>
                <w:highlight w:val="none"/>
              </w:rPr>
              <w:t xml:space="preserve"> </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www.creditchina.gov.cn</w:t>
            </w:r>
            <w:r>
              <w:rPr>
                <w:color w:val="auto"/>
                <w:spacing w:val="-1"/>
                <w:sz w:val="21"/>
                <w:szCs w:val="21"/>
                <w:highlight w:val="none"/>
              </w:rPr>
              <w:t>）</w:t>
            </w:r>
            <w:r>
              <w:rPr>
                <w:color w:val="auto"/>
                <w:spacing w:val="-1"/>
                <w:sz w:val="21"/>
                <w:szCs w:val="21"/>
                <w:highlight w:val="none"/>
              </w:rPr>
              <w:fldChar w:fldCharType="end"/>
            </w:r>
            <w:r>
              <w:rPr>
                <w:color w:val="auto"/>
                <w:spacing w:val="-1"/>
                <w:sz w:val="21"/>
                <w:szCs w:val="21"/>
                <w:highlight w:val="none"/>
              </w:rPr>
              <w:t>查询为准）</w:t>
            </w:r>
          </w:p>
        </w:tc>
      </w:tr>
      <w:tr w14:paraId="138FFE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731" w:type="dxa"/>
            <w:tcBorders>
              <w:left w:val="single" w:color="000000" w:sz="6" w:space="0"/>
            </w:tcBorders>
            <w:vAlign w:val="top"/>
          </w:tcPr>
          <w:p w14:paraId="1430ED13">
            <w:pPr>
              <w:spacing w:before="219" w:line="187" w:lineRule="auto"/>
              <w:ind w:left="310"/>
              <w:rPr>
                <w:rFonts w:hint="eastAsia" w:ascii="Times New Roman" w:hAnsi="Times New Roman" w:eastAsia="宋体" w:cs="Times New Roman"/>
                <w:color w:val="auto"/>
                <w:sz w:val="21"/>
                <w:szCs w:val="21"/>
                <w:highlight w:val="none"/>
                <w:lang w:val="en-US" w:eastAsia="zh-CN"/>
              </w:rPr>
            </w:pPr>
            <w:r>
              <w:rPr>
                <w:rFonts w:hint="eastAsia" w:ascii="Times New Roman" w:hAnsi="Times New Roman" w:eastAsia="宋体" w:cs="Times New Roman"/>
                <w:color w:val="auto"/>
                <w:sz w:val="21"/>
                <w:szCs w:val="21"/>
                <w:highlight w:val="none"/>
                <w:lang w:val="en-US" w:eastAsia="zh-CN"/>
              </w:rPr>
              <w:t>4</w:t>
            </w:r>
          </w:p>
        </w:tc>
        <w:tc>
          <w:tcPr>
            <w:tcW w:w="8477" w:type="dxa"/>
            <w:tcBorders>
              <w:right w:val="single" w:color="000000" w:sz="6" w:space="0"/>
            </w:tcBorders>
            <w:vAlign w:val="top"/>
          </w:tcPr>
          <w:p w14:paraId="6E43E180">
            <w:pPr>
              <w:pStyle w:val="33"/>
              <w:spacing w:before="45" w:line="217" w:lineRule="auto"/>
              <w:ind w:left="112" w:right="109" w:hanging="3"/>
              <w:rPr>
                <w:color w:val="auto"/>
                <w:spacing w:val="-4"/>
                <w:sz w:val="21"/>
                <w:szCs w:val="21"/>
                <w:highlight w:val="none"/>
              </w:rPr>
            </w:pPr>
            <w:r>
              <w:rPr>
                <w:rFonts w:hint="eastAsia"/>
                <w:color w:val="auto"/>
                <w:spacing w:val="-4"/>
                <w:sz w:val="21"/>
                <w:szCs w:val="21"/>
                <w:highlight w:val="none"/>
              </w:rPr>
              <w:t>投标人、投标人的“三类人员”、拟派项目组主要人员未被列入全国水利建设市场信用平台“黑名单”。</w:t>
            </w:r>
          </w:p>
        </w:tc>
      </w:tr>
      <w:tr w14:paraId="25D91F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731" w:type="dxa"/>
            <w:tcBorders>
              <w:left w:val="single" w:color="000000" w:sz="6" w:space="0"/>
              <w:bottom w:val="single" w:color="000000" w:sz="6" w:space="0"/>
            </w:tcBorders>
            <w:vAlign w:val="top"/>
          </w:tcPr>
          <w:p w14:paraId="11F1F129">
            <w:pPr>
              <w:spacing w:before="146" w:line="187" w:lineRule="auto"/>
              <w:ind w:left="305"/>
              <w:rPr>
                <w:rFonts w:hint="eastAsia" w:ascii="Times New Roman" w:hAnsi="Times New Roman" w:eastAsia="宋体" w:cs="Times New Roman"/>
                <w:color w:val="auto"/>
                <w:sz w:val="21"/>
                <w:szCs w:val="21"/>
                <w:highlight w:val="none"/>
                <w:lang w:eastAsia="zh-CN"/>
              </w:rPr>
            </w:pPr>
            <w:r>
              <w:rPr>
                <w:rFonts w:hint="eastAsia" w:ascii="Times New Roman" w:hAnsi="Times New Roman" w:eastAsia="宋体" w:cs="Times New Roman"/>
                <w:color w:val="auto"/>
                <w:sz w:val="21"/>
                <w:szCs w:val="21"/>
                <w:highlight w:val="none"/>
                <w:lang w:val="en-US" w:eastAsia="zh-CN"/>
              </w:rPr>
              <w:t>5</w:t>
            </w:r>
          </w:p>
        </w:tc>
        <w:tc>
          <w:tcPr>
            <w:tcW w:w="8477" w:type="dxa"/>
            <w:tcBorders>
              <w:bottom w:val="single" w:color="000000" w:sz="6" w:space="0"/>
              <w:right w:val="single" w:color="000000" w:sz="6" w:space="0"/>
            </w:tcBorders>
            <w:vAlign w:val="top"/>
          </w:tcPr>
          <w:p w14:paraId="5FF0B4AF">
            <w:pPr>
              <w:spacing w:before="268" w:line="66" w:lineRule="exact"/>
              <w:ind w:left="122"/>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6"/>
                <w:position w:val="1"/>
                <w:sz w:val="21"/>
                <w:szCs w:val="21"/>
                <w:highlight w:val="none"/>
              </w:rPr>
              <w:t>……</w:t>
            </w:r>
          </w:p>
        </w:tc>
      </w:tr>
    </w:tbl>
    <w:p w14:paraId="65FC31A2">
      <w:pPr>
        <w:spacing w:line="336" w:lineRule="auto"/>
        <w:rPr>
          <w:rFonts w:ascii="隶书" w:hAnsi="隶书" w:eastAsia="隶书" w:cs="隶书"/>
          <w:color w:val="auto"/>
          <w:sz w:val="21"/>
          <w:szCs w:val="21"/>
          <w:highlight w:val="none"/>
        </w:rPr>
      </w:pPr>
    </w:p>
    <w:p w14:paraId="202FAF1F">
      <w:pPr>
        <w:spacing w:before="28" w:line="283" w:lineRule="auto"/>
        <w:ind w:left="1" w:right="430" w:firstLine="424"/>
        <w:rPr>
          <w:rFonts w:ascii="微软雅黑" w:hAnsi="微软雅黑" w:eastAsia="微软雅黑" w:cs="微软雅黑"/>
          <w:sz w:val="21"/>
          <w:szCs w:val="21"/>
        </w:rPr>
      </w:pPr>
      <w:r>
        <w:rPr>
          <w:rFonts w:ascii="微软雅黑" w:hAnsi="微软雅黑" w:eastAsia="微软雅黑" w:cs="微软雅黑"/>
          <w:spacing w:val="-2"/>
          <w:sz w:val="21"/>
          <w:szCs w:val="21"/>
        </w:rPr>
        <w:t>投标人及其拟派项目负责人的类似项目业绩要求详见上表，</w:t>
      </w:r>
      <w:r>
        <w:rPr>
          <w:rFonts w:ascii="微软雅黑" w:hAnsi="微软雅黑" w:eastAsia="微软雅黑" w:cs="微软雅黑"/>
          <w:spacing w:val="-11"/>
          <w:sz w:val="21"/>
          <w:szCs w:val="21"/>
        </w:rPr>
        <w:t xml:space="preserve"> </w:t>
      </w:r>
      <w:r>
        <w:rPr>
          <w:rFonts w:ascii="微软雅黑" w:hAnsi="微软雅黑" w:eastAsia="微软雅黑" w:cs="微软雅黑"/>
          <w:spacing w:val="-2"/>
          <w:sz w:val="21"/>
          <w:szCs w:val="21"/>
        </w:rPr>
        <w:t>该业绩须已在浙江省水</w:t>
      </w:r>
      <w:r>
        <w:rPr>
          <w:rFonts w:ascii="微软雅黑" w:hAnsi="微软雅黑" w:eastAsia="微软雅黑" w:cs="微软雅黑"/>
          <w:spacing w:val="-3"/>
          <w:sz w:val="21"/>
          <w:szCs w:val="21"/>
        </w:rPr>
        <w:t>利厅“浙</w:t>
      </w:r>
      <w:r>
        <w:rPr>
          <w:rFonts w:ascii="微软雅黑" w:hAnsi="微软雅黑" w:eastAsia="微软雅黑" w:cs="微软雅黑"/>
          <w:sz w:val="21"/>
          <w:szCs w:val="21"/>
        </w:rPr>
        <w:t>江省水利建设市场信息”上公示。</w:t>
      </w:r>
    </w:p>
    <w:p w14:paraId="33067D6D">
      <w:pPr>
        <w:spacing w:before="45" w:line="272" w:lineRule="auto"/>
        <w:ind w:left="1" w:right="30" w:firstLine="423"/>
        <w:jc w:val="both"/>
        <w:rPr>
          <w:rFonts w:ascii="微软雅黑" w:hAnsi="微软雅黑" w:eastAsia="微软雅黑" w:cs="微软雅黑"/>
          <w:sz w:val="21"/>
          <w:szCs w:val="21"/>
        </w:rPr>
      </w:pPr>
      <w:r>
        <w:rPr>
          <w:rFonts w:ascii="微软雅黑" w:hAnsi="微软雅黑" w:eastAsia="微软雅黑" w:cs="微软雅黑"/>
          <w:spacing w:val="-3"/>
          <w:sz w:val="21"/>
          <w:szCs w:val="21"/>
        </w:rPr>
        <w:t>类似项目业绩证明材料指</w:t>
      </w:r>
      <w:r>
        <w:rPr>
          <w:rFonts w:ascii="微软雅黑" w:hAnsi="微软雅黑" w:eastAsia="微软雅黑" w:cs="微软雅黑"/>
          <w:spacing w:val="-55"/>
          <w:sz w:val="21"/>
          <w:szCs w:val="21"/>
        </w:rPr>
        <w:t>：</w:t>
      </w:r>
      <w:r>
        <w:rPr>
          <w:rFonts w:ascii="微软雅黑" w:hAnsi="微软雅黑" w:eastAsia="微软雅黑" w:cs="微软雅黑"/>
          <w:spacing w:val="-25"/>
          <w:sz w:val="21"/>
          <w:szCs w:val="21"/>
        </w:rPr>
        <w:t xml:space="preserve"> </w:t>
      </w:r>
      <w:r>
        <w:rPr>
          <w:rFonts w:ascii="微软雅黑" w:hAnsi="微软雅黑" w:eastAsia="微软雅黑" w:cs="微软雅黑"/>
          <w:spacing w:val="-55"/>
          <w:sz w:val="21"/>
          <w:szCs w:val="21"/>
        </w:rPr>
        <w:t>（</w:t>
      </w:r>
      <w:r>
        <w:rPr>
          <w:rFonts w:ascii="Times New Roman" w:hAnsi="Times New Roman" w:eastAsia="Times New Roman" w:cs="Times New Roman"/>
          <w:spacing w:val="-3"/>
          <w:sz w:val="21"/>
          <w:szCs w:val="21"/>
        </w:rPr>
        <w:t>1</w:t>
      </w:r>
      <w:r>
        <w:rPr>
          <w:rFonts w:ascii="微软雅黑" w:hAnsi="微软雅黑" w:eastAsia="微软雅黑" w:cs="微软雅黑"/>
          <w:spacing w:val="-3"/>
          <w:sz w:val="21"/>
          <w:szCs w:val="21"/>
        </w:rPr>
        <w:t>）合同，</w:t>
      </w:r>
      <w:r>
        <w:rPr>
          <w:rFonts w:ascii="微软雅黑" w:hAnsi="微软雅黑" w:eastAsia="微软雅黑" w:cs="微软雅黑"/>
          <w:spacing w:val="-15"/>
          <w:sz w:val="21"/>
          <w:szCs w:val="21"/>
        </w:rPr>
        <w:t xml:space="preserve"> </w:t>
      </w:r>
      <w:r>
        <w:rPr>
          <w:rFonts w:ascii="微软雅黑" w:hAnsi="微软雅黑" w:eastAsia="微软雅黑" w:cs="微软雅黑"/>
          <w:spacing w:val="-3"/>
          <w:sz w:val="21"/>
          <w:szCs w:val="21"/>
        </w:rPr>
        <w:t>以及由项目法人或行政主管</w:t>
      </w:r>
      <w:r>
        <w:rPr>
          <w:rFonts w:ascii="微软雅黑" w:hAnsi="微软雅黑" w:eastAsia="微软雅黑" w:cs="微软雅黑"/>
          <w:spacing w:val="-4"/>
          <w:sz w:val="21"/>
          <w:szCs w:val="21"/>
        </w:rPr>
        <w:t>部门出具的完工（竣工）</w:t>
      </w:r>
      <w:r>
        <w:rPr>
          <w:rFonts w:ascii="微软雅黑" w:hAnsi="微软雅黑" w:eastAsia="微软雅黑" w:cs="微软雅黑"/>
          <w:sz w:val="21"/>
          <w:szCs w:val="21"/>
        </w:rPr>
        <w:t>验收鉴定书〔或质量监督机构出具对应的完工（竣工）</w:t>
      </w:r>
      <w:r>
        <w:rPr>
          <w:rFonts w:ascii="微软雅黑" w:hAnsi="微软雅黑" w:eastAsia="微软雅黑" w:cs="微软雅黑"/>
          <w:spacing w:val="-20"/>
          <w:sz w:val="21"/>
          <w:szCs w:val="21"/>
        </w:rPr>
        <w:t xml:space="preserve"> </w:t>
      </w:r>
      <w:r>
        <w:rPr>
          <w:rFonts w:ascii="微软雅黑" w:hAnsi="微软雅黑" w:eastAsia="微软雅黑" w:cs="微软雅黑"/>
          <w:sz w:val="21"/>
          <w:szCs w:val="21"/>
        </w:rPr>
        <w:t>质量（安全）监督报告〕，若工程规模、</w:t>
      </w:r>
      <w:r>
        <w:rPr>
          <w:rFonts w:ascii="微软雅黑" w:hAnsi="微软雅黑" w:eastAsia="微软雅黑" w:cs="微软雅黑"/>
          <w:spacing w:val="-4"/>
          <w:sz w:val="21"/>
          <w:szCs w:val="21"/>
        </w:rPr>
        <w:t>特征等无法认定的，</w:t>
      </w:r>
      <w:r>
        <w:rPr>
          <w:rFonts w:ascii="微软雅黑" w:hAnsi="微软雅黑" w:eastAsia="微软雅黑" w:cs="微软雅黑"/>
          <w:spacing w:val="-12"/>
          <w:sz w:val="21"/>
          <w:szCs w:val="21"/>
        </w:rPr>
        <w:t xml:space="preserve"> </w:t>
      </w:r>
      <w:r>
        <w:rPr>
          <w:rFonts w:ascii="微软雅黑" w:hAnsi="微软雅黑" w:eastAsia="微软雅黑" w:cs="微软雅黑"/>
          <w:spacing w:val="-4"/>
          <w:sz w:val="21"/>
          <w:szCs w:val="21"/>
        </w:rPr>
        <w:t>以初步设计批复文件（包括设计变更批复）或施工图纸为依据</w:t>
      </w:r>
      <w:r>
        <w:rPr>
          <w:rFonts w:ascii="微软雅黑" w:hAnsi="微软雅黑" w:eastAsia="微软雅黑" w:cs="微软雅黑"/>
          <w:spacing w:val="-31"/>
          <w:sz w:val="21"/>
          <w:szCs w:val="21"/>
        </w:rPr>
        <w:t>；</w:t>
      </w:r>
      <w:r>
        <w:rPr>
          <w:rFonts w:ascii="微软雅黑" w:hAnsi="微软雅黑" w:eastAsia="微软雅黑" w:cs="微软雅黑"/>
          <w:spacing w:val="-23"/>
          <w:sz w:val="21"/>
          <w:szCs w:val="21"/>
        </w:rPr>
        <w:t xml:space="preserve"> </w:t>
      </w:r>
      <w:r>
        <w:rPr>
          <w:rFonts w:ascii="微软雅黑" w:hAnsi="微软雅黑" w:eastAsia="微软雅黑" w:cs="微软雅黑"/>
          <w:spacing w:val="-31"/>
          <w:sz w:val="21"/>
          <w:szCs w:val="21"/>
        </w:rPr>
        <w:t>（</w:t>
      </w:r>
      <w:r>
        <w:rPr>
          <w:rFonts w:ascii="Times New Roman" w:hAnsi="Times New Roman" w:eastAsia="Times New Roman" w:cs="Times New Roman"/>
          <w:spacing w:val="-4"/>
          <w:sz w:val="21"/>
          <w:szCs w:val="21"/>
        </w:rPr>
        <w:t>2</w:t>
      </w:r>
      <w:r>
        <w:rPr>
          <w:rFonts w:ascii="微软雅黑" w:hAnsi="微软雅黑" w:eastAsia="微软雅黑" w:cs="微软雅黑"/>
          <w:spacing w:val="-4"/>
          <w:sz w:val="21"/>
          <w:szCs w:val="21"/>
        </w:rPr>
        <w:t>）浙江省</w:t>
      </w:r>
      <w:r>
        <w:rPr>
          <w:rFonts w:ascii="微软雅黑" w:hAnsi="微软雅黑" w:eastAsia="微软雅黑" w:cs="微软雅黑"/>
          <w:spacing w:val="-3"/>
          <w:sz w:val="21"/>
          <w:szCs w:val="21"/>
        </w:rPr>
        <w:t>水利厅</w:t>
      </w:r>
      <w:r>
        <w:rPr>
          <w:rFonts w:ascii="宋体" w:hAnsi="宋体" w:eastAsia="宋体" w:cs="宋体"/>
          <w:b/>
          <w:bCs/>
          <w:spacing w:val="-3"/>
          <w:sz w:val="21"/>
          <w:szCs w:val="21"/>
        </w:rPr>
        <w:t>“</w:t>
      </w:r>
      <w:r>
        <w:rPr>
          <w:rFonts w:ascii="微软雅黑" w:hAnsi="微软雅黑" w:eastAsia="微软雅黑" w:cs="微软雅黑"/>
          <w:spacing w:val="-3"/>
          <w:sz w:val="21"/>
          <w:szCs w:val="21"/>
        </w:rPr>
        <w:t>浙江省水利工程建设管理系统（透明工程）</w:t>
      </w:r>
      <w:r>
        <w:rPr>
          <w:rFonts w:ascii="微软雅黑" w:hAnsi="微软雅黑" w:eastAsia="微软雅黑" w:cs="微软雅黑"/>
          <w:spacing w:val="-20"/>
          <w:sz w:val="21"/>
          <w:szCs w:val="21"/>
        </w:rPr>
        <w:t xml:space="preserve"> </w:t>
      </w:r>
      <w:r>
        <w:rPr>
          <w:rFonts w:ascii="微软雅黑" w:hAnsi="微软雅黑" w:eastAsia="微软雅黑" w:cs="微软雅黑"/>
          <w:spacing w:val="-3"/>
          <w:sz w:val="21"/>
          <w:szCs w:val="21"/>
        </w:rPr>
        <w:t xml:space="preserve">”下载业绩打印件， </w:t>
      </w:r>
      <w:r>
        <w:rPr>
          <w:rFonts w:ascii="微软雅黑" w:hAnsi="微软雅黑" w:eastAsia="微软雅黑" w:cs="微软雅黑"/>
          <w:spacing w:val="-4"/>
          <w:sz w:val="21"/>
          <w:szCs w:val="21"/>
        </w:rPr>
        <w:t>打印件应含有“浙江水利透明工程”水印。（上述（</w:t>
      </w:r>
      <w:r>
        <w:rPr>
          <w:rFonts w:ascii="Times New Roman" w:hAnsi="Times New Roman" w:eastAsia="Times New Roman" w:cs="Times New Roman"/>
          <w:spacing w:val="-4"/>
          <w:sz w:val="21"/>
          <w:szCs w:val="21"/>
        </w:rPr>
        <w:t>1</w:t>
      </w:r>
      <w:r>
        <w:rPr>
          <w:rFonts w:ascii="微软雅黑" w:hAnsi="微软雅黑" w:eastAsia="微软雅黑" w:cs="微软雅黑"/>
          <w:spacing w:val="-4"/>
          <w:sz w:val="21"/>
          <w:szCs w:val="21"/>
        </w:rPr>
        <w:t>）、（</w:t>
      </w:r>
      <w:r>
        <w:rPr>
          <w:rFonts w:ascii="Times New Roman" w:hAnsi="Times New Roman" w:eastAsia="Times New Roman" w:cs="Times New Roman"/>
          <w:spacing w:val="-4"/>
          <w:sz w:val="21"/>
          <w:szCs w:val="21"/>
        </w:rPr>
        <w:t>2</w:t>
      </w:r>
      <w:r>
        <w:rPr>
          <w:rFonts w:ascii="微软雅黑" w:hAnsi="微软雅黑" w:eastAsia="微软雅黑" w:cs="微软雅黑"/>
          <w:spacing w:val="-4"/>
          <w:sz w:val="21"/>
          <w:szCs w:val="21"/>
        </w:rPr>
        <w:t>）</w:t>
      </w:r>
      <w:r>
        <w:rPr>
          <w:rFonts w:ascii="微软雅黑" w:hAnsi="微软雅黑" w:eastAsia="微软雅黑" w:cs="微软雅黑"/>
          <w:spacing w:val="-26"/>
          <w:sz w:val="21"/>
          <w:szCs w:val="21"/>
        </w:rPr>
        <w:t xml:space="preserve"> </w:t>
      </w:r>
      <w:r>
        <w:rPr>
          <w:rFonts w:ascii="微软雅黑" w:hAnsi="微软雅黑" w:eastAsia="微软雅黑" w:cs="微软雅黑"/>
          <w:spacing w:val="-4"/>
          <w:sz w:val="21"/>
          <w:szCs w:val="21"/>
        </w:rPr>
        <w:t>项须同时提供）</w:t>
      </w:r>
      <w:r>
        <w:rPr>
          <w:rFonts w:ascii="微软雅黑" w:hAnsi="微软雅黑" w:eastAsia="微软雅黑" w:cs="微软雅黑"/>
          <w:spacing w:val="-34"/>
          <w:sz w:val="21"/>
          <w:szCs w:val="21"/>
        </w:rPr>
        <w:t xml:space="preserve"> </w:t>
      </w:r>
      <w:r>
        <w:rPr>
          <w:rFonts w:ascii="微软雅黑" w:hAnsi="微软雅黑" w:eastAsia="微软雅黑" w:cs="微软雅黑"/>
          <w:spacing w:val="-4"/>
          <w:sz w:val="21"/>
          <w:szCs w:val="21"/>
        </w:rPr>
        <w:t>。日期以完工</w:t>
      </w:r>
      <w:r>
        <w:rPr>
          <w:rFonts w:ascii="微软雅黑" w:hAnsi="微软雅黑" w:eastAsia="微软雅黑" w:cs="微软雅黑"/>
          <w:spacing w:val="-20"/>
          <w:sz w:val="21"/>
          <w:szCs w:val="21"/>
        </w:rPr>
        <w:t xml:space="preserve"> </w:t>
      </w:r>
      <w:r>
        <w:rPr>
          <w:rFonts w:ascii="微软雅黑" w:hAnsi="微软雅黑" w:eastAsia="微软雅黑" w:cs="微软雅黑"/>
          <w:spacing w:val="-4"/>
          <w:sz w:val="21"/>
          <w:szCs w:val="21"/>
        </w:rPr>
        <w:t>（</w:t>
      </w:r>
      <w:r>
        <w:rPr>
          <w:rFonts w:ascii="微软雅黑" w:hAnsi="微软雅黑" w:eastAsia="微软雅黑" w:cs="微软雅黑"/>
          <w:spacing w:val="-5"/>
          <w:sz w:val="21"/>
          <w:szCs w:val="21"/>
        </w:rPr>
        <w:t>竣工）</w:t>
      </w:r>
      <w:r>
        <w:rPr>
          <w:rFonts w:ascii="微软雅黑" w:hAnsi="微软雅黑" w:eastAsia="微软雅黑" w:cs="微软雅黑"/>
          <w:spacing w:val="-21"/>
          <w:sz w:val="21"/>
          <w:szCs w:val="21"/>
        </w:rPr>
        <w:t xml:space="preserve"> </w:t>
      </w:r>
      <w:r>
        <w:rPr>
          <w:rFonts w:ascii="微软雅黑" w:hAnsi="微软雅黑" w:eastAsia="微软雅黑" w:cs="微软雅黑"/>
          <w:spacing w:val="-5"/>
          <w:sz w:val="21"/>
          <w:szCs w:val="21"/>
        </w:rPr>
        <w:t>验收鉴定书或工</w:t>
      </w:r>
      <w:r>
        <w:rPr>
          <w:rFonts w:ascii="微软雅黑" w:hAnsi="微软雅黑" w:eastAsia="微软雅黑" w:cs="微软雅黑"/>
          <w:spacing w:val="-10"/>
          <w:sz w:val="21"/>
          <w:szCs w:val="21"/>
        </w:rPr>
        <w:t>程质量（安全）监督报告中明确的完工</w:t>
      </w:r>
      <w:r>
        <w:rPr>
          <w:rFonts w:ascii="微软雅黑" w:hAnsi="微软雅黑" w:eastAsia="微软雅黑" w:cs="微软雅黑"/>
          <w:spacing w:val="-20"/>
          <w:sz w:val="21"/>
          <w:szCs w:val="21"/>
        </w:rPr>
        <w:t xml:space="preserve"> </w:t>
      </w:r>
      <w:r>
        <w:rPr>
          <w:rFonts w:ascii="微软雅黑" w:hAnsi="微软雅黑" w:eastAsia="微软雅黑" w:cs="微软雅黑"/>
          <w:spacing w:val="-10"/>
          <w:sz w:val="21"/>
          <w:szCs w:val="21"/>
        </w:rPr>
        <w:t>（竣工）</w:t>
      </w:r>
      <w:r>
        <w:rPr>
          <w:rFonts w:ascii="微软雅黑" w:hAnsi="微软雅黑" w:eastAsia="微软雅黑" w:cs="微软雅黑"/>
          <w:spacing w:val="20"/>
          <w:w w:val="101"/>
          <w:sz w:val="21"/>
          <w:szCs w:val="21"/>
        </w:rPr>
        <w:t xml:space="preserve"> </w:t>
      </w:r>
      <w:r>
        <w:rPr>
          <w:rFonts w:ascii="微软雅黑" w:hAnsi="微软雅黑" w:eastAsia="微软雅黑" w:cs="微软雅黑"/>
          <w:spacing w:val="-10"/>
          <w:sz w:val="21"/>
          <w:szCs w:val="21"/>
        </w:rPr>
        <w:t>日期</w:t>
      </w:r>
      <w:r>
        <w:rPr>
          <w:rFonts w:ascii="微软雅黑" w:hAnsi="微软雅黑" w:eastAsia="微软雅黑" w:cs="微软雅黑"/>
          <w:spacing w:val="-11"/>
          <w:sz w:val="21"/>
          <w:szCs w:val="21"/>
        </w:rPr>
        <w:t>为准。</w:t>
      </w:r>
    </w:p>
    <w:p w14:paraId="2A667ACC">
      <w:pPr>
        <w:spacing w:before="1" w:line="272" w:lineRule="auto"/>
        <w:ind w:left="1" w:firstLine="423"/>
        <w:rPr>
          <w:rFonts w:ascii="微软雅黑" w:hAnsi="微软雅黑" w:eastAsia="微软雅黑" w:cs="微软雅黑"/>
          <w:sz w:val="21"/>
          <w:szCs w:val="21"/>
        </w:rPr>
      </w:pPr>
      <w:r>
        <w:rPr>
          <w:rFonts w:ascii="微软雅黑" w:hAnsi="微软雅黑" w:eastAsia="微软雅黑" w:cs="微软雅黑"/>
          <w:spacing w:val="-3"/>
          <w:sz w:val="21"/>
          <w:szCs w:val="21"/>
        </w:rPr>
        <w:t>业绩要求的项目负责人或技术负责人的身份以</w:t>
      </w:r>
      <w:r>
        <w:rPr>
          <w:rFonts w:ascii="宋体" w:hAnsi="宋体" w:eastAsia="宋体" w:cs="宋体"/>
          <w:b/>
          <w:bCs/>
          <w:spacing w:val="-3"/>
          <w:sz w:val="21"/>
          <w:szCs w:val="21"/>
        </w:rPr>
        <w:t>“</w:t>
      </w:r>
      <w:r>
        <w:rPr>
          <w:rFonts w:ascii="微软雅黑" w:hAnsi="微软雅黑" w:eastAsia="微软雅黑" w:cs="微软雅黑"/>
          <w:spacing w:val="-4"/>
          <w:sz w:val="21"/>
          <w:szCs w:val="21"/>
        </w:rPr>
        <w:t>浙江省水利工程建设管理系统（透明工程）”</w:t>
      </w:r>
      <w:r>
        <w:rPr>
          <w:rFonts w:ascii="微软雅黑" w:hAnsi="微软雅黑" w:eastAsia="微软雅黑" w:cs="微软雅黑"/>
          <w:spacing w:val="-6"/>
          <w:sz w:val="21"/>
          <w:szCs w:val="21"/>
        </w:rPr>
        <w:t>业绩打印件（指完工或竣工人员）为准。业绩打印件应与项目法人或行政主管部门出具的完工（竣工）验收鉴定书〔或质量监督机构出具对应的完工（竣工）质量（安</w:t>
      </w:r>
      <w:r>
        <w:rPr>
          <w:rFonts w:ascii="微软雅黑" w:hAnsi="微软雅黑" w:eastAsia="微软雅黑" w:cs="微软雅黑"/>
          <w:spacing w:val="-7"/>
          <w:sz w:val="21"/>
          <w:szCs w:val="21"/>
        </w:rPr>
        <w:t>全）监督报告〕的内容一致；</w:t>
      </w:r>
      <w:r>
        <w:rPr>
          <w:rFonts w:ascii="微软雅黑" w:hAnsi="微软雅黑" w:eastAsia="微软雅黑" w:cs="微软雅黑"/>
          <w:spacing w:val="-6"/>
          <w:sz w:val="21"/>
          <w:szCs w:val="21"/>
        </w:rPr>
        <w:t>不一致的， 该业绩不予认可。</w:t>
      </w:r>
    </w:p>
    <w:p w14:paraId="62C61F0E">
      <w:pPr>
        <w:spacing w:before="3" w:line="276" w:lineRule="auto"/>
        <w:ind w:right="103" w:firstLine="424"/>
        <w:jc w:val="both"/>
        <w:rPr>
          <w:rFonts w:ascii="微软雅黑" w:hAnsi="微软雅黑" w:eastAsia="微软雅黑" w:cs="微软雅黑"/>
          <w:sz w:val="21"/>
          <w:szCs w:val="21"/>
        </w:rPr>
      </w:pPr>
      <w:r>
        <w:rPr>
          <w:rFonts w:ascii="微软雅黑" w:hAnsi="微软雅黑" w:eastAsia="微软雅黑" w:cs="微软雅黑"/>
          <w:spacing w:val="-2"/>
          <w:sz w:val="21"/>
          <w:szCs w:val="21"/>
        </w:rPr>
        <w:t>业绩要求的副项目负责人的身份以</w:t>
      </w:r>
      <w:r>
        <w:rPr>
          <w:rFonts w:ascii="宋体" w:hAnsi="宋体" w:eastAsia="宋体" w:cs="宋体"/>
          <w:b/>
          <w:bCs/>
          <w:spacing w:val="-2"/>
          <w:sz w:val="21"/>
          <w:szCs w:val="21"/>
        </w:rPr>
        <w:t>“</w:t>
      </w:r>
      <w:r>
        <w:rPr>
          <w:rFonts w:ascii="微软雅黑" w:hAnsi="微软雅黑" w:eastAsia="微软雅黑" w:cs="微软雅黑"/>
          <w:spacing w:val="-2"/>
          <w:sz w:val="21"/>
          <w:szCs w:val="21"/>
        </w:rPr>
        <w:t>浙江省水利工程建设管理系统（透明工程）</w:t>
      </w:r>
      <w:r>
        <w:rPr>
          <w:rFonts w:ascii="微软雅黑" w:hAnsi="微软雅黑" w:eastAsia="微软雅黑" w:cs="微软雅黑"/>
          <w:spacing w:val="-20"/>
          <w:sz w:val="21"/>
          <w:szCs w:val="21"/>
        </w:rPr>
        <w:t xml:space="preserve"> </w:t>
      </w:r>
      <w:r>
        <w:rPr>
          <w:rFonts w:ascii="微软雅黑" w:hAnsi="微软雅黑" w:eastAsia="微软雅黑" w:cs="微软雅黑"/>
          <w:spacing w:val="-2"/>
          <w:sz w:val="21"/>
          <w:szCs w:val="21"/>
        </w:rPr>
        <w:t>”业绩打印</w:t>
      </w:r>
      <w:r>
        <w:rPr>
          <w:rFonts w:ascii="微软雅黑" w:hAnsi="微软雅黑" w:eastAsia="微软雅黑" w:cs="微软雅黑"/>
          <w:spacing w:val="-6"/>
          <w:sz w:val="21"/>
          <w:szCs w:val="21"/>
        </w:rPr>
        <w:t>件为准。业绩打印件与合同、以及由项目法人或行政主管部门出具的完工（竣工）验收鉴定书〔或</w:t>
      </w:r>
      <w:r>
        <w:rPr>
          <w:rFonts w:ascii="微软雅黑" w:hAnsi="微软雅黑" w:eastAsia="微软雅黑" w:cs="微软雅黑"/>
          <w:spacing w:val="-5"/>
          <w:sz w:val="21"/>
          <w:szCs w:val="21"/>
        </w:rPr>
        <w:t>质量监督机构出具对应的完工（竣工）</w:t>
      </w:r>
      <w:r>
        <w:rPr>
          <w:rFonts w:ascii="微软雅黑" w:hAnsi="微软雅黑" w:eastAsia="微软雅黑" w:cs="微软雅黑"/>
          <w:spacing w:val="-20"/>
          <w:sz w:val="21"/>
          <w:szCs w:val="21"/>
        </w:rPr>
        <w:t xml:space="preserve"> </w:t>
      </w:r>
      <w:r>
        <w:rPr>
          <w:rFonts w:ascii="微软雅黑" w:hAnsi="微软雅黑" w:eastAsia="微软雅黑" w:cs="微软雅黑"/>
          <w:spacing w:val="-5"/>
          <w:sz w:val="21"/>
          <w:szCs w:val="21"/>
        </w:rPr>
        <w:t>质量（安全）</w:t>
      </w:r>
      <w:r>
        <w:rPr>
          <w:rFonts w:ascii="微软雅黑" w:hAnsi="微软雅黑" w:eastAsia="微软雅黑" w:cs="微软雅黑"/>
          <w:spacing w:val="-26"/>
          <w:sz w:val="21"/>
          <w:szCs w:val="21"/>
        </w:rPr>
        <w:t xml:space="preserve"> </w:t>
      </w:r>
      <w:r>
        <w:rPr>
          <w:rFonts w:ascii="微软雅黑" w:hAnsi="微软雅黑" w:eastAsia="微软雅黑" w:cs="微软雅黑"/>
          <w:spacing w:val="-5"/>
          <w:sz w:val="21"/>
          <w:szCs w:val="21"/>
        </w:rPr>
        <w:t>监督报告〕均一致的， 该业绩予以认可；</w:t>
      </w:r>
      <w:r>
        <w:rPr>
          <w:rFonts w:ascii="微软雅黑" w:hAnsi="微软雅黑" w:eastAsia="微软雅黑" w:cs="微软雅黑"/>
          <w:spacing w:val="-17"/>
          <w:sz w:val="21"/>
          <w:szCs w:val="21"/>
        </w:rPr>
        <w:t xml:space="preserve"> </w:t>
      </w:r>
      <w:r>
        <w:rPr>
          <w:rFonts w:ascii="微软雅黑" w:hAnsi="微软雅黑" w:eastAsia="微软雅黑" w:cs="微软雅黑"/>
          <w:spacing w:val="-5"/>
          <w:sz w:val="21"/>
          <w:szCs w:val="21"/>
        </w:rPr>
        <w:t>其</w:t>
      </w:r>
      <w:r>
        <w:rPr>
          <w:rFonts w:ascii="微软雅黑" w:hAnsi="微软雅黑" w:eastAsia="微软雅黑" w:cs="微软雅黑"/>
          <w:sz w:val="21"/>
          <w:szCs w:val="21"/>
        </w:rPr>
        <w:t>余情况，该业绩不予认可。</w:t>
      </w:r>
    </w:p>
    <w:p w14:paraId="562119CF">
      <w:pPr>
        <w:spacing w:before="9" w:line="268" w:lineRule="auto"/>
        <w:ind w:left="6" w:right="102" w:firstLine="419"/>
        <w:jc w:val="both"/>
        <w:rPr>
          <w:rFonts w:ascii="微软雅黑" w:hAnsi="微软雅黑" w:eastAsia="微软雅黑" w:cs="微软雅黑"/>
          <w:spacing w:val="-1"/>
          <w:sz w:val="21"/>
          <w:szCs w:val="21"/>
        </w:rPr>
      </w:pPr>
      <w:r>
        <w:rPr>
          <w:rFonts w:ascii="微软雅黑" w:hAnsi="微软雅黑" w:eastAsia="微软雅黑" w:cs="微软雅黑"/>
          <w:sz w:val="21"/>
          <w:szCs w:val="21"/>
        </w:rPr>
        <w:t>副项目负责人业绩，以</w:t>
      </w:r>
      <w:r>
        <w:rPr>
          <w:rFonts w:ascii="Times New Roman" w:hAnsi="Times New Roman" w:eastAsia="Times New Roman" w:cs="Times New Roman"/>
          <w:sz w:val="21"/>
          <w:szCs w:val="21"/>
        </w:rPr>
        <w:t>2025</w:t>
      </w:r>
      <w:r>
        <w:rPr>
          <w:rFonts w:ascii="微软雅黑" w:hAnsi="微软雅黑" w:eastAsia="微软雅黑" w:cs="微软雅黑"/>
          <w:sz w:val="21"/>
          <w:szCs w:val="21"/>
        </w:rPr>
        <w:t>年</w:t>
      </w:r>
      <w:r>
        <w:rPr>
          <w:rFonts w:ascii="Times New Roman" w:hAnsi="Times New Roman" w:eastAsia="Times New Roman" w:cs="Times New Roman"/>
          <w:sz w:val="21"/>
          <w:szCs w:val="21"/>
        </w:rPr>
        <w:t>10</w:t>
      </w:r>
      <w:r>
        <w:rPr>
          <w:rFonts w:ascii="微软雅黑" w:hAnsi="微软雅黑" w:eastAsia="微软雅黑" w:cs="微软雅黑"/>
          <w:sz w:val="21"/>
          <w:szCs w:val="21"/>
        </w:rPr>
        <w:t>月</w:t>
      </w:r>
      <w:r>
        <w:rPr>
          <w:rFonts w:ascii="Times New Roman" w:hAnsi="Times New Roman" w:eastAsia="Times New Roman" w:cs="Times New Roman"/>
          <w:sz w:val="21"/>
          <w:szCs w:val="21"/>
        </w:rPr>
        <w:t xml:space="preserve">1 </w:t>
      </w:r>
      <w:r>
        <w:rPr>
          <w:rFonts w:ascii="微软雅黑" w:hAnsi="微软雅黑" w:eastAsia="微软雅黑" w:cs="微软雅黑"/>
          <w:sz w:val="21"/>
          <w:szCs w:val="21"/>
        </w:rPr>
        <w:t>日后签订合同，在合同以及由项目法人或行政主管部门</w:t>
      </w:r>
      <w:r>
        <w:rPr>
          <w:rFonts w:ascii="微软雅黑" w:hAnsi="微软雅黑" w:eastAsia="微软雅黑" w:cs="微软雅黑"/>
          <w:spacing w:val="-3"/>
          <w:sz w:val="21"/>
          <w:szCs w:val="21"/>
        </w:rPr>
        <w:t>出具的完工（竣工）</w:t>
      </w:r>
      <w:r>
        <w:rPr>
          <w:rFonts w:ascii="微软雅黑" w:hAnsi="微软雅黑" w:eastAsia="微软雅黑" w:cs="微软雅黑"/>
          <w:spacing w:val="-24"/>
          <w:sz w:val="21"/>
          <w:szCs w:val="21"/>
        </w:rPr>
        <w:t xml:space="preserve"> </w:t>
      </w:r>
      <w:r>
        <w:rPr>
          <w:rFonts w:ascii="微软雅黑" w:hAnsi="微软雅黑" w:eastAsia="微软雅黑" w:cs="微软雅黑"/>
          <w:spacing w:val="-3"/>
          <w:sz w:val="21"/>
          <w:szCs w:val="21"/>
        </w:rPr>
        <w:t>验收鉴定书〔或质量监督机构出具对应的</w:t>
      </w:r>
      <w:r>
        <w:rPr>
          <w:rFonts w:ascii="微软雅黑" w:hAnsi="微软雅黑" w:eastAsia="微软雅黑" w:cs="微软雅黑"/>
          <w:spacing w:val="-4"/>
          <w:sz w:val="21"/>
          <w:szCs w:val="21"/>
        </w:rPr>
        <w:t>完工（竣工）</w:t>
      </w:r>
      <w:r>
        <w:rPr>
          <w:rFonts w:ascii="微软雅黑" w:hAnsi="微软雅黑" w:eastAsia="微软雅黑" w:cs="微软雅黑"/>
          <w:spacing w:val="-30"/>
          <w:sz w:val="21"/>
          <w:szCs w:val="21"/>
        </w:rPr>
        <w:t xml:space="preserve"> </w:t>
      </w:r>
      <w:r>
        <w:rPr>
          <w:rFonts w:ascii="微软雅黑" w:hAnsi="微软雅黑" w:eastAsia="微软雅黑" w:cs="微软雅黑"/>
          <w:spacing w:val="-4"/>
          <w:sz w:val="21"/>
          <w:szCs w:val="21"/>
        </w:rPr>
        <w:t>质量（安全）</w:t>
      </w:r>
      <w:r>
        <w:rPr>
          <w:rFonts w:ascii="微软雅黑" w:hAnsi="微软雅黑" w:eastAsia="微软雅黑" w:cs="微软雅黑"/>
          <w:spacing w:val="-27"/>
          <w:sz w:val="21"/>
          <w:szCs w:val="21"/>
        </w:rPr>
        <w:t xml:space="preserve"> </w:t>
      </w:r>
      <w:r>
        <w:rPr>
          <w:rFonts w:ascii="微软雅黑" w:hAnsi="微软雅黑" w:eastAsia="微软雅黑" w:cs="微软雅黑"/>
          <w:spacing w:val="-4"/>
          <w:sz w:val="21"/>
          <w:szCs w:val="21"/>
        </w:rPr>
        <w:t>监督报</w:t>
      </w:r>
      <w:r>
        <w:rPr>
          <w:rFonts w:ascii="微软雅黑" w:hAnsi="微软雅黑" w:eastAsia="微软雅黑" w:cs="微软雅黑"/>
          <w:spacing w:val="-1"/>
          <w:sz w:val="21"/>
          <w:szCs w:val="21"/>
        </w:rPr>
        <w:t>告〕能反映副项目负责人岗位的业绩予以认可。</w:t>
      </w:r>
    </w:p>
    <w:p w14:paraId="3C38C93B">
      <w:pPr>
        <w:spacing w:before="2" w:line="269" w:lineRule="auto"/>
        <w:ind w:left="1" w:right="102" w:firstLine="421"/>
        <w:jc w:val="both"/>
        <w:rPr>
          <w:rFonts w:ascii="微软雅黑" w:hAnsi="微软雅黑" w:eastAsia="微软雅黑" w:cs="微软雅黑"/>
          <w:sz w:val="21"/>
          <w:szCs w:val="21"/>
        </w:rPr>
      </w:pPr>
      <w:r>
        <w:rPr>
          <w:rFonts w:ascii="微软雅黑" w:hAnsi="微软雅黑" w:eastAsia="微软雅黑" w:cs="微软雅黑"/>
          <w:spacing w:val="-1"/>
          <w:sz w:val="21"/>
          <w:szCs w:val="21"/>
        </w:rPr>
        <w:t>除业绩要求的项目负责人或技术负责人或副项</w:t>
      </w:r>
      <w:r>
        <w:rPr>
          <w:rFonts w:ascii="微软雅黑" w:hAnsi="微软雅黑" w:eastAsia="微软雅黑" w:cs="微软雅黑"/>
          <w:spacing w:val="-2"/>
          <w:sz w:val="21"/>
          <w:szCs w:val="21"/>
        </w:rPr>
        <w:t>目负责人的身份外，</w:t>
      </w:r>
      <w:r>
        <w:rPr>
          <w:rFonts w:ascii="微软雅黑" w:hAnsi="微软雅黑" w:eastAsia="微软雅黑" w:cs="微软雅黑"/>
          <w:spacing w:val="-36"/>
          <w:sz w:val="21"/>
          <w:szCs w:val="21"/>
        </w:rPr>
        <w:t xml:space="preserve"> </w:t>
      </w:r>
      <w:r>
        <w:rPr>
          <w:rFonts w:ascii="宋体" w:hAnsi="宋体" w:eastAsia="宋体" w:cs="宋体"/>
          <w:b/>
          <w:bCs/>
          <w:spacing w:val="-2"/>
          <w:sz w:val="21"/>
          <w:szCs w:val="21"/>
        </w:rPr>
        <w:t>“</w:t>
      </w:r>
      <w:r>
        <w:rPr>
          <w:rFonts w:ascii="微软雅黑" w:hAnsi="微软雅黑" w:eastAsia="微软雅黑" w:cs="微软雅黑"/>
          <w:spacing w:val="-2"/>
          <w:sz w:val="21"/>
          <w:szCs w:val="21"/>
        </w:rPr>
        <w:t>浙江省水利工程建设管</w:t>
      </w:r>
      <w:r>
        <w:rPr>
          <w:rFonts w:ascii="微软雅黑" w:hAnsi="微软雅黑" w:eastAsia="微软雅黑" w:cs="微软雅黑"/>
          <w:spacing w:val="-4"/>
          <w:sz w:val="21"/>
          <w:szCs w:val="21"/>
        </w:rPr>
        <w:t>理系统（透明工程） ”业绩打印件与项目法人出具的完工</w:t>
      </w:r>
      <w:r>
        <w:rPr>
          <w:rFonts w:ascii="微软雅黑" w:hAnsi="微软雅黑" w:eastAsia="微软雅黑" w:cs="微软雅黑"/>
          <w:spacing w:val="-25"/>
          <w:sz w:val="21"/>
          <w:szCs w:val="21"/>
        </w:rPr>
        <w:t xml:space="preserve"> </w:t>
      </w:r>
      <w:r>
        <w:rPr>
          <w:rFonts w:ascii="微软雅黑" w:hAnsi="微软雅黑" w:eastAsia="微软雅黑" w:cs="微软雅黑"/>
          <w:spacing w:val="-4"/>
          <w:sz w:val="21"/>
          <w:szCs w:val="21"/>
        </w:rPr>
        <w:t>（竣工）</w:t>
      </w:r>
      <w:r>
        <w:rPr>
          <w:rFonts w:ascii="微软雅黑" w:hAnsi="微软雅黑" w:eastAsia="微软雅黑" w:cs="微软雅黑"/>
          <w:spacing w:val="-22"/>
          <w:sz w:val="21"/>
          <w:szCs w:val="21"/>
        </w:rPr>
        <w:t xml:space="preserve"> </w:t>
      </w:r>
      <w:r>
        <w:rPr>
          <w:rFonts w:ascii="微软雅黑" w:hAnsi="微软雅黑" w:eastAsia="微软雅黑" w:cs="微软雅黑"/>
          <w:spacing w:val="-4"/>
          <w:sz w:val="21"/>
          <w:szCs w:val="21"/>
        </w:rPr>
        <w:t>验收鉴定书〔或质量监督机构</w:t>
      </w:r>
      <w:r>
        <w:rPr>
          <w:rFonts w:ascii="微软雅黑" w:hAnsi="微软雅黑" w:eastAsia="微软雅黑" w:cs="微软雅黑"/>
          <w:spacing w:val="-5"/>
          <w:sz w:val="21"/>
          <w:szCs w:val="21"/>
        </w:rPr>
        <w:t>出具对应的完工</w:t>
      </w:r>
      <w:r>
        <w:rPr>
          <w:rFonts w:ascii="微软雅黑" w:hAnsi="微软雅黑" w:eastAsia="微软雅黑" w:cs="微软雅黑"/>
          <w:spacing w:val="-8"/>
          <w:sz w:val="21"/>
          <w:szCs w:val="21"/>
        </w:rPr>
        <w:t xml:space="preserve"> </w:t>
      </w:r>
      <w:r>
        <w:rPr>
          <w:rFonts w:ascii="微软雅黑" w:hAnsi="微软雅黑" w:eastAsia="微软雅黑" w:cs="微软雅黑"/>
          <w:spacing w:val="-5"/>
          <w:sz w:val="21"/>
          <w:szCs w:val="21"/>
        </w:rPr>
        <w:t>（竣工）</w:t>
      </w:r>
      <w:r>
        <w:rPr>
          <w:rFonts w:ascii="微软雅黑" w:hAnsi="微软雅黑" w:eastAsia="微软雅黑" w:cs="微软雅黑"/>
          <w:spacing w:val="-30"/>
          <w:sz w:val="21"/>
          <w:szCs w:val="21"/>
        </w:rPr>
        <w:t xml:space="preserve"> </w:t>
      </w:r>
      <w:r>
        <w:rPr>
          <w:rFonts w:ascii="微软雅黑" w:hAnsi="微软雅黑" w:eastAsia="微软雅黑" w:cs="微软雅黑"/>
          <w:spacing w:val="-5"/>
          <w:sz w:val="21"/>
          <w:szCs w:val="21"/>
        </w:rPr>
        <w:t>质量（安全）</w:t>
      </w:r>
      <w:r>
        <w:rPr>
          <w:rFonts w:ascii="微软雅黑" w:hAnsi="微软雅黑" w:eastAsia="微软雅黑" w:cs="微软雅黑"/>
          <w:spacing w:val="-28"/>
          <w:sz w:val="21"/>
          <w:szCs w:val="21"/>
        </w:rPr>
        <w:t xml:space="preserve"> </w:t>
      </w:r>
      <w:r>
        <w:rPr>
          <w:rFonts w:ascii="微软雅黑" w:hAnsi="微软雅黑" w:eastAsia="微软雅黑" w:cs="微软雅黑"/>
          <w:spacing w:val="-5"/>
          <w:sz w:val="21"/>
          <w:szCs w:val="21"/>
        </w:rPr>
        <w:t>监督报告〕中涉及资格审查的相关信息不一致的， 该业绩</w:t>
      </w:r>
      <w:r>
        <w:rPr>
          <w:rFonts w:ascii="微软雅黑" w:hAnsi="微软雅黑" w:eastAsia="微软雅黑" w:cs="微软雅黑"/>
          <w:spacing w:val="-4"/>
          <w:sz w:val="21"/>
          <w:szCs w:val="21"/>
        </w:rPr>
        <w:t>不予认可。</w:t>
      </w:r>
    </w:p>
    <w:p w14:paraId="0CB9C80E">
      <w:pPr>
        <w:spacing w:before="42" w:line="265" w:lineRule="auto"/>
        <w:ind w:left="1" w:right="102" w:firstLine="421"/>
        <w:jc w:val="both"/>
        <w:rPr>
          <w:rFonts w:ascii="微软雅黑" w:hAnsi="微软雅黑" w:eastAsia="微软雅黑" w:cs="微软雅黑"/>
          <w:sz w:val="21"/>
          <w:szCs w:val="21"/>
        </w:rPr>
      </w:pPr>
      <w:r>
        <w:rPr>
          <w:rFonts w:ascii="微软雅黑" w:hAnsi="微软雅黑" w:eastAsia="微软雅黑" w:cs="微软雅黑"/>
          <w:spacing w:val="-1"/>
          <w:sz w:val="21"/>
          <w:szCs w:val="21"/>
        </w:rPr>
        <w:t>水利水电工程相关专业职称包括水利水电工程建筑、水利工程施工、农田水利工程、水电站动力设备、电力系统及自动化、水力学及河流动力学、水文与水资源、工程地质及水文地质、水利机械、水利工程管理、水利工程造价、水利工程规划与设计、水利工程建设监理等水利水电类</w:t>
      </w:r>
      <w:r>
        <w:rPr>
          <w:rFonts w:ascii="微软雅黑" w:hAnsi="微软雅黑" w:eastAsia="微软雅黑" w:cs="微软雅黑"/>
          <w:spacing w:val="-3"/>
          <w:sz w:val="21"/>
          <w:szCs w:val="21"/>
        </w:rPr>
        <w:t>相关专业职称。</w:t>
      </w:r>
    </w:p>
    <w:p w14:paraId="2F8A488C">
      <w:pPr>
        <w:spacing w:line="342" w:lineRule="auto"/>
        <w:ind w:left="56" w:right="90" w:firstLine="460"/>
        <w:rPr>
          <w:rFonts w:ascii="宋体" w:hAnsi="宋体" w:eastAsia="宋体" w:cs="宋体"/>
          <w:sz w:val="22"/>
          <w:szCs w:val="22"/>
        </w:rPr>
      </w:pPr>
      <w:r>
        <w:rPr>
          <w:rFonts w:ascii="宋体" w:hAnsi="宋体" w:eastAsia="宋体" w:cs="宋体"/>
          <w:i/>
          <w:iCs/>
          <w:spacing w:val="-14"/>
          <w:sz w:val="22"/>
          <w:szCs w:val="22"/>
        </w:rPr>
        <w:t>①</w:t>
      </w:r>
      <w:r>
        <w:rPr>
          <w:rFonts w:ascii="宋体" w:hAnsi="宋体" w:eastAsia="宋体" w:cs="宋体"/>
          <w:spacing w:val="-14"/>
          <w:sz w:val="22"/>
          <w:szCs w:val="22"/>
        </w:rPr>
        <w:t xml:space="preserve">  </w:t>
      </w:r>
      <w:r>
        <w:rPr>
          <w:rFonts w:ascii="宋体" w:hAnsi="宋体" w:eastAsia="宋体" w:cs="宋体"/>
          <w:i/>
          <w:iCs/>
          <w:spacing w:val="-14"/>
          <w:sz w:val="22"/>
          <w:szCs w:val="22"/>
        </w:rPr>
        <w:t>联合体：根据本次招标的实际情况进行约定，如</w:t>
      </w:r>
      <w:r>
        <w:rPr>
          <w:rFonts w:ascii="宋体" w:hAnsi="宋体" w:eastAsia="宋体" w:cs="宋体"/>
          <w:i/>
          <w:iCs/>
          <w:spacing w:val="-15"/>
          <w:sz w:val="22"/>
          <w:szCs w:val="22"/>
        </w:rPr>
        <w:t>工程需要投标人同时具备</w:t>
      </w:r>
      <w:r>
        <w:rPr>
          <w:rFonts w:ascii="宋体" w:hAnsi="宋体" w:eastAsia="宋体" w:cs="宋体"/>
          <w:spacing w:val="-30"/>
          <w:sz w:val="22"/>
          <w:szCs w:val="22"/>
        </w:rPr>
        <w:t xml:space="preserve"> </w:t>
      </w:r>
      <w:r>
        <w:rPr>
          <w:rFonts w:ascii="Times New Roman" w:hAnsi="Times New Roman" w:eastAsia="Times New Roman" w:cs="Times New Roman"/>
          <w:i/>
          <w:iCs/>
          <w:spacing w:val="-15"/>
          <w:sz w:val="21"/>
          <w:szCs w:val="21"/>
        </w:rPr>
        <w:t xml:space="preserve">2   </w:t>
      </w:r>
      <w:r>
        <w:rPr>
          <w:rFonts w:ascii="宋体" w:hAnsi="宋体" w:eastAsia="宋体" w:cs="宋体"/>
          <w:i/>
          <w:iCs/>
          <w:spacing w:val="-15"/>
          <w:sz w:val="22"/>
          <w:szCs w:val="22"/>
        </w:rPr>
        <w:t>项及以上资</w:t>
      </w:r>
      <w:r>
        <w:rPr>
          <w:rFonts w:ascii="宋体" w:hAnsi="宋体" w:eastAsia="宋体" w:cs="宋体"/>
          <w:i/>
          <w:iCs/>
          <w:spacing w:val="-12"/>
          <w:sz w:val="22"/>
          <w:szCs w:val="22"/>
        </w:rPr>
        <w:t>质要求时，不得排斥联合体投标人。鼓励企业采用联合体方式承建项目。联合体投标的，由招标</w:t>
      </w:r>
      <w:r>
        <w:rPr>
          <w:rFonts w:ascii="宋体" w:hAnsi="宋体" w:eastAsia="宋体" w:cs="宋体"/>
          <w:i/>
          <w:iCs/>
          <w:spacing w:val="-14"/>
          <w:sz w:val="22"/>
          <w:szCs w:val="22"/>
        </w:rPr>
        <w:t>人明确业绩提供方。</w:t>
      </w:r>
    </w:p>
    <w:p w14:paraId="12D03E6C">
      <w:pPr>
        <w:spacing w:before="4" w:line="277" w:lineRule="auto"/>
        <w:ind w:left="128" w:right="209" w:firstLine="388"/>
        <w:rPr>
          <w:rFonts w:ascii="宋体" w:hAnsi="宋体" w:eastAsia="宋体" w:cs="宋体"/>
          <w:sz w:val="22"/>
          <w:szCs w:val="22"/>
        </w:rPr>
      </w:pPr>
      <w:r>
        <w:rPr>
          <w:rFonts w:ascii="宋体" w:hAnsi="宋体" w:eastAsia="宋体" w:cs="宋体"/>
          <w:i/>
          <w:iCs/>
          <w:spacing w:val="-15"/>
          <w:sz w:val="22"/>
          <w:szCs w:val="22"/>
        </w:rPr>
        <w:t>②</w:t>
      </w:r>
      <w:r>
        <w:rPr>
          <w:rFonts w:ascii="宋体" w:hAnsi="宋体" w:eastAsia="宋体" w:cs="宋体"/>
          <w:spacing w:val="-15"/>
          <w:sz w:val="22"/>
          <w:szCs w:val="22"/>
        </w:rPr>
        <w:t xml:space="preserve">  </w:t>
      </w:r>
      <w:r>
        <w:rPr>
          <w:rFonts w:ascii="宋体" w:hAnsi="宋体" w:eastAsia="宋体" w:cs="宋体"/>
          <w:i/>
          <w:iCs/>
          <w:spacing w:val="-15"/>
          <w:sz w:val="22"/>
          <w:szCs w:val="22"/>
        </w:rPr>
        <w:t>招标人可根据项目实际情况自行确定投标人及其拟</w:t>
      </w:r>
      <w:r>
        <w:rPr>
          <w:rFonts w:ascii="宋体" w:hAnsi="宋体" w:eastAsia="宋体" w:cs="宋体"/>
          <w:i/>
          <w:iCs/>
          <w:spacing w:val="-16"/>
          <w:sz w:val="22"/>
          <w:szCs w:val="22"/>
        </w:rPr>
        <w:t>派项目负责人的施工业绩要求，但设</w:t>
      </w:r>
      <w:r>
        <w:rPr>
          <w:rFonts w:ascii="宋体" w:hAnsi="宋体" w:eastAsia="宋体" w:cs="宋体"/>
          <w:i/>
          <w:iCs/>
          <w:spacing w:val="-13"/>
          <w:sz w:val="22"/>
          <w:szCs w:val="22"/>
        </w:rPr>
        <w:t>置的要求应与所招标标段规模、特点等适应，不得设置过高的要求。</w:t>
      </w:r>
    </w:p>
    <w:p w14:paraId="580383A8">
      <w:pPr>
        <w:spacing w:before="155" w:line="285" w:lineRule="auto"/>
        <w:ind w:left="81" w:right="102" w:firstLine="435"/>
        <w:rPr>
          <w:rFonts w:ascii="宋体" w:hAnsi="宋体" w:eastAsia="宋体" w:cs="宋体"/>
          <w:sz w:val="22"/>
          <w:szCs w:val="22"/>
        </w:rPr>
      </w:pPr>
      <w:r>
        <w:rPr>
          <w:rFonts w:ascii="宋体" w:hAnsi="宋体" w:eastAsia="宋体" w:cs="宋体"/>
          <w:i/>
          <w:iCs/>
          <w:spacing w:val="-10"/>
          <w:sz w:val="22"/>
          <w:szCs w:val="22"/>
        </w:rPr>
        <w:t>③</w:t>
      </w:r>
      <w:r>
        <w:rPr>
          <w:rFonts w:ascii="宋体" w:hAnsi="宋体" w:eastAsia="宋体" w:cs="宋体"/>
          <w:spacing w:val="-10"/>
          <w:sz w:val="22"/>
          <w:szCs w:val="22"/>
        </w:rPr>
        <w:t xml:space="preserve"> </w:t>
      </w:r>
      <w:r>
        <w:rPr>
          <w:rFonts w:ascii="宋体" w:hAnsi="宋体" w:eastAsia="宋体" w:cs="宋体"/>
          <w:i/>
          <w:iCs/>
          <w:spacing w:val="-10"/>
          <w:sz w:val="22"/>
          <w:szCs w:val="22"/>
        </w:rPr>
        <w:t>标段概算投资在</w:t>
      </w:r>
      <w:r>
        <w:rPr>
          <w:rFonts w:ascii="Times New Roman" w:hAnsi="Times New Roman" w:eastAsia="Times New Roman" w:cs="Times New Roman"/>
          <w:i/>
          <w:iCs/>
          <w:spacing w:val="-10"/>
          <w:sz w:val="21"/>
          <w:szCs w:val="21"/>
        </w:rPr>
        <w:t xml:space="preserve">1  </w:t>
      </w:r>
      <w:r>
        <w:rPr>
          <w:rFonts w:ascii="宋体" w:hAnsi="宋体" w:eastAsia="宋体" w:cs="宋体"/>
          <w:i/>
          <w:iCs/>
          <w:spacing w:val="-10"/>
          <w:sz w:val="22"/>
          <w:szCs w:val="22"/>
        </w:rPr>
        <w:t>亿元及以上的水利水电工程和标段概算投资在</w:t>
      </w:r>
      <w:r>
        <w:rPr>
          <w:rFonts w:ascii="Times New Roman" w:hAnsi="Times New Roman" w:eastAsia="Times New Roman" w:cs="Times New Roman"/>
          <w:i/>
          <w:iCs/>
          <w:spacing w:val="-10"/>
          <w:sz w:val="21"/>
          <w:szCs w:val="21"/>
        </w:rPr>
        <w:t>0.5~1</w:t>
      </w:r>
      <w:r>
        <w:rPr>
          <w:rFonts w:ascii="宋体" w:hAnsi="宋体" w:eastAsia="宋体" w:cs="宋体"/>
          <w:i/>
          <w:iCs/>
          <w:spacing w:val="-10"/>
          <w:sz w:val="22"/>
          <w:szCs w:val="22"/>
        </w:rPr>
        <w:t>亿元的大中型水利</w:t>
      </w:r>
      <w:r>
        <w:rPr>
          <w:rFonts w:ascii="宋体" w:hAnsi="宋体" w:eastAsia="宋体" w:cs="宋体"/>
          <w:i/>
          <w:iCs/>
          <w:spacing w:val="-14"/>
          <w:sz w:val="22"/>
          <w:szCs w:val="22"/>
        </w:rPr>
        <w:t>水电枢纽工程以及标段概算投资在</w:t>
      </w:r>
      <w:r>
        <w:rPr>
          <w:rFonts w:ascii="Times New Roman" w:hAnsi="Times New Roman" w:eastAsia="Times New Roman" w:cs="Times New Roman"/>
          <w:i/>
          <w:iCs/>
          <w:spacing w:val="-14"/>
          <w:sz w:val="21"/>
          <w:szCs w:val="21"/>
        </w:rPr>
        <w:t xml:space="preserve">0.5~1  </w:t>
      </w:r>
      <w:r>
        <w:rPr>
          <w:rFonts w:ascii="宋体" w:hAnsi="宋体" w:eastAsia="宋体" w:cs="宋体"/>
          <w:i/>
          <w:iCs/>
          <w:spacing w:val="-14"/>
          <w:sz w:val="22"/>
          <w:szCs w:val="22"/>
        </w:rPr>
        <w:t>亿元且施工难度较大的其他水利工程，投标人的项目负责</w:t>
      </w:r>
      <w:r>
        <w:rPr>
          <w:rFonts w:ascii="宋体" w:hAnsi="宋体" w:eastAsia="宋体" w:cs="宋体"/>
          <w:i/>
          <w:iCs/>
          <w:spacing w:val="-18"/>
          <w:sz w:val="22"/>
          <w:szCs w:val="22"/>
        </w:rPr>
        <w:t>人必须由水利水电工程专业的注册建造师担任，技术负责人必须由水利水电工程专业的注册建造</w:t>
      </w:r>
      <w:r>
        <w:rPr>
          <w:rFonts w:ascii="宋体" w:hAnsi="宋体" w:eastAsia="宋体" w:cs="宋体"/>
          <w:i/>
          <w:iCs/>
          <w:spacing w:val="-13"/>
          <w:sz w:val="22"/>
          <w:szCs w:val="22"/>
        </w:rPr>
        <w:t>师或水利水电工程相关专业高级工程师及以</w:t>
      </w:r>
      <w:r>
        <w:rPr>
          <w:rFonts w:ascii="宋体" w:hAnsi="宋体" w:eastAsia="宋体" w:cs="宋体"/>
          <w:i/>
          <w:iCs/>
          <w:spacing w:val="-14"/>
          <w:sz w:val="22"/>
          <w:szCs w:val="22"/>
        </w:rPr>
        <w:t>上职称的人员担任，且两个岗位不得相互兼任。</w:t>
      </w:r>
    </w:p>
    <w:p w14:paraId="03F2ABFB">
      <w:pPr>
        <w:spacing w:before="42" w:line="343" w:lineRule="auto"/>
        <w:ind w:left="7" w:right="128" w:firstLine="611"/>
        <w:rPr>
          <w:rFonts w:ascii="宋体" w:hAnsi="宋体" w:eastAsia="宋体" w:cs="宋体"/>
          <w:sz w:val="22"/>
          <w:szCs w:val="22"/>
        </w:rPr>
      </w:pPr>
      <w:r>
        <w:rPr>
          <w:rFonts w:ascii="宋体" w:hAnsi="宋体" w:eastAsia="宋体" w:cs="宋体"/>
          <w:i/>
          <w:iCs/>
          <w:spacing w:val="-19"/>
          <w:sz w:val="22"/>
          <w:szCs w:val="22"/>
        </w:rPr>
        <w:t>其他水利水电工程，投标人的项目负责人必须由水利水电</w:t>
      </w:r>
      <w:r>
        <w:rPr>
          <w:rFonts w:ascii="宋体" w:hAnsi="宋体" w:eastAsia="宋体" w:cs="宋体"/>
          <w:i/>
          <w:iCs/>
          <w:spacing w:val="-20"/>
          <w:sz w:val="22"/>
          <w:szCs w:val="22"/>
        </w:rPr>
        <w:t>工程专业的注册建造师担任，技术</w:t>
      </w:r>
      <w:r>
        <w:rPr>
          <w:rFonts w:ascii="宋体" w:hAnsi="宋体" w:eastAsia="宋体" w:cs="宋体"/>
          <w:i/>
          <w:iCs/>
          <w:spacing w:val="-9"/>
          <w:sz w:val="22"/>
          <w:szCs w:val="22"/>
        </w:rPr>
        <w:t>负责人必须由水利水电工程专业的注册建造师或水利水电工程</w:t>
      </w:r>
      <w:r>
        <w:rPr>
          <w:rFonts w:ascii="宋体" w:hAnsi="宋体" w:eastAsia="宋体" w:cs="宋体"/>
          <w:i/>
          <w:iCs/>
          <w:spacing w:val="-10"/>
          <w:sz w:val="22"/>
          <w:szCs w:val="22"/>
        </w:rPr>
        <w:t>相关专业工程师及以上职称的人</w:t>
      </w:r>
      <w:r>
        <w:rPr>
          <w:rFonts w:ascii="宋体" w:hAnsi="宋体" w:eastAsia="宋体" w:cs="宋体"/>
          <w:i/>
          <w:iCs/>
          <w:spacing w:val="-13"/>
          <w:sz w:val="22"/>
          <w:szCs w:val="22"/>
        </w:rPr>
        <w:t>员担任。</w:t>
      </w:r>
    </w:p>
    <w:p w14:paraId="3F4886D0">
      <w:pPr>
        <w:spacing w:line="223" w:lineRule="auto"/>
        <w:ind w:left="478"/>
        <w:rPr>
          <w:rFonts w:ascii="宋体" w:hAnsi="宋体" w:eastAsia="宋体" w:cs="宋体"/>
          <w:sz w:val="22"/>
          <w:szCs w:val="22"/>
        </w:rPr>
      </w:pPr>
      <w:r>
        <w:rPr>
          <w:rFonts w:ascii="宋体" w:hAnsi="宋体" w:eastAsia="宋体" w:cs="宋体"/>
          <w:i/>
          <w:iCs/>
          <w:spacing w:val="-12"/>
          <w:sz w:val="22"/>
          <w:szCs w:val="22"/>
        </w:rPr>
        <w:t>④</w:t>
      </w:r>
      <w:r>
        <w:rPr>
          <w:rFonts w:ascii="宋体" w:hAnsi="宋体" w:eastAsia="宋体" w:cs="宋体"/>
          <w:spacing w:val="32"/>
          <w:sz w:val="22"/>
          <w:szCs w:val="22"/>
        </w:rPr>
        <w:t xml:space="preserve"> </w:t>
      </w:r>
      <w:r>
        <w:rPr>
          <w:rFonts w:ascii="宋体" w:hAnsi="宋体" w:eastAsia="宋体" w:cs="宋体"/>
          <w:i/>
          <w:iCs/>
          <w:spacing w:val="-12"/>
          <w:sz w:val="22"/>
          <w:szCs w:val="22"/>
        </w:rPr>
        <w:t>大型或标段概算投资在</w:t>
      </w:r>
      <w:r>
        <w:rPr>
          <w:rFonts w:ascii="Times New Roman" w:hAnsi="Times New Roman" w:eastAsia="Times New Roman" w:cs="Times New Roman"/>
          <w:i/>
          <w:iCs/>
          <w:spacing w:val="-12"/>
          <w:sz w:val="21"/>
          <w:szCs w:val="21"/>
        </w:rPr>
        <w:t>1</w:t>
      </w:r>
      <w:r>
        <w:rPr>
          <w:rFonts w:ascii="Times New Roman" w:hAnsi="Times New Roman" w:eastAsia="Times New Roman" w:cs="Times New Roman"/>
          <w:i/>
          <w:iCs/>
          <w:spacing w:val="29"/>
          <w:sz w:val="21"/>
          <w:szCs w:val="21"/>
        </w:rPr>
        <w:t xml:space="preserve"> </w:t>
      </w:r>
      <w:r>
        <w:rPr>
          <w:rFonts w:ascii="宋体" w:hAnsi="宋体" w:eastAsia="宋体" w:cs="宋体"/>
          <w:i/>
          <w:iCs/>
          <w:spacing w:val="-12"/>
          <w:sz w:val="22"/>
          <w:szCs w:val="22"/>
        </w:rPr>
        <w:t>亿元及以上的水利</w:t>
      </w:r>
      <w:r>
        <w:rPr>
          <w:rFonts w:ascii="宋体" w:hAnsi="宋体" w:eastAsia="宋体" w:cs="宋体"/>
          <w:i/>
          <w:iCs/>
          <w:spacing w:val="-13"/>
          <w:sz w:val="22"/>
          <w:szCs w:val="22"/>
        </w:rPr>
        <w:t>水电工程可设置</w:t>
      </w:r>
      <w:r>
        <w:rPr>
          <w:rFonts w:ascii="Times New Roman" w:hAnsi="Times New Roman" w:eastAsia="Times New Roman" w:cs="Times New Roman"/>
          <w:i/>
          <w:iCs/>
          <w:spacing w:val="-13"/>
          <w:sz w:val="21"/>
          <w:szCs w:val="21"/>
        </w:rPr>
        <w:t>1</w:t>
      </w:r>
      <w:r>
        <w:rPr>
          <w:rFonts w:ascii="宋体" w:hAnsi="宋体" w:eastAsia="宋体" w:cs="宋体"/>
          <w:i/>
          <w:iCs/>
          <w:spacing w:val="-13"/>
          <w:sz w:val="22"/>
          <w:szCs w:val="22"/>
        </w:rPr>
        <w:t>名副项目负责人。</w:t>
      </w:r>
    </w:p>
    <w:p w14:paraId="0CAD336B">
      <w:pPr>
        <w:spacing w:line="345" w:lineRule="auto"/>
        <w:ind w:firstLine="396" w:firstLineChars="200"/>
        <w:rPr>
          <w:rFonts w:ascii="宋体" w:hAnsi="宋体" w:eastAsia="宋体" w:cs="宋体"/>
          <w:sz w:val="22"/>
          <w:szCs w:val="22"/>
        </w:rPr>
        <w:sectPr>
          <w:footerReference r:id="rId10" w:type="default"/>
          <w:pgSz w:w="11907" w:h="16841"/>
          <w:pgMar w:top="1424" w:right="1419" w:bottom="1255" w:left="1590" w:header="0" w:footer="1055" w:gutter="0"/>
          <w:cols w:space="720" w:num="1"/>
        </w:sectPr>
      </w:pPr>
      <w:r>
        <w:rPr>
          <w:rFonts w:ascii="宋体" w:hAnsi="宋体" w:eastAsia="宋体" w:cs="宋体"/>
          <w:i/>
          <w:iCs/>
          <w:spacing w:val="-11"/>
          <w:sz w:val="22"/>
          <w:szCs w:val="22"/>
        </w:rPr>
        <w:t>⑤</w:t>
      </w:r>
      <w:r>
        <w:rPr>
          <w:rFonts w:ascii="宋体" w:hAnsi="宋体" w:eastAsia="宋体" w:cs="宋体"/>
          <w:spacing w:val="22"/>
          <w:sz w:val="22"/>
          <w:szCs w:val="22"/>
        </w:rPr>
        <w:t xml:space="preserve"> </w:t>
      </w:r>
      <w:r>
        <w:rPr>
          <w:rFonts w:ascii="宋体" w:hAnsi="宋体" w:eastAsia="宋体" w:cs="宋体"/>
          <w:i/>
          <w:iCs/>
          <w:spacing w:val="-11"/>
          <w:sz w:val="22"/>
          <w:szCs w:val="22"/>
        </w:rPr>
        <w:t>标段概算投资在</w:t>
      </w:r>
      <w:r>
        <w:rPr>
          <w:rFonts w:ascii="Times New Roman" w:hAnsi="Times New Roman" w:eastAsia="Times New Roman" w:cs="Times New Roman"/>
          <w:i/>
          <w:iCs/>
          <w:spacing w:val="-11"/>
          <w:sz w:val="21"/>
          <w:szCs w:val="21"/>
        </w:rPr>
        <w:t>1</w:t>
      </w:r>
      <w:r>
        <w:rPr>
          <w:rFonts w:ascii="Times New Roman" w:hAnsi="Times New Roman" w:eastAsia="Times New Roman" w:cs="Times New Roman"/>
          <w:i/>
          <w:iCs/>
          <w:spacing w:val="21"/>
          <w:w w:val="101"/>
          <w:sz w:val="21"/>
          <w:szCs w:val="21"/>
        </w:rPr>
        <w:t xml:space="preserve"> </w:t>
      </w:r>
      <w:r>
        <w:rPr>
          <w:rFonts w:ascii="宋体" w:hAnsi="宋体" w:eastAsia="宋体" w:cs="宋体"/>
          <w:i/>
          <w:iCs/>
          <w:spacing w:val="-11"/>
          <w:sz w:val="22"/>
          <w:szCs w:val="22"/>
        </w:rPr>
        <w:t>亿元及以上的项目至少需要</w:t>
      </w:r>
      <w:r>
        <w:rPr>
          <w:rFonts w:ascii="Times New Roman" w:hAnsi="Times New Roman" w:eastAsia="Times New Roman" w:cs="Times New Roman"/>
          <w:i/>
          <w:iCs/>
          <w:spacing w:val="-11"/>
          <w:sz w:val="21"/>
          <w:szCs w:val="21"/>
        </w:rPr>
        <w:t>3</w:t>
      </w:r>
      <w:r>
        <w:rPr>
          <w:rFonts w:ascii="Times New Roman" w:hAnsi="Times New Roman" w:eastAsia="Times New Roman" w:cs="Times New Roman"/>
          <w:i/>
          <w:iCs/>
          <w:spacing w:val="14"/>
          <w:w w:val="101"/>
          <w:sz w:val="21"/>
          <w:szCs w:val="21"/>
        </w:rPr>
        <w:t xml:space="preserve"> </w:t>
      </w:r>
      <w:r>
        <w:rPr>
          <w:rFonts w:ascii="宋体" w:hAnsi="宋体" w:eastAsia="宋体" w:cs="宋体"/>
          <w:i/>
          <w:iCs/>
          <w:spacing w:val="-11"/>
          <w:sz w:val="22"/>
          <w:szCs w:val="22"/>
        </w:rPr>
        <w:t>个专职安全生</w:t>
      </w:r>
      <w:r>
        <w:rPr>
          <w:rFonts w:ascii="宋体" w:hAnsi="宋体" w:eastAsia="宋体" w:cs="宋体"/>
          <w:i/>
          <w:iCs/>
          <w:spacing w:val="-12"/>
          <w:sz w:val="22"/>
          <w:szCs w:val="22"/>
        </w:rPr>
        <w:t>产管理人员，</w:t>
      </w:r>
      <w:r>
        <w:rPr>
          <w:rFonts w:ascii="Times New Roman" w:hAnsi="Times New Roman" w:eastAsia="Times New Roman" w:cs="Times New Roman"/>
          <w:i/>
          <w:iCs/>
          <w:spacing w:val="-12"/>
          <w:sz w:val="21"/>
          <w:szCs w:val="21"/>
        </w:rPr>
        <w:t>0.5</w:t>
      </w:r>
      <w:r>
        <w:rPr>
          <w:rFonts w:ascii="宋体" w:hAnsi="宋体" w:eastAsia="宋体" w:cs="宋体"/>
          <w:i/>
          <w:iCs/>
          <w:spacing w:val="-12"/>
          <w:sz w:val="22"/>
          <w:szCs w:val="22"/>
        </w:rPr>
        <w:t>～</w:t>
      </w:r>
      <w:r>
        <w:rPr>
          <w:rFonts w:ascii="Times New Roman" w:hAnsi="Times New Roman" w:eastAsia="Times New Roman" w:cs="Times New Roman"/>
          <w:i/>
          <w:iCs/>
          <w:spacing w:val="-12"/>
          <w:sz w:val="21"/>
          <w:szCs w:val="21"/>
        </w:rPr>
        <w:t>1</w:t>
      </w:r>
      <w:r>
        <w:rPr>
          <w:rFonts w:ascii="宋体" w:hAnsi="宋体" w:eastAsia="宋体" w:cs="宋体"/>
          <w:i/>
          <w:iCs/>
          <w:spacing w:val="-12"/>
          <w:sz w:val="22"/>
          <w:szCs w:val="22"/>
        </w:rPr>
        <w:t>亿元的</w:t>
      </w:r>
      <w:r>
        <w:rPr>
          <w:rFonts w:ascii="宋体" w:hAnsi="宋体" w:eastAsia="宋体" w:cs="宋体"/>
          <w:i/>
          <w:iCs/>
          <w:spacing w:val="-9"/>
          <w:sz w:val="22"/>
          <w:szCs w:val="22"/>
        </w:rPr>
        <w:t>项目至少需要</w:t>
      </w:r>
      <w:r>
        <w:rPr>
          <w:rFonts w:ascii="Times New Roman" w:hAnsi="Times New Roman" w:eastAsia="Times New Roman" w:cs="Times New Roman"/>
          <w:i/>
          <w:iCs/>
          <w:spacing w:val="-9"/>
          <w:sz w:val="21"/>
          <w:szCs w:val="21"/>
        </w:rPr>
        <w:t>2</w:t>
      </w:r>
      <w:r>
        <w:rPr>
          <w:rFonts w:ascii="Times New Roman" w:hAnsi="Times New Roman" w:eastAsia="Times New Roman" w:cs="Times New Roman"/>
          <w:i/>
          <w:iCs/>
          <w:spacing w:val="18"/>
          <w:sz w:val="21"/>
          <w:szCs w:val="21"/>
        </w:rPr>
        <w:t xml:space="preserve"> </w:t>
      </w:r>
      <w:r>
        <w:rPr>
          <w:rFonts w:ascii="宋体" w:hAnsi="宋体" w:eastAsia="宋体" w:cs="宋体"/>
          <w:i/>
          <w:iCs/>
          <w:spacing w:val="-9"/>
          <w:sz w:val="22"/>
          <w:szCs w:val="22"/>
        </w:rPr>
        <w:t>个专职安全生产管理人员，</w:t>
      </w:r>
      <w:r>
        <w:rPr>
          <w:rFonts w:ascii="Times New Roman" w:hAnsi="Times New Roman" w:eastAsia="Times New Roman" w:cs="Times New Roman"/>
          <w:i/>
          <w:iCs/>
          <w:spacing w:val="-9"/>
          <w:sz w:val="21"/>
          <w:szCs w:val="21"/>
        </w:rPr>
        <w:t>0.5</w:t>
      </w:r>
      <w:r>
        <w:rPr>
          <w:rFonts w:ascii="宋体" w:hAnsi="宋体" w:eastAsia="宋体" w:cs="宋体"/>
          <w:i/>
          <w:iCs/>
          <w:spacing w:val="-9"/>
          <w:sz w:val="22"/>
          <w:szCs w:val="22"/>
        </w:rPr>
        <w:t>亿元以</w:t>
      </w:r>
      <w:r>
        <w:rPr>
          <w:rFonts w:ascii="宋体" w:hAnsi="宋体" w:eastAsia="宋体" w:cs="宋体"/>
          <w:i/>
          <w:iCs/>
          <w:spacing w:val="-10"/>
          <w:sz w:val="22"/>
          <w:szCs w:val="22"/>
        </w:rPr>
        <w:t>下的项目至少需要</w:t>
      </w:r>
      <w:r>
        <w:rPr>
          <w:rFonts w:ascii="Times New Roman" w:hAnsi="Times New Roman" w:eastAsia="Times New Roman" w:cs="Times New Roman"/>
          <w:i/>
          <w:iCs/>
          <w:spacing w:val="-10"/>
          <w:sz w:val="21"/>
          <w:szCs w:val="21"/>
        </w:rPr>
        <w:t>1</w:t>
      </w:r>
      <w:r>
        <w:rPr>
          <w:rFonts w:ascii="Times New Roman" w:hAnsi="Times New Roman" w:eastAsia="Times New Roman" w:cs="Times New Roman"/>
          <w:i/>
          <w:iCs/>
          <w:spacing w:val="12"/>
          <w:sz w:val="21"/>
          <w:szCs w:val="21"/>
        </w:rPr>
        <w:t xml:space="preserve"> </w:t>
      </w:r>
      <w:r>
        <w:rPr>
          <w:rFonts w:ascii="宋体" w:hAnsi="宋体" w:eastAsia="宋体" w:cs="宋体"/>
          <w:i/>
          <w:iCs/>
          <w:spacing w:val="-10"/>
          <w:sz w:val="22"/>
          <w:szCs w:val="22"/>
        </w:rPr>
        <w:t>个专职安全生产管理人</w:t>
      </w:r>
      <w:r>
        <w:rPr>
          <w:rFonts w:ascii="宋体" w:hAnsi="宋体" w:eastAsia="宋体" w:cs="宋体"/>
          <w:i/>
          <w:iCs/>
          <w:spacing w:val="-15"/>
          <w:sz w:val="22"/>
          <w:szCs w:val="22"/>
        </w:rPr>
        <w:t>员。</w:t>
      </w:r>
    </w:p>
    <w:p w14:paraId="3D437B6E">
      <w:pPr>
        <w:spacing w:before="71" w:line="219" w:lineRule="auto"/>
        <w:ind w:left="1154"/>
        <w:outlineLvl w:val="0"/>
        <w:rPr>
          <w:rFonts w:ascii="宋体" w:hAnsi="宋体" w:eastAsia="宋体" w:cs="宋体"/>
          <w:strike w:val="0"/>
          <w:dstrike w:val="0"/>
          <w:color w:val="auto"/>
          <w:sz w:val="36"/>
          <w:szCs w:val="36"/>
          <w:highlight w:val="none"/>
        </w:rPr>
      </w:pPr>
      <w:bookmarkStart w:id="48" w:name="_Toc30735"/>
      <w:r>
        <w:rPr>
          <w:rFonts w:ascii="宋体" w:hAnsi="宋体" w:eastAsia="宋体" w:cs="宋体"/>
          <w:b/>
          <w:bCs/>
          <w:strike w:val="0"/>
          <w:dstrike w:val="0"/>
          <w:color w:val="auto"/>
          <w:spacing w:val="-4"/>
          <w:sz w:val="36"/>
          <w:szCs w:val="36"/>
          <w:highlight w:val="none"/>
        </w:rPr>
        <w:t>第一章</w:t>
      </w:r>
      <w:r>
        <w:rPr>
          <w:rFonts w:ascii="宋体" w:hAnsi="宋体" w:eastAsia="宋体" w:cs="宋体"/>
          <w:strike w:val="0"/>
          <w:dstrike w:val="0"/>
          <w:color w:val="auto"/>
          <w:spacing w:val="-4"/>
          <w:sz w:val="36"/>
          <w:szCs w:val="36"/>
          <w:highlight w:val="none"/>
        </w:rPr>
        <w:t xml:space="preserve">  </w:t>
      </w:r>
      <w:r>
        <w:rPr>
          <w:rFonts w:ascii="宋体" w:hAnsi="宋体" w:eastAsia="宋体" w:cs="宋体"/>
          <w:b/>
          <w:bCs/>
          <w:strike w:val="0"/>
          <w:dstrike w:val="0"/>
          <w:color w:val="auto"/>
          <w:spacing w:val="-4"/>
          <w:sz w:val="36"/>
          <w:szCs w:val="36"/>
          <w:highlight w:val="none"/>
        </w:rPr>
        <w:t>投标邀请书（适用于邀请招标）</w:t>
      </w:r>
      <w:bookmarkEnd w:id="48"/>
    </w:p>
    <w:p w14:paraId="242B4133">
      <w:pPr>
        <w:tabs>
          <w:tab w:val="left" w:pos="2953"/>
        </w:tabs>
        <w:spacing w:before="262" w:line="212" w:lineRule="auto"/>
        <w:ind w:left="1154"/>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3"/>
          <w:sz w:val="24"/>
          <w:szCs w:val="24"/>
          <w:highlight w:val="none"/>
        </w:rPr>
        <w:t>（</w:t>
      </w:r>
      <w:r>
        <w:rPr>
          <w:rFonts w:ascii="宋体" w:hAnsi="宋体" w:eastAsia="宋体" w:cs="宋体"/>
          <w:i/>
          <w:iCs/>
          <w:strike/>
          <w:dstrike w:val="0"/>
          <w:color w:val="auto"/>
          <w:spacing w:val="-3"/>
          <w:sz w:val="25"/>
          <w:szCs w:val="25"/>
          <w:highlight w:val="none"/>
        </w:rPr>
        <w:t>项目名称</w:t>
      </w:r>
      <w:r>
        <w:rPr>
          <w:rFonts w:ascii="宋体" w:hAnsi="宋体" w:eastAsia="宋体" w:cs="宋体"/>
          <w:strike/>
          <w:dstrike w:val="0"/>
          <w:color w:val="auto"/>
          <w:spacing w:val="-23"/>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3"/>
          <w:sz w:val="24"/>
          <w:szCs w:val="24"/>
          <w:highlight w:val="none"/>
        </w:rPr>
        <w:t>（</w:t>
      </w:r>
      <w:r>
        <w:rPr>
          <w:rFonts w:ascii="宋体" w:hAnsi="宋体" w:eastAsia="宋体" w:cs="宋体"/>
          <w:i/>
          <w:iCs/>
          <w:strike/>
          <w:dstrike w:val="0"/>
          <w:color w:val="auto"/>
          <w:spacing w:val="-3"/>
          <w:sz w:val="25"/>
          <w:szCs w:val="25"/>
          <w:highlight w:val="none"/>
        </w:rPr>
        <w:t>标段名称</w:t>
      </w:r>
      <w:r>
        <w:rPr>
          <w:rFonts w:ascii="宋体" w:hAnsi="宋体" w:eastAsia="宋体" w:cs="宋体"/>
          <w:strike/>
          <w:dstrike w:val="0"/>
          <w:color w:val="auto"/>
          <w:spacing w:val="-3"/>
          <w:sz w:val="24"/>
          <w:szCs w:val="24"/>
          <w:highlight w:val="none"/>
        </w:rPr>
        <w:t>）投标邀请书</w:t>
      </w:r>
    </w:p>
    <w:p w14:paraId="7645663F">
      <w:pPr>
        <w:pStyle w:val="3"/>
        <w:spacing w:line="254" w:lineRule="auto"/>
        <w:rPr>
          <w:strike/>
          <w:dstrike w:val="0"/>
          <w:color w:val="auto"/>
          <w:highlight w:val="none"/>
        </w:rPr>
      </w:pPr>
    </w:p>
    <w:p w14:paraId="28C7E3BA">
      <w:pPr>
        <w:pStyle w:val="3"/>
        <w:spacing w:line="255" w:lineRule="auto"/>
        <w:rPr>
          <w:strike/>
          <w:dstrike w:val="0"/>
          <w:color w:val="auto"/>
          <w:highlight w:val="none"/>
        </w:rPr>
      </w:pPr>
    </w:p>
    <w:p w14:paraId="265FC533">
      <w:pPr>
        <w:tabs>
          <w:tab w:val="left" w:pos="2400"/>
        </w:tabs>
        <w:spacing w:before="81" w:line="212"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20"/>
          <w:sz w:val="24"/>
          <w:szCs w:val="24"/>
          <w:highlight w:val="none"/>
        </w:rPr>
        <w:t>（</w:t>
      </w:r>
      <w:r>
        <w:rPr>
          <w:rFonts w:ascii="宋体" w:hAnsi="宋体" w:eastAsia="宋体" w:cs="宋体"/>
          <w:strike/>
          <w:dstrike w:val="0"/>
          <w:color w:val="auto"/>
          <w:spacing w:val="-25"/>
          <w:sz w:val="24"/>
          <w:szCs w:val="24"/>
          <w:highlight w:val="none"/>
        </w:rPr>
        <w:t xml:space="preserve"> </w:t>
      </w:r>
      <w:r>
        <w:rPr>
          <w:rFonts w:ascii="宋体" w:hAnsi="宋体" w:eastAsia="宋体" w:cs="宋体"/>
          <w:i/>
          <w:iCs/>
          <w:strike/>
          <w:dstrike w:val="0"/>
          <w:color w:val="auto"/>
          <w:spacing w:val="-20"/>
          <w:sz w:val="25"/>
          <w:szCs w:val="25"/>
          <w:highlight w:val="none"/>
        </w:rPr>
        <w:t>被邀请单位名称</w:t>
      </w:r>
      <w:r>
        <w:rPr>
          <w:rFonts w:ascii="宋体" w:hAnsi="宋体" w:eastAsia="宋体" w:cs="宋体"/>
          <w:strike/>
          <w:dstrike w:val="0"/>
          <w:color w:val="auto"/>
          <w:spacing w:val="-15"/>
          <w:sz w:val="24"/>
          <w:szCs w:val="24"/>
          <w:highlight w:val="none"/>
        </w:rPr>
        <w:t>）：</w:t>
      </w:r>
    </w:p>
    <w:p w14:paraId="40F57438">
      <w:pPr>
        <w:spacing w:before="184" w:line="220" w:lineRule="auto"/>
        <w:ind w:left="18"/>
        <w:outlineLvl w:val="1"/>
        <w:rPr>
          <w:rFonts w:ascii="宋体" w:hAnsi="宋体" w:eastAsia="宋体" w:cs="宋体"/>
          <w:strike w:val="0"/>
          <w:dstrike w:val="0"/>
          <w:color w:val="auto"/>
          <w:sz w:val="28"/>
          <w:szCs w:val="28"/>
          <w:highlight w:val="none"/>
        </w:rPr>
      </w:pPr>
      <w:bookmarkStart w:id="49" w:name="bookmark14"/>
      <w:bookmarkEnd w:id="49"/>
      <w:bookmarkStart w:id="50" w:name="_Toc6820"/>
      <w:r>
        <w:rPr>
          <w:rFonts w:ascii="Times New Roman" w:hAnsi="Times New Roman" w:eastAsia="Times New Roman" w:cs="Times New Roman"/>
          <w:b/>
          <w:bCs/>
          <w:strike w:val="0"/>
          <w:dstrike w:val="0"/>
          <w:color w:val="auto"/>
          <w:spacing w:val="-8"/>
          <w:sz w:val="28"/>
          <w:szCs w:val="28"/>
          <w:highlight w:val="none"/>
        </w:rPr>
        <w:t>1</w:t>
      </w:r>
      <w:r>
        <w:rPr>
          <w:rFonts w:ascii="Times New Roman" w:hAnsi="Times New Roman" w:eastAsia="Times New Roman" w:cs="Times New Roman"/>
          <w:b/>
          <w:bCs/>
          <w:strike w:val="0"/>
          <w:dstrike w:val="0"/>
          <w:color w:val="auto"/>
          <w:spacing w:val="7"/>
          <w:sz w:val="28"/>
          <w:szCs w:val="28"/>
          <w:highlight w:val="none"/>
        </w:rPr>
        <w:t xml:space="preserve">  </w:t>
      </w:r>
      <w:r>
        <w:rPr>
          <w:rFonts w:ascii="宋体" w:hAnsi="宋体" w:eastAsia="宋体" w:cs="宋体"/>
          <w:b/>
          <w:bCs/>
          <w:strike w:val="0"/>
          <w:dstrike w:val="0"/>
          <w:color w:val="auto"/>
          <w:spacing w:val="-8"/>
          <w:sz w:val="28"/>
          <w:szCs w:val="28"/>
          <w:highlight w:val="none"/>
        </w:rPr>
        <w:t>招标条件</w:t>
      </w:r>
      <w:bookmarkEnd w:id="50"/>
    </w:p>
    <w:p w14:paraId="119BE9E9">
      <w:pPr>
        <w:spacing w:before="202" w:line="349" w:lineRule="auto"/>
        <w:ind w:left="11" w:firstLine="47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9"/>
          <w:sz w:val="24"/>
          <w:szCs w:val="24"/>
          <w:highlight w:val="none"/>
        </w:rPr>
        <w:t>本招标项目</w:t>
      </w:r>
      <w:r>
        <w:rPr>
          <w:rFonts w:ascii="宋体" w:hAnsi="宋体" w:eastAsia="宋体" w:cs="宋体"/>
          <w:strike/>
          <w:dstrike w:val="0"/>
          <w:color w:val="auto"/>
          <w:spacing w:val="9"/>
          <w:sz w:val="24"/>
          <w:szCs w:val="24"/>
          <w:highlight w:val="none"/>
          <w:u w:val="single" w:color="auto"/>
        </w:rPr>
        <w:t xml:space="preserve">             </w:t>
      </w:r>
      <w:r>
        <w:rPr>
          <w:rFonts w:ascii="宋体" w:hAnsi="宋体" w:eastAsia="宋体" w:cs="宋体"/>
          <w:strike/>
          <w:dstrike w:val="0"/>
          <w:color w:val="auto"/>
          <w:spacing w:val="-9"/>
          <w:sz w:val="24"/>
          <w:szCs w:val="24"/>
          <w:highlight w:val="none"/>
        </w:rPr>
        <w:t>（</w:t>
      </w:r>
      <w:r>
        <w:rPr>
          <w:rFonts w:ascii="宋体" w:hAnsi="宋体" w:eastAsia="宋体" w:cs="宋体"/>
          <w:i/>
          <w:iCs/>
          <w:strike/>
          <w:dstrike w:val="0"/>
          <w:color w:val="auto"/>
          <w:spacing w:val="-9"/>
          <w:sz w:val="25"/>
          <w:szCs w:val="25"/>
          <w:highlight w:val="none"/>
        </w:rPr>
        <w:t>项目名称</w:t>
      </w:r>
      <w:r>
        <w:rPr>
          <w:rFonts w:ascii="宋体" w:hAnsi="宋体" w:eastAsia="宋体" w:cs="宋体"/>
          <w:strike/>
          <w:dstrike w:val="0"/>
          <w:color w:val="auto"/>
          <w:spacing w:val="-9"/>
          <w:sz w:val="24"/>
          <w:szCs w:val="24"/>
          <w:highlight w:val="none"/>
        </w:rPr>
        <w:t>）已由</w:t>
      </w:r>
      <w:r>
        <w:rPr>
          <w:rFonts w:ascii="宋体" w:hAnsi="宋体" w:eastAsia="宋体" w:cs="宋体"/>
          <w:strike/>
          <w:dstrike w:val="0"/>
          <w:color w:val="auto"/>
          <w:spacing w:val="-106"/>
          <w:sz w:val="24"/>
          <w:szCs w:val="24"/>
          <w:highlight w:val="none"/>
        </w:rPr>
        <w:t xml:space="preserve"> </w:t>
      </w:r>
      <w:r>
        <w:rPr>
          <w:rFonts w:ascii="宋体" w:hAnsi="宋体" w:eastAsia="宋体" w:cs="宋体"/>
          <w:strike/>
          <w:dstrike w:val="0"/>
          <w:color w:val="auto"/>
          <w:spacing w:val="-9"/>
          <w:sz w:val="24"/>
          <w:szCs w:val="24"/>
          <w:highlight w:val="none"/>
          <w:u w:val="single" w:color="auto"/>
        </w:rPr>
        <w:t xml:space="preserve">          </w:t>
      </w:r>
      <w:r>
        <w:rPr>
          <w:rFonts w:ascii="宋体" w:hAnsi="宋体" w:eastAsia="宋体" w:cs="宋体"/>
          <w:strike/>
          <w:dstrike w:val="0"/>
          <w:color w:val="auto"/>
          <w:spacing w:val="-9"/>
          <w:sz w:val="24"/>
          <w:szCs w:val="24"/>
          <w:highlight w:val="none"/>
        </w:rPr>
        <w:t>（</w:t>
      </w:r>
      <w:r>
        <w:rPr>
          <w:rFonts w:ascii="宋体" w:hAnsi="宋体" w:eastAsia="宋体" w:cs="宋体"/>
          <w:strike/>
          <w:dstrike w:val="0"/>
          <w:color w:val="auto"/>
          <w:spacing w:val="-49"/>
          <w:sz w:val="24"/>
          <w:szCs w:val="24"/>
          <w:highlight w:val="none"/>
        </w:rPr>
        <w:t xml:space="preserve"> </w:t>
      </w:r>
      <w:r>
        <w:rPr>
          <w:rFonts w:ascii="宋体" w:hAnsi="宋体" w:eastAsia="宋体" w:cs="宋体"/>
          <w:i/>
          <w:iCs/>
          <w:strike/>
          <w:dstrike w:val="0"/>
          <w:color w:val="auto"/>
          <w:spacing w:val="-9"/>
          <w:sz w:val="25"/>
          <w:szCs w:val="25"/>
          <w:highlight w:val="none"/>
        </w:rPr>
        <w:t>项目审批、核准或备</w:t>
      </w:r>
      <w:r>
        <w:rPr>
          <w:rFonts w:ascii="宋体" w:hAnsi="宋体" w:eastAsia="宋体" w:cs="宋体"/>
          <w:i/>
          <w:iCs/>
          <w:strike/>
          <w:dstrike w:val="0"/>
          <w:color w:val="auto"/>
          <w:spacing w:val="-6"/>
          <w:sz w:val="25"/>
          <w:szCs w:val="25"/>
          <w:highlight w:val="none"/>
        </w:rPr>
        <w:t>案机关名称</w:t>
      </w:r>
      <w:r>
        <w:rPr>
          <w:rFonts w:ascii="宋体" w:hAnsi="宋体" w:eastAsia="宋体" w:cs="宋体"/>
          <w:strike/>
          <w:dstrike w:val="0"/>
          <w:color w:val="auto"/>
          <w:spacing w:val="-6"/>
          <w:sz w:val="24"/>
          <w:szCs w:val="24"/>
          <w:highlight w:val="none"/>
        </w:rPr>
        <w:t>）以</w:t>
      </w:r>
      <w:r>
        <w:rPr>
          <w:rFonts w:ascii="宋体" w:hAnsi="宋体" w:eastAsia="宋体" w:cs="宋体"/>
          <w:strike/>
          <w:dstrike w:val="0"/>
          <w:color w:val="auto"/>
          <w:spacing w:val="-98"/>
          <w:sz w:val="24"/>
          <w:szCs w:val="24"/>
          <w:highlight w:val="none"/>
        </w:rPr>
        <w:t xml:space="preserve"> </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pacing w:val="-6"/>
          <w:sz w:val="24"/>
          <w:szCs w:val="24"/>
          <w:highlight w:val="none"/>
        </w:rPr>
        <w:t>（</w:t>
      </w:r>
      <w:r>
        <w:rPr>
          <w:rFonts w:ascii="宋体" w:hAnsi="宋体" w:eastAsia="宋体" w:cs="宋体"/>
          <w:strike/>
          <w:dstrike w:val="0"/>
          <w:color w:val="auto"/>
          <w:spacing w:val="-62"/>
          <w:sz w:val="24"/>
          <w:szCs w:val="24"/>
          <w:highlight w:val="none"/>
        </w:rPr>
        <w:t xml:space="preserve"> </w:t>
      </w:r>
      <w:r>
        <w:rPr>
          <w:rFonts w:ascii="宋体" w:hAnsi="宋体" w:eastAsia="宋体" w:cs="宋体"/>
          <w:i/>
          <w:iCs/>
          <w:strike/>
          <w:dstrike w:val="0"/>
          <w:color w:val="auto"/>
          <w:spacing w:val="-6"/>
          <w:sz w:val="25"/>
          <w:szCs w:val="25"/>
          <w:highlight w:val="none"/>
        </w:rPr>
        <w:t>批文名称及编号</w:t>
      </w:r>
      <w:r>
        <w:rPr>
          <w:rFonts w:ascii="宋体" w:hAnsi="宋体" w:eastAsia="宋体" w:cs="宋体"/>
          <w:strike/>
          <w:dstrike w:val="0"/>
          <w:color w:val="auto"/>
          <w:spacing w:val="-6"/>
          <w:sz w:val="24"/>
          <w:szCs w:val="24"/>
          <w:highlight w:val="none"/>
        </w:rPr>
        <w:t>）批准建设，建</w:t>
      </w:r>
      <w:r>
        <w:rPr>
          <w:rFonts w:ascii="宋体" w:hAnsi="宋体" w:eastAsia="宋体" w:cs="宋体"/>
          <w:strike/>
          <w:dstrike w:val="0"/>
          <w:color w:val="auto"/>
          <w:spacing w:val="-7"/>
          <w:sz w:val="24"/>
          <w:szCs w:val="24"/>
          <w:highlight w:val="none"/>
        </w:rPr>
        <w:t>设资金来自</w:t>
      </w:r>
      <w:r>
        <w:rPr>
          <w:rFonts w:ascii="宋体" w:hAnsi="宋体" w:eastAsia="宋体" w:cs="宋体"/>
          <w:strike/>
          <w:dstrike w:val="0"/>
          <w:color w:val="auto"/>
          <w:spacing w:val="-7"/>
          <w:sz w:val="24"/>
          <w:szCs w:val="24"/>
          <w:highlight w:val="none"/>
          <w:u w:val="single" w:color="auto"/>
        </w:rPr>
        <w:t xml:space="preserve">      </w:t>
      </w:r>
      <w:r>
        <w:rPr>
          <w:rFonts w:ascii="宋体" w:hAnsi="宋体" w:eastAsia="宋体" w:cs="宋体"/>
          <w:strike/>
          <w:dstrike w:val="0"/>
          <w:color w:val="auto"/>
          <w:spacing w:val="-7"/>
          <w:sz w:val="24"/>
          <w:szCs w:val="24"/>
          <w:highlight w:val="none"/>
        </w:rPr>
        <w:t xml:space="preserve"> （</w:t>
      </w:r>
      <w:r>
        <w:rPr>
          <w:rFonts w:ascii="宋体" w:hAnsi="宋体" w:eastAsia="宋体" w:cs="宋体"/>
          <w:i/>
          <w:iCs/>
          <w:strike/>
          <w:dstrike w:val="0"/>
          <w:color w:val="auto"/>
          <w:spacing w:val="-7"/>
          <w:sz w:val="25"/>
          <w:szCs w:val="25"/>
          <w:highlight w:val="none"/>
        </w:rPr>
        <w:t>资</w:t>
      </w:r>
      <w:r>
        <w:rPr>
          <w:rFonts w:ascii="宋体" w:hAnsi="宋体" w:eastAsia="宋体" w:cs="宋体"/>
          <w:i/>
          <w:iCs/>
          <w:strike/>
          <w:dstrike w:val="0"/>
          <w:color w:val="auto"/>
          <w:spacing w:val="12"/>
          <w:sz w:val="25"/>
          <w:szCs w:val="25"/>
          <w:highlight w:val="none"/>
        </w:rPr>
        <w:t>金来源</w:t>
      </w:r>
      <w:r>
        <w:rPr>
          <w:rFonts w:ascii="宋体" w:hAnsi="宋体" w:eastAsia="宋体" w:cs="宋体"/>
          <w:strike/>
          <w:dstrike w:val="0"/>
          <w:color w:val="auto"/>
          <w:spacing w:val="21"/>
          <w:sz w:val="24"/>
          <w:szCs w:val="24"/>
          <w:highlight w:val="none"/>
        </w:rPr>
        <w:t>），</w:t>
      </w:r>
      <w:r>
        <w:rPr>
          <w:rFonts w:ascii="宋体" w:hAnsi="宋体" w:eastAsia="宋体" w:cs="宋体"/>
          <w:strike/>
          <w:dstrike w:val="0"/>
          <w:color w:val="auto"/>
          <w:spacing w:val="12"/>
          <w:sz w:val="24"/>
          <w:szCs w:val="24"/>
          <w:highlight w:val="none"/>
        </w:rPr>
        <w:t>项目出资比例为</w:t>
      </w:r>
      <w:r>
        <w:rPr>
          <w:rFonts w:ascii="宋体" w:hAnsi="宋体" w:eastAsia="宋体" w:cs="宋体"/>
          <w:strike/>
          <w:dstrike w:val="0"/>
          <w:color w:val="auto"/>
          <w:spacing w:val="-100"/>
          <w:sz w:val="24"/>
          <w:szCs w:val="24"/>
          <w:highlight w:val="none"/>
        </w:rPr>
        <w:t xml:space="preserve"> </w:t>
      </w:r>
      <w:r>
        <w:rPr>
          <w:rFonts w:ascii="宋体" w:hAnsi="宋体" w:eastAsia="宋体" w:cs="宋体"/>
          <w:strike/>
          <w:dstrike w:val="0"/>
          <w:color w:val="auto"/>
          <w:spacing w:val="14"/>
          <w:sz w:val="24"/>
          <w:szCs w:val="24"/>
          <w:highlight w:val="none"/>
          <w:u w:val="single" w:color="auto"/>
        </w:rPr>
        <w:t xml:space="preserve">      </w:t>
      </w:r>
      <w:r>
        <w:rPr>
          <w:rFonts w:ascii="宋体" w:hAnsi="宋体" w:eastAsia="宋体" w:cs="宋体"/>
          <w:strike/>
          <w:dstrike w:val="0"/>
          <w:color w:val="auto"/>
          <w:spacing w:val="12"/>
          <w:sz w:val="24"/>
          <w:szCs w:val="24"/>
          <w:highlight w:val="none"/>
        </w:rPr>
        <w:t>，项目法人为</w:t>
      </w:r>
      <w:r>
        <w:rPr>
          <w:rFonts w:ascii="宋体" w:hAnsi="宋体" w:eastAsia="宋体" w:cs="宋体"/>
          <w:strike/>
          <w:dstrike w:val="0"/>
          <w:color w:val="auto"/>
          <w:spacing w:val="-96"/>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4"/>
          <w:sz w:val="24"/>
          <w:szCs w:val="24"/>
          <w:highlight w:val="none"/>
        </w:rPr>
        <w:t xml:space="preserve"> </w:t>
      </w:r>
      <w:r>
        <w:rPr>
          <w:rFonts w:ascii="宋体" w:hAnsi="宋体" w:eastAsia="宋体" w:cs="宋体"/>
          <w:strike/>
          <w:dstrike w:val="0"/>
          <w:color w:val="auto"/>
          <w:spacing w:val="12"/>
          <w:sz w:val="24"/>
          <w:szCs w:val="24"/>
          <w:highlight w:val="none"/>
        </w:rPr>
        <w:t>，招标人</w:t>
      </w:r>
      <w:r>
        <w:rPr>
          <w:rFonts w:ascii="宋体" w:hAnsi="宋体" w:eastAsia="宋体" w:cs="宋体"/>
          <w:strike/>
          <w:dstrike w:val="0"/>
          <w:color w:val="auto"/>
          <w:sz w:val="24"/>
          <w:szCs w:val="24"/>
          <w:highlight w:val="none"/>
        </w:rPr>
        <w:t>为</w:t>
      </w:r>
      <w:r>
        <w:rPr>
          <w:rFonts w:ascii="宋体" w:hAnsi="宋体" w:eastAsia="宋体" w:cs="宋体"/>
          <w:strike/>
          <w:dstrike w:val="0"/>
          <w:color w:val="auto"/>
          <w:spacing w:val="-102"/>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z w:val="24"/>
          <w:szCs w:val="24"/>
          <w:highlight w:val="none"/>
        </w:rPr>
        <w:t>，招标代理机构为</w:t>
      </w:r>
      <w:r>
        <w:rPr>
          <w:rFonts w:ascii="宋体" w:hAnsi="宋体" w:eastAsia="宋体" w:cs="宋体"/>
          <w:strike/>
          <w:dstrike w:val="0"/>
          <w:color w:val="auto"/>
          <w:spacing w:val="-117"/>
          <w:sz w:val="24"/>
          <w:szCs w:val="24"/>
          <w:highlight w:val="none"/>
        </w:rPr>
        <w:t xml:space="preserve"> </w:t>
      </w:r>
      <w:r>
        <w:rPr>
          <w:rFonts w:ascii="宋体" w:hAnsi="宋体" w:eastAsia="宋体" w:cs="宋体"/>
          <w:strike/>
          <w:dstrike w:val="0"/>
          <w:color w:val="auto"/>
          <w:spacing w:val="9"/>
          <w:sz w:val="24"/>
          <w:szCs w:val="24"/>
          <w:highlight w:val="none"/>
          <w:u w:val="single" w:color="auto"/>
        </w:rPr>
        <w:t xml:space="preserve">             </w:t>
      </w:r>
      <w:r>
        <w:rPr>
          <w:rFonts w:ascii="宋体" w:hAnsi="宋体" w:eastAsia="宋体" w:cs="宋体"/>
          <w:strike/>
          <w:dstrike w:val="0"/>
          <w:color w:val="auto"/>
          <w:sz w:val="24"/>
          <w:szCs w:val="24"/>
          <w:highlight w:val="none"/>
        </w:rPr>
        <w:t>。项目已具备招标条件，现邀请你</w:t>
      </w:r>
      <w:r>
        <w:rPr>
          <w:rFonts w:ascii="宋体" w:hAnsi="宋体" w:eastAsia="宋体" w:cs="宋体"/>
          <w:strike/>
          <w:dstrike w:val="0"/>
          <w:color w:val="auto"/>
          <w:spacing w:val="-3"/>
          <w:sz w:val="24"/>
          <w:szCs w:val="24"/>
          <w:highlight w:val="none"/>
        </w:rPr>
        <w:t>单位参加本项目</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3"/>
          <w:sz w:val="24"/>
          <w:szCs w:val="24"/>
          <w:highlight w:val="none"/>
        </w:rPr>
        <w:t>（</w:t>
      </w:r>
      <w:r>
        <w:rPr>
          <w:rFonts w:ascii="宋体" w:hAnsi="宋体" w:eastAsia="宋体" w:cs="宋体"/>
          <w:i/>
          <w:iCs/>
          <w:strike/>
          <w:dstrike w:val="0"/>
          <w:color w:val="auto"/>
          <w:spacing w:val="-3"/>
          <w:sz w:val="25"/>
          <w:szCs w:val="25"/>
          <w:highlight w:val="none"/>
        </w:rPr>
        <w:t>标段名称</w:t>
      </w:r>
      <w:r>
        <w:rPr>
          <w:rFonts w:ascii="宋体" w:hAnsi="宋体" w:eastAsia="宋体" w:cs="宋体"/>
          <w:strike/>
          <w:dstrike w:val="0"/>
          <w:color w:val="auto"/>
          <w:spacing w:val="-3"/>
          <w:sz w:val="24"/>
          <w:szCs w:val="24"/>
          <w:highlight w:val="none"/>
        </w:rPr>
        <w:t>）施工投标。</w:t>
      </w:r>
    </w:p>
    <w:p w14:paraId="1657FDA2">
      <w:pPr>
        <w:spacing w:line="220" w:lineRule="auto"/>
        <w:ind w:left="6"/>
        <w:outlineLvl w:val="1"/>
        <w:rPr>
          <w:rFonts w:ascii="宋体" w:hAnsi="宋体" w:eastAsia="宋体" w:cs="宋体"/>
          <w:strike w:val="0"/>
          <w:dstrike w:val="0"/>
          <w:color w:val="auto"/>
          <w:sz w:val="28"/>
          <w:szCs w:val="28"/>
          <w:highlight w:val="none"/>
        </w:rPr>
      </w:pPr>
      <w:bookmarkStart w:id="51" w:name="_Toc31722"/>
      <w:r>
        <w:rPr>
          <w:rFonts w:ascii="Times New Roman" w:hAnsi="Times New Roman" w:eastAsia="Times New Roman" w:cs="Times New Roman"/>
          <w:b/>
          <w:bCs/>
          <w:strike w:val="0"/>
          <w:dstrike w:val="0"/>
          <w:color w:val="auto"/>
          <w:spacing w:val="-2"/>
          <w:sz w:val="28"/>
          <w:szCs w:val="28"/>
          <w:highlight w:val="none"/>
        </w:rPr>
        <w:t xml:space="preserve">2  </w:t>
      </w:r>
      <w:r>
        <w:rPr>
          <w:rFonts w:ascii="宋体" w:hAnsi="宋体" w:eastAsia="宋体" w:cs="宋体"/>
          <w:b/>
          <w:bCs/>
          <w:strike w:val="0"/>
          <w:dstrike w:val="0"/>
          <w:color w:val="auto"/>
          <w:spacing w:val="-2"/>
          <w:sz w:val="28"/>
          <w:szCs w:val="28"/>
          <w:highlight w:val="none"/>
        </w:rPr>
        <w:t>项目概况与招标范围</w:t>
      </w:r>
      <w:bookmarkEnd w:id="51"/>
    </w:p>
    <w:p w14:paraId="41D3B7AC">
      <w:pPr>
        <w:spacing w:before="204" w:line="352" w:lineRule="auto"/>
        <w:ind w:left="9" w:right="73" w:firstLine="4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6"/>
          <w:sz w:val="24"/>
          <w:szCs w:val="24"/>
          <w:highlight w:val="none"/>
        </w:rPr>
        <w:t>项目概况</w:t>
      </w:r>
      <w:r>
        <w:rPr>
          <w:rFonts w:ascii="宋体" w:hAnsi="宋体" w:eastAsia="宋体" w:cs="宋体"/>
          <w:strike/>
          <w:dstrike w:val="0"/>
          <w:color w:val="auto"/>
          <w:spacing w:val="-14"/>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4"/>
          <w:sz w:val="24"/>
          <w:szCs w:val="24"/>
          <w:highlight w:val="none"/>
        </w:rPr>
        <w:t>（</w:t>
      </w:r>
      <w:r>
        <w:rPr>
          <w:rFonts w:ascii="宋体" w:hAnsi="宋体" w:eastAsia="宋体" w:cs="宋体"/>
          <w:strike/>
          <w:dstrike w:val="0"/>
          <w:color w:val="auto"/>
          <w:spacing w:val="-15"/>
          <w:sz w:val="24"/>
          <w:szCs w:val="24"/>
          <w:highlight w:val="none"/>
        </w:rPr>
        <w:t xml:space="preserve"> </w:t>
      </w:r>
      <w:r>
        <w:rPr>
          <w:rFonts w:ascii="宋体" w:hAnsi="宋体" w:eastAsia="宋体" w:cs="宋体"/>
          <w:i/>
          <w:iCs/>
          <w:strike/>
          <w:dstrike w:val="0"/>
          <w:color w:val="auto"/>
          <w:spacing w:val="-16"/>
          <w:sz w:val="25"/>
          <w:szCs w:val="25"/>
          <w:highlight w:val="none"/>
        </w:rPr>
        <w:t>说明项目建设地点、规模、计划工期等</w:t>
      </w:r>
      <w:r>
        <w:rPr>
          <w:rFonts w:ascii="宋体" w:hAnsi="宋体" w:eastAsia="宋体" w:cs="宋体"/>
          <w:strike/>
          <w:dstrike w:val="0"/>
          <w:color w:val="auto"/>
          <w:spacing w:val="-14"/>
          <w:sz w:val="24"/>
          <w:szCs w:val="24"/>
          <w:highlight w:val="none"/>
        </w:rPr>
        <w:t>），</w:t>
      </w:r>
      <w:r>
        <w:rPr>
          <w:rFonts w:ascii="宋体" w:hAnsi="宋体" w:eastAsia="宋体" w:cs="宋体"/>
          <w:strike/>
          <w:dstrike w:val="0"/>
          <w:color w:val="auto"/>
          <w:spacing w:val="-16"/>
          <w:sz w:val="24"/>
          <w:szCs w:val="24"/>
          <w:highlight w:val="none"/>
        </w:rPr>
        <w:t>项目</w:t>
      </w:r>
      <w:r>
        <w:rPr>
          <w:rFonts w:ascii="宋体" w:hAnsi="宋体" w:eastAsia="宋体" w:cs="宋体"/>
          <w:strike/>
          <w:dstrike w:val="0"/>
          <w:color w:val="auto"/>
          <w:spacing w:val="-3"/>
          <w:sz w:val="24"/>
          <w:szCs w:val="24"/>
          <w:highlight w:val="none"/>
        </w:rPr>
        <w:t>概算静态总投资为</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92"/>
          <w:sz w:val="24"/>
          <w:szCs w:val="24"/>
          <w:highlight w:val="none"/>
        </w:rPr>
        <w:t xml:space="preserve"> </w:t>
      </w:r>
      <w:r>
        <w:rPr>
          <w:rFonts w:ascii="宋体" w:hAnsi="宋体" w:eastAsia="宋体" w:cs="宋体"/>
          <w:strike/>
          <w:dstrike w:val="0"/>
          <w:color w:val="auto"/>
          <w:spacing w:val="-3"/>
          <w:sz w:val="24"/>
          <w:szCs w:val="24"/>
          <w:highlight w:val="none"/>
        </w:rPr>
        <w:t>万元。</w:t>
      </w:r>
    </w:p>
    <w:p w14:paraId="10EAE23F">
      <w:pPr>
        <w:spacing w:line="359" w:lineRule="auto"/>
        <w:ind w:left="12" w:right="27" w:firstLine="473"/>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本标段招标范围为</w:t>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z w:val="24"/>
          <w:szCs w:val="24"/>
          <w:highlight w:val="none"/>
        </w:rPr>
        <w:t>。本标段概算投资约</w:t>
      </w:r>
      <w:r>
        <w:rPr>
          <w:rFonts w:ascii="宋体" w:hAnsi="宋体" w:eastAsia="宋体" w:cs="宋体"/>
          <w:strike/>
          <w:dstrike w:val="0"/>
          <w:color w:val="auto"/>
          <w:spacing w:val="-102"/>
          <w:sz w:val="24"/>
          <w:szCs w:val="24"/>
          <w:highlight w:val="none"/>
        </w:rPr>
        <w:t xml:space="preserve"> </w:t>
      </w:r>
      <w:r>
        <w:rPr>
          <w:rFonts w:ascii="宋体" w:hAnsi="宋体" w:eastAsia="宋体" w:cs="宋体"/>
          <w:strike/>
          <w:dstrike w:val="0"/>
          <w:color w:val="auto"/>
          <w:spacing w:val="19"/>
          <w:sz w:val="24"/>
          <w:szCs w:val="24"/>
          <w:highlight w:val="none"/>
          <w:u w:val="single" w:color="auto"/>
        </w:rPr>
        <w:t xml:space="preserve">      </w:t>
      </w:r>
      <w:r>
        <w:rPr>
          <w:rFonts w:ascii="宋体" w:hAnsi="宋体" w:eastAsia="宋体" w:cs="宋体"/>
          <w:strike/>
          <w:dstrike w:val="0"/>
          <w:color w:val="auto"/>
          <w:spacing w:val="-101"/>
          <w:sz w:val="24"/>
          <w:szCs w:val="24"/>
          <w:highlight w:val="none"/>
        </w:rPr>
        <w:t xml:space="preserve"> </w:t>
      </w:r>
      <w:r>
        <w:rPr>
          <w:rFonts w:ascii="宋体" w:hAnsi="宋体" w:eastAsia="宋体" w:cs="宋体"/>
          <w:strike/>
          <w:dstrike w:val="0"/>
          <w:color w:val="auto"/>
          <w:sz w:val="24"/>
          <w:szCs w:val="24"/>
          <w:highlight w:val="none"/>
        </w:rPr>
        <w:t>万元，计划</w:t>
      </w:r>
      <w:r>
        <w:rPr>
          <w:rFonts w:ascii="宋体" w:hAnsi="宋体" w:eastAsia="宋体" w:cs="宋体"/>
          <w:strike/>
          <w:dstrike w:val="0"/>
          <w:color w:val="auto"/>
          <w:spacing w:val="-2"/>
          <w:sz w:val="24"/>
          <w:szCs w:val="24"/>
          <w:highlight w:val="none"/>
        </w:rPr>
        <w:t>工期</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99"/>
          <w:sz w:val="24"/>
          <w:szCs w:val="24"/>
          <w:highlight w:val="none"/>
        </w:rPr>
        <w:t xml:space="preserve"> </w:t>
      </w:r>
      <w:r>
        <w:rPr>
          <w:rFonts w:ascii="宋体" w:hAnsi="宋体" w:eastAsia="宋体" w:cs="宋体"/>
          <w:strike/>
          <w:dstrike w:val="0"/>
          <w:color w:val="auto"/>
          <w:spacing w:val="-2"/>
          <w:sz w:val="24"/>
          <w:szCs w:val="24"/>
          <w:highlight w:val="none"/>
        </w:rPr>
        <w:t>个月（或日历天）。</w:t>
      </w:r>
    </w:p>
    <w:p w14:paraId="1614EE87">
      <w:pPr>
        <w:spacing w:before="1" w:line="218" w:lineRule="auto"/>
        <w:ind w:left="6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是否属于政府采购工程</w:t>
      </w:r>
      <w:r>
        <w:rPr>
          <w:rFonts w:ascii="宋体" w:hAnsi="宋体" w:eastAsia="宋体" w:cs="宋体"/>
          <w:strike/>
          <w:dstrike w:val="0"/>
          <w:color w:val="auto"/>
          <w:spacing w:val="12"/>
          <w:sz w:val="24"/>
          <w:szCs w:val="24"/>
          <w:highlight w:val="none"/>
        </w:rPr>
        <w:t xml:space="preserve">   </w:t>
      </w:r>
      <w:r>
        <w:rPr>
          <w:rFonts w:ascii="宋体" w:hAnsi="宋体" w:eastAsia="宋体" w:cs="宋体"/>
          <w:strike/>
          <w:dstrike w:val="0"/>
          <w:color w:val="auto"/>
          <w:spacing w:val="-5"/>
          <w:sz w:val="24"/>
          <w:szCs w:val="24"/>
          <w:highlight w:val="none"/>
        </w:rPr>
        <w:t>□是</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5"/>
          <w:sz w:val="24"/>
          <w:szCs w:val="24"/>
          <w:highlight w:val="none"/>
        </w:rPr>
        <w:t>□否</w:t>
      </w:r>
    </w:p>
    <w:p w14:paraId="4BB2AE41">
      <w:pPr>
        <w:spacing w:before="182" w:line="220" w:lineRule="auto"/>
        <w:ind w:left="6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是否专门面向中小企业预留</w:t>
      </w:r>
    </w:p>
    <w:p w14:paraId="63627CB4">
      <w:pPr>
        <w:spacing w:before="182" w:line="283" w:lineRule="auto"/>
        <w:ind w:left="651" w:right="1258" w:firstLine="58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6"/>
          <w:sz w:val="24"/>
          <w:szCs w:val="24"/>
          <w:highlight w:val="none"/>
        </w:rPr>
        <w:t>□是  □否</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8"/>
          <w:sz w:val="25"/>
          <w:szCs w:val="25"/>
          <w:highlight w:val="none"/>
          <w:u w:val="single" w:color="auto"/>
        </w:rPr>
        <w:t xml:space="preserve"> </w:t>
      </w:r>
      <w:r>
        <w:rPr>
          <w:rFonts w:ascii="宋体" w:hAnsi="宋体" w:eastAsia="宋体" w:cs="宋体"/>
          <w:i/>
          <w:iCs/>
          <w:strike/>
          <w:dstrike w:val="0"/>
          <w:color w:val="auto"/>
          <w:spacing w:val="-16"/>
          <w:sz w:val="25"/>
          <w:szCs w:val="25"/>
          <w:highlight w:val="none"/>
          <w:u w:val="single" w:color="auto"/>
        </w:rPr>
        <w:t>（不专门面向中小企业采购的</w:t>
      </w:r>
      <w:r>
        <w:rPr>
          <w:rFonts w:ascii="宋体" w:hAnsi="宋体" w:eastAsia="宋体" w:cs="宋体"/>
          <w:i/>
          <w:iCs/>
          <w:strike/>
          <w:dstrike w:val="0"/>
          <w:color w:val="auto"/>
          <w:spacing w:val="-17"/>
          <w:sz w:val="25"/>
          <w:szCs w:val="25"/>
          <w:highlight w:val="none"/>
          <w:u w:val="single" w:color="auto"/>
        </w:rPr>
        <w:t>原因及适用</w:t>
      </w:r>
      <w:r>
        <w:rPr>
          <w:rFonts w:ascii="宋体" w:hAnsi="宋体" w:eastAsia="宋体" w:cs="宋体"/>
          <w:strike/>
          <w:dstrike w:val="0"/>
          <w:color w:val="auto"/>
          <w:spacing w:val="-17"/>
          <w:sz w:val="25"/>
          <w:szCs w:val="25"/>
          <w:highlight w:val="none"/>
          <w:u w:val="single" w:color="auto"/>
        </w:rPr>
        <w:t xml:space="preserve"> </w:t>
      </w:r>
      <w:r>
        <w:rPr>
          <w:rFonts w:ascii="宋体" w:hAnsi="宋体" w:eastAsia="宋体" w:cs="宋体"/>
          <w:i/>
          <w:iCs/>
          <w:strike/>
          <w:dstrike w:val="0"/>
          <w:color w:val="auto"/>
          <w:spacing w:val="-17"/>
          <w:sz w:val="25"/>
          <w:szCs w:val="25"/>
          <w:highlight w:val="none"/>
          <w:u w:val="single" w:color="auto"/>
        </w:rPr>
        <w:t>情形）</w:t>
      </w:r>
      <w:r>
        <w:rPr>
          <w:rFonts w:ascii="宋体" w:hAnsi="宋体" w:eastAsia="宋体" w:cs="宋体"/>
          <w:strike/>
          <w:dstrike w:val="0"/>
          <w:color w:val="auto"/>
          <w:spacing w:val="-1"/>
          <w:sz w:val="24"/>
          <w:szCs w:val="24"/>
          <w:highlight w:val="none"/>
        </w:rPr>
        <w:t>专门面向中小企业预留的实施方式</w:t>
      </w:r>
    </w:p>
    <w:p w14:paraId="3DAF752A">
      <w:pPr>
        <w:spacing w:before="182" w:line="219" w:lineRule="auto"/>
        <w:ind w:left="123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□本标段整体面向中小企业；</w:t>
      </w:r>
    </w:p>
    <w:p w14:paraId="70AB291C">
      <w:pPr>
        <w:spacing w:before="181" w:line="285" w:lineRule="auto"/>
        <w:ind w:left="9" w:right="30" w:firstLine="122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□本标段联合体形式面向中小企业，以联合体形式参加本次投标的，联合</w:t>
      </w:r>
      <w:r>
        <w:rPr>
          <w:rFonts w:ascii="宋体" w:hAnsi="宋体" w:eastAsia="宋体" w:cs="宋体"/>
          <w:strike/>
          <w:dstrike w:val="0"/>
          <w:color w:val="auto"/>
          <w:spacing w:val="-3"/>
          <w:sz w:val="24"/>
          <w:szCs w:val="24"/>
          <w:highlight w:val="none"/>
        </w:rPr>
        <w:t>体中中小企业承担的合同份额需达到</w:t>
      </w:r>
      <w:r>
        <w:rPr>
          <w:rFonts w:ascii="宋体" w:hAnsi="宋体" w:eastAsia="宋体" w:cs="宋体"/>
          <w:i/>
          <w:iCs/>
          <w:strike/>
          <w:dstrike w:val="0"/>
          <w:color w:val="auto"/>
          <w:spacing w:val="-3"/>
          <w:sz w:val="25"/>
          <w:szCs w:val="25"/>
          <w:highlight w:val="none"/>
          <w:u w:val="single" w:color="auto"/>
        </w:rPr>
        <w:t>（不低于</w:t>
      </w:r>
      <w:r>
        <w:rPr>
          <w:rFonts w:ascii="Times New Roman" w:hAnsi="Times New Roman" w:eastAsia="Times New Roman" w:cs="Times New Roman"/>
          <w:i/>
          <w:iCs/>
          <w:strike/>
          <w:dstrike w:val="0"/>
          <w:color w:val="auto"/>
          <w:spacing w:val="-3"/>
          <w:sz w:val="24"/>
          <w:szCs w:val="24"/>
          <w:highlight w:val="none"/>
          <w:u w:val="single" w:color="auto"/>
        </w:rPr>
        <w:t>40%</w:t>
      </w:r>
      <w:r>
        <w:rPr>
          <w:rFonts w:ascii="宋体" w:hAnsi="宋体" w:eastAsia="宋体" w:cs="宋体"/>
          <w:i/>
          <w:iCs/>
          <w:strike/>
          <w:dstrike w:val="0"/>
          <w:color w:val="auto"/>
          <w:spacing w:val="-3"/>
          <w:sz w:val="25"/>
          <w:szCs w:val="25"/>
          <w:highlight w:val="none"/>
          <w:u w:val="single" w:color="auto"/>
        </w:rPr>
        <w:t>）</w:t>
      </w:r>
      <w:r>
        <w:rPr>
          <w:rFonts w:ascii="宋体" w:hAnsi="宋体" w:eastAsia="宋体" w:cs="宋体"/>
          <w:strike/>
          <w:dstrike w:val="0"/>
          <w:color w:val="auto"/>
          <w:spacing w:val="-3"/>
          <w:sz w:val="24"/>
          <w:szCs w:val="24"/>
          <w:highlight w:val="none"/>
        </w:rPr>
        <w:t>以上。</w:t>
      </w:r>
    </w:p>
    <w:p w14:paraId="4AAE847C">
      <w:pPr>
        <w:spacing w:before="183" w:line="220" w:lineRule="auto"/>
        <w:ind w:left="4"/>
        <w:outlineLvl w:val="1"/>
        <w:rPr>
          <w:rFonts w:ascii="宋体" w:hAnsi="宋体" w:eastAsia="宋体" w:cs="宋体"/>
          <w:strike w:val="0"/>
          <w:dstrike w:val="0"/>
          <w:color w:val="auto"/>
          <w:sz w:val="28"/>
          <w:szCs w:val="28"/>
          <w:highlight w:val="none"/>
        </w:rPr>
      </w:pPr>
      <w:bookmarkStart w:id="52" w:name="bookmark16"/>
      <w:bookmarkEnd w:id="52"/>
      <w:bookmarkStart w:id="53" w:name="_Toc4669"/>
      <w:r>
        <w:rPr>
          <w:rFonts w:ascii="Times New Roman" w:hAnsi="Times New Roman" w:eastAsia="Times New Roman" w:cs="Times New Roman"/>
          <w:b/>
          <w:bCs/>
          <w:strike w:val="0"/>
          <w:dstrike w:val="0"/>
          <w:color w:val="auto"/>
          <w:spacing w:val="-2"/>
          <w:sz w:val="28"/>
          <w:szCs w:val="28"/>
          <w:highlight w:val="none"/>
        </w:rPr>
        <w:t xml:space="preserve">3  </w:t>
      </w:r>
      <w:r>
        <w:rPr>
          <w:rFonts w:ascii="宋体" w:hAnsi="宋体" w:eastAsia="宋体" w:cs="宋体"/>
          <w:b/>
          <w:bCs/>
          <w:strike w:val="0"/>
          <w:dstrike w:val="0"/>
          <w:color w:val="auto"/>
          <w:spacing w:val="-2"/>
          <w:sz w:val="28"/>
          <w:szCs w:val="28"/>
          <w:highlight w:val="none"/>
        </w:rPr>
        <w:t>投标人资格要求</w:t>
      </w:r>
      <w:bookmarkEnd w:id="53"/>
    </w:p>
    <w:p w14:paraId="54EABB28">
      <w:pPr>
        <w:spacing w:before="205" w:line="219" w:lineRule="auto"/>
        <w:ind w:left="48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3.1  </w:t>
      </w:r>
      <w:r>
        <w:rPr>
          <w:rFonts w:ascii="宋体" w:hAnsi="宋体" w:eastAsia="宋体" w:cs="宋体"/>
          <w:strike/>
          <w:dstrike w:val="0"/>
          <w:color w:val="auto"/>
          <w:spacing w:val="-1"/>
          <w:sz w:val="24"/>
          <w:szCs w:val="24"/>
          <w:highlight w:val="none"/>
        </w:rPr>
        <w:t>本次招标要求投标人具备</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100"/>
          <w:sz w:val="24"/>
          <w:szCs w:val="24"/>
          <w:highlight w:val="none"/>
        </w:rPr>
        <w:t xml:space="preserve"> </w:t>
      </w:r>
      <w:r>
        <w:rPr>
          <w:rFonts w:ascii="宋体" w:hAnsi="宋体" w:eastAsia="宋体" w:cs="宋体"/>
          <w:strike/>
          <w:dstrike w:val="0"/>
          <w:color w:val="auto"/>
          <w:spacing w:val="-2"/>
          <w:sz w:val="24"/>
          <w:szCs w:val="24"/>
          <w:highlight w:val="none"/>
        </w:rPr>
        <w:t>资质，其他条件详见附表。</w:t>
      </w:r>
    </w:p>
    <w:p w14:paraId="1031B169">
      <w:pPr>
        <w:spacing w:before="182" w:line="285" w:lineRule="auto"/>
        <w:ind w:left="10" w:right="52" w:firstLine="47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9"/>
          <w:sz w:val="24"/>
          <w:szCs w:val="24"/>
          <w:highlight w:val="none"/>
        </w:rPr>
        <w:t xml:space="preserve">3.2  </w:t>
      </w:r>
      <w:r>
        <w:rPr>
          <w:rFonts w:ascii="宋体" w:hAnsi="宋体" w:eastAsia="宋体" w:cs="宋体"/>
          <w:strike/>
          <w:dstrike w:val="0"/>
          <w:color w:val="auto"/>
          <w:spacing w:val="-9"/>
          <w:sz w:val="24"/>
          <w:szCs w:val="24"/>
          <w:highlight w:val="none"/>
        </w:rPr>
        <w:t>本次招标</w:t>
      </w:r>
      <w:r>
        <w:rPr>
          <w:rFonts w:ascii="宋体" w:hAnsi="宋体" w:eastAsia="宋体" w:cs="宋体"/>
          <w:strike/>
          <w:dstrike w:val="0"/>
          <w:color w:val="auto"/>
          <w:spacing w:val="-9"/>
          <w:sz w:val="24"/>
          <w:szCs w:val="24"/>
          <w:highlight w:val="none"/>
          <w:u w:val="single" w:color="auto"/>
        </w:rPr>
        <w:t xml:space="preserve">     </w:t>
      </w:r>
      <w:r>
        <w:rPr>
          <w:rFonts w:ascii="宋体" w:hAnsi="宋体" w:eastAsia="宋体" w:cs="宋体"/>
          <w:strike/>
          <w:dstrike w:val="0"/>
          <w:color w:val="auto"/>
          <w:spacing w:val="-9"/>
          <w:sz w:val="24"/>
          <w:szCs w:val="24"/>
          <w:highlight w:val="none"/>
        </w:rPr>
        <w:t>（</w:t>
      </w:r>
      <w:r>
        <w:rPr>
          <w:rFonts w:ascii="宋体" w:hAnsi="宋体" w:eastAsia="宋体" w:cs="宋体"/>
          <w:strike/>
          <w:dstrike w:val="0"/>
          <w:color w:val="auto"/>
          <w:spacing w:val="-66"/>
          <w:sz w:val="24"/>
          <w:szCs w:val="24"/>
          <w:highlight w:val="none"/>
        </w:rPr>
        <w:t xml:space="preserve"> </w:t>
      </w:r>
      <w:r>
        <w:rPr>
          <w:rFonts w:ascii="宋体" w:hAnsi="宋体" w:eastAsia="宋体" w:cs="宋体"/>
          <w:i/>
          <w:iCs/>
          <w:strike/>
          <w:dstrike w:val="0"/>
          <w:color w:val="auto"/>
          <w:spacing w:val="-9"/>
          <w:sz w:val="25"/>
          <w:szCs w:val="25"/>
          <w:highlight w:val="none"/>
        </w:rPr>
        <w:t>接受或不接受</w:t>
      </w:r>
      <w:r>
        <w:rPr>
          <w:rFonts w:ascii="宋体" w:hAnsi="宋体" w:eastAsia="宋体" w:cs="宋体"/>
          <w:strike/>
          <w:dstrike w:val="0"/>
          <w:color w:val="auto"/>
          <w:spacing w:val="-9"/>
          <w:sz w:val="24"/>
          <w:szCs w:val="24"/>
          <w:highlight w:val="none"/>
        </w:rPr>
        <w:t>）联合</w:t>
      </w:r>
      <w:r>
        <w:rPr>
          <w:rFonts w:ascii="宋体" w:hAnsi="宋体" w:eastAsia="宋体" w:cs="宋体"/>
          <w:strike/>
          <w:dstrike w:val="0"/>
          <w:color w:val="auto"/>
          <w:spacing w:val="-10"/>
          <w:sz w:val="24"/>
          <w:szCs w:val="24"/>
          <w:highlight w:val="none"/>
        </w:rPr>
        <w:t>体投标。接受联合体投标，</w:t>
      </w:r>
      <w:r>
        <w:rPr>
          <w:rFonts w:ascii="宋体" w:hAnsi="宋体" w:eastAsia="宋体" w:cs="宋体"/>
          <w:strike/>
          <w:dstrike w:val="0"/>
          <w:color w:val="auto"/>
          <w:spacing w:val="-33"/>
          <w:sz w:val="24"/>
          <w:szCs w:val="24"/>
          <w:highlight w:val="none"/>
        </w:rPr>
        <w:t xml:space="preserve"> </w:t>
      </w:r>
      <w:r>
        <w:rPr>
          <w:rFonts w:ascii="宋体" w:hAnsi="宋体" w:eastAsia="宋体" w:cs="宋体"/>
          <w:strike/>
          <w:dstrike w:val="0"/>
          <w:color w:val="auto"/>
          <w:spacing w:val="-10"/>
          <w:sz w:val="24"/>
          <w:szCs w:val="24"/>
          <w:highlight w:val="none"/>
        </w:rPr>
        <w:t>应满足下列</w:t>
      </w:r>
      <w:r>
        <w:rPr>
          <w:rFonts w:ascii="宋体" w:hAnsi="宋体" w:eastAsia="宋体" w:cs="宋体"/>
          <w:strike/>
          <w:dstrike w:val="0"/>
          <w:color w:val="auto"/>
          <w:spacing w:val="-15"/>
          <w:sz w:val="24"/>
          <w:szCs w:val="24"/>
          <w:highlight w:val="none"/>
        </w:rPr>
        <w:t>要求：</w:t>
      </w:r>
    </w:p>
    <w:p w14:paraId="583F94BA">
      <w:pPr>
        <w:spacing w:before="178" w:line="220" w:lineRule="auto"/>
        <w:ind w:left="49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）联合体所有成员数量不得超过</w:t>
      </w:r>
      <w:r>
        <w:rPr>
          <w:rFonts w:ascii="宋体" w:hAnsi="宋体" w:eastAsia="宋体" w:cs="宋体"/>
          <w:strike/>
          <w:dstrike w:val="0"/>
          <w:color w:val="auto"/>
          <w:spacing w:val="-9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1"/>
          <w:sz w:val="24"/>
          <w:szCs w:val="24"/>
          <w:highlight w:val="none"/>
        </w:rPr>
        <w:t xml:space="preserve"> </w:t>
      </w:r>
      <w:r>
        <w:rPr>
          <w:rFonts w:ascii="宋体" w:hAnsi="宋体" w:eastAsia="宋体" w:cs="宋体"/>
          <w:strike/>
          <w:dstrike w:val="0"/>
          <w:color w:val="auto"/>
          <w:spacing w:val="-4"/>
          <w:sz w:val="24"/>
          <w:szCs w:val="24"/>
          <w:highlight w:val="none"/>
        </w:rPr>
        <w:t>个；</w:t>
      </w:r>
    </w:p>
    <w:p w14:paraId="4832DC94">
      <w:pPr>
        <w:spacing w:before="182" w:line="219" w:lineRule="auto"/>
        <w:ind w:left="49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）以</w:t>
      </w:r>
      <w:r>
        <w:rPr>
          <w:rFonts w:ascii="宋体" w:hAnsi="宋体" w:eastAsia="宋体" w:cs="宋体"/>
          <w:strike/>
          <w:dstrike w:val="0"/>
          <w:color w:val="auto"/>
          <w:spacing w:val="-99"/>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7"/>
          <w:sz w:val="24"/>
          <w:szCs w:val="24"/>
          <w:highlight w:val="none"/>
        </w:rPr>
        <w:t>方作为联合体牵头人；</w:t>
      </w:r>
    </w:p>
    <w:p w14:paraId="5D25930E">
      <w:pPr>
        <w:spacing w:before="181" w:line="219" w:lineRule="auto"/>
        <w:ind w:left="49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1"/>
          <w:sz w:val="24"/>
          <w:szCs w:val="24"/>
          <w:highlight w:val="none"/>
        </w:rPr>
        <w:t>）拟派项目主要成员的委派要求</w:t>
      </w:r>
      <w:r>
        <w:rPr>
          <w:rFonts w:ascii="宋体" w:hAnsi="宋体" w:eastAsia="宋体" w:cs="宋体"/>
          <w:strike/>
          <w:dstrike w:val="0"/>
          <w:color w:val="auto"/>
          <w:spacing w:val="-107"/>
          <w:sz w:val="24"/>
          <w:szCs w:val="24"/>
          <w:highlight w:val="none"/>
        </w:rPr>
        <w:t xml:space="preserve">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1"/>
          <w:sz w:val="24"/>
          <w:szCs w:val="24"/>
          <w:highlight w:val="none"/>
        </w:rPr>
        <w:t>；</w:t>
      </w:r>
    </w:p>
    <w:p w14:paraId="5B406C46">
      <w:pPr>
        <w:spacing w:line="219"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0A56015">
      <w:pPr>
        <w:spacing w:before="208" w:line="75" w:lineRule="exact"/>
        <w:ind w:left="1219"/>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pacing w:val="-7"/>
          <w:position w:val="-1"/>
          <w:sz w:val="24"/>
          <w:szCs w:val="24"/>
          <w:highlight w:val="none"/>
        </w:rPr>
        <w:t>……</w:t>
      </w:r>
    </w:p>
    <w:p w14:paraId="3DE216F4">
      <w:pPr>
        <w:spacing w:before="179" w:line="220" w:lineRule="auto"/>
        <w:outlineLvl w:val="1"/>
        <w:rPr>
          <w:rFonts w:ascii="宋体" w:hAnsi="宋体" w:eastAsia="宋体" w:cs="宋体"/>
          <w:strike w:val="0"/>
          <w:dstrike w:val="0"/>
          <w:color w:val="auto"/>
          <w:sz w:val="28"/>
          <w:szCs w:val="28"/>
          <w:highlight w:val="none"/>
        </w:rPr>
      </w:pPr>
      <w:bookmarkStart w:id="54" w:name="_Toc8516"/>
      <w:r>
        <w:rPr>
          <w:rFonts w:ascii="Times New Roman" w:hAnsi="Times New Roman" w:eastAsia="Times New Roman" w:cs="Times New Roman"/>
          <w:b/>
          <w:bCs/>
          <w:strike w:val="0"/>
          <w:dstrike w:val="0"/>
          <w:color w:val="auto"/>
          <w:spacing w:val="-2"/>
          <w:sz w:val="28"/>
          <w:szCs w:val="28"/>
          <w:highlight w:val="none"/>
        </w:rPr>
        <w:t xml:space="preserve">4  </w:t>
      </w:r>
      <w:r>
        <w:rPr>
          <w:rFonts w:ascii="宋体" w:hAnsi="宋体" w:eastAsia="宋体" w:cs="宋体"/>
          <w:b/>
          <w:bCs/>
          <w:strike w:val="0"/>
          <w:dstrike w:val="0"/>
          <w:color w:val="auto"/>
          <w:spacing w:val="-2"/>
          <w:sz w:val="28"/>
          <w:szCs w:val="28"/>
          <w:highlight w:val="none"/>
        </w:rPr>
        <w:t>招标文件的获取</w:t>
      </w:r>
      <w:bookmarkEnd w:id="54"/>
    </w:p>
    <w:p w14:paraId="4CD3270D">
      <w:pPr>
        <w:spacing w:before="204" w:line="356" w:lineRule="auto"/>
        <w:ind w:left="9" w:right="182" w:firstLine="47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4"/>
          <w:sz w:val="24"/>
          <w:szCs w:val="24"/>
          <w:highlight w:val="none"/>
        </w:rPr>
        <w:t>请于</w:t>
      </w:r>
      <w:r>
        <w:rPr>
          <w:rFonts w:ascii="宋体" w:hAnsi="宋体" w:eastAsia="宋体" w:cs="宋体"/>
          <w:strike/>
          <w:dstrike w:val="0"/>
          <w:color w:val="auto"/>
          <w:spacing w:val="-106"/>
          <w:sz w:val="24"/>
          <w:szCs w:val="24"/>
          <w:highlight w:val="none"/>
        </w:rPr>
        <w:t xml:space="preserve"> </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14"/>
          <w:sz w:val="24"/>
          <w:szCs w:val="24"/>
          <w:highlight w:val="none"/>
        </w:rPr>
        <w:t>年</w:t>
      </w:r>
      <w:r>
        <w:rPr>
          <w:rFonts w:ascii="宋体" w:hAnsi="宋体" w:eastAsia="宋体" w:cs="宋体"/>
          <w:strike/>
          <w:dstrike w:val="0"/>
          <w:color w:val="auto"/>
          <w:spacing w:val="-11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14"/>
          <w:sz w:val="24"/>
          <w:szCs w:val="24"/>
          <w:highlight w:val="none"/>
        </w:rPr>
        <w:t>月</w:t>
      </w:r>
      <w:r>
        <w:rPr>
          <w:rFonts w:ascii="宋体" w:hAnsi="宋体" w:eastAsia="宋体" w:cs="宋体"/>
          <w:strike/>
          <w:dstrike w:val="0"/>
          <w:color w:val="auto"/>
          <w:spacing w:val="-118"/>
          <w:sz w:val="24"/>
          <w:szCs w:val="24"/>
          <w:highlight w:val="none"/>
        </w:rPr>
        <w:t xml:space="preserve"> </w:t>
      </w:r>
      <w:r>
        <w:rPr>
          <w:rFonts w:ascii="宋体" w:hAnsi="宋体" w:eastAsia="宋体" w:cs="宋体"/>
          <w:strike/>
          <w:dstrike w:val="0"/>
          <w:color w:val="auto"/>
          <w:spacing w:val="39"/>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14"/>
          <w:sz w:val="24"/>
          <w:szCs w:val="24"/>
          <w:highlight w:val="none"/>
        </w:rPr>
        <w:t>日</w:t>
      </w:r>
      <w:r>
        <w:rPr>
          <w:rFonts w:ascii="宋体" w:hAnsi="宋体" w:eastAsia="宋体" w:cs="宋体"/>
          <w:strike/>
          <w:dstrike w:val="0"/>
          <w:color w:val="auto"/>
          <w:spacing w:val="-117"/>
          <w:sz w:val="24"/>
          <w:szCs w:val="24"/>
          <w:highlight w:val="none"/>
        </w:rPr>
        <w:t xml:space="preserve"> </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100"/>
          <w:sz w:val="24"/>
          <w:szCs w:val="24"/>
          <w:highlight w:val="none"/>
        </w:rPr>
        <w:t xml:space="preserve"> </w:t>
      </w:r>
      <w:r>
        <w:rPr>
          <w:rFonts w:ascii="宋体" w:hAnsi="宋体" w:eastAsia="宋体" w:cs="宋体"/>
          <w:strike/>
          <w:dstrike w:val="0"/>
          <w:color w:val="auto"/>
          <w:spacing w:val="-14"/>
          <w:sz w:val="24"/>
          <w:szCs w:val="24"/>
          <w:highlight w:val="none"/>
        </w:rPr>
        <w:t>时</w:t>
      </w:r>
      <w:r>
        <w:rPr>
          <w:rFonts w:ascii="宋体" w:hAnsi="宋体" w:eastAsia="宋体" w:cs="宋体"/>
          <w:strike/>
          <w:dstrike w:val="0"/>
          <w:color w:val="auto"/>
          <w:spacing w:val="-117"/>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4"/>
          <w:sz w:val="24"/>
          <w:szCs w:val="24"/>
          <w:highlight w:val="none"/>
        </w:rPr>
        <w:t>分至</w:t>
      </w:r>
      <w:r>
        <w:rPr>
          <w:rFonts w:ascii="宋体" w:hAnsi="宋体" w:eastAsia="宋体" w:cs="宋体"/>
          <w:strike/>
          <w:dstrike w:val="0"/>
          <w:color w:val="auto"/>
          <w:spacing w:val="-11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14"/>
          <w:sz w:val="24"/>
          <w:szCs w:val="24"/>
          <w:highlight w:val="none"/>
        </w:rPr>
        <w:t>年</w:t>
      </w:r>
      <w:r>
        <w:rPr>
          <w:rFonts w:ascii="宋体" w:hAnsi="宋体" w:eastAsia="宋体" w:cs="宋体"/>
          <w:strike/>
          <w:dstrike w:val="0"/>
          <w:color w:val="auto"/>
          <w:spacing w:val="-118"/>
          <w:sz w:val="24"/>
          <w:szCs w:val="24"/>
          <w:highlight w:val="none"/>
        </w:rPr>
        <w:t xml:space="preserve"> </w:t>
      </w:r>
      <w:r>
        <w:rPr>
          <w:rFonts w:ascii="宋体" w:hAnsi="宋体" w:eastAsia="宋体" w:cs="宋体"/>
          <w:strike/>
          <w:dstrike w:val="0"/>
          <w:color w:val="auto"/>
          <w:spacing w:val="39"/>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14"/>
          <w:sz w:val="24"/>
          <w:szCs w:val="24"/>
          <w:highlight w:val="none"/>
        </w:rPr>
        <w:t>月</w:t>
      </w:r>
      <w:r>
        <w:rPr>
          <w:rFonts w:ascii="宋体" w:hAnsi="宋体" w:eastAsia="宋体" w:cs="宋体"/>
          <w:strike/>
          <w:dstrike w:val="0"/>
          <w:color w:val="auto"/>
          <w:spacing w:val="-11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14"/>
          <w:sz w:val="24"/>
          <w:szCs w:val="24"/>
          <w:highlight w:val="none"/>
        </w:rPr>
        <w:t>日</w:t>
      </w:r>
      <w:r>
        <w:rPr>
          <w:rFonts w:ascii="宋体" w:hAnsi="宋体" w:eastAsia="宋体" w:cs="宋体"/>
          <w:strike/>
          <w:dstrike w:val="0"/>
          <w:color w:val="auto"/>
          <w:spacing w:val="-11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99"/>
          <w:sz w:val="24"/>
          <w:szCs w:val="24"/>
          <w:highlight w:val="none"/>
        </w:rPr>
        <w:t xml:space="preserve"> </w:t>
      </w:r>
      <w:r>
        <w:rPr>
          <w:rFonts w:ascii="宋体" w:hAnsi="宋体" w:eastAsia="宋体" w:cs="宋体"/>
          <w:strike/>
          <w:dstrike w:val="0"/>
          <w:color w:val="auto"/>
          <w:spacing w:val="-14"/>
          <w:sz w:val="24"/>
          <w:szCs w:val="24"/>
          <w:highlight w:val="none"/>
        </w:rPr>
        <w:t>时</w:t>
      </w:r>
      <w:r>
        <w:rPr>
          <w:rFonts w:ascii="宋体" w:hAnsi="宋体" w:eastAsia="宋体" w:cs="宋体"/>
          <w:strike/>
          <w:dstrike w:val="0"/>
          <w:color w:val="auto"/>
          <w:spacing w:val="-118"/>
          <w:sz w:val="24"/>
          <w:szCs w:val="24"/>
          <w:highlight w:val="none"/>
        </w:rPr>
        <w:t xml:space="preserve"> </w:t>
      </w:r>
      <w:r>
        <w:rPr>
          <w:rFonts w:ascii="宋体" w:hAnsi="宋体" w:eastAsia="宋体" w:cs="宋体"/>
          <w:strike/>
          <w:dstrike w:val="0"/>
          <w:color w:val="auto"/>
          <w:spacing w:val="118"/>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4"/>
          <w:sz w:val="24"/>
          <w:szCs w:val="24"/>
          <w:highlight w:val="none"/>
        </w:rPr>
        <w:t>分（北京时</w:t>
      </w:r>
      <w:r>
        <w:rPr>
          <w:rFonts w:ascii="宋体" w:hAnsi="宋体" w:eastAsia="宋体" w:cs="宋体"/>
          <w:strike/>
          <w:dstrike w:val="0"/>
          <w:color w:val="auto"/>
          <w:spacing w:val="-12"/>
          <w:sz w:val="24"/>
          <w:szCs w:val="24"/>
          <w:highlight w:val="none"/>
        </w:rPr>
        <w:t>间，下同</w:t>
      </w:r>
      <w:r>
        <w:rPr>
          <w:rFonts w:ascii="宋体" w:hAnsi="宋体" w:eastAsia="宋体" w:cs="宋体"/>
          <w:strike/>
          <w:dstrike w:val="0"/>
          <w:color w:val="auto"/>
          <w:spacing w:val="-37"/>
          <w:sz w:val="24"/>
          <w:szCs w:val="24"/>
          <w:highlight w:val="none"/>
        </w:rPr>
        <w:t>），</w:t>
      </w:r>
      <w:r>
        <w:rPr>
          <w:rFonts w:ascii="宋体" w:hAnsi="宋体" w:eastAsia="宋体" w:cs="宋体"/>
          <w:strike/>
          <w:dstrike w:val="0"/>
          <w:color w:val="auto"/>
          <w:spacing w:val="-12"/>
          <w:sz w:val="24"/>
          <w:szCs w:val="24"/>
          <w:highlight w:val="none"/>
        </w:rPr>
        <w:t>登录</w:t>
      </w:r>
      <w:r>
        <w:rPr>
          <w:rFonts w:ascii="宋体" w:hAnsi="宋体" w:eastAsia="宋体" w:cs="宋体"/>
          <w:strike/>
          <w:dstrike w:val="0"/>
          <w:color w:val="auto"/>
          <w:spacing w:val="-12"/>
          <w:sz w:val="24"/>
          <w:szCs w:val="24"/>
          <w:highlight w:val="none"/>
          <w:u w:val="single" w:color="auto"/>
        </w:rPr>
        <w:t xml:space="preserve">                                 </w:t>
      </w:r>
      <w:r>
        <w:rPr>
          <w:rFonts w:ascii="宋体" w:hAnsi="宋体" w:eastAsia="宋体" w:cs="宋体"/>
          <w:strike/>
          <w:dstrike w:val="0"/>
          <w:color w:val="auto"/>
          <w:spacing w:val="-12"/>
          <w:sz w:val="24"/>
          <w:szCs w:val="24"/>
          <w:highlight w:val="none"/>
        </w:rPr>
        <w:t xml:space="preserve">（ </w:t>
      </w:r>
      <w:r>
        <w:rPr>
          <w:rFonts w:ascii="宋体" w:hAnsi="宋体" w:eastAsia="宋体" w:cs="宋体"/>
          <w:i/>
          <w:iCs/>
          <w:strike/>
          <w:dstrike w:val="0"/>
          <w:color w:val="auto"/>
          <w:spacing w:val="-12"/>
          <w:sz w:val="25"/>
          <w:szCs w:val="25"/>
          <w:highlight w:val="none"/>
        </w:rPr>
        <w:t>电子招标投标交易平台名称</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6"/>
          <w:sz w:val="24"/>
          <w:szCs w:val="24"/>
          <w:highlight w:val="none"/>
        </w:rPr>
        <w:t>下载电子招标文件。</w:t>
      </w:r>
    </w:p>
    <w:p w14:paraId="3C5C7C6B">
      <w:pPr>
        <w:spacing w:line="220" w:lineRule="auto"/>
        <w:ind w:left="2"/>
        <w:outlineLvl w:val="1"/>
        <w:rPr>
          <w:rFonts w:ascii="宋体" w:hAnsi="宋体" w:eastAsia="宋体" w:cs="宋体"/>
          <w:strike w:val="0"/>
          <w:dstrike w:val="0"/>
          <w:color w:val="auto"/>
          <w:sz w:val="28"/>
          <w:szCs w:val="28"/>
          <w:highlight w:val="none"/>
        </w:rPr>
      </w:pPr>
      <w:bookmarkStart w:id="55" w:name="bookmark18"/>
      <w:bookmarkEnd w:id="55"/>
      <w:bookmarkStart w:id="56" w:name="_Toc15582"/>
      <w:r>
        <w:rPr>
          <w:rFonts w:ascii="Times New Roman" w:hAnsi="Times New Roman" w:eastAsia="Times New Roman" w:cs="Times New Roman"/>
          <w:b/>
          <w:bCs/>
          <w:strike w:val="0"/>
          <w:dstrike w:val="0"/>
          <w:color w:val="auto"/>
          <w:spacing w:val="-3"/>
          <w:sz w:val="28"/>
          <w:szCs w:val="28"/>
          <w:highlight w:val="none"/>
        </w:rPr>
        <w:t xml:space="preserve">5  </w:t>
      </w:r>
      <w:r>
        <w:rPr>
          <w:rFonts w:ascii="宋体" w:hAnsi="宋体" w:eastAsia="宋体" w:cs="宋体"/>
          <w:b/>
          <w:bCs/>
          <w:strike w:val="0"/>
          <w:dstrike w:val="0"/>
          <w:color w:val="auto"/>
          <w:spacing w:val="-3"/>
          <w:sz w:val="28"/>
          <w:szCs w:val="28"/>
          <w:highlight w:val="none"/>
        </w:rPr>
        <w:t>投标文件的递交</w:t>
      </w:r>
      <w:bookmarkEnd w:id="56"/>
    </w:p>
    <w:p w14:paraId="0DA209A8">
      <w:pPr>
        <w:spacing w:before="204" w:line="305" w:lineRule="auto"/>
        <w:ind w:left="13" w:right="327" w:firstLine="47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5.1</w:t>
      </w:r>
      <w:r>
        <w:rPr>
          <w:rFonts w:ascii="宋体" w:hAnsi="宋体" w:eastAsia="宋体" w:cs="宋体"/>
          <w:strike/>
          <w:dstrike w:val="0"/>
          <w:color w:val="auto"/>
          <w:spacing w:val="-2"/>
          <w:sz w:val="24"/>
          <w:szCs w:val="24"/>
          <w:highlight w:val="none"/>
        </w:rPr>
        <w:t>投标文件递交的截止时间（投标截止时间，下同）为</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2"/>
          <w:sz w:val="24"/>
          <w:szCs w:val="24"/>
          <w:highlight w:val="none"/>
        </w:rPr>
        <w:t>年</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2"/>
          <w:sz w:val="24"/>
          <w:szCs w:val="24"/>
          <w:highlight w:val="none"/>
        </w:rPr>
        <w:t>月</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3"/>
          <w:sz w:val="24"/>
          <w:szCs w:val="24"/>
          <w:highlight w:val="none"/>
        </w:rPr>
        <w:t>日</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10"/>
          <w:sz w:val="24"/>
          <w:szCs w:val="24"/>
          <w:highlight w:val="none"/>
        </w:rPr>
        <w:t>时</w:t>
      </w:r>
      <w:r>
        <w:rPr>
          <w:rFonts w:ascii="宋体" w:hAnsi="宋体" w:eastAsia="宋体" w:cs="宋体"/>
          <w:strike/>
          <w:dstrike w:val="0"/>
          <w:color w:val="auto"/>
          <w:spacing w:val="-10"/>
          <w:sz w:val="24"/>
          <w:szCs w:val="24"/>
          <w:highlight w:val="none"/>
          <w:u w:val="single" w:color="auto"/>
        </w:rPr>
        <w:t xml:space="preserve">  </w:t>
      </w:r>
      <w:r>
        <w:rPr>
          <w:rFonts w:ascii="宋体" w:hAnsi="宋体" w:eastAsia="宋体" w:cs="宋体"/>
          <w:strike/>
          <w:dstrike w:val="0"/>
          <w:color w:val="auto"/>
          <w:spacing w:val="-90"/>
          <w:sz w:val="24"/>
          <w:szCs w:val="24"/>
          <w:highlight w:val="none"/>
        </w:rPr>
        <w:t xml:space="preserve"> </w:t>
      </w:r>
      <w:r>
        <w:rPr>
          <w:rFonts w:ascii="宋体" w:hAnsi="宋体" w:eastAsia="宋体" w:cs="宋体"/>
          <w:strike/>
          <w:dstrike w:val="0"/>
          <w:color w:val="auto"/>
          <w:spacing w:val="-10"/>
          <w:sz w:val="24"/>
          <w:szCs w:val="24"/>
          <w:highlight w:val="none"/>
        </w:rPr>
        <w:t>分，投标人应在截止时间前通过</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
          <w:sz w:val="24"/>
          <w:szCs w:val="24"/>
          <w:highlight w:val="none"/>
        </w:rPr>
        <w:t xml:space="preserve">（ </w:t>
      </w:r>
      <w:r>
        <w:rPr>
          <w:rFonts w:ascii="宋体" w:hAnsi="宋体" w:eastAsia="宋体" w:cs="宋体"/>
          <w:i/>
          <w:iCs/>
          <w:strike/>
          <w:dstrike w:val="0"/>
          <w:color w:val="auto"/>
          <w:spacing w:val="-10"/>
          <w:sz w:val="25"/>
          <w:szCs w:val="25"/>
          <w:highlight w:val="none"/>
        </w:rPr>
        <w:t>电子招标投标交易平台名</w:t>
      </w:r>
      <w:r>
        <w:rPr>
          <w:rFonts w:ascii="宋体" w:hAnsi="宋体" w:eastAsia="宋体" w:cs="宋体"/>
          <w:i/>
          <w:iCs/>
          <w:strike/>
          <w:dstrike w:val="0"/>
          <w:color w:val="auto"/>
          <w:spacing w:val="-5"/>
          <w:sz w:val="25"/>
          <w:szCs w:val="25"/>
          <w:highlight w:val="none"/>
        </w:rPr>
        <w:t>称</w:t>
      </w:r>
      <w:r>
        <w:rPr>
          <w:rFonts w:ascii="宋体" w:hAnsi="宋体" w:eastAsia="宋体" w:cs="宋体"/>
          <w:strike/>
          <w:dstrike w:val="0"/>
          <w:color w:val="auto"/>
          <w:spacing w:val="-5"/>
          <w:sz w:val="24"/>
          <w:szCs w:val="24"/>
          <w:highlight w:val="none"/>
        </w:rPr>
        <w:t>）上传加密电子投标文件。</w:t>
      </w:r>
    </w:p>
    <w:p w14:paraId="37600AD9">
      <w:pPr>
        <w:spacing w:before="180" w:line="219" w:lineRule="auto"/>
        <w:ind w:left="48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5.2</w:t>
      </w:r>
      <w:r>
        <w:rPr>
          <w:rFonts w:ascii="宋体" w:hAnsi="宋体" w:eastAsia="宋体" w:cs="宋体"/>
          <w:strike/>
          <w:dstrike w:val="0"/>
          <w:color w:val="auto"/>
          <w:spacing w:val="-1"/>
          <w:sz w:val="24"/>
          <w:szCs w:val="24"/>
          <w:highlight w:val="none"/>
        </w:rPr>
        <w:t>未按招标文件要求上传或未按规定加密的投标</w:t>
      </w:r>
      <w:r>
        <w:rPr>
          <w:rFonts w:ascii="宋体" w:hAnsi="宋体" w:eastAsia="宋体" w:cs="宋体"/>
          <w:strike/>
          <w:dstrike w:val="0"/>
          <w:color w:val="auto"/>
          <w:spacing w:val="-2"/>
          <w:sz w:val="24"/>
          <w:szCs w:val="24"/>
          <w:highlight w:val="none"/>
        </w:rPr>
        <w:t>文件，招标人将予以拒收。</w:t>
      </w:r>
    </w:p>
    <w:p w14:paraId="6B38B009">
      <w:pPr>
        <w:spacing w:before="187" w:line="220" w:lineRule="auto"/>
        <w:ind w:left="3"/>
        <w:outlineLvl w:val="1"/>
        <w:rPr>
          <w:rFonts w:ascii="宋体" w:hAnsi="宋体" w:eastAsia="宋体" w:cs="宋体"/>
          <w:strike w:val="0"/>
          <w:dstrike w:val="0"/>
          <w:color w:val="auto"/>
          <w:sz w:val="28"/>
          <w:szCs w:val="28"/>
          <w:highlight w:val="none"/>
        </w:rPr>
      </w:pPr>
      <w:bookmarkStart w:id="57" w:name="_Toc5104"/>
      <w:r>
        <w:rPr>
          <w:rFonts w:ascii="Times New Roman" w:hAnsi="Times New Roman" w:eastAsia="Times New Roman" w:cs="Times New Roman"/>
          <w:b/>
          <w:bCs/>
          <w:strike w:val="0"/>
          <w:dstrike w:val="0"/>
          <w:color w:val="auto"/>
          <w:spacing w:val="-3"/>
          <w:sz w:val="28"/>
          <w:szCs w:val="28"/>
          <w:highlight w:val="none"/>
        </w:rPr>
        <w:t xml:space="preserve">6  </w:t>
      </w:r>
      <w:r>
        <w:rPr>
          <w:rFonts w:ascii="宋体" w:hAnsi="宋体" w:eastAsia="宋体" w:cs="宋体"/>
          <w:b/>
          <w:bCs/>
          <w:strike w:val="0"/>
          <w:dstrike w:val="0"/>
          <w:color w:val="auto"/>
          <w:spacing w:val="-3"/>
          <w:sz w:val="28"/>
          <w:szCs w:val="28"/>
          <w:highlight w:val="none"/>
        </w:rPr>
        <w:t>行政监督部门</w:t>
      </w:r>
      <w:bookmarkEnd w:id="57"/>
    </w:p>
    <w:p w14:paraId="4478896F">
      <w:pPr>
        <w:spacing w:before="205" w:line="191" w:lineRule="auto"/>
        <w:ind w:left="48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1"/>
          <w:sz w:val="24"/>
          <w:szCs w:val="24"/>
          <w:highlight w:val="none"/>
        </w:rPr>
        <w:t>行政监督：</w:t>
      </w:r>
    </w:p>
    <w:p w14:paraId="2006609E">
      <w:pPr>
        <w:spacing w:line="10" w:lineRule="exact"/>
        <w:ind w:left="1671"/>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position w:val="5"/>
          <w:sz w:val="24"/>
          <w:szCs w:val="24"/>
          <w:highlight w:val="none"/>
        </w:rPr>
        <w:t>______________</w:t>
      </w:r>
    </w:p>
    <w:p w14:paraId="61A0E116">
      <w:pPr>
        <w:spacing w:before="210" w:line="191" w:lineRule="auto"/>
        <w:ind w:left="48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5"/>
          <w:sz w:val="24"/>
          <w:szCs w:val="24"/>
          <w:highlight w:val="none"/>
        </w:rPr>
        <w:t>地</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15"/>
          <w:sz w:val="24"/>
          <w:szCs w:val="24"/>
          <w:highlight w:val="none"/>
        </w:rPr>
        <w:t>址：</w:t>
      </w:r>
    </w:p>
    <w:p w14:paraId="5AFBCED1">
      <w:pPr>
        <w:spacing w:line="10" w:lineRule="exact"/>
        <w:ind w:left="1671"/>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position w:val="5"/>
          <w:sz w:val="24"/>
          <w:szCs w:val="24"/>
          <w:highlight w:val="none"/>
        </w:rPr>
        <w:t>______________</w:t>
      </w:r>
    </w:p>
    <w:p w14:paraId="67DFA4C4">
      <w:pPr>
        <w:spacing w:before="207" w:line="191" w:lineRule="auto"/>
        <w:ind w:left="50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4"/>
          <w:sz w:val="24"/>
          <w:szCs w:val="24"/>
          <w:highlight w:val="none"/>
        </w:rPr>
        <w:t>邮政编码：</w:t>
      </w:r>
    </w:p>
    <w:p w14:paraId="68B793E8">
      <w:pPr>
        <w:spacing w:line="10" w:lineRule="exact"/>
        <w:ind w:left="1671"/>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position w:val="5"/>
          <w:sz w:val="24"/>
          <w:szCs w:val="24"/>
          <w:highlight w:val="none"/>
        </w:rPr>
        <w:t>______________</w:t>
      </w:r>
    </w:p>
    <w:p w14:paraId="7D0455F9">
      <w:pPr>
        <w:spacing w:before="210" w:line="212" w:lineRule="auto"/>
        <w:ind w:left="510"/>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2"/>
          <w:sz w:val="24"/>
          <w:szCs w:val="24"/>
          <w:highlight w:val="none"/>
        </w:rPr>
        <w:t>电    话：</w:t>
      </w:r>
      <w:r>
        <w:rPr>
          <w:rFonts w:ascii="Times New Roman" w:hAnsi="Times New Roman" w:eastAsia="Times New Roman" w:cs="Times New Roman"/>
          <w:strike/>
          <w:dstrike w:val="0"/>
          <w:color w:val="auto"/>
          <w:spacing w:val="-2"/>
          <w:sz w:val="24"/>
          <w:szCs w:val="24"/>
          <w:highlight w:val="none"/>
        </w:rPr>
        <w:t>______________</w:t>
      </w:r>
    </w:p>
    <w:p w14:paraId="20F17BDF">
      <w:pPr>
        <w:spacing w:before="190" w:line="191" w:lineRule="auto"/>
        <w:ind w:left="48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9"/>
          <w:sz w:val="24"/>
          <w:szCs w:val="24"/>
          <w:highlight w:val="none"/>
        </w:rPr>
        <w:t>投诉受理部门：</w:t>
      </w:r>
    </w:p>
    <w:p w14:paraId="0ACDE920">
      <w:pPr>
        <w:spacing w:line="10" w:lineRule="exact"/>
        <w:ind w:left="2151"/>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position w:val="5"/>
          <w:sz w:val="24"/>
          <w:szCs w:val="24"/>
          <w:highlight w:val="none"/>
        </w:rPr>
        <w:t>__________</w:t>
      </w:r>
    </w:p>
    <w:p w14:paraId="020DD767">
      <w:pPr>
        <w:spacing w:before="209" w:line="191" w:lineRule="auto"/>
        <w:ind w:left="48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5"/>
          <w:sz w:val="24"/>
          <w:szCs w:val="24"/>
          <w:highlight w:val="none"/>
        </w:rPr>
        <w:t>地</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15"/>
          <w:sz w:val="24"/>
          <w:szCs w:val="24"/>
          <w:highlight w:val="none"/>
        </w:rPr>
        <w:t>址：</w:t>
      </w:r>
    </w:p>
    <w:p w14:paraId="5D3DD93F">
      <w:pPr>
        <w:spacing w:line="10" w:lineRule="exact"/>
        <w:ind w:left="1671"/>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position w:val="5"/>
          <w:sz w:val="24"/>
          <w:szCs w:val="24"/>
          <w:highlight w:val="none"/>
        </w:rPr>
        <w:t>______________</w:t>
      </w:r>
    </w:p>
    <w:p w14:paraId="6CACF049">
      <w:pPr>
        <w:spacing w:before="208" w:line="185" w:lineRule="auto"/>
        <w:ind w:left="510"/>
        <w:rPr>
          <w:rFonts w:ascii="宋体" w:hAnsi="宋体" w:eastAsia="宋体" w:cs="宋体"/>
          <w:strike/>
          <w:dstrike w:val="0"/>
          <w:color w:val="auto"/>
          <w:sz w:val="24"/>
          <w:szCs w:val="24"/>
          <w:highlight w:val="none"/>
        </w:rPr>
      </w:pPr>
      <w:r>
        <w:rPr>
          <w:strike/>
          <w:dstrike w:val="0"/>
          <w:color w:val="auto"/>
          <w:highlight w:val="none"/>
        </w:rPr>
        <mc:AlternateContent>
          <mc:Choice Requires="wps">
            <w:drawing>
              <wp:anchor distT="0" distB="0" distL="114300" distR="114300" simplePos="0" relativeHeight="251665408" behindDoc="0" locked="0" layoutInCell="1" allowOverlap="1">
                <wp:simplePos x="0" y="0"/>
                <wp:positionH relativeFrom="column">
                  <wp:posOffset>1048385</wp:posOffset>
                </wp:positionH>
                <wp:positionV relativeFrom="paragraph">
                  <wp:posOffset>154305</wp:posOffset>
                </wp:positionV>
                <wp:extent cx="1094740" cy="19177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094740" cy="191770"/>
                        </a:xfrm>
                        <a:prstGeom prst="rect">
                          <a:avLst/>
                        </a:prstGeom>
                        <a:noFill/>
                        <a:ln>
                          <a:noFill/>
                        </a:ln>
                      </wps:spPr>
                      <wps:txbx>
                        <w:txbxContent>
                          <w:p w14:paraId="28578498">
                            <w:pPr>
                              <w:pStyle w:val="3"/>
                              <w:tabs>
                                <w:tab w:val="left" w:pos="1703"/>
                              </w:tabs>
                              <w:spacing w:before="19"/>
                              <w:ind w:left="20"/>
                            </w:pPr>
                            <w:r>
                              <w:rPr>
                                <w:u w:val="single" w:color="auto"/>
                              </w:rPr>
                              <w:tab/>
                            </w:r>
                          </w:p>
                        </w:txbxContent>
                      </wps:txbx>
                      <wps:bodyPr lIns="0" tIns="0" rIns="0" bIns="0" upright="1"/>
                    </wps:wsp>
                  </a:graphicData>
                </a:graphic>
              </wp:anchor>
            </w:drawing>
          </mc:Choice>
          <mc:Fallback>
            <w:pict>
              <v:shape id="_x0000_s1026" o:spid="_x0000_s1026" o:spt="202" type="#_x0000_t202" style="position:absolute;left:0pt;margin-left:82.55pt;margin-top:12.15pt;height:15.1pt;width:86.2pt;z-index:251665408;mso-width-relative:page;mso-height-relative:page;" filled="f" stroked="f" coordsize="21600,21600" o:gfxdata="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R6VFVdkAAAAJAQAADwAAAAAAAAABACAAAAAiAAAAZHJzL2Rvd25yZXYueG1sUEsB&#10;AhQAFAAAAAgAh07iQBLl72+7AQAAcgMAAA4AAAAAAAAAAQAgAAAAKAEAAGRycy9lMm9Eb2MueG1s&#10;UEsFBgAAAAAGAAYAWQEAAFUFAAAAAA==&#10;">
                <v:fill on="f" focussize="0,0"/>
                <v:stroke on="f"/>
                <v:imagedata o:title=""/>
                <o:lock v:ext="edit" aspectratio="f"/>
                <v:textbox inset="0mm,0mm,0mm,0mm">
                  <w:txbxContent>
                    <w:p w14:paraId="28578498">
                      <w:pPr>
                        <w:pStyle w:val="3"/>
                        <w:tabs>
                          <w:tab w:val="left" w:pos="1703"/>
                        </w:tabs>
                        <w:spacing w:before="19"/>
                        <w:ind w:left="20"/>
                      </w:pPr>
                      <w:r>
                        <w:rPr>
                          <w:u w:val="single" w:color="auto"/>
                        </w:rPr>
                        <w:tab/>
                      </w:r>
                    </w:p>
                  </w:txbxContent>
                </v:textbox>
              </v:shape>
            </w:pict>
          </mc:Fallback>
        </mc:AlternateContent>
      </w:r>
      <w:r>
        <w:rPr>
          <w:rFonts w:ascii="宋体" w:hAnsi="宋体" w:eastAsia="宋体" w:cs="宋体"/>
          <w:strike/>
          <w:dstrike w:val="0"/>
          <w:color w:val="auto"/>
          <w:spacing w:val="-24"/>
          <w:sz w:val="24"/>
          <w:szCs w:val="24"/>
          <w:highlight w:val="none"/>
        </w:rPr>
        <w:t>电</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24"/>
          <w:sz w:val="24"/>
          <w:szCs w:val="24"/>
          <w:highlight w:val="none"/>
        </w:rPr>
        <w:t>话：</w:t>
      </w:r>
    </w:p>
    <w:p w14:paraId="5C440104">
      <w:pPr>
        <w:spacing w:before="234" w:line="221" w:lineRule="auto"/>
        <w:ind w:left="2"/>
        <w:outlineLvl w:val="1"/>
        <w:rPr>
          <w:rFonts w:ascii="宋体" w:hAnsi="宋体" w:eastAsia="宋体" w:cs="宋体"/>
          <w:strike w:val="0"/>
          <w:dstrike w:val="0"/>
          <w:color w:val="auto"/>
          <w:sz w:val="28"/>
          <w:szCs w:val="28"/>
          <w:highlight w:val="none"/>
        </w:rPr>
      </w:pPr>
      <w:bookmarkStart w:id="58" w:name="bookmark20"/>
      <w:bookmarkEnd w:id="58"/>
      <w:bookmarkStart w:id="59" w:name="_Toc17738"/>
      <w:r>
        <w:rPr>
          <w:rFonts w:ascii="Times New Roman" w:hAnsi="Times New Roman" w:eastAsia="Times New Roman" w:cs="Times New Roman"/>
          <w:b/>
          <w:bCs/>
          <w:strike w:val="0"/>
          <w:dstrike w:val="0"/>
          <w:color w:val="auto"/>
          <w:spacing w:val="-6"/>
          <w:sz w:val="28"/>
          <w:szCs w:val="28"/>
          <w:highlight w:val="none"/>
        </w:rPr>
        <w:t>7</w:t>
      </w:r>
      <w:r>
        <w:rPr>
          <w:rFonts w:ascii="Times New Roman" w:hAnsi="Times New Roman" w:eastAsia="Times New Roman" w:cs="Times New Roman"/>
          <w:b/>
          <w:bCs/>
          <w:strike w:val="0"/>
          <w:dstrike w:val="0"/>
          <w:color w:val="auto"/>
          <w:spacing w:val="6"/>
          <w:sz w:val="28"/>
          <w:szCs w:val="28"/>
          <w:highlight w:val="none"/>
        </w:rPr>
        <w:t xml:space="preserve">  </w:t>
      </w:r>
      <w:r>
        <w:rPr>
          <w:rFonts w:ascii="宋体" w:hAnsi="宋体" w:eastAsia="宋体" w:cs="宋体"/>
          <w:b/>
          <w:bCs/>
          <w:strike w:val="0"/>
          <w:dstrike w:val="0"/>
          <w:color w:val="auto"/>
          <w:spacing w:val="-6"/>
          <w:sz w:val="28"/>
          <w:szCs w:val="28"/>
          <w:highlight w:val="none"/>
        </w:rPr>
        <w:t>联系方式</w:t>
      </w:r>
      <w:bookmarkEnd w:id="59"/>
    </w:p>
    <w:p w14:paraId="627BB1DE">
      <w:pPr>
        <w:spacing w:line="203" w:lineRule="exact"/>
        <w:rPr>
          <w:strike/>
          <w:dstrike w:val="0"/>
          <w:color w:val="auto"/>
          <w:highlight w:val="none"/>
        </w:rPr>
      </w:pPr>
    </w:p>
    <w:tbl>
      <w:tblPr>
        <w:tblStyle w:val="32"/>
        <w:tblW w:w="8923" w:type="dxa"/>
        <w:tblInd w:w="2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top w:w="0" w:type="dxa"/>
          <w:left w:w="0" w:type="dxa"/>
          <w:bottom w:w="0" w:type="dxa"/>
          <w:right w:w="0" w:type="dxa"/>
        </w:tblCellMar>
      </w:tblPr>
      <w:tblGrid>
        <w:gridCol w:w="1272"/>
        <w:gridCol w:w="2570"/>
        <w:gridCol w:w="1547"/>
        <w:gridCol w:w="3534"/>
      </w:tblGrid>
      <w:tr w14:paraId="356A652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34" w:hRule="atLeast"/>
        </w:trPr>
        <w:tc>
          <w:tcPr>
            <w:tcW w:w="1272" w:type="dxa"/>
            <w:vAlign w:val="top"/>
          </w:tcPr>
          <w:p w14:paraId="7E0BA532">
            <w:pPr>
              <w:pStyle w:val="33"/>
              <w:spacing w:line="220" w:lineRule="auto"/>
              <w:rPr>
                <w:strike/>
                <w:dstrike w:val="0"/>
                <w:color w:val="auto"/>
                <w:sz w:val="24"/>
                <w:szCs w:val="24"/>
                <w:highlight w:val="none"/>
              </w:rPr>
            </w:pPr>
            <w:r>
              <w:rPr>
                <w:strike/>
                <w:dstrike w:val="0"/>
                <w:color w:val="auto"/>
                <w:spacing w:val="-8"/>
                <w:sz w:val="24"/>
                <w:szCs w:val="24"/>
                <w:highlight w:val="none"/>
              </w:rPr>
              <w:t>招</w:t>
            </w:r>
            <w:r>
              <w:rPr>
                <w:strike/>
                <w:dstrike w:val="0"/>
                <w:color w:val="auto"/>
                <w:spacing w:val="19"/>
                <w:sz w:val="24"/>
                <w:szCs w:val="24"/>
                <w:highlight w:val="none"/>
              </w:rPr>
              <w:t xml:space="preserve"> </w:t>
            </w:r>
            <w:r>
              <w:rPr>
                <w:strike/>
                <w:dstrike w:val="0"/>
                <w:color w:val="auto"/>
                <w:spacing w:val="-8"/>
                <w:sz w:val="24"/>
                <w:szCs w:val="24"/>
                <w:highlight w:val="none"/>
              </w:rPr>
              <w:t>标</w:t>
            </w:r>
            <w:r>
              <w:rPr>
                <w:strike/>
                <w:dstrike w:val="0"/>
                <w:color w:val="auto"/>
                <w:spacing w:val="20"/>
                <w:sz w:val="24"/>
                <w:szCs w:val="24"/>
                <w:highlight w:val="none"/>
              </w:rPr>
              <w:t xml:space="preserve"> </w:t>
            </w:r>
            <w:r>
              <w:rPr>
                <w:strike/>
                <w:dstrike w:val="0"/>
                <w:color w:val="auto"/>
                <w:spacing w:val="-8"/>
                <w:sz w:val="24"/>
                <w:szCs w:val="24"/>
                <w:highlight w:val="none"/>
              </w:rPr>
              <w:t>人</w:t>
            </w:r>
            <w:r>
              <w:rPr>
                <w:strike/>
                <w:dstrike w:val="0"/>
                <w:color w:val="auto"/>
                <w:spacing w:val="-65"/>
                <w:sz w:val="24"/>
                <w:szCs w:val="24"/>
                <w:highlight w:val="none"/>
              </w:rPr>
              <w:t xml:space="preserve"> </w:t>
            </w:r>
            <w:r>
              <w:rPr>
                <w:strike/>
                <w:dstrike w:val="0"/>
                <w:color w:val="auto"/>
                <w:spacing w:val="-8"/>
                <w:sz w:val="24"/>
                <w:szCs w:val="24"/>
                <w:highlight w:val="none"/>
              </w:rPr>
              <w:t>：</w:t>
            </w:r>
          </w:p>
        </w:tc>
        <w:tc>
          <w:tcPr>
            <w:tcW w:w="2570" w:type="dxa"/>
            <w:tcBorders>
              <w:bottom w:val="single" w:color="000000" w:sz="2" w:space="0"/>
            </w:tcBorders>
            <w:vAlign w:val="top"/>
          </w:tcPr>
          <w:p w14:paraId="5C8684F4">
            <w:pPr>
              <w:rPr>
                <w:rFonts w:ascii="Arial"/>
                <w:strike/>
                <w:dstrike w:val="0"/>
                <w:color w:val="auto"/>
                <w:sz w:val="21"/>
                <w:highlight w:val="none"/>
              </w:rPr>
            </w:pPr>
          </w:p>
        </w:tc>
        <w:tc>
          <w:tcPr>
            <w:tcW w:w="5081" w:type="dxa"/>
            <w:gridSpan w:val="2"/>
            <w:tcBorders>
              <w:bottom w:val="single" w:color="000000" w:sz="2" w:space="0"/>
            </w:tcBorders>
            <w:vAlign w:val="top"/>
          </w:tcPr>
          <w:p w14:paraId="40A88D5A">
            <w:pPr>
              <w:pStyle w:val="33"/>
              <w:spacing w:before="1" w:line="218" w:lineRule="auto"/>
              <w:ind w:left="313"/>
              <w:rPr>
                <w:strike/>
                <w:dstrike w:val="0"/>
                <w:color w:val="auto"/>
                <w:sz w:val="24"/>
                <w:szCs w:val="24"/>
                <w:highlight w:val="none"/>
              </w:rPr>
            </w:pPr>
            <w:r>
              <w:rPr>
                <w:strike/>
                <w:dstrike w:val="0"/>
                <w:color w:val="auto"/>
                <w:spacing w:val="20"/>
                <w:sz w:val="24"/>
                <w:szCs w:val="24"/>
                <w:highlight w:val="none"/>
              </w:rPr>
              <w:t>招标代理机构</w:t>
            </w:r>
            <w:r>
              <w:rPr>
                <w:strike/>
                <w:dstrike w:val="0"/>
                <w:color w:val="auto"/>
                <w:spacing w:val="-66"/>
                <w:sz w:val="24"/>
                <w:szCs w:val="24"/>
                <w:highlight w:val="none"/>
              </w:rPr>
              <w:t xml:space="preserve"> </w:t>
            </w:r>
            <w:r>
              <w:rPr>
                <w:strike/>
                <w:dstrike w:val="0"/>
                <w:color w:val="auto"/>
                <w:spacing w:val="20"/>
                <w:sz w:val="24"/>
                <w:szCs w:val="24"/>
                <w:highlight w:val="none"/>
              </w:rPr>
              <w:t>：</w:t>
            </w:r>
          </w:p>
        </w:tc>
      </w:tr>
      <w:tr w14:paraId="352D941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272" w:type="dxa"/>
            <w:vAlign w:val="top"/>
          </w:tcPr>
          <w:p w14:paraId="02AF3548">
            <w:pPr>
              <w:pStyle w:val="33"/>
              <w:spacing w:before="36" w:line="229" w:lineRule="auto"/>
              <w:rPr>
                <w:strike/>
                <w:dstrike w:val="0"/>
                <w:color w:val="auto"/>
                <w:sz w:val="24"/>
                <w:szCs w:val="24"/>
                <w:highlight w:val="none"/>
              </w:rPr>
            </w:pPr>
            <w:r>
              <w:rPr>
                <w:strike/>
                <w:dstrike w:val="0"/>
                <w:color w:val="auto"/>
                <w:spacing w:val="-7"/>
                <w:sz w:val="24"/>
                <w:szCs w:val="24"/>
                <w:highlight w:val="none"/>
              </w:rPr>
              <w:t>地</w:t>
            </w:r>
            <w:r>
              <w:rPr>
                <w:strike/>
                <w:dstrike w:val="0"/>
                <w:color w:val="auto"/>
                <w:spacing w:val="7"/>
                <w:sz w:val="24"/>
                <w:szCs w:val="24"/>
                <w:highlight w:val="none"/>
              </w:rPr>
              <w:t xml:space="preserve">    </w:t>
            </w:r>
            <w:r>
              <w:rPr>
                <w:strike/>
                <w:dstrike w:val="0"/>
                <w:color w:val="auto"/>
                <w:spacing w:val="-7"/>
                <w:sz w:val="24"/>
                <w:szCs w:val="24"/>
                <w:highlight w:val="none"/>
              </w:rPr>
              <w:t>址</w:t>
            </w:r>
            <w:r>
              <w:rPr>
                <w:strike/>
                <w:dstrike w:val="0"/>
                <w:color w:val="auto"/>
                <w:spacing w:val="-64"/>
                <w:sz w:val="24"/>
                <w:szCs w:val="24"/>
                <w:highlight w:val="none"/>
              </w:rPr>
              <w:t xml:space="preserve"> </w:t>
            </w:r>
            <w:r>
              <w:rPr>
                <w:strike/>
                <w:dstrike w:val="0"/>
                <w:color w:val="auto"/>
                <w:spacing w:val="-7"/>
                <w:sz w:val="24"/>
                <w:szCs w:val="24"/>
                <w:highlight w:val="none"/>
              </w:rPr>
              <w:t>：</w:t>
            </w:r>
          </w:p>
        </w:tc>
        <w:tc>
          <w:tcPr>
            <w:tcW w:w="2570" w:type="dxa"/>
            <w:tcBorders>
              <w:top w:val="single" w:color="000000" w:sz="2" w:space="0"/>
              <w:bottom w:val="single" w:color="000000" w:sz="2" w:space="0"/>
            </w:tcBorders>
            <w:vAlign w:val="top"/>
          </w:tcPr>
          <w:p w14:paraId="0AAA1FB7">
            <w:pPr>
              <w:rPr>
                <w:rFonts w:ascii="Arial"/>
                <w:strike/>
                <w:dstrike w:val="0"/>
                <w:color w:val="auto"/>
                <w:sz w:val="21"/>
                <w:highlight w:val="none"/>
              </w:rPr>
            </w:pPr>
          </w:p>
        </w:tc>
        <w:tc>
          <w:tcPr>
            <w:tcW w:w="1547" w:type="dxa"/>
            <w:vAlign w:val="top"/>
          </w:tcPr>
          <w:p w14:paraId="2CF22D6D">
            <w:pPr>
              <w:pStyle w:val="33"/>
              <w:spacing w:before="36" w:line="229" w:lineRule="auto"/>
              <w:ind w:left="312"/>
              <w:rPr>
                <w:strike/>
                <w:dstrike w:val="0"/>
                <w:color w:val="auto"/>
                <w:sz w:val="24"/>
                <w:szCs w:val="24"/>
                <w:highlight w:val="none"/>
              </w:rPr>
            </w:pPr>
            <w:r>
              <w:rPr>
                <w:strike/>
                <w:dstrike w:val="0"/>
                <w:color w:val="auto"/>
                <w:sz w:val="24"/>
                <w:szCs w:val="24"/>
                <w:highlight w:val="none"/>
              </w:rPr>
              <w:t>地</w:t>
            </w:r>
          </w:p>
        </w:tc>
        <w:tc>
          <w:tcPr>
            <w:tcW w:w="3534" w:type="dxa"/>
            <w:tcBorders>
              <w:top w:val="single" w:color="000000" w:sz="2" w:space="0"/>
              <w:bottom w:val="single" w:color="000000" w:sz="2" w:space="0"/>
            </w:tcBorders>
            <w:vAlign w:val="top"/>
          </w:tcPr>
          <w:p w14:paraId="575698AA">
            <w:pPr>
              <w:pStyle w:val="33"/>
              <w:spacing w:before="36" w:line="229" w:lineRule="auto"/>
              <w:ind w:left="119"/>
              <w:rPr>
                <w:strike/>
                <w:dstrike w:val="0"/>
                <w:color w:val="auto"/>
                <w:sz w:val="24"/>
                <w:szCs w:val="24"/>
                <w:highlight w:val="none"/>
              </w:rPr>
            </w:pPr>
            <w:r>
              <w:rPr>
                <w:strike/>
                <w:dstrike w:val="0"/>
                <w:color w:val="auto"/>
                <w:spacing w:val="-6"/>
                <w:sz w:val="24"/>
                <w:szCs w:val="24"/>
                <w:highlight w:val="none"/>
              </w:rPr>
              <w:t>址</w:t>
            </w:r>
            <w:r>
              <w:rPr>
                <w:strike/>
                <w:dstrike w:val="0"/>
                <w:color w:val="auto"/>
                <w:spacing w:val="-68"/>
                <w:sz w:val="24"/>
                <w:szCs w:val="24"/>
                <w:highlight w:val="none"/>
              </w:rPr>
              <w:t xml:space="preserve"> </w:t>
            </w:r>
            <w:r>
              <w:rPr>
                <w:strike/>
                <w:dstrike w:val="0"/>
                <w:color w:val="auto"/>
                <w:spacing w:val="-6"/>
                <w:sz w:val="24"/>
                <w:szCs w:val="24"/>
                <w:highlight w:val="none"/>
              </w:rPr>
              <w:t>：</w:t>
            </w:r>
          </w:p>
        </w:tc>
      </w:tr>
      <w:tr w14:paraId="628BF8EC">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3" w:hRule="atLeast"/>
        </w:trPr>
        <w:tc>
          <w:tcPr>
            <w:tcW w:w="1272" w:type="dxa"/>
            <w:vAlign w:val="top"/>
          </w:tcPr>
          <w:p w14:paraId="0A02DECD">
            <w:pPr>
              <w:pStyle w:val="33"/>
              <w:spacing w:before="35" w:line="222" w:lineRule="auto"/>
              <w:rPr>
                <w:strike/>
                <w:dstrike w:val="0"/>
                <w:color w:val="auto"/>
                <w:sz w:val="24"/>
                <w:szCs w:val="24"/>
                <w:highlight w:val="none"/>
              </w:rPr>
            </w:pPr>
            <w:r>
              <w:rPr>
                <w:strike/>
                <w:dstrike w:val="0"/>
                <w:color w:val="auto"/>
                <w:spacing w:val="-9"/>
                <w:sz w:val="24"/>
                <w:szCs w:val="24"/>
                <w:highlight w:val="none"/>
              </w:rPr>
              <w:t>联</w:t>
            </w:r>
            <w:r>
              <w:rPr>
                <w:strike/>
                <w:dstrike w:val="0"/>
                <w:color w:val="auto"/>
                <w:spacing w:val="23"/>
                <w:sz w:val="24"/>
                <w:szCs w:val="24"/>
                <w:highlight w:val="none"/>
              </w:rPr>
              <w:t xml:space="preserve"> </w:t>
            </w:r>
            <w:r>
              <w:rPr>
                <w:strike/>
                <w:dstrike w:val="0"/>
                <w:color w:val="auto"/>
                <w:spacing w:val="-9"/>
                <w:sz w:val="24"/>
                <w:szCs w:val="24"/>
                <w:highlight w:val="none"/>
              </w:rPr>
              <w:t>系</w:t>
            </w:r>
            <w:r>
              <w:rPr>
                <w:strike/>
                <w:dstrike w:val="0"/>
                <w:color w:val="auto"/>
                <w:spacing w:val="20"/>
                <w:sz w:val="24"/>
                <w:szCs w:val="24"/>
                <w:highlight w:val="none"/>
              </w:rPr>
              <w:t xml:space="preserve"> </w:t>
            </w:r>
            <w:r>
              <w:rPr>
                <w:strike/>
                <w:dstrike w:val="0"/>
                <w:color w:val="auto"/>
                <w:spacing w:val="-9"/>
                <w:sz w:val="24"/>
                <w:szCs w:val="24"/>
                <w:highlight w:val="none"/>
              </w:rPr>
              <w:t>人</w:t>
            </w:r>
            <w:r>
              <w:rPr>
                <w:strike/>
                <w:dstrike w:val="0"/>
                <w:color w:val="auto"/>
                <w:spacing w:val="-65"/>
                <w:sz w:val="24"/>
                <w:szCs w:val="24"/>
                <w:highlight w:val="none"/>
              </w:rPr>
              <w:t xml:space="preserve"> </w:t>
            </w:r>
            <w:r>
              <w:rPr>
                <w:strike/>
                <w:dstrike w:val="0"/>
                <w:color w:val="auto"/>
                <w:spacing w:val="-9"/>
                <w:sz w:val="24"/>
                <w:szCs w:val="24"/>
                <w:highlight w:val="none"/>
              </w:rPr>
              <w:t>：</w:t>
            </w:r>
          </w:p>
        </w:tc>
        <w:tc>
          <w:tcPr>
            <w:tcW w:w="2570" w:type="dxa"/>
            <w:tcBorders>
              <w:top w:val="single" w:color="000000" w:sz="2" w:space="0"/>
              <w:bottom w:val="single" w:color="000000" w:sz="2" w:space="0"/>
            </w:tcBorders>
            <w:vAlign w:val="top"/>
          </w:tcPr>
          <w:p w14:paraId="0A9C15B2">
            <w:pPr>
              <w:rPr>
                <w:rFonts w:ascii="Arial"/>
                <w:strike/>
                <w:dstrike w:val="0"/>
                <w:color w:val="auto"/>
                <w:sz w:val="21"/>
                <w:highlight w:val="none"/>
              </w:rPr>
            </w:pPr>
          </w:p>
        </w:tc>
        <w:tc>
          <w:tcPr>
            <w:tcW w:w="1547" w:type="dxa"/>
            <w:vAlign w:val="top"/>
          </w:tcPr>
          <w:p w14:paraId="7DCB9EDA">
            <w:pPr>
              <w:pStyle w:val="33"/>
              <w:spacing w:before="35" w:line="222" w:lineRule="auto"/>
              <w:ind w:left="313"/>
              <w:rPr>
                <w:strike/>
                <w:dstrike w:val="0"/>
                <w:color w:val="auto"/>
                <w:sz w:val="24"/>
                <w:szCs w:val="24"/>
                <w:highlight w:val="none"/>
              </w:rPr>
            </w:pPr>
            <w:r>
              <w:rPr>
                <w:strike/>
                <w:dstrike w:val="0"/>
                <w:color w:val="auto"/>
                <w:spacing w:val="-6"/>
                <w:sz w:val="24"/>
                <w:szCs w:val="24"/>
                <w:highlight w:val="none"/>
              </w:rPr>
              <w:t>联</w:t>
            </w:r>
            <w:r>
              <w:rPr>
                <w:strike/>
                <w:dstrike w:val="0"/>
                <w:color w:val="auto"/>
                <w:spacing w:val="30"/>
                <w:sz w:val="24"/>
                <w:szCs w:val="24"/>
                <w:highlight w:val="none"/>
              </w:rPr>
              <w:t xml:space="preserve">   </w:t>
            </w:r>
            <w:r>
              <w:rPr>
                <w:strike/>
                <w:dstrike w:val="0"/>
                <w:color w:val="auto"/>
                <w:spacing w:val="-6"/>
                <w:sz w:val="24"/>
                <w:szCs w:val="24"/>
                <w:highlight w:val="none"/>
              </w:rPr>
              <w:t>系</w:t>
            </w:r>
          </w:p>
        </w:tc>
        <w:tc>
          <w:tcPr>
            <w:tcW w:w="3534" w:type="dxa"/>
            <w:tcBorders>
              <w:top w:val="single" w:color="000000" w:sz="2" w:space="0"/>
              <w:bottom w:val="single" w:color="000000" w:sz="2" w:space="0"/>
            </w:tcBorders>
            <w:vAlign w:val="top"/>
          </w:tcPr>
          <w:p w14:paraId="2BEE5FD6">
            <w:pPr>
              <w:pStyle w:val="33"/>
              <w:spacing w:before="36" w:line="222" w:lineRule="auto"/>
              <w:ind w:left="120"/>
              <w:rPr>
                <w:strike/>
                <w:dstrike w:val="0"/>
                <w:color w:val="auto"/>
                <w:sz w:val="24"/>
                <w:szCs w:val="24"/>
                <w:highlight w:val="none"/>
              </w:rPr>
            </w:pPr>
            <w:r>
              <w:rPr>
                <w:strike/>
                <w:dstrike w:val="0"/>
                <w:color w:val="auto"/>
                <w:spacing w:val="-6"/>
                <w:sz w:val="24"/>
                <w:szCs w:val="24"/>
                <w:highlight w:val="none"/>
              </w:rPr>
              <w:t>人</w:t>
            </w:r>
            <w:r>
              <w:rPr>
                <w:strike/>
                <w:dstrike w:val="0"/>
                <w:color w:val="auto"/>
                <w:spacing w:val="-68"/>
                <w:sz w:val="24"/>
                <w:szCs w:val="24"/>
                <w:highlight w:val="none"/>
              </w:rPr>
              <w:t xml:space="preserve"> </w:t>
            </w:r>
            <w:r>
              <w:rPr>
                <w:strike/>
                <w:dstrike w:val="0"/>
                <w:color w:val="auto"/>
                <w:spacing w:val="-6"/>
                <w:sz w:val="24"/>
                <w:szCs w:val="24"/>
                <w:highlight w:val="none"/>
              </w:rPr>
              <w:t>：</w:t>
            </w:r>
          </w:p>
        </w:tc>
      </w:tr>
      <w:tr w14:paraId="714BEF08">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470" w:hRule="atLeast"/>
        </w:trPr>
        <w:tc>
          <w:tcPr>
            <w:tcW w:w="1272" w:type="dxa"/>
            <w:vAlign w:val="top"/>
          </w:tcPr>
          <w:p w14:paraId="26A7A941">
            <w:pPr>
              <w:pStyle w:val="33"/>
              <w:spacing w:before="34" w:line="222" w:lineRule="auto"/>
              <w:ind w:left="28"/>
              <w:rPr>
                <w:strike/>
                <w:dstrike w:val="0"/>
                <w:color w:val="auto"/>
                <w:sz w:val="24"/>
                <w:szCs w:val="24"/>
                <w:highlight w:val="none"/>
              </w:rPr>
            </w:pPr>
            <w:r>
              <w:rPr>
                <w:strike/>
                <w:dstrike w:val="0"/>
                <w:color w:val="auto"/>
                <w:spacing w:val="-16"/>
                <w:sz w:val="24"/>
                <w:szCs w:val="24"/>
                <w:highlight w:val="none"/>
              </w:rPr>
              <w:t>电</w:t>
            </w:r>
            <w:r>
              <w:rPr>
                <w:strike/>
                <w:dstrike w:val="0"/>
                <w:color w:val="auto"/>
                <w:spacing w:val="7"/>
                <w:sz w:val="24"/>
                <w:szCs w:val="24"/>
                <w:highlight w:val="none"/>
              </w:rPr>
              <w:t xml:space="preserve">    </w:t>
            </w:r>
            <w:r>
              <w:rPr>
                <w:strike/>
                <w:dstrike w:val="0"/>
                <w:color w:val="auto"/>
                <w:spacing w:val="-16"/>
                <w:sz w:val="24"/>
                <w:szCs w:val="24"/>
                <w:highlight w:val="none"/>
              </w:rPr>
              <w:t>话</w:t>
            </w:r>
            <w:r>
              <w:rPr>
                <w:strike/>
                <w:dstrike w:val="0"/>
                <w:color w:val="auto"/>
                <w:spacing w:val="-65"/>
                <w:sz w:val="24"/>
                <w:szCs w:val="24"/>
                <w:highlight w:val="none"/>
              </w:rPr>
              <w:t xml:space="preserve"> </w:t>
            </w:r>
            <w:r>
              <w:rPr>
                <w:strike/>
                <w:dstrike w:val="0"/>
                <w:color w:val="auto"/>
                <w:spacing w:val="-16"/>
                <w:sz w:val="24"/>
                <w:szCs w:val="24"/>
                <w:highlight w:val="none"/>
              </w:rPr>
              <w:t>：</w:t>
            </w:r>
          </w:p>
        </w:tc>
        <w:tc>
          <w:tcPr>
            <w:tcW w:w="2570" w:type="dxa"/>
            <w:tcBorders>
              <w:top w:val="single" w:color="000000" w:sz="2" w:space="0"/>
              <w:bottom w:val="single" w:color="000000" w:sz="2" w:space="0"/>
            </w:tcBorders>
            <w:vAlign w:val="top"/>
          </w:tcPr>
          <w:p w14:paraId="36E1F984">
            <w:pPr>
              <w:rPr>
                <w:rFonts w:ascii="Arial"/>
                <w:strike/>
                <w:dstrike w:val="0"/>
                <w:color w:val="auto"/>
                <w:sz w:val="21"/>
                <w:highlight w:val="none"/>
              </w:rPr>
            </w:pPr>
          </w:p>
        </w:tc>
        <w:tc>
          <w:tcPr>
            <w:tcW w:w="1547" w:type="dxa"/>
            <w:vAlign w:val="top"/>
          </w:tcPr>
          <w:p w14:paraId="439865A0">
            <w:pPr>
              <w:pStyle w:val="33"/>
              <w:spacing w:before="35" w:line="225" w:lineRule="auto"/>
              <w:ind w:left="340"/>
              <w:rPr>
                <w:strike/>
                <w:dstrike w:val="0"/>
                <w:color w:val="auto"/>
                <w:sz w:val="24"/>
                <w:szCs w:val="24"/>
                <w:highlight w:val="none"/>
              </w:rPr>
            </w:pPr>
            <w:r>
              <w:rPr>
                <w:strike/>
                <w:dstrike w:val="0"/>
                <w:color w:val="auto"/>
                <w:sz w:val="24"/>
                <w:szCs w:val="24"/>
                <w:highlight w:val="none"/>
              </w:rPr>
              <w:t>电</w:t>
            </w:r>
          </w:p>
        </w:tc>
        <w:tc>
          <w:tcPr>
            <w:tcW w:w="3534" w:type="dxa"/>
            <w:tcBorders>
              <w:top w:val="single" w:color="000000" w:sz="2" w:space="0"/>
              <w:bottom w:val="single" w:color="000000" w:sz="2" w:space="0"/>
            </w:tcBorders>
            <w:vAlign w:val="top"/>
          </w:tcPr>
          <w:p w14:paraId="1FD16F3B">
            <w:pPr>
              <w:pStyle w:val="33"/>
              <w:spacing w:before="34" w:line="222" w:lineRule="auto"/>
              <w:ind w:left="118"/>
              <w:rPr>
                <w:strike/>
                <w:dstrike w:val="0"/>
                <w:color w:val="auto"/>
                <w:sz w:val="24"/>
                <w:szCs w:val="24"/>
                <w:highlight w:val="none"/>
              </w:rPr>
            </w:pPr>
            <w:r>
              <w:rPr>
                <w:strike/>
                <w:dstrike w:val="0"/>
                <w:color w:val="auto"/>
                <w:spacing w:val="-5"/>
                <w:sz w:val="24"/>
                <w:szCs w:val="24"/>
                <w:highlight w:val="none"/>
              </w:rPr>
              <w:t>话</w:t>
            </w:r>
            <w:r>
              <w:rPr>
                <w:strike/>
                <w:dstrike w:val="0"/>
                <w:color w:val="auto"/>
                <w:spacing w:val="-68"/>
                <w:sz w:val="24"/>
                <w:szCs w:val="24"/>
                <w:highlight w:val="none"/>
              </w:rPr>
              <w:t xml:space="preserve"> </w:t>
            </w:r>
            <w:r>
              <w:rPr>
                <w:strike/>
                <w:dstrike w:val="0"/>
                <w:color w:val="auto"/>
                <w:spacing w:val="-5"/>
                <w:sz w:val="24"/>
                <w:szCs w:val="24"/>
                <w:highlight w:val="none"/>
              </w:rPr>
              <w:t>：</w:t>
            </w:r>
          </w:p>
        </w:tc>
      </w:tr>
      <w:tr w14:paraId="60188C33">
        <w:tblPrEx>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CellMar>
            <w:top w:w="0" w:type="dxa"/>
            <w:left w:w="0" w:type="dxa"/>
            <w:bottom w:w="0" w:type="dxa"/>
            <w:right w:w="0" w:type="dxa"/>
          </w:tblCellMar>
        </w:tblPrEx>
        <w:trPr>
          <w:trHeight w:val="278" w:hRule="atLeast"/>
        </w:trPr>
        <w:tc>
          <w:tcPr>
            <w:tcW w:w="1272" w:type="dxa"/>
            <w:vAlign w:val="top"/>
          </w:tcPr>
          <w:p w14:paraId="1128956A">
            <w:pPr>
              <w:pStyle w:val="33"/>
              <w:spacing w:before="37" w:line="177" w:lineRule="auto"/>
              <w:ind w:left="28"/>
              <w:rPr>
                <w:strike/>
                <w:dstrike w:val="0"/>
                <w:color w:val="auto"/>
                <w:sz w:val="24"/>
                <w:szCs w:val="24"/>
                <w:highlight w:val="none"/>
              </w:rPr>
            </w:pPr>
            <w:r>
              <w:rPr>
                <w:strike/>
                <w:dstrike w:val="0"/>
                <w:color w:val="auto"/>
                <w:spacing w:val="-4"/>
                <w:sz w:val="24"/>
                <w:szCs w:val="24"/>
                <w:highlight w:val="none"/>
              </w:rPr>
              <w:t>电子信箱</w:t>
            </w:r>
            <w:r>
              <w:rPr>
                <w:strike/>
                <w:dstrike w:val="0"/>
                <w:color w:val="auto"/>
                <w:spacing w:val="-65"/>
                <w:sz w:val="24"/>
                <w:szCs w:val="24"/>
                <w:highlight w:val="none"/>
              </w:rPr>
              <w:t xml:space="preserve"> </w:t>
            </w:r>
            <w:r>
              <w:rPr>
                <w:strike/>
                <w:dstrike w:val="0"/>
                <w:color w:val="auto"/>
                <w:spacing w:val="-4"/>
                <w:sz w:val="24"/>
                <w:szCs w:val="24"/>
                <w:highlight w:val="none"/>
              </w:rPr>
              <w:t>：</w:t>
            </w:r>
          </w:p>
        </w:tc>
        <w:tc>
          <w:tcPr>
            <w:tcW w:w="2570" w:type="dxa"/>
            <w:tcBorders>
              <w:top w:val="single" w:color="000000" w:sz="2" w:space="0"/>
            </w:tcBorders>
            <w:vAlign w:val="top"/>
          </w:tcPr>
          <w:p w14:paraId="644A4BEB">
            <w:pPr>
              <w:rPr>
                <w:rFonts w:ascii="Arial"/>
                <w:strike/>
                <w:dstrike w:val="0"/>
                <w:color w:val="auto"/>
                <w:sz w:val="21"/>
                <w:highlight w:val="none"/>
              </w:rPr>
            </w:pPr>
          </w:p>
        </w:tc>
        <w:tc>
          <w:tcPr>
            <w:tcW w:w="1547" w:type="dxa"/>
            <w:vAlign w:val="top"/>
          </w:tcPr>
          <w:p w14:paraId="19290A8E">
            <w:pPr>
              <w:pStyle w:val="33"/>
              <w:spacing w:before="37" w:line="177" w:lineRule="auto"/>
              <w:ind w:left="340"/>
              <w:rPr>
                <w:strike/>
                <w:dstrike w:val="0"/>
                <w:color w:val="auto"/>
                <w:sz w:val="24"/>
                <w:szCs w:val="24"/>
                <w:highlight w:val="none"/>
              </w:rPr>
            </w:pPr>
            <w:r>
              <w:rPr>
                <w:strike/>
                <w:dstrike w:val="0"/>
                <w:color w:val="auto"/>
                <w:spacing w:val="-16"/>
                <w:sz w:val="24"/>
                <w:szCs w:val="24"/>
                <w:highlight w:val="none"/>
              </w:rPr>
              <w:t>电</w:t>
            </w:r>
            <w:r>
              <w:rPr>
                <w:strike/>
                <w:dstrike w:val="0"/>
                <w:color w:val="auto"/>
                <w:spacing w:val="101"/>
                <w:sz w:val="24"/>
                <w:szCs w:val="24"/>
                <w:highlight w:val="none"/>
              </w:rPr>
              <w:t xml:space="preserve"> </w:t>
            </w:r>
            <w:r>
              <w:rPr>
                <w:strike/>
                <w:dstrike w:val="0"/>
                <w:color w:val="auto"/>
                <w:spacing w:val="-16"/>
                <w:sz w:val="24"/>
                <w:szCs w:val="24"/>
                <w:highlight w:val="none"/>
              </w:rPr>
              <w:t>子</w:t>
            </w:r>
            <w:r>
              <w:rPr>
                <w:strike/>
                <w:dstrike w:val="0"/>
                <w:color w:val="auto"/>
                <w:spacing w:val="100"/>
                <w:sz w:val="24"/>
                <w:szCs w:val="24"/>
                <w:highlight w:val="none"/>
              </w:rPr>
              <w:t xml:space="preserve"> </w:t>
            </w:r>
            <w:r>
              <w:rPr>
                <w:strike/>
                <w:dstrike w:val="0"/>
                <w:color w:val="auto"/>
                <w:spacing w:val="-16"/>
                <w:sz w:val="24"/>
                <w:szCs w:val="24"/>
                <w:highlight w:val="none"/>
              </w:rPr>
              <w:t>信</w:t>
            </w:r>
          </w:p>
        </w:tc>
        <w:tc>
          <w:tcPr>
            <w:tcW w:w="3534" w:type="dxa"/>
            <w:tcBorders>
              <w:top w:val="single" w:color="000000" w:sz="2" w:space="0"/>
            </w:tcBorders>
            <w:vAlign w:val="top"/>
          </w:tcPr>
          <w:p w14:paraId="63B94C1F">
            <w:pPr>
              <w:pStyle w:val="33"/>
              <w:spacing w:before="37" w:line="177" w:lineRule="auto"/>
              <w:ind w:left="120"/>
              <w:rPr>
                <w:strike/>
                <w:dstrike w:val="0"/>
                <w:color w:val="auto"/>
                <w:sz w:val="24"/>
                <w:szCs w:val="24"/>
                <w:highlight w:val="none"/>
              </w:rPr>
            </w:pPr>
            <w:r>
              <w:rPr>
                <w:strike/>
                <w:dstrike w:val="0"/>
                <w:color w:val="auto"/>
                <w:spacing w:val="-6"/>
                <w:sz w:val="24"/>
                <w:szCs w:val="24"/>
                <w:highlight w:val="none"/>
              </w:rPr>
              <w:t>箱</w:t>
            </w:r>
            <w:r>
              <w:rPr>
                <w:strike/>
                <w:dstrike w:val="0"/>
                <w:color w:val="auto"/>
                <w:spacing w:val="-68"/>
                <w:sz w:val="24"/>
                <w:szCs w:val="24"/>
                <w:highlight w:val="none"/>
              </w:rPr>
              <w:t xml:space="preserve"> </w:t>
            </w:r>
            <w:r>
              <w:rPr>
                <w:strike/>
                <w:dstrike w:val="0"/>
                <w:color w:val="auto"/>
                <w:spacing w:val="-6"/>
                <w:sz w:val="24"/>
                <w:szCs w:val="24"/>
                <w:highlight w:val="none"/>
              </w:rPr>
              <w:t>：</w:t>
            </w:r>
          </w:p>
        </w:tc>
      </w:tr>
    </w:tbl>
    <w:p w14:paraId="4D71FADB">
      <w:pPr>
        <w:pStyle w:val="3"/>
        <w:spacing w:line="284" w:lineRule="auto"/>
        <w:rPr>
          <w:strike/>
          <w:dstrike w:val="0"/>
          <w:color w:val="auto"/>
          <w:highlight w:val="none"/>
        </w:rPr>
      </w:pPr>
      <w:r>
        <w:rPr>
          <w:strike/>
          <w:dstrike w:val="0"/>
          <w:color w:val="auto"/>
          <w:highlight w:val="none"/>
        </w:rPr>
        <w:drawing>
          <wp:anchor distT="0" distB="0" distL="0" distR="0" simplePos="0" relativeHeight="251666432" behindDoc="0" locked="0" layoutInCell="1" allowOverlap="1">
            <wp:simplePos x="0" y="0"/>
            <wp:positionH relativeFrom="column">
              <wp:posOffset>3846195</wp:posOffset>
            </wp:positionH>
            <wp:positionV relativeFrom="paragraph">
              <wp:posOffset>119380</wp:posOffset>
            </wp:positionV>
            <wp:extent cx="1837690" cy="6350"/>
            <wp:effectExtent l="0" t="0" r="0" b="0"/>
            <wp:wrapNone/>
            <wp:docPr id="6" name="IM 6"/>
            <wp:cNvGraphicFramePr/>
            <a:graphic xmlns:a="http://schemas.openxmlformats.org/drawingml/2006/main">
              <a:graphicData uri="http://schemas.openxmlformats.org/drawingml/2006/picture">
                <pic:pic xmlns:pic="http://schemas.openxmlformats.org/drawingml/2006/picture">
                  <pic:nvPicPr>
                    <pic:cNvPr id="6" name="IM 6"/>
                    <pic:cNvPicPr/>
                  </pic:nvPicPr>
                  <pic:blipFill>
                    <a:blip r:embed="rId19"/>
                    <a:stretch>
                      <a:fillRect/>
                    </a:stretch>
                  </pic:blipFill>
                  <pic:spPr>
                    <a:xfrm>
                      <a:off x="0" y="0"/>
                      <a:ext cx="1837944" cy="6350"/>
                    </a:xfrm>
                    <a:prstGeom prst="rect">
                      <a:avLst/>
                    </a:prstGeom>
                  </pic:spPr>
                </pic:pic>
              </a:graphicData>
            </a:graphic>
          </wp:anchor>
        </w:drawing>
      </w:r>
      <w:r>
        <w:rPr>
          <w:strike/>
          <w:dstrike w:val="0"/>
          <w:color w:val="auto"/>
          <w:highlight w:val="none"/>
        </w:rPr>
        <w:drawing>
          <wp:anchor distT="0" distB="0" distL="0" distR="0" simplePos="0" relativeHeight="251667456" behindDoc="0" locked="0" layoutInCell="1" allowOverlap="1">
            <wp:simplePos x="0" y="0"/>
            <wp:positionH relativeFrom="column">
              <wp:posOffset>816610</wp:posOffset>
            </wp:positionH>
            <wp:positionV relativeFrom="paragraph">
              <wp:posOffset>119380</wp:posOffset>
            </wp:positionV>
            <wp:extent cx="1641475" cy="6350"/>
            <wp:effectExtent l="0" t="0" r="0" b="0"/>
            <wp:wrapNone/>
            <wp:docPr id="8" name="IM 8"/>
            <wp:cNvGraphicFramePr/>
            <a:graphic xmlns:a="http://schemas.openxmlformats.org/drawingml/2006/main">
              <a:graphicData uri="http://schemas.openxmlformats.org/drawingml/2006/picture">
                <pic:pic xmlns:pic="http://schemas.openxmlformats.org/drawingml/2006/picture">
                  <pic:nvPicPr>
                    <pic:cNvPr id="8" name="IM 8"/>
                    <pic:cNvPicPr/>
                  </pic:nvPicPr>
                  <pic:blipFill>
                    <a:blip r:embed="rId20"/>
                    <a:stretch>
                      <a:fillRect/>
                    </a:stretch>
                  </pic:blipFill>
                  <pic:spPr>
                    <a:xfrm>
                      <a:off x="0" y="0"/>
                      <a:ext cx="1641347" cy="6350"/>
                    </a:xfrm>
                    <a:prstGeom prst="rect">
                      <a:avLst/>
                    </a:prstGeom>
                  </pic:spPr>
                </pic:pic>
              </a:graphicData>
            </a:graphic>
          </wp:anchor>
        </w:drawing>
      </w:r>
    </w:p>
    <w:p w14:paraId="0E63B069">
      <w:pPr>
        <w:pStyle w:val="3"/>
        <w:spacing w:line="284" w:lineRule="auto"/>
        <w:rPr>
          <w:strike/>
          <w:dstrike w:val="0"/>
          <w:color w:val="auto"/>
          <w:highlight w:val="none"/>
        </w:rPr>
      </w:pPr>
    </w:p>
    <w:p w14:paraId="6EAA71FB">
      <w:pPr>
        <w:tabs>
          <w:tab w:val="left" w:pos="6840"/>
        </w:tabs>
        <w:spacing w:before="78" w:line="220" w:lineRule="auto"/>
        <w:ind w:left="6240"/>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9"/>
          <w:sz w:val="24"/>
          <w:szCs w:val="24"/>
          <w:highlight w:val="none"/>
        </w:rPr>
        <w:t>年</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9"/>
          <w:sz w:val="24"/>
          <w:szCs w:val="24"/>
          <w:highlight w:val="none"/>
        </w:rPr>
        <w:t>月</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9"/>
          <w:sz w:val="24"/>
          <w:szCs w:val="24"/>
          <w:highlight w:val="none"/>
        </w:rPr>
        <w:t>日</w:t>
      </w:r>
    </w:p>
    <w:p w14:paraId="3E6CC7B5">
      <w:pPr>
        <w:spacing w:line="220"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D397F50">
      <w:pPr>
        <w:spacing w:before="57" w:line="222" w:lineRule="auto"/>
        <w:ind w:left="2660"/>
        <w:outlineLvl w:val="2"/>
        <w:rPr>
          <w:rFonts w:ascii="黑体" w:hAnsi="黑体" w:eastAsia="黑体" w:cs="黑体"/>
          <w:strike w:val="0"/>
          <w:dstrike w:val="0"/>
          <w:color w:val="auto"/>
          <w:sz w:val="28"/>
          <w:szCs w:val="28"/>
          <w:highlight w:val="none"/>
        </w:rPr>
      </w:pPr>
      <w:bookmarkStart w:id="60" w:name="_Toc12535"/>
      <w:r>
        <w:rPr>
          <w:rFonts w:ascii="黑体" w:hAnsi="黑体" w:eastAsia="黑体" w:cs="黑体"/>
          <w:b/>
          <w:bCs/>
          <w:strike w:val="0"/>
          <w:dstrike w:val="0"/>
          <w:color w:val="auto"/>
          <w:spacing w:val="-3"/>
          <w:sz w:val="28"/>
          <w:szCs w:val="28"/>
          <w:highlight w:val="none"/>
        </w:rPr>
        <w:t>投标人资格条件要求附表</w:t>
      </w:r>
      <w:bookmarkEnd w:id="60"/>
    </w:p>
    <w:p w14:paraId="0E46E8D1">
      <w:pPr>
        <w:pStyle w:val="3"/>
        <w:spacing w:line="266" w:lineRule="auto"/>
        <w:rPr>
          <w:strike/>
          <w:dstrike w:val="0"/>
          <w:color w:val="auto"/>
          <w:highlight w:val="none"/>
        </w:rPr>
      </w:pPr>
    </w:p>
    <w:p w14:paraId="55E3B21B">
      <w:pPr>
        <w:pStyle w:val="3"/>
        <w:spacing w:line="267" w:lineRule="auto"/>
        <w:rPr>
          <w:strike/>
          <w:dstrike w:val="0"/>
          <w:color w:val="auto"/>
          <w:highlight w:val="none"/>
        </w:rPr>
      </w:pPr>
    </w:p>
    <w:p w14:paraId="40C3EA47">
      <w:pPr>
        <w:spacing w:before="78" w:line="234" w:lineRule="auto"/>
        <w:ind w:left="29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略（详见招标公告附表）。</w:t>
      </w:r>
    </w:p>
    <w:p w14:paraId="32817E0D">
      <w:pPr>
        <w:spacing w:line="234" w:lineRule="auto"/>
        <w:rPr>
          <w:rFonts w:ascii="宋体" w:hAnsi="宋体" w:eastAsia="宋体" w:cs="宋体"/>
          <w:strike/>
          <w:dstrike w:val="0"/>
          <w:color w:val="auto"/>
          <w:sz w:val="24"/>
          <w:szCs w:val="24"/>
          <w:highlight w:val="none"/>
        </w:rPr>
        <w:sectPr>
          <w:footerReference r:id="rId11" w:type="default"/>
          <w:pgSz w:w="11905" w:h="16843"/>
          <w:pgMar w:top="1429" w:right="1361" w:bottom="1253" w:left="1621" w:header="0" w:footer="1094" w:gutter="0"/>
          <w:pgNumType w:fmt="decimal"/>
          <w:cols w:space="0" w:num="1"/>
          <w:rtlGutter w:val="0"/>
          <w:docGrid w:linePitch="0" w:charSpace="0"/>
        </w:sectPr>
      </w:pPr>
    </w:p>
    <w:p w14:paraId="756207E4">
      <w:pPr>
        <w:spacing w:before="71" w:line="219" w:lineRule="auto"/>
        <w:ind w:left="1230"/>
        <w:outlineLvl w:val="0"/>
        <w:rPr>
          <w:rFonts w:ascii="宋体" w:hAnsi="宋体" w:eastAsia="宋体" w:cs="宋体"/>
          <w:strike w:val="0"/>
          <w:dstrike w:val="0"/>
          <w:color w:val="auto"/>
          <w:sz w:val="36"/>
          <w:szCs w:val="36"/>
          <w:highlight w:val="none"/>
        </w:rPr>
      </w:pPr>
      <w:bookmarkStart w:id="61" w:name="bookmark22"/>
      <w:bookmarkEnd w:id="61"/>
      <w:bookmarkStart w:id="62" w:name="_Toc17522"/>
      <w:r>
        <w:rPr>
          <w:rFonts w:ascii="宋体" w:hAnsi="宋体" w:eastAsia="宋体" w:cs="宋体"/>
          <w:b/>
          <w:bCs/>
          <w:strike w:val="0"/>
          <w:dstrike w:val="0"/>
          <w:color w:val="auto"/>
          <w:spacing w:val="-3"/>
          <w:sz w:val="36"/>
          <w:szCs w:val="36"/>
          <w:highlight w:val="none"/>
        </w:rPr>
        <w:t>第一章</w:t>
      </w:r>
      <w:r>
        <w:rPr>
          <w:rFonts w:ascii="宋体" w:hAnsi="宋体" w:eastAsia="宋体" w:cs="宋体"/>
          <w:strike w:val="0"/>
          <w:dstrike w:val="0"/>
          <w:color w:val="auto"/>
          <w:spacing w:val="-3"/>
          <w:sz w:val="36"/>
          <w:szCs w:val="36"/>
          <w:highlight w:val="none"/>
        </w:rPr>
        <w:t xml:space="preserve"> </w:t>
      </w:r>
      <w:r>
        <w:rPr>
          <w:rFonts w:ascii="宋体" w:hAnsi="宋体" w:eastAsia="宋体" w:cs="宋体"/>
          <w:b/>
          <w:bCs/>
          <w:strike w:val="0"/>
          <w:dstrike w:val="0"/>
          <w:color w:val="auto"/>
          <w:spacing w:val="-3"/>
          <w:sz w:val="36"/>
          <w:szCs w:val="36"/>
          <w:highlight w:val="none"/>
        </w:rPr>
        <w:t>投标邀请书（适用于资格预审招标）</w:t>
      </w:r>
      <w:bookmarkEnd w:id="62"/>
    </w:p>
    <w:p w14:paraId="51BB19C0">
      <w:pPr>
        <w:pStyle w:val="3"/>
        <w:spacing w:line="294" w:lineRule="auto"/>
        <w:rPr>
          <w:strike/>
          <w:dstrike w:val="0"/>
          <w:color w:val="auto"/>
          <w:highlight w:val="none"/>
        </w:rPr>
      </w:pPr>
    </w:p>
    <w:p w14:paraId="640C9D08">
      <w:pPr>
        <w:pStyle w:val="3"/>
        <w:spacing w:line="295" w:lineRule="auto"/>
        <w:rPr>
          <w:strike/>
          <w:dstrike w:val="0"/>
          <w:color w:val="auto"/>
          <w:highlight w:val="none"/>
        </w:rPr>
      </w:pPr>
    </w:p>
    <w:p w14:paraId="5B893836">
      <w:pPr>
        <w:tabs>
          <w:tab w:val="left" w:pos="2160"/>
          <w:tab w:val="left" w:pos="2833"/>
        </w:tabs>
        <w:spacing w:before="81" w:line="345" w:lineRule="auto"/>
        <w:ind w:right="1236" w:firstLine="1034"/>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3"/>
          <w:sz w:val="24"/>
          <w:szCs w:val="24"/>
          <w:highlight w:val="none"/>
        </w:rPr>
        <w:t>（</w:t>
      </w:r>
      <w:r>
        <w:rPr>
          <w:rFonts w:ascii="宋体" w:hAnsi="宋体" w:eastAsia="宋体" w:cs="宋体"/>
          <w:i/>
          <w:iCs/>
          <w:strike/>
          <w:dstrike w:val="0"/>
          <w:color w:val="auto"/>
          <w:spacing w:val="-3"/>
          <w:sz w:val="25"/>
          <w:szCs w:val="25"/>
          <w:highlight w:val="none"/>
        </w:rPr>
        <w:t>项目名称</w:t>
      </w:r>
      <w:r>
        <w:rPr>
          <w:rFonts w:ascii="宋体" w:hAnsi="宋体" w:eastAsia="宋体" w:cs="宋体"/>
          <w:strike/>
          <w:dstrike w:val="0"/>
          <w:color w:val="auto"/>
          <w:spacing w:val="-26"/>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6"/>
          <w:sz w:val="24"/>
          <w:szCs w:val="24"/>
          <w:highlight w:val="none"/>
        </w:rPr>
        <w:t>（</w:t>
      </w:r>
      <w:r>
        <w:rPr>
          <w:rFonts w:ascii="宋体" w:hAnsi="宋体" w:eastAsia="宋体" w:cs="宋体"/>
          <w:i/>
          <w:iCs/>
          <w:strike/>
          <w:dstrike w:val="0"/>
          <w:color w:val="auto"/>
          <w:spacing w:val="-3"/>
          <w:sz w:val="25"/>
          <w:szCs w:val="25"/>
          <w:highlight w:val="none"/>
        </w:rPr>
        <w:t>标段名称</w:t>
      </w:r>
      <w:r>
        <w:rPr>
          <w:rFonts w:ascii="宋体" w:hAnsi="宋体" w:eastAsia="宋体" w:cs="宋体"/>
          <w:strike/>
          <w:dstrike w:val="0"/>
          <w:color w:val="auto"/>
          <w:spacing w:val="-3"/>
          <w:sz w:val="24"/>
          <w:szCs w:val="24"/>
          <w:highlight w:val="none"/>
        </w:rPr>
        <w:t>）投标邀请书</w:t>
      </w: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20"/>
          <w:sz w:val="24"/>
          <w:szCs w:val="24"/>
          <w:highlight w:val="none"/>
        </w:rPr>
        <w:t>（</w:t>
      </w:r>
      <w:r>
        <w:rPr>
          <w:rFonts w:ascii="宋体" w:hAnsi="宋体" w:eastAsia="宋体" w:cs="宋体"/>
          <w:strike/>
          <w:dstrike w:val="0"/>
          <w:color w:val="auto"/>
          <w:spacing w:val="-25"/>
          <w:sz w:val="24"/>
          <w:szCs w:val="24"/>
          <w:highlight w:val="none"/>
        </w:rPr>
        <w:t xml:space="preserve"> </w:t>
      </w:r>
      <w:r>
        <w:rPr>
          <w:rFonts w:ascii="宋体" w:hAnsi="宋体" w:eastAsia="宋体" w:cs="宋体"/>
          <w:i/>
          <w:iCs/>
          <w:strike/>
          <w:dstrike w:val="0"/>
          <w:color w:val="auto"/>
          <w:spacing w:val="-20"/>
          <w:sz w:val="25"/>
          <w:szCs w:val="25"/>
          <w:highlight w:val="none"/>
        </w:rPr>
        <w:t>被邀请单位名称</w:t>
      </w:r>
      <w:r>
        <w:rPr>
          <w:rFonts w:ascii="宋体" w:hAnsi="宋体" w:eastAsia="宋体" w:cs="宋体"/>
          <w:strike/>
          <w:dstrike w:val="0"/>
          <w:color w:val="auto"/>
          <w:spacing w:val="-15"/>
          <w:sz w:val="24"/>
          <w:szCs w:val="24"/>
          <w:highlight w:val="none"/>
        </w:rPr>
        <w:t>）：</w:t>
      </w:r>
    </w:p>
    <w:p w14:paraId="6F978FE7">
      <w:pPr>
        <w:spacing w:before="202" w:line="349" w:lineRule="auto"/>
        <w:ind w:left="11" w:firstLine="47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你单位递交的资格预审申请文件已通过我方审查，现邀请你单位参加</w:t>
      </w:r>
      <w:r>
        <w:rPr>
          <w:rFonts w:ascii="宋体" w:hAnsi="宋体" w:eastAsia="宋体" w:cs="宋体"/>
          <w:strike/>
          <w:dstrike w:val="0"/>
          <w:color w:val="auto"/>
          <w:spacing w:val="-113"/>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
          <w:sz w:val="24"/>
          <w:szCs w:val="24"/>
          <w:highlight w:val="none"/>
        </w:rPr>
        <w:t>（</w:t>
      </w:r>
      <w:r>
        <w:rPr>
          <w:rFonts w:ascii="宋体" w:hAnsi="宋体" w:eastAsia="宋体" w:cs="宋体"/>
          <w:i/>
          <w:iCs/>
          <w:strike/>
          <w:dstrike w:val="0"/>
          <w:color w:val="auto"/>
          <w:spacing w:val="1"/>
          <w:sz w:val="25"/>
          <w:szCs w:val="25"/>
          <w:highlight w:val="none"/>
        </w:rPr>
        <w:t>项</w:t>
      </w:r>
      <w:r>
        <w:rPr>
          <w:rFonts w:ascii="宋体" w:hAnsi="宋体" w:eastAsia="宋体" w:cs="宋体"/>
          <w:i/>
          <w:iCs/>
          <w:strike/>
          <w:dstrike w:val="0"/>
          <w:color w:val="auto"/>
          <w:spacing w:val="-11"/>
          <w:sz w:val="25"/>
          <w:szCs w:val="25"/>
          <w:highlight w:val="none"/>
        </w:rPr>
        <w:t>目名称</w:t>
      </w:r>
      <w:r>
        <w:rPr>
          <w:rFonts w:ascii="宋体" w:hAnsi="宋体" w:eastAsia="宋体" w:cs="宋体"/>
          <w:strike/>
          <w:dstrike w:val="0"/>
          <w:color w:val="auto"/>
          <w:spacing w:val="-30"/>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30"/>
          <w:sz w:val="24"/>
          <w:szCs w:val="24"/>
          <w:highlight w:val="none"/>
        </w:rPr>
        <w:t>（</w:t>
      </w:r>
      <w:r>
        <w:rPr>
          <w:rFonts w:ascii="宋体" w:hAnsi="宋体" w:eastAsia="宋体" w:cs="宋体"/>
          <w:i/>
          <w:iCs/>
          <w:strike/>
          <w:dstrike w:val="0"/>
          <w:color w:val="auto"/>
          <w:spacing w:val="-11"/>
          <w:sz w:val="25"/>
          <w:szCs w:val="25"/>
          <w:highlight w:val="none"/>
        </w:rPr>
        <w:t>标段名称</w:t>
      </w:r>
      <w:r>
        <w:rPr>
          <w:rFonts w:ascii="宋体" w:hAnsi="宋体" w:eastAsia="宋体" w:cs="宋体"/>
          <w:strike/>
          <w:dstrike w:val="0"/>
          <w:color w:val="auto"/>
          <w:spacing w:val="-11"/>
          <w:sz w:val="24"/>
          <w:szCs w:val="24"/>
          <w:highlight w:val="none"/>
        </w:rPr>
        <w:t>）投标。</w:t>
      </w:r>
    </w:p>
    <w:p w14:paraId="743FE133">
      <w:pPr>
        <w:spacing w:before="202" w:line="349" w:lineRule="auto"/>
        <w:ind w:left="11" w:firstLine="47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3"/>
          <w:sz w:val="24"/>
          <w:szCs w:val="24"/>
          <w:highlight w:val="none"/>
        </w:rPr>
        <w:t>请于</w:t>
      </w:r>
      <w:r>
        <w:rPr>
          <w:rFonts w:ascii="宋体" w:hAnsi="宋体" w:eastAsia="宋体" w:cs="宋体"/>
          <w:strike/>
          <w:dstrike w:val="0"/>
          <w:color w:val="auto"/>
          <w:spacing w:val="-23"/>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23"/>
          <w:sz w:val="24"/>
          <w:szCs w:val="24"/>
          <w:highlight w:val="none"/>
        </w:rPr>
        <w:t>年</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23"/>
          <w:sz w:val="24"/>
          <w:szCs w:val="24"/>
          <w:highlight w:val="none"/>
        </w:rPr>
        <w:t>月</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23"/>
          <w:sz w:val="24"/>
          <w:szCs w:val="24"/>
          <w:highlight w:val="none"/>
        </w:rPr>
        <w:t>日</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99"/>
          <w:sz w:val="24"/>
          <w:szCs w:val="24"/>
          <w:highlight w:val="none"/>
        </w:rPr>
        <w:t xml:space="preserve"> </w:t>
      </w:r>
      <w:r>
        <w:rPr>
          <w:rFonts w:ascii="宋体" w:hAnsi="宋体" w:eastAsia="宋体" w:cs="宋体"/>
          <w:strike/>
          <w:dstrike w:val="0"/>
          <w:color w:val="auto"/>
          <w:spacing w:val="-23"/>
          <w:sz w:val="24"/>
          <w:szCs w:val="24"/>
          <w:highlight w:val="none"/>
        </w:rPr>
        <w:t>时</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23"/>
          <w:sz w:val="24"/>
          <w:szCs w:val="24"/>
          <w:highlight w:val="none"/>
        </w:rPr>
        <w:t>分至</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23"/>
          <w:sz w:val="24"/>
          <w:szCs w:val="24"/>
          <w:highlight w:val="none"/>
        </w:rPr>
        <w:t>年</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23"/>
          <w:sz w:val="24"/>
          <w:szCs w:val="24"/>
          <w:highlight w:val="none"/>
        </w:rPr>
        <w:t>月</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23"/>
          <w:sz w:val="24"/>
          <w:szCs w:val="24"/>
          <w:highlight w:val="none"/>
        </w:rPr>
        <w:t>日</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99"/>
          <w:sz w:val="24"/>
          <w:szCs w:val="24"/>
          <w:highlight w:val="none"/>
        </w:rPr>
        <w:t xml:space="preserve"> </w:t>
      </w:r>
      <w:r>
        <w:rPr>
          <w:rFonts w:ascii="宋体" w:hAnsi="宋体" w:eastAsia="宋体" w:cs="宋体"/>
          <w:strike/>
          <w:dstrike w:val="0"/>
          <w:color w:val="auto"/>
          <w:spacing w:val="-23"/>
          <w:sz w:val="24"/>
          <w:szCs w:val="24"/>
          <w:highlight w:val="none"/>
        </w:rPr>
        <w:t>时</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23"/>
          <w:sz w:val="24"/>
          <w:szCs w:val="24"/>
          <w:highlight w:val="none"/>
        </w:rPr>
        <w:t>分（北京时间，下同</w:t>
      </w:r>
      <w:r>
        <w:rPr>
          <w:rFonts w:ascii="宋体" w:hAnsi="宋体" w:eastAsia="宋体" w:cs="宋体"/>
          <w:strike/>
          <w:dstrike w:val="0"/>
          <w:color w:val="auto"/>
          <w:spacing w:val="-34"/>
          <w:sz w:val="24"/>
          <w:szCs w:val="24"/>
          <w:highlight w:val="none"/>
        </w:rPr>
        <w:t>），</w:t>
      </w:r>
      <w:r>
        <w:rPr>
          <w:rFonts w:ascii="宋体" w:hAnsi="宋体" w:eastAsia="宋体" w:cs="宋体"/>
          <w:strike/>
          <w:dstrike w:val="0"/>
          <w:color w:val="auto"/>
          <w:spacing w:val="-11"/>
          <w:sz w:val="24"/>
          <w:szCs w:val="24"/>
          <w:highlight w:val="none"/>
        </w:rPr>
        <w:t>登录</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
          <w:sz w:val="24"/>
          <w:szCs w:val="24"/>
          <w:highlight w:val="none"/>
        </w:rPr>
        <w:t xml:space="preserve">（ </w:t>
      </w:r>
      <w:r>
        <w:rPr>
          <w:rFonts w:ascii="宋体" w:hAnsi="宋体" w:eastAsia="宋体" w:cs="宋体"/>
          <w:i/>
          <w:iCs/>
          <w:strike/>
          <w:dstrike w:val="0"/>
          <w:color w:val="auto"/>
          <w:spacing w:val="-11"/>
          <w:sz w:val="25"/>
          <w:szCs w:val="25"/>
          <w:highlight w:val="none"/>
        </w:rPr>
        <w:t>电子招标投标交易平台名称</w:t>
      </w:r>
      <w:r>
        <w:rPr>
          <w:rFonts w:ascii="宋体" w:hAnsi="宋体" w:eastAsia="宋体" w:cs="宋体"/>
          <w:strike/>
          <w:dstrike w:val="0"/>
          <w:color w:val="auto"/>
          <w:spacing w:val="-11"/>
          <w:sz w:val="24"/>
          <w:szCs w:val="24"/>
          <w:highlight w:val="none"/>
        </w:rPr>
        <w:t>）下载电子招标文</w:t>
      </w:r>
      <w:r>
        <w:rPr>
          <w:rFonts w:ascii="宋体" w:hAnsi="宋体" w:eastAsia="宋体" w:cs="宋体"/>
          <w:strike/>
          <w:dstrike w:val="0"/>
          <w:color w:val="auto"/>
          <w:spacing w:val="-12"/>
          <w:sz w:val="24"/>
          <w:szCs w:val="24"/>
          <w:highlight w:val="none"/>
        </w:rPr>
        <w:t>件。</w:t>
      </w:r>
    </w:p>
    <w:p w14:paraId="7C98B25F">
      <w:pPr>
        <w:spacing w:before="202" w:line="349" w:lineRule="auto"/>
        <w:ind w:left="11" w:firstLine="47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招标</w:t>
      </w:r>
      <w:r>
        <w:rPr>
          <w:rFonts w:ascii="宋体" w:hAnsi="宋体" w:eastAsia="宋体" w:cs="宋体"/>
          <w:strike/>
          <w:dstrike w:val="0"/>
          <w:color w:val="auto"/>
          <w:spacing w:val="-8"/>
          <w:sz w:val="24"/>
          <w:szCs w:val="24"/>
          <w:highlight w:val="none"/>
        </w:rPr>
        <w:t>人定于</w:t>
      </w:r>
      <w:r>
        <w:rPr>
          <w:rFonts w:ascii="宋体" w:hAnsi="宋体" w:eastAsia="宋体" w:cs="宋体"/>
          <w:strike/>
          <w:dstrike w:val="0"/>
          <w:color w:val="auto"/>
          <w:spacing w:val="-8"/>
          <w:sz w:val="24"/>
          <w:szCs w:val="24"/>
          <w:highlight w:val="none"/>
          <w:u w:val="single" w:color="auto"/>
        </w:rPr>
        <w:t xml:space="preserve">       </w:t>
      </w:r>
      <w:r>
        <w:rPr>
          <w:rFonts w:ascii="宋体" w:hAnsi="宋体" w:eastAsia="宋体" w:cs="宋体"/>
          <w:strike/>
          <w:dstrike w:val="0"/>
          <w:color w:val="auto"/>
          <w:spacing w:val="-8"/>
          <w:sz w:val="24"/>
          <w:szCs w:val="24"/>
          <w:highlight w:val="none"/>
        </w:rPr>
        <w:t>（具体时间）在</w:t>
      </w:r>
      <w:r>
        <w:rPr>
          <w:rFonts w:ascii="宋体" w:hAnsi="宋体" w:eastAsia="宋体" w:cs="宋体"/>
          <w:strike/>
          <w:dstrike w:val="0"/>
          <w:color w:val="auto"/>
          <w:spacing w:val="-106"/>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9"/>
          <w:sz w:val="24"/>
          <w:szCs w:val="24"/>
          <w:highlight w:val="none"/>
        </w:rPr>
        <w:t>（</w:t>
      </w:r>
      <w:r>
        <w:rPr>
          <w:rFonts w:ascii="宋体" w:hAnsi="宋体" w:eastAsia="宋体" w:cs="宋体"/>
          <w:strike/>
          <w:dstrike w:val="0"/>
          <w:color w:val="auto"/>
          <w:spacing w:val="-56"/>
          <w:sz w:val="24"/>
          <w:szCs w:val="24"/>
          <w:highlight w:val="none"/>
        </w:rPr>
        <w:t xml:space="preserve"> </w:t>
      </w:r>
      <w:r>
        <w:rPr>
          <w:rFonts w:ascii="宋体" w:hAnsi="宋体" w:eastAsia="宋体" w:cs="宋体"/>
          <w:i/>
          <w:iCs/>
          <w:strike/>
          <w:dstrike w:val="0"/>
          <w:color w:val="auto"/>
          <w:spacing w:val="-9"/>
          <w:sz w:val="25"/>
          <w:szCs w:val="25"/>
          <w:highlight w:val="none"/>
        </w:rPr>
        <w:t>踏勘现场集合地点</w:t>
      </w:r>
      <w:r>
        <w:rPr>
          <w:rFonts w:ascii="宋体" w:hAnsi="宋体" w:eastAsia="宋体" w:cs="宋体"/>
          <w:strike/>
          <w:dstrike w:val="0"/>
          <w:color w:val="auto"/>
          <w:spacing w:val="-9"/>
          <w:sz w:val="24"/>
          <w:szCs w:val="24"/>
          <w:highlight w:val="none"/>
        </w:rPr>
        <w:t>）组织踏勘</w:t>
      </w:r>
      <w:r>
        <w:rPr>
          <w:rFonts w:ascii="宋体" w:hAnsi="宋体" w:eastAsia="宋体" w:cs="宋体"/>
          <w:strike/>
          <w:dstrike w:val="0"/>
          <w:color w:val="auto"/>
          <w:spacing w:val="-7"/>
          <w:sz w:val="24"/>
          <w:szCs w:val="24"/>
          <w:highlight w:val="none"/>
        </w:rPr>
        <w:t>现场</w:t>
      </w:r>
      <w:r>
        <w:rPr>
          <w:rFonts w:ascii="宋体" w:hAnsi="宋体" w:eastAsia="宋体" w:cs="宋体"/>
          <w:strike/>
          <w:dstrike w:val="0"/>
          <w:color w:val="auto"/>
          <w:spacing w:val="-18"/>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8"/>
          <w:sz w:val="24"/>
          <w:szCs w:val="24"/>
          <w:highlight w:val="none"/>
        </w:rPr>
        <w:t>（</w:t>
      </w:r>
      <w:r>
        <w:rPr>
          <w:rFonts w:ascii="宋体" w:hAnsi="宋体" w:eastAsia="宋体" w:cs="宋体"/>
          <w:strike/>
          <w:dstrike w:val="0"/>
          <w:color w:val="auto"/>
          <w:spacing w:val="-4"/>
          <w:sz w:val="24"/>
          <w:szCs w:val="24"/>
          <w:highlight w:val="none"/>
        </w:rPr>
        <w:t>具体时间）在</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strike/>
          <w:dstrike w:val="0"/>
          <w:color w:val="auto"/>
          <w:spacing w:val="-23"/>
          <w:sz w:val="24"/>
          <w:szCs w:val="24"/>
          <w:highlight w:val="none"/>
        </w:rPr>
        <w:t xml:space="preserve"> </w:t>
      </w:r>
      <w:r>
        <w:rPr>
          <w:rFonts w:ascii="宋体" w:hAnsi="宋体" w:eastAsia="宋体" w:cs="宋体"/>
          <w:i/>
          <w:iCs/>
          <w:strike/>
          <w:dstrike w:val="0"/>
          <w:color w:val="auto"/>
          <w:spacing w:val="-4"/>
          <w:sz w:val="25"/>
          <w:szCs w:val="25"/>
          <w:highlight w:val="none"/>
        </w:rPr>
        <w:t>投标预备会地点</w:t>
      </w:r>
      <w:r>
        <w:rPr>
          <w:rFonts w:ascii="宋体" w:hAnsi="宋体" w:eastAsia="宋体" w:cs="宋体"/>
          <w:strike/>
          <w:dstrike w:val="0"/>
          <w:color w:val="auto"/>
          <w:spacing w:val="-4"/>
          <w:sz w:val="24"/>
          <w:szCs w:val="24"/>
          <w:highlight w:val="none"/>
        </w:rPr>
        <w:t>）召开投标预备会，</w:t>
      </w:r>
      <w:r>
        <w:rPr>
          <w:rFonts w:ascii="宋体" w:hAnsi="宋体" w:eastAsia="宋体" w:cs="宋体"/>
          <w:strike/>
          <w:dstrike w:val="0"/>
          <w:color w:val="auto"/>
          <w:spacing w:val="-7"/>
          <w:sz w:val="24"/>
          <w:szCs w:val="24"/>
          <w:highlight w:val="none"/>
        </w:rPr>
        <w:t>投标</w:t>
      </w:r>
      <w:r>
        <w:rPr>
          <w:rFonts w:ascii="宋体" w:hAnsi="宋体" w:eastAsia="宋体" w:cs="宋体"/>
          <w:strike/>
          <w:dstrike w:val="0"/>
          <w:color w:val="auto"/>
          <w:spacing w:val="-3"/>
          <w:sz w:val="24"/>
          <w:szCs w:val="24"/>
          <w:highlight w:val="none"/>
        </w:rPr>
        <w:t>人可自愿参加，交通工具自备，食宿自理。</w:t>
      </w:r>
    </w:p>
    <w:p w14:paraId="6D9EB53A">
      <w:pPr>
        <w:spacing w:before="202" w:line="349" w:lineRule="auto"/>
        <w:ind w:left="11" w:firstLine="479"/>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投标文件递交的截止时间（投标截止时间，下同）为</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103"/>
          <w:sz w:val="24"/>
          <w:szCs w:val="24"/>
          <w:highlight w:val="none"/>
        </w:rPr>
        <w:t xml:space="preserve"> </w:t>
      </w:r>
      <w:r>
        <w:rPr>
          <w:rFonts w:ascii="宋体" w:hAnsi="宋体" w:eastAsia="宋体" w:cs="宋体"/>
          <w:strike/>
          <w:dstrike w:val="0"/>
          <w:color w:val="auto"/>
          <w:spacing w:val="-3"/>
          <w:sz w:val="24"/>
          <w:szCs w:val="24"/>
          <w:highlight w:val="none"/>
        </w:rPr>
        <w:t>年</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3"/>
          <w:sz w:val="24"/>
          <w:szCs w:val="24"/>
          <w:highlight w:val="none"/>
        </w:rPr>
        <w:t>月</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3"/>
          <w:sz w:val="24"/>
          <w:szCs w:val="24"/>
          <w:highlight w:val="none"/>
        </w:rPr>
        <w:t>日</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100"/>
          <w:sz w:val="24"/>
          <w:szCs w:val="24"/>
          <w:highlight w:val="none"/>
        </w:rPr>
        <w:t xml:space="preserve"> </w:t>
      </w:r>
      <w:r>
        <w:rPr>
          <w:rFonts w:ascii="宋体" w:hAnsi="宋体" w:eastAsia="宋体" w:cs="宋体"/>
          <w:strike/>
          <w:dstrike w:val="0"/>
          <w:color w:val="auto"/>
          <w:spacing w:val="-3"/>
          <w:sz w:val="24"/>
          <w:szCs w:val="24"/>
          <w:highlight w:val="none"/>
        </w:rPr>
        <w:t>时</w:t>
      </w: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0"/>
          <w:sz w:val="24"/>
          <w:szCs w:val="24"/>
          <w:highlight w:val="none"/>
        </w:rPr>
        <w:t>分，投标人应在截止时间前通过</w:t>
      </w:r>
      <w:r>
        <w:rPr>
          <w:rFonts w:ascii="宋体" w:hAnsi="宋体" w:eastAsia="宋体" w:cs="宋体"/>
          <w:strike/>
          <w:dstrike w:val="0"/>
          <w:color w:val="auto"/>
          <w:spacing w:val="-95"/>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
          <w:sz w:val="24"/>
          <w:szCs w:val="24"/>
          <w:highlight w:val="none"/>
        </w:rPr>
        <w:t xml:space="preserve">（ </w:t>
      </w:r>
      <w:r>
        <w:rPr>
          <w:rFonts w:ascii="宋体" w:hAnsi="宋体" w:eastAsia="宋体" w:cs="宋体"/>
          <w:i/>
          <w:iCs/>
          <w:strike/>
          <w:dstrike w:val="0"/>
          <w:color w:val="auto"/>
          <w:spacing w:val="-10"/>
          <w:sz w:val="25"/>
          <w:szCs w:val="25"/>
          <w:highlight w:val="none"/>
        </w:rPr>
        <w:t>电子招标投标交易平台名称</w:t>
      </w:r>
      <w:r>
        <w:rPr>
          <w:rFonts w:ascii="宋体" w:hAnsi="宋体" w:eastAsia="宋体" w:cs="宋体"/>
          <w:strike/>
          <w:dstrike w:val="0"/>
          <w:color w:val="auto"/>
          <w:spacing w:val="-10"/>
          <w:sz w:val="24"/>
          <w:szCs w:val="24"/>
          <w:highlight w:val="none"/>
        </w:rPr>
        <w:t>）</w:t>
      </w:r>
      <w:r>
        <w:rPr>
          <w:rFonts w:ascii="宋体" w:hAnsi="宋体" w:eastAsia="宋体" w:cs="宋体"/>
          <w:strike/>
          <w:dstrike w:val="0"/>
          <w:color w:val="auto"/>
          <w:sz w:val="24"/>
          <w:szCs w:val="24"/>
          <w:highlight w:val="none"/>
        </w:rPr>
        <w:t>上传加密电子投标文件。未按招标文件要求上传或未</w:t>
      </w:r>
      <w:r>
        <w:rPr>
          <w:rFonts w:ascii="宋体" w:hAnsi="宋体" w:eastAsia="宋体" w:cs="宋体"/>
          <w:strike/>
          <w:dstrike w:val="0"/>
          <w:color w:val="auto"/>
          <w:spacing w:val="-1"/>
          <w:sz w:val="24"/>
          <w:szCs w:val="24"/>
          <w:highlight w:val="none"/>
        </w:rPr>
        <w:t>按规定加密的投标文件，招标</w:t>
      </w:r>
      <w:r>
        <w:rPr>
          <w:rFonts w:ascii="宋体" w:hAnsi="宋体" w:eastAsia="宋体" w:cs="宋体"/>
          <w:strike/>
          <w:dstrike w:val="0"/>
          <w:color w:val="auto"/>
          <w:spacing w:val="-6"/>
          <w:sz w:val="24"/>
          <w:szCs w:val="24"/>
          <w:highlight w:val="none"/>
        </w:rPr>
        <w:t>人将予以拒收。</w:t>
      </w:r>
    </w:p>
    <w:p w14:paraId="3765BBED">
      <w:pPr>
        <w:pStyle w:val="3"/>
        <w:spacing w:line="448" w:lineRule="auto"/>
        <w:rPr>
          <w:strike/>
          <w:dstrike w:val="0"/>
          <w:color w:val="auto"/>
          <w:highlight w:val="none"/>
        </w:rPr>
      </w:pPr>
    </w:p>
    <w:p w14:paraId="4E8BBE85">
      <w:pPr>
        <w:spacing w:before="78" w:line="219" w:lineRule="auto"/>
        <w:ind w:left="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招 标</w:t>
      </w:r>
      <w:r>
        <w:rPr>
          <w:rFonts w:ascii="宋体" w:hAnsi="宋体" w:eastAsia="宋体" w:cs="宋体"/>
          <w:strike/>
          <w:dstrike w:val="0"/>
          <w:color w:val="auto"/>
          <w:spacing w:val="29"/>
          <w:sz w:val="24"/>
          <w:szCs w:val="24"/>
          <w:highlight w:val="none"/>
        </w:rPr>
        <w:t xml:space="preserve"> </w:t>
      </w:r>
      <w:r>
        <w:rPr>
          <w:rFonts w:ascii="宋体" w:hAnsi="宋体" w:eastAsia="宋体" w:cs="宋体"/>
          <w:strike/>
          <w:dstrike w:val="0"/>
          <w:color w:val="auto"/>
          <w:spacing w:val="7"/>
          <w:sz w:val="24"/>
          <w:szCs w:val="24"/>
          <w:highlight w:val="none"/>
        </w:rPr>
        <w:t>人</w:t>
      </w:r>
      <w:r>
        <w:rPr>
          <w:rFonts w:ascii="宋体" w:hAnsi="宋体" w:eastAsia="宋体" w:cs="宋体"/>
          <w:strike/>
          <w:dstrike w:val="0"/>
          <w:color w:val="auto"/>
          <w:spacing w:val="-35"/>
          <w:sz w:val="24"/>
          <w:szCs w:val="24"/>
          <w:highlight w:val="none"/>
        </w:rPr>
        <w:t xml:space="preserve"> </w:t>
      </w:r>
      <w:r>
        <w:rPr>
          <w:rFonts w:ascii="宋体" w:hAnsi="宋体" w:eastAsia="宋体" w:cs="宋体"/>
          <w:strike/>
          <w:dstrike w:val="0"/>
          <w:color w:val="auto"/>
          <w:spacing w:val="7"/>
          <w:sz w:val="24"/>
          <w:szCs w:val="24"/>
          <w:highlight w:val="none"/>
        </w:rPr>
        <w:t>：</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40"/>
          <w:sz w:val="24"/>
          <w:szCs w:val="24"/>
          <w:highlight w:val="none"/>
        </w:rPr>
        <w:t xml:space="preserve">  </w:t>
      </w:r>
      <w:r>
        <w:rPr>
          <w:rFonts w:ascii="宋体" w:hAnsi="宋体" w:eastAsia="宋体" w:cs="宋体"/>
          <w:strike/>
          <w:dstrike w:val="0"/>
          <w:color w:val="auto"/>
          <w:spacing w:val="7"/>
          <w:sz w:val="24"/>
          <w:szCs w:val="24"/>
          <w:highlight w:val="none"/>
        </w:rPr>
        <w:t>招标代理机构</w:t>
      </w:r>
      <w:r>
        <w:rPr>
          <w:rFonts w:ascii="宋体" w:hAnsi="宋体" w:eastAsia="宋体" w:cs="宋体"/>
          <w:strike/>
          <w:dstrike w:val="0"/>
          <w:color w:val="auto"/>
          <w:spacing w:val="-39"/>
          <w:sz w:val="24"/>
          <w:szCs w:val="24"/>
          <w:highlight w:val="none"/>
        </w:rPr>
        <w:t xml:space="preserve"> </w:t>
      </w:r>
      <w:r>
        <w:rPr>
          <w:rFonts w:ascii="宋体" w:hAnsi="宋体" w:eastAsia="宋体" w:cs="宋体"/>
          <w:strike/>
          <w:dstrike w:val="0"/>
          <w:color w:val="auto"/>
          <w:spacing w:val="7"/>
          <w:sz w:val="24"/>
          <w:szCs w:val="24"/>
          <w:highlight w:val="none"/>
        </w:rPr>
        <w:t>：</w:t>
      </w:r>
      <w:r>
        <w:rPr>
          <w:rFonts w:ascii="宋体" w:hAnsi="宋体" w:eastAsia="宋体" w:cs="宋体"/>
          <w:strike/>
          <w:dstrike w:val="0"/>
          <w:color w:val="auto"/>
          <w:sz w:val="24"/>
          <w:szCs w:val="24"/>
          <w:highlight w:val="none"/>
          <w:u w:val="single" w:color="auto"/>
        </w:rPr>
        <w:t xml:space="preserve">                         </w:t>
      </w:r>
    </w:p>
    <w:p w14:paraId="2962AC5F">
      <w:pPr>
        <w:spacing w:before="154" w:line="229" w:lineRule="auto"/>
        <w:ind w:left="3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4"/>
          <w:sz w:val="24"/>
          <w:szCs w:val="24"/>
          <w:highlight w:val="none"/>
        </w:rPr>
        <w:t>地</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14"/>
          <w:sz w:val="24"/>
          <w:szCs w:val="24"/>
          <w:highlight w:val="none"/>
        </w:rPr>
        <w:t>址</w:t>
      </w:r>
      <w:r>
        <w:rPr>
          <w:rFonts w:ascii="宋体" w:hAnsi="宋体" w:eastAsia="宋体" w:cs="宋体"/>
          <w:strike/>
          <w:dstrike w:val="0"/>
          <w:color w:val="auto"/>
          <w:spacing w:val="-34"/>
          <w:sz w:val="24"/>
          <w:szCs w:val="24"/>
          <w:highlight w:val="none"/>
        </w:rPr>
        <w:t xml:space="preserve"> </w:t>
      </w:r>
      <w:r>
        <w:rPr>
          <w:rFonts w:ascii="宋体" w:hAnsi="宋体" w:eastAsia="宋体" w:cs="宋体"/>
          <w:strike/>
          <w:dstrike w:val="0"/>
          <w:color w:val="auto"/>
          <w:spacing w:val="-14"/>
          <w:sz w:val="24"/>
          <w:szCs w:val="24"/>
          <w:highlight w:val="none"/>
        </w:rPr>
        <w:t>：</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40"/>
          <w:sz w:val="24"/>
          <w:szCs w:val="24"/>
          <w:highlight w:val="none"/>
        </w:rPr>
        <w:t xml:space="preserve">  </w:t>
      </w:r>
      <w:r>
        <w:rPr>
          <w:rFonts w:ascii="宋体" w:hAnsi="宋体" w:eastAsia="宋体" w:cs="宋体"/>
          <w:strike/>
          <w:dstrike w:val="0"/>
          <w:color w:val="auto"/>
          <w:spacing w:val="-14"/>
          <w:sz w:val="24"/>
          <w:szCs w:val="24"/>
          <w:highlight w:val="none"/>
        </w:rPr>
        <w:t>地</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14"/>
          <w:sz w:val="24"/>
          <w:szCs w:val="24"/>
          <w:highlight w:val="none"/>
        </w:rPr>
        <w:t>址</w:t>
      </w:r>
      <w:r>
        <w:rPr>
          <w:rFonts w:ascii="宋体" w:hAnsi="宋体" w:eastAsia="宋体" w:cs="宋体"/>
          <w:strike/>
          <w:dstrike w:val="0"/>
          <w:color w:val="auto"/>
          <w:spacing w:val="-30"/>
          <w:sz w:val="24"/>
          <w:szCs w:val="24"/>
          <w:highlight w:val="none"/>
        </w:rPr>
        <w:t xml:space="preserve"> </w:t>
      </w:r>
      <w:r>
        <w:rPr>
          <w:rFonts w:ascii="宋体" w:hAnsi="宋体" w:eastAsia="宋体" w:cs="宋体"/>
          <w:strike/>
          <w:dstrike w:val="0"/>
          <w:color w:val="auto"/>
          <w:spacing w:val="-14"/>
          <w:sz w:val="24"/>
          <w:szCs w:val="24"/>
          <w:highlight w:val="none"/>
        </w:rPr>
        <w:t>：</w:t>
      </w:r>
      <w:r>
        <w:rPr>
          <w:rFonts w:ascii="宋体" w:hAnsi="宋体" w:eastAsia="宋体" w:cs="宋体"/>
          <w:strike/>
          <w:dstrike w:val="0"/>
          <w:color w:val="auto"/>
          <w:sz w:val="24"/>
          <w:szCs w:val="24"/>
          <w:highlight w:val="none"/>
          <w:u w:val="single" w:color="auto"/>
        </w:rPr>
        <w:t xml:space="preserve">                         </w:t>
      </w:r>
    </w:p>
    <w:p w14:paraId="15DCD181">
      <w:pPr>
        <w:spacing w:before="141" w:line="222" w:lineRule="auto"/>
        <w:ind w:left="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4"/>
          <w:sz w:val="24"/>
          <w:szCs w:val="24"/>
          <w:highlight w:val="none"/>
        </w:rPr>
        <w:t>联</w:t>
      </w:r>
      <w:r>
        <w:rPr>
          <w:rFonts w:ascii="宋体" w:hAnsi="宋体" w:eastAsia="宋体" w:cs="宋体"/>
          <w:strike/>
          <w:dstrike w:val="0"/>
          <w:color w:val="auto"/>
          <w:spacing w:val="23"/>
          <w:sz w:val="24"/>
          <w:szCs w:val="24"/>
          <w:highlight w:val="none"/>
        </w:rPr>
        <w:t xml:space="preserve"> </w:t>
      </w:r>
      <w:r>
        <w:rPr>
          <w:rFonts w:ascii="宋体" w:hAnsi="宋体" w:eastAsia="宋体" w:cs="宋体"/>
          <w:strike/>
          <w:dstrike w:val="0"/>
          <w:color w:val="auto"/>
          <w:spacing w:val="-14"/>
          <w:sz w:val="24"/>
          <w:szCs w:val="24"/>
          <w:highlight w:val="none"/>
        </w:rPr>
        <w:t>系</w:t>
      </w:r>
      <w:r>
        <w:rPr>
          <w:rFonts w:ascii="宋体" w:hAnsi="宋体" w:eastAsia="宋体" w:cs="宋体"/>
          <w:strike/>
          <w:dstrike w:val="0"/>
          <w:color w:val="auto"/>
          <w:spacing w:val="21"/>
          <w:sz w:val="24"/>
          <w:szCs w:val="24"/>
          <w:highlight w:val="none"/>
        </w:rPr>
        <w:t xml:space="preserve"> </w:t>
      </w:r>
      <w:r>
        <w:rPr>
          <w:rFonts w:ascii="宋体" w:hAnsi="宋体" w:eastAsia="宋体" w:cs="宋体"/>
          <w:strike/>
          <w:dstrike w:val="0"/>
          <w:color w:val="auto"/>
          <w:spacing w:val="-14"/>
          <w:sz w:val="24"/>
          <w:szCs w:val="24"/>
          <w:highlight w:val="none"/>
        </w:rPr>
        <w:t>人</w:t>
      </w:r>
      <w:r>
        <w:rPr>
          <w:rFonts w:ascii="宋体" w:hAnsi="宋体" w:eastAsia="宋体" w:cs="宋体"/>
          <w:strike/>
          <w:dstrike w:val="0"/>
          <w:color w:val="auto"/>
          <w:spacing w:val="-35"/>
          <w:sz w:val="24"/>
          <w:szCs w:val="24"/>
          <w:highlight w:val="none"/>
        </w:rPr>
        <w:t xml:space="preserve"> </w:t>
      </w:r>
      <w:r>
        <w:rPr>
          <w:rFonts w:ascii="宋体" w:hAnsi="宋体" w:eastAsia="宋体" w:cs="宋体"/>
          <w:strike/>
          <w:dstrike w:val="0"/>
          <w:color w:val="auto"/>
          <w:spacing w:val="-14"/>
          <w:sz w:val="24"/>
          <w:szCs w:val="24"/>
          <w:highlight w:val="none"/>
        </w:rPr>
        <w:t>：</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40"/>
          <w:sz w:val="24"/>
          <w:szCs w:val="24"/>
          <w:highlight w:val="none"/>
        </w:rPr>
        <w:t xml:space="preserve">  </w:t>
      </w:r>
      <w:r>
        <w:rPr>
          <w:rFonts w:ascii="宋体" w:hAnsi="宋体" w:eastAsia="宋体" w:cs="宋体"/>
          <w:strike/>
          <w:dstrike w:val="0"/>
          <w:color w:val="auto"/>
          <w:spacing w:val="-14"/>
          <w:sz w:val="24"/>
          <w:szCs w:val="24"/>
          <w:highlight w:val="none"/>
        </w:rPr>
        <w:t>联</w:t>
      </w:r>
      <w:r>
        <w:rPr>
          <w:rFonts w:ascii="宋体" w:hAnsi="宋体" w:eastAsia="宋体" w:cs="宋体"/>
          <w:strike/>
          <w:dstrike w:val="0"/>
          <w:color w:val="auto"/>
          <w:spacing w:val="30"/>
          <w:sz w:val="24"/>
          <w:szCs w:val="24"/>
          <w:highlight w:val="none"/>
        </w:rPr>
        <w:t xml:space="preserve">   </w:t>
      </w:r>
      <w:r>
        <w:rPr>
          <w:rFonts w:ascii="宋体" w:hAnsi="宋体" w:eastAsia="宋体" w:cs="宋体"/>
          <w:strike/>
          <w:dstrike w:val="0"/>
          <w:color w:val="auto"/>
          <w:spacing w:val="-14"/>
          <w:sz w:val="24"/>
          <w:szCs w:val="24"/>
          <w:highlight w:val="none"/>
        </w:rPr>
        <w:t>系</w:t>
      </w:r>
      <w:r>
        <w:rPr>
          <w:rFonts w:ascii="宋体" w:hAnsi="宋体" w:eastAsia="宋体" w:cs="宋体"/>
          <w:strike/>
          <w:dstrike w:val="0"/>
          <w:color w:val="auto"/>
          <w:spacing w:val="30"/>
          <w:sz w:val="24"/>
          <w:szCs w:val="24"/>
          <w:highlight w:val="none"/>
        </w:rPr>
        <w:t xml:space="preserve">   </w:t>
      </w:r>
      <w:r>
        <w:rPr>
          <w:rFonts w:ascii="宋体" w:hAnsi="宋体" w:eastAsia="宋体" w:cs="宋体"/>
          <w:strike/>
          <w:dstrike w:val="0"/>
          <w:color w:val="auto"/>
          <w:spacing w:val="-14"/>
          <w:sz w:val="24"/>
          <w:szCs w:val="24"/>
          <w:highlight w:val="none"/>
        </w:rPr>
        <w:t>人</w:t>
      </w:r>
      <w:r>
        <w:rPr>
          <w:rFonts w:ascii="宋体" w:hAnsi="宋体" w:eastAsia="宋体" w:cs="宋体"/>
          <w:strike/>
          <w:dstrike w:val="0"/>
          <w:color w:val="auto"/>
          <w:spacing w:val="-38"/>
          <w:sz w:val="24"/>
          <w:szCs w:val="24"/>
          <w:highlight w:val="none"/>
        </w:rPr>
        <w:t xml:space="preserve"> </w:t>
      </w:r>
      <w:r>
        <w:rPr>
          <w:rFonts w:ascii="宋体" w:hAnsi="宋体" w:eastAsia="宋体" w:cs="宋体"/>
          <w:strike/>
          <w:dstrike w:val="0"/>
          <w:color w:val="auto"/>
          <w:spacing w:val="-14"/>
          <w:sz w:val="24"/>
          <w:szCs w:val="24"/>
          <w:highlight w:val="none"/>
        </w:rPr>
        <w:t>：</w:t>
      </w:r>
      <w:r>
        <w:rPr>
          <w:rFonts w:ascii="宋体" w:hAnsi="宋体" w:eastAsia="宋体" w:cs="宋体"/>
          <w:strike/>
          <w:dstrike w:val="0"/>
          <w:color w:val="auto"/>
          <w:sz w:val="24"/>
          <w:szCs w:val="24"/>
          <w:highlight w:val="none"/>
          <w:u w:val="single" w:color="auto"/>
        </w:rPr>
        <w:t xml:space="preserve">                         </w:t>
      </w:r>
    </w:p>
    <w:p w14:paraId="069FA063">
      <w:pPr>
        <w:spacing w:before="153" w:line="222" w:lineRule="auto"/>
        <w:ind w:left="6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8"/>
          <w:sz w:val="24"/>
          <w:szCs w:val="24"/>
          <w:highlight w:val="none"/>
        </w:rPr>
        <w:t>电</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18"/>
          <w:sz w:val="24"/>
          <w:szCs w:val="24"/>
          <w:highlight w:val="none"/>
        </w:rPr>
        <w:t>话</w:t>
      </w:r>
      <w:r>
        <w:rPr>
          <w:rFonts w:ascii="宋体" w:hAnsi="宋体" w:eastAsia="宋体" w:cs="宋体"/>
          <w:strike/>
          <w:dstrike w:val="0"/>
          <w:color w:val="auto"/>
          <w:spacing w:val="-36"/>
          <w:sz w:val="24"/>
          <w:szCs w:val="24"/>
          <w:highlight w:val="none"/>
        </w:rPr>
        <w:t xml:space="preserve"> </w:t>
      </w:r>
      <w:r>
        <w:rPr>
          <w:rFonts w:ascii="宋体" w:hAnsi="宋体" w:eastAsia="宋体" w:cs="宋体"/>
          <w:strike/>
          <w:dstrike w:val="0"/>
          <w:color w:val="auto"/>
          <w:spacing w:val="-18"/>
          <w:sz w:val="24"/>
          <w:szCs w:val="24"/>
          <w:highlight w:val="none"/>
        </w:rPr>
        <w:t>：</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18"/>
          <w:sz w:val="24"/>
          <w:szCs w:val="24"/>
          <w:highlight w:val="none"/>
        </w:rPr>
        <w:t xml:space="preserve">   电</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18"/>
          <w:sz w:val="24"/>
          <w:szCs w:val="24"/>
          <w:highlight w:val="none"/>
        </w:rPr>
        <w:t>话</w:t>
      </w:r>
      <w:r>
        <w:rPr>
          <w:rFonts w:ascii="宋体" w:hAnsi="宋体" w:eastAsia="宋体" w:cs="宋体"/>
          <w:strike/>
          <w:dstrike w:val="0"/>
          <w:color w:val="auto"/>
          <w:spacing w:val="-31"/>
          <w:sz w:val="24"/>
          <w:szCs w:val="24"/>
          <w:highlight w:val="none"/>
        </w:rPr>
        <w:t xml:space="preserve"> </w:t>
      </w:r>
      <w:r>
        <w:rPr>
          <w:rFonts w:ascii="宋体" w:hAnsi="宋体" w:eastAsia="宋体" w:cs="宋体"/>
          <w:strike/>
          <w:dstrike w:val="0"/>
          <w:color w:val="auto"/>
          <w:spacing w:val="-18"/>
          <w:sz w:val="24"/>
          <w:szCs w:val="24"/>
          <w:highlight w:val="none"/>
        </w:rPr>
        <w:t>：</w:t>
      </w:r>
      <w:r>
        <w:rPr>
          <w:rFonts w:ascii="宋体" w:hAnsi="宋体" w:eastAsia="宋体" w:cs="宋体"/>
          <w:strike/>
          <w:dstrike w:val="0"/>
          <w:color w:val="auto"/>
          <w:sz w:val="24"/>
          <w:szCs w:val="24"/>
          <w:highlight w:val="none"/>
          <w:u w:val="single" w:color="auto"/>
        </w:rPr>
        <w:t xml:space="preserve">                         </w:t>
      </w:r>
    </w:p>
    <w:p w14:paraId="16BF81B4">
      <w:pPr>
        <w:spacing w:before="151" w:line="220" w:lineRule="auto"/>
        <w:ind w:left="6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3"/>
          <w:sz w:val="24"/>
          <w:szCs w:val="24"/>
          <w:highlight w:val="none"/>
        </w:rPr>
        <w:t>电子信箱</w:t>
      </w:r>
      <w:r>
        <w:rPr>
          <w:rFonts w:ascii="宋体" w:hAnsi="宋体" w:eastAsia="宋体" w:cs="宋体"/>
          <w:strike/>
          <w:dstrike w:val="0"/>
          <w:color w:val="auto"/>
          <w:spacing w:val="-62"/>
          <w:sz w:val="24"/>
          <w:szCs w:val="24"/>
          <w:highlight w:val="none"/>
        </w:rPr>
        <w:t xml:space="preserve"> </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51"/>
          <w:sz w:val="24"/>
          <w:szCs w:val="24"/>
          <w:highlight w:val="none"/>
        </w:rPr>
        <w:t xml:space="preserve">  </w:t>
      </w:r>
      <w:r>
        <w:rPr>
          <w:rFonts w:ascii="宋体" w:hAnsi="宋体" w:eastAsia="宋体" w:cs="宋体"/>
          <w:strike/>
          <w:dstrike w:val="0"/>
          <w:color w:val="auto"/>
          <w:spacing w:val="-13"/>
          <w:sz w:val="24"/>
          <w:szCs w:val="24"/>
          <w:highlight w:val="none"/>
        </w:rPr>
        <w:t>电</w:t>
      </w:r>
      <w:r>
        <w:rPr>
          <w:rFonts w:ascii="宋体" w:hAnsi="宋体" w:eastAsia="宋体" w:cs="宋体"/>
          <w:strike/>
          <w:dstrike w:val="0"/>
          <w:color w:val="auto"/>
          <w:spacing w:val="101"/>
          <w:sz w:val="24"/>
          <w:szCs w:val="24"/>
          <w:highlight w:val="none"/>
        </w:rPr>
        <w:t xml:space="preserve"> </w:t>
      </w:r>
      <w:r>
        <w:rPr>
          <w:rFonts w:ascii="宋体" w:hAnsi="宋体" w:eastAsia="宋体" w:cs="宋体"/>
          <w:strike/>
          <w:dstrike w:val="0"/>
          <w:color w:val="auto"/>
          <w:spacing w:val="-13"/>
          <w:sz w:val="24"/>
          <w:szCs w:val="24"/>
          <w:highlight w:val="none"/>
        </w:rPr>
        <w:t>子</w:t>
      </w:r>
      <w:r>
        <w:rPr>
          <w:rFonts w:ascii="宋体" w:hAnsi="宋体" w:eastAsia="宋体" w:cs="宋体"/>
          <w:strike/>
          <w:dstrike w:val="0"/>
          <w:color w:val="auto"/>
          <w:spacing w:val="101"/>
          <w:sz w:val="24"/>
          <w:szCs w:val="24"/>
          <w:highlight w:val="none"/>
        </w:rPr>
        <w:t xml:space="preserve"> </w:t>
      </w:r>
      <w:r>
        <w:rPr>
          <w:rFonts w:ascii="宋体" w:hAnsi="宋体" w:eastAsia="宋体" w:cs="宋体"/>
          <w:strike/>
          <w:dstrike w:val="0"/>
          <w:color w:val="auto"/>
          <w:spacing w:val="-13"/>
          <w:sz w:val="24"/>
          <w:szCs w:val="24"/>
          <w:highlight w:val="none"/>
        </w:rPr>
        <w:t>信</w:t>
      </w:r>
      <w:r>
        <w:rPr>
          <w:rFonts w:ascii="宋体" w:hAnsi="宋体" w:eastAsia="宋体" w:cs="宋体"/>
          <w:strike/>
          <w:dstrike w:val="0"/>
          <w:color w:val="auto"/>
          <w:spacing w:val="102"/>
          <w:sz w:val="24"/>
          <w:szCs w:val="24"/>
          <w:highlight w:val="none"/>
        </w:rPr>
        <w:t xml:space="preserve"> </w:t>
      </w:r>
      <w:r>
        <w:rPr>
          <w:rFonts w:ascii="宋体" w:hAnsi="宋体" w:eastAsia="宋体" w:cs="宋体"/>
          <w:strike/>
          <w:dstrike w:val="0"/>
          <w:color w:val="auto"/>
          <w:spacing w:val="-13"/>
          <w:sz w:val="24"/>
          <w:szCs w:val="24"/>
          <w:highlight w:val="none"/>
        </w:rPr>
        <w:t>箱</w:t>
      </w:r>
      <w:r>
        <w:rPr>
          <w:rFonts w:ascii="宋体" w:hAnsi="宋体" w:eastAsia="宋体" w:cs="宋体"/>
          <w:strike/>
          <w:dstrike w:val="0"/>
          <w:color w:val="auto"/>
          <w:spacing w:val="-38"/>
          <w:sz w:val="24"/>
          <w:szCs w:val="24"/>
          <w:highlight w:val="none"/>
        </w:rPr>
        <w:t xml:space="preserve"> </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z w:val="24"/>
          <w:szCs w:val="24"/>
          <w:highlight w:val="none"/>
          <w:u w:val="single" w:color="auto"/>
        </w:rPr>
        <w:t xml:space="preserve">                         </w:t>
      </w:r>
    </w:p>
    <w:p w14:paraId="47F85FF4">
      <w:pPr>
        <w:pStyle w:val="3"/>
        <w:spacing w:line="370" w:lineRule="auto"/>
        <w:rPr>
          <w:strike/>
          <w:dstrike w:val="0"/>
          <w:color w:val="auto"/>
          <w:highlight w:val="none"/>
        </w:rPr>
      </w:pPr>
    </w:p>
    <w:p w14:paraId="7ADBB9D2">
      <w:pPr>
        <w:tabs>
          <w:tab w:val="left" w:pos="6987"/>
        </w:tabs>
        <w:spacing w:before="78" w:line="220" w:lineRule="auto"/>
        <w:ind w:left="5908"/>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9"/>
          <w:sz w:val="24"/>
          <w:szCs w:val="24"/>
          <w:highlight w:val="none"/>
        </w:rPr>
        <w:t>年</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9"/>
          <w:sz w:val="24"/>
          <w:szCs w:val="24"/>
          <w:highlight w:val="none"/>
        </w:rPr>
        <w:t>月</w:t>
      </w:r>
      <w:r>
        <w:rPr>
          <w:rFonts w:ascii="宋体" w:hAnsi="宋体" w:eastAsia="宋体" w:cs="宋体"/>
          <w:strike/>
          <w:dstrike w:val="0"/>
          <w:color w:val="auto"/>
          <w:spacing w:val="30"/>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9"/>
          <w:sz w:val="24"/>
          <w:szCs w:val="24"/>
          <w:highlight w:val="none"/>
        </w:rPr>
        <w:t>日</w:t>
      </w:r>
    </w:p>
    <w:p w14:paraId="4DDC8EB6">
      <w:pPr>
        <w:spacing w:line="220" w:lineRule="auto"/>
        <w:rPr>
          <w:rFonts w:ascii="宋体" w:hAnsi="宋体" w:eastAsia="宋体" w:cs="宋体"/>
          <w:strike/>
          <w:dstrike w:val="0"/>
          <w:color w:val="auto"/>
          <w:sz w:val="24"/>
          <w:szCs w:val="24"/>
          <w:highlight w:val="none"/>
        </w:rPr>
        <w:sectPr>
          <w:footerReference r:id="rId12" w:type="default"/>
          <w:pgSz w:w="11905" w:h="16843"/>
          <w:pgMar w:top="1429" w:right="1361" w:bottom="1253" w:left="1621" w:header="0" w:footer="1094" w:gutter="0"/>
          <w:pgNumType w:fmt="decimal"/>
          <w:cols w:space="0" w:num="1"/>
          <w:rtlGutter w:val="0"/>
          <w:docGrid w:linePitch="0" w:charSpace="0"/>
        </w:sectPr>
      </w:pPr>
    </w:p>
    <w:p w14:paraId="31DD1355">
      <w:pPr>
        <w:spacing w:before="71" w:line="219" w:lineRule="auto"/>
        <w:ind w:left="2937"/>
        <w:outlineLvl w:val="0"/>
        <w:rPr>
          <w:rFonts w:ascii="宋体" w:hAnsi="宋体" w:eastAsia="宋体" w:cs="宋体"/>
          <w:color w:val="auto"/>
          <w:sz w:val="36"/>
          <w:szCs w:val="36"/>
          <w:highlight w:val="none"/>
        </w:rPr>
      </w:pPr>
      <w:bookmarkStart w:id="63" w:name="bookmark25"/>
      <w:bookmarkEnd w:id="63"/>
      <w:bookmarkStart w:id="64" w:name="bookmark45"/>
      <w:bookmarkEnd w:id="64"/>
      <w:bookmarkStart w:id="65" w:name="_Toc17769"/>
      <w:bookmarkStart w:id="66" w:name="_Toc8932"/>
      <w:r>
        <w:rPr>
          <w:rFonts w:ascii="宋体" w:hAnsi="宋体" w:eastAsia="宋体" w:cs="宋体"/>
          <w:b/>
          <w:bCs/>
          <w:color w:val="auto"/>
          <w:spacing w:val="-4"/>
          <w:sz w:val="36"/>
          <w:szCs w:val="36"/>
          <w:highlight w:val="none"/>
        </w:rPr>
        <w:t>第二章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投标人须知</w:t>
      </w:r>
      <w:bookmarkEnd w:id="65"/>
      <w:bookmarkEnd w:id="66"/>
    </w:p>
    <w:p w14:paraId="3D25D1BD">
      <w:pPr>
        <w:spacing w:before="268" w:line="219" w:lineRule="auto"/>
        <w:ind w:left="3347"/>
        <w:outlineLvl w:val="1"/>
        <w:rPr>
          <w:rFonts w:ascii="宋体" w:hAnsi="宋体" w:eastAsia="宋体" w:cs="宋体"/>
          <w:color w:val="auto"/>
          <w:sz w:val="28"/>
          <w:szCs w:val="28"/>
          <w:highlight w:val="none"/>
        </w:rPr>
      </w:pPr>
      <w:bookmarkStart w:id="67" w:name="bookmark47"/>
      <w:bookmarkEnd w:id="67"/>
      <w:bookmarkStart w:id="68" w:name="_Toc18777"/>
      <w:bookmarkStart w:id="69" w:name="_Toc4991"/>
      <w:r>
        <w:rPr>
          <w:rFonts w:ascii="宋体" w:hAnsi="宋体" w:eastAsia="宋体" w:cs="宋体"/>
          <w:b/>
          <w:bCs/>
          <w:color w:val="auto"/>
          <w:spacing w:val="-4"/>
          <w:sz w:val="28"/>
          <w:szCs w:val="28"/>
          <w:highlight w:val="none"/>
        </w:rPr>
        <w:t>投标人须知前附表</w:t>
      </w:r>
      <w:bookmarkEnd w:id="68"/>
      <w:bookmarkEnd w:id="69"/>
    </w:p>
    <w:p w14:paraId="4262FC71">
      <w:pPr>
        <w:spacing w:before="46"/>
        <w:rPr>
          <w:color w:val="auto"/>
          <w:highlight w:val="none"/>
        </w:rPr>
      </w:pPr>
    </w:p>
    <w:tbl>
      <w:tblPr>
        <w:tblStyle w:val="32"/>
        <w:tblW w:w="890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2444"/>
        <w:gridCol w:w="5503"/>
      </w:tblGrid>
      <w:tr w14:paraId="5B53B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53" w:type="dxa"/>
            <w:tcBorders>
              <w:top w:val="single" w:color="000000" w:sz="6" w:space="0"/>
              <w:left w:val="single" w:color="000000" w:sz="6" w:space="0"/>
            </w:tcBorders>
            <w:vAlign w:val="top"/>
          </w:tcPr>
          <w:p w14:paraId="0FA49A4A">
            <w:pPr>
              <w:pStyle w:val="33"/>
              <w:spacing w:before="215" w:line="221" w:lineRule="auto"/>
              <w:ind w:left="158"/>
              <w:rPr>
                <w:color w:val="auto"/>
                <w:sz w:val="21"/>
                <w:szCs w:val="21"/>
                <w:highlight w:val="none"/>
              </w:rPr>
            </w:pPr>
            <w:r>
              <w:rPr>
                <w:b/>
                <w:bCs/>
                <w:color w:val="auto"/>
                <w:spacing w:val="-4"/>
                <w:sz w:val="21"/>
                <w:szCs w:val="21"/>
                <w:highlight w:val="none"/>
              </w:rPr>
              <w:t>条款号</w:t>
            </w:r>
          </w:p>
        </w:tc>
        <w:tc>
          <w:tcPr>
            <w:tcW w:w="2444" w:type="dxa"/>
            <w:tcBorders>
              <w:top w:val="single" w:color="000000" w:sz="6" w:space="0"/>
            </w:tcBorders>
            <w:vAlign w:val="top"/>
          </w:tcPr>
          <w:p w14:paraId="06BD706B">
            <w:pPr>
              <w:pStyle w:val="33"/>
              <w:spacing w:before="215" w:line="221" w:lineRule="auto"/>
              <w:ind w:left="642"/>
              <w:rPr>
                <w:color w:val="auto"/>
                <w:sz w:val="21"/>
                <w:szCs w:val="21"/>
                <w:highlight w:val="none"/>
              </w:rPr>
            </w:pPr>
            <w:r>
              <w:rPr>
                <w:b/>
                <w:bCs/>
                <w:color w:val="auto"/>
                <w:spacing w:val="-9"/>
                <w:sz w:val="21"/>
                <w:szCs w:val="21"/>
                <w:highlight w:val="none"/>
              </w:rPr>
              <w:t>条</w:t>
            </w:r>
            <w:r>
              <w:rPr>
                <w:color w:val="auto"/>
                <w:spacing w:val="9"/>
                <w:sz w:val="21"/>
                <w:szCs w:val="21"/>
                <w:highlight w:val="none"/>
              </w:rPr>
              <w:t xml:space="preserve"> </w:t>
            </w:r>
            <w:r>
              <w:rPr>
                <w:b/>
                <w:bCs/>
                <w:color w:val="auto"/>
                <w:spacing w:val="-9"/>
                <w:sz w:val="21"/>
                <w:szCs w:val="21"/>
                <w:highlight w:val="none"/>
              </w:rPr>
              <w:t>款</w:t>
            </w:r>
            <w:r>
              <w:rPr>
                <w:color w:val="auto"/>
                <w:spacing w:val="12"/>
                <w:sz w:val="21"/>
                <w:szCs w:val="21"/>
                <w:highlight w:val="none"/>
              </w:rPr>
              <w:t xml:space="preserve"> </w:t>
            </w:r>
            <w:r>
              <w:rPr>
                <w:b/>
                <w:bCs/>
                <w:color w:val="auto"/>
                <w:spacing w:val="-9"/>
                <w:sz w:val="21"/>
                <w:szCs w:val="21"/>
                <w:highlight w:val="none"/>
              </w:rPr>
              <w:t>名</w:t>
            </w:r>
            <w:r>
              <w:rPr>
                <w:color w:val="auto"/>
                <w:spacing w:val="5"/>
                <w:sz w:val="21"/>
                <w:szCs w:val="21"/>
                <w:highlight w:val="none"/>
              </w:rPr>
              <w:t xml:space="preserve"> </w:t>
            </w:r>
            <w:r>
              <w:rPr>
                <w:b/>
                <w:bCs/>
                <w:color w:val="auto"/>
                <w:spacing w:val="-9"/>
                <w:sz w:val="21"/>
                <w:szCs w:val="21"/>
                <w:highlight w:val="none"/>
              </w:rPr>
              <w:t>称</w:t>
            </w:r>
          </w:p>
        </w:tc>
        <w:tc>
          <w:tcPr>
            <w:tcW w:w="5503" w:type="dxa"/>
            <w:tcBorders>
              <w:top w:val="single" w:color="000000" w:sz="6" w:space="0"/>
              <w:right w:val="single" w:color="000000" w:sz="6" w:space="0"/>
            </w:tcBorders>
            <w:vAlign w:val="top"/>
          </w:tcPr>
          <w:p w14:paraId="05578B45">
            <w:pPr>
              <w:pStyle w:val="33"/>
              <w:spacing w:before="215" w:line="221" w:lineRule="auto"/>
              <w:ind w:left="1702"/>
              <w:rPr>
                <w:color w:val="auto"/>
                <w:sz w:val="21"/>
                <w:szCs w:val="21"/>
                <w:highlight w:val="none"/>
              </w:rPr>
            </w:pPr>
            <w:r>
              <w:rPr>
                <w:b/>
                <w:bCs/>
                <w:color w:val="auto"/>
                <w:spacing w:val="-16"/>
                <w:sz w:val="21"/>
                <w:szCs w:val="21"/>
                <w:highlight w:val="none"/>
              </w:rPr>
              <w:t>编</w:t>
            </w:r>
            <w:r>
              <w:rPr>
                <w:color w:val="auto"/>
                <w:spacing w:val="4"/>
                <w:sz w:val="21"/>
                <w:szCs w:val="21"/>
                <w:highlight w:val="none"/>
              </w:rPr>
              <w:t xml:space="preserve">    </w:t>
            </w:r>
            <w:r>
              <w:rPr>
                <w:b/>
                <w:bCs/>
                <w:color w:val="auto"/>
                <w:spacing w:val="-16"/>
                <w:sz w:val="21"/>
                <w:szCs w:val="21"/>
                <w:highlight w:val="none"/>
              </w:rPr>
              <w:t>列</w:t>
            </w:r>
            <w:r>
              <w:rPr>
                <w:color w:val="auto"/>
                <w:spacing w:val="8"/>
                <w:sz w:val="21"/>
                <w:szCs w:val="21"/>
                <w:highlight w:val="none"/>
              </w:rPr>
              <w:t xml:space="preserve">    </w:t>
            </w:r>
            <w:r>
              <w:rPr>
                <w:b/>
                <w:bCs/>
                <w:color w:val="auto"/>
                <w:spacing w:val="-16"/>
                <w:sz w:val="21"/>
                <w:szCs w:val="21"/>
                <w:highlight w:val="none"/>
              </w:rPr>
              <w:t>内</w:t>
            </w:r>
            <w:r>
              <w:rPr>
                <w:color w:val="auto"/>
                <w:spacing w:val="3"/>
                <w:sz w:val="21"/>
                <w:szCs w:val="21"/>
                <w:highlight w:val="none"/>
              </w:rPr>
              <w:t xml:space="preserve">    </w:t>
            </w:r>
            <w:r>
              <w:rPr>
                <w:b/>
                <w:bCs/>
                <w:color w:val="auto"/>
                <w:spacing w:val="-16"/>
                <w:sz w:val="21"/>
                <w:szCs w:val="21"/>
                <w:highlight w:val="none"/>
              </w:rPr>
              <w:t>容</w:t>
            </w:r>
          </w:p>
        </w:tc>
      </w:tr>
      <w:tr w14:paraId="2F2199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2" w:hRule="atLeast"/>
        </w:trPr>
        <w:tc>
          <w:tcPr>
            <w:tcW w:w="953" w:type="dxa"/>
            <w:tcBorders>
              <w:left w:val="single" w:color="000000" w:sz="6" w:space="0"/>
            </w:tcBorders>
            <w:vAlign w:val="top"/>
          </w:tcPr>
          <w:p w14:paraId="70789BE5">
            <w:pPr>
              <w:spacing w:line="266" w:lineRule="auto"/>
              <w:rPr>
                <w:rFonts w:ascii="Arial"/>
                <w:color w:val="auto"/>
                <w:sz w:val="21"/>
                <w:highlight w:val="none"/>
              </w:rPr>
            </w:pPr>
          </w:p>
          <w:p w14:paraId="3371FD70">
            <w:pPr>
              <w:spacing w:line="267" w:lineRule="auto"/>
              <w:rPr>
                <w:rFonts w:ascii="Arial"/>
                <w:color w:val="auto"/>
                <w:sz w:val="21"/>
                <w:highlight w:val="none"/>
              </w:rPr>
            </w:pPr>
          </w:p>
          <w:p w14:paraId="627007FA">
            <w:pPr>
              <w:spacing w:line="267" w:lineRule="auto"/>
              <w:rPr>
                <w:rFonts w:ascii="Arial"/>
                <w:color w:val="auto"/>
                <w:sz w:val="21"/>
                <w:highlight w:val="none"/>
              </w:rPr>
            </w:pPr>
          </w:p>
          <w:p w14:paraId="217E3517">
            <w:pPr>
              <w:spacing w:before="60"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1.1.2</w:t>
            </w:r>
          </w:p>
        </w:tc>
        <w:tc>
          <w:tcPr>
            <w:tcW w:w="2444" w:type="dxa"/>
            <w:vAlign w:val="top"/>
          </w:tcPr>
          <w:p w14:paraId="2E509606">
            <w:pPr>
              <w:spacing w:line="251" w:lineRule="auto"/>
              <w:rPr>
                <w:rFonts w:ascii="Arial"/>
                <w:color w:val="auto"/>
                <w:sz w:val="21"/>
                <w:highlight w:val="none"/>
              </w:rPr>
            </w:pPr>
          </w:p>
          <w:p w14:paraId="20BECD62">
            <w:pPr>
              <w:spacing w:line="251" w:lineRule="auto"/>
              <w:rPr>
                <w:rFonts w:ascii="Arial"/>
                <w:color w:val="auto"/>
                <w:sz w:val="21"/>
                <w:highlight w:val="none"/>
              </w:rPr>
            </w:pPr>
          </w:p>
          <w:p w14:paraId="35812F65">
            <w:pPr>
              <w:spacing w:line="252" w:lineRule="auto"/>
              <w:rPr>
                <w:rFonts w:ascii="Arial"/>
                <w:color w:val="auto"/>
                <w:sz w:val="21"/>
                <w:highlight w:val="none"/>
              </w:rPr>
            </w:pPr>
          </w:p>
          <w:p w14:paraId="5B445EC2">
            <w:pPr>
              <w:pStyle w:val="33"/>
              <w:spacing w:before="68" w:line="221" w:lineRule="auto"/>
              <w:ind w:left="106"/>
              <w:rPr>
                <w:color w:val="auto"/>
                <w:sz w:val="21"/>
                <w:szCs w:val="21"/>
                <w:highlight w:val="none"/>
              </w:rPr>
            </w:pPr>
            <w:r>
              <w:rPr>
                <w:color w:val="auto"/>
                <w:spacing w:val="-2"/>
                <w:sz w:val="21"/>
                <w:szCs w:val="21"/>
                <w:highlight w:val="none"/>
              </w:rPr>
              <w:t>招标人</w:t>
            </w:r>
          </w:p>
        </w:tc>
        <w:tc>
          <w:tcPr>
            <w:tcW w:w="5503" w:type="dxa"/>
            <w:tcBorders>
              <w:right w:val="single" w:color="000000" w:sz="6" w:space="0"/>
            </w:tcBorders>
            <w:vAlign w:val="top"/>
          </w:tcPr>
          <w:p w14:paraId="544443B1">
            <w:pPr>
              <w:pStyle w:val="33"/>
              <w:spacing w:before="68" w:line="221" w:lineRule="auto"/>
              <w:ind w:left="106"/>
              <w:rPr>
                <w:color w:val="auto"/>
                <w:spacing w:val="-2"/>
                <w:sz w:val="21"/>
                <w:szCs w:val="21"/>
                <w:highlight w:val="none"/>
                <w:lang w:eastAsia="zh-CN"/>
              </w:rPr>
            </w:pPr>
            <w:r>
              <w:rPr>
                <w:color w:val="auto"/>
                <w:spacing w:val="-2"/>
                <w:sz w:val="21"/>
                <w:szCs w:val="21"/>
                <w:highlight w:val="none"/>
                <w:lang w:eastAsia="zh-CN"/>
              </w:rPr>
              <w:t>名称：</w:t>
            </w:r>
            <w:r>
              <w:rPr>
                <w:rFonts w:hint="eastAsia"/>
                <w:color w:val="auto"/>
                <w:spacing w:val="-2"/>
                <w:sz w:val="21"/>
                <w:szCs w:val="21"/>
                <w:highlight w:val="none"/>
                <w:lang w:eastAsia="zh-CN"/>
              </w:rPr>
              <w:t>绍兴市镜湖综合保护投资建设有限公司</w:t>
            </w:r>
            <w:r>
              <w:rPr>
                <w:color w:val="auto"/>
                <w:spacing w:val="-2"/>
                <w:sz w:val="21"/>
                <w:szCs w:val="21"/>
                <w:highlight w:val="none"/>
                <w:lang w:eastAsia="zh-CN"/>
              </w:rPr>
              <w:t xml:space="preserve"> </w:t>
            </w:r>
          </w:p>
          <w:p w14:paraId="1E181729">
            <w:pPr>
              <w:pStyle w:val="33"/>
              <w:spacing w:before="68" w:line="221" w:lineRule="auto"/>
              <w:ind w:left="106"/>
              <w:rPr>
                <w:color w:val="auto"/>
                <w:spacing w:val="-2"/>
                <w:sz w:val="21"/>
                <w:szCs w:val="21"/>
                <w:highlight w:val="none"/>
                <w:lang w:eastAsia="zh-CN"/>
              </w:rPr>
            </w:pPr>
            <w:r>
              <w:rPr>
                <w:color w:val="auto"/>
                <w:spacing w:val="-2"/>
                <w:sz w:val="21"/>
                <w:szCs w:val="21"/>
                <w:highlight w:val="none"/>
                <w:lang w:eastAsia="zh-CN"/>
              </w:rPr>
              <w:t>地址：</w:t>
            </w:r>
            <w:r>
              <w:rPr>
                <w:rFonts w:hint="eastAsia"/>
                <w:color w:val="auto"/>
                <w:spacing w:val="-2"/>
                <w:sz w:val="21"/>
                <w:szCs w:val="21"/>
                <w:highlight w:val="none"/>
                <w:lang w:eastAsia="zh-CN"/>
              </w:rPr>
              <w:t>绍兴市越城区凤林西路155号</w:t>
            </w:r>
          </w:p>
          <w:p w14:paraId="10D576B9">
            <w:pPr>
              <w:pStyle w:val="33"/>
              <w:spacing w:before="68" w:line="221" w:lineRule="auto"/>
              <w:ind w:left="106"/>
              <w:rPr>
                <w:color w:val="auto"/>
                <w:spacing w:val="-2"/>
                <w:sz w:val="21"/>
                <w:szCs w:val="21"/>
                <w:highlight w:val="none"/>
                <w:lang w:eastAsia="zh-CN"/>
              </w:rPr>
            </w:pPr>
            <w:r>
              <w:rPr>
                <w:color w:val="auto"/>
                <w:spacing w:val="-2"/>
                <w:sz w:val="21"/>
                <w:szCs w:val="21"/>
                <w:highlight w:val="none"/>
                <w:lang w:eastAsia="zh-CN"/>
              </w:rPr>
              <w:t>联系人：</w:t>
            </w:r>
            <w:r>
              <w:rPr>
                <w:rFonts w:hint="eastAsia"/>
                <w:color w:val="auto"/>
                <w:spacing w:val="-2"/>
                <w:sz w:val="21"/>
                <w:szCs w:val="21"/>
                <w:highlight w:val="none"/>
                <w:lang w:eastAsia="zh-CN"/>
              </w:rPr>
              <w:t>蒋工</w:t>
            </w:r>
          </w:p>
          <w:p w14:paraId="30A7853F">
            <w:pPr>
              <w:pStyle w:val="33"/>
              <w:spacing w:before="68" w:line="221" w:lineRule="auto"/>
              <w:ind w:left="106"/>
              <w:rPr>
                <w:color w:val="auto"/>
                <w:spacing w:val="-2"/>
                <w:sz w:val="21"/>
                <w:szCs w:val="21"/>
                <w:highlight w:val="none"/>
                <w:lang w:eastAsia="zh-CN"/>
              </w:rPr>
            </w:pPr>
            <w:r>
              <w:rPr>
                <w:color w:val="auto"/>
                <w:spacing w:val="-2"/>
                <w:sz w:val="21"/>
                <w:szCs w:val="21"/>
                <w:highlight w:val="none"/>
                <w:lang w:eastAsia="zh-CN"/>
              </w:rPr>
              <w:t>电话：</w:t>
            </w:r>
            <w:r>
              <w:rPr>
                <w:rFonts w:hint="eastAsia"/>
                <w:color w:val="auto"/>
                <w:spacing w:val="-2"/>
                <w:sz w:val="21"/>
                <w:szCs w:val="21"/>
                <w:highlight w:val="none"/>
                <w:lang w:val="en-US" w:eastAsia="zh-CN"/>
              </w:rPr>
              <w:t xml:space="preserve">0575-88122928 </w:t>
            </w:r>
            <w:r>
              <w:rPr>
                <w:color w:val="auto"/>
                <w:spacing w:val="-2"/>
                <w:sz w:val="21"/>
                <w:szCs w:val="21"/>
                <w:highlight w:val="none"/>
                <w:lang w:eastAsia="zh-CN"/>
              </w:rPr>
              <w:t xml:space="preserve">      </w:t>
            </w:r>
            <w:r>
              <w:rPr>
                <w:rFonts w:hint="eastAsia"/>
                <w:color w:val="auto"/>
                <w:spacing w:val="-2"/>
                <w:sz w:val="21"/>
                <w:szCs w:val="21"/>
                <w:highlight w:val="none"/>
                <w:lang w:val="en-US" w:eastAsia="zh-CN"/>
              </w:rPr>
              <w:t xml:space="preserve">      </w:t>
            </w:r>
            <w:r>
              <w:rPr>
                <w:color w:val="auto"/>
                <w:spacing w:val="-2"/>
                <w:sz w:val="21"/>
                <w:szCs w:val="21"/>
                <w:highlight w:val="none"/>
                <w:lang w:eastAsia="zh-CN"/>
              </w:rPr>
              <w:t xml:space="preserve">   传真： /</w:t>
            </w:r>
          </w:p>
          <w:p w14:paraId="7C3CDCAE">
            <w:pPr>
              <w:pStyle w:val="33"/>
              <w:spacing w:before="68" w:line="221" w:lineRule="auto"/>
              <w:ind w:left="106"/>
              <w:rPr>
                <w:color w:val="auto"/>
                <w:sz w:val="21"/>
                <w:szCs w:val="21"/>
                <w:highlight w:val="none"/>
              </w:rPr>
            </w:pPr>
            <w:r>
              <w:rPr>
                <w:color w:val="auto"/>
                <w:spacing w:val="-2"/>
                <w:sz w:val="21"/>
                <w:szCs w:val="21"/>
                <w:highlight w:val="none"/>
              </w:rPr>
              <w:t>电子信箱：/</w:t>
            </w:r>
          </w:p>
        </w:tc>
      </w:tr>
      <w:tr w14:paraId="35132C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3" w:hRule="atLeast"/>
        </w:trPr>
        <w:tc>
          <w:tcPr>
            <w:tcW w:w="953" w:type="dxa"/>
            <w:tcBorders>
              <w:left w:val="single" w:color="000000" w:sz="6" w:space="0"/>
            </w:tcBorders>
            <w:vAlign w:val="top"/>
          </w:tcPr>
          <w:p w14:paraId="3D3E2751">
            <w:pPr>
              <w:spacing w:line="267" w:lineRule="auto"/>
              <w:rPr>
                <w:rFonts w:ascii="Arial"/>
                <w:color w:val="auto"/>
                <w:sz w:val="21"/>
                <w:highlight w:val="none"/>
              </w:rPr>
            </w:pPr>
          </w:p>
          <w:p w14:paraId="29CF295E">
            <w:pPr>
              <w:spacing w:line="268" w:lineRule="auto"/>
              <w:rPr>
                <w:rFonts w:ascii="Arial"/>
                <w:color w:val="auto"/>
                <w:sz w:val="21"/>
                <w:highlight w:val="none"/>
              </w:rPr>
            </w:pPr>
          </w:p>
          <w:p w14:paraId="1A601272">
            <w:pPr>
              <w:spacing w:line="268" w:lineRule="auto"/>
              <w:rPr>
                <w:rFonts w:ascii="Arial"/>
                <w:color w:val="auto"/>
                <w:sz w:val="21"/>
                <w:highlight w:val="none"/>
              </w:rPr>
            </w:pPr>
          </w:p>
          <w:p w14:paraId="75199D62">
            <w:pPr>
              <w:spacing w:before="60"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1.1.3</w:t>
            </w:r>
          </w:p>
        </w:tc>
        <w:tc>
          <w:tcPr>
            <w:tcW w:w="2444" w:type="dxa"/>
            <w:vAlign w:val="top"/>
          </w:tcPr>
          <w:p w14:paraId="1B03BBA5">
            <w:pPr>
              <w:spacing w:line="252" w:lineRule="auto"/>
              <w:rPr>
                <w:rFonts w:ascii="Arial"/>
                <w:color w:val="auto"/>
                <w:sz w:val="21"/>
                <w:highlight w:val="none"/>
              </w:rPr>
            </w:pPr>
          </w:p>
          <w:p w14:paraId="18E2E217">
            <w:pPr>
              <w:spacing w:line="252" w:lineRule="auto"/>
              <w:rPr>
                <w:rFonts w:ascii="Arial"/>
                <w:color w:val="auto"/>
                <w:sz w:val="21"/>
                <w:highlight w:val="none"/>
              </w:rPr>
            </w:pPr>
          </w:p>
          <w:p w14:paraId="47620629">
            <w:pPr>
              <w:spacing w:line="252" w:lineRule="auto"/>
              <w:rPr>
                <w:rFonts w:ascii="Arial"/>
                <w:color w:val="auto"/>
                <w:sz w:val="21"/>
                <w:highlight w:val="none"/>
              </w:rPr>
            </w:pPr>
          </w:p>
          <w:p w14:paraId="1571E2BC">
            <w:pPr>
              <w:pStyle w:val="33"/>
              <w:spacing w:before="68" w:line="220" w:lineRule="auto"/>
              <w:ind w:left="106"/>
              <w:rPr>
                <w:color w:val="auto"/>
                <w:sz w:val="21"/>
                <w:szCs w:val="21"/>
                <w:highlight w:val="none"/>
              </w:rPr>
            </w:pPr>
            <w:r>
              <w:rPr>
                <w:color w:val="auto"/>
                <w:spacing w:val="-1"/>
                <w:sz w:val="21"/>
                <w:szCs w:val="21"/>
                <w:highlight w:val="none"/>
              </w:rPr>
              <w:t>招标代理机构</w:t>
            </w:r>
          </w:p>
        </w:tc>
        <w:tc>
          <w:tcPr>
            <w:tcW w:w="5503" w:type="dxa"/>
            <w:tcBorders>
              <w:right w:val="single" w:color="000000" w:sz="6" w:space="0"/>
            </w:tcBorders>
            <w:vAlign w:val="top"/>
          </w:tcPr>
          <w:p w14:paraId="63F809DC">
            <w:pPr>
              <w:pStyle w:val="33"/>
              <w:spacing w:before="68" w:line="221" w:lineRule="auto"/>
              <w:ind w:left="106"/>
              <w:rPr>
                <w:color w:val="auto"/>
                <w:spacing w:val="-2"/>
                <w:sz w:val="21"/>
                <w:szCs w:val="21"/>
                <w:highlight w:val="none"/>
                <w:lang w:eastAsia="zh-CN"/>
              </w:rPr>
            </w:pPr>
            <w:r>
              <w:rPr>
                <w:color w:val="auto"/>
                <w:spacing w:val="-2"/>
                <w:sz w:val="21"/>
                <w:szCs w:val="21"/>
                <w:highlight w:val="none"/>
                <w:lang w:eastAsia="zh-CN"/>
              </w:rPr>
              <w:t>名称：</w:t>
            </w:r>
            <w:r>
              <w:rPr>
                <w:rFonts w:hint="eastAsia"/>
                <w:color w:val="auto"/>
                <w:spacing w:val="-2"/>
                <w:sz w:val="21"/>
                <w:szCs w:val="21"/>
                <w:highlight w:val="none"/>
                <w:lang w:eastAsia="zh-CN"/>
              </w:rPr>
              <w:t>绍兴明晨建设项目管理有限公司</w:t>
            </w:r>
            <w:r>
              <w:rPr>
                <w:color w:val="auto"/>
                <w:spacing w:val="-2"/>
                <w:sz w:val="21"/>
                <w:szCs w:val="21"/>
                <w:highlight w:val="none"/>
                <w:lang w:eastAsia="zh-CN"/>
              </w:rPr>
              <w:t xml:space="preserve"> </w:t>
            </w:r>
          </w:p>
          <w:p w14:paraId="25F49D89">
            <w:pPr>
              <w:pStyle w:val="33"/>
              <w:spacing w:before="68" w:line="221" w:lineRule="auto"/>
              <w:ind w:left="106"/>
              <w:rPr>
                <w:color w:val="auto"/>
                <w:spacing w:val="-2"/>
                <w:sz w:val="21"/>
                <w:szCs w:val="21"/>
                <w:highlight w:val="none"/>
                <w:lang w:eastAsia="zh-CN"/>
              </w:rPr>
            </w:pPr>
            <w:r>
              <w:rPr>
                <w:color w:val="auto"/>
                <w:spacing w:val="-2"/>
                <w:sz w:val="21"/>
                <w:szCs w:val="21"/>
                <w:highlight w:val="none"/>
                <w:lang w:eastAsia="zh-CN"/>
              </w:rPr>
              <w:t>地址：</w:t>
            </w:r>
            <w:r>
              <w:rPr>
                <w:rFonts w:hint="eastAsia"/>
                <w:color w:val="auto"/>
                <w:spacing w:val="-2"/>
                <w:sz w:val="21"/>
                <w:szCs w:val="21"/>
                <w:highlight w:val="none"/>
                <w:lang w:eastAsia="zh-CN"/>
              </w:rPr>
              <w:t>绍兴市越城区延安东路505号十楼</w:t>
            </w:r>
          </w:p>
          <w:p w14:paraId="183C0468">
            <w:pPr>
              <w:pStyle w:val="33"/>
              <w:spacing w:before="68" w:line="221" w:lineRule="auto"/>
              <w:ind w:left="106"/>
              <w:rPr>
                <w:rFonts w:hint="eastAsia"/>
                <w:color w:val="auto"/>
                <w:spacing w:val="-2"/>
                <w:sz w:val="21"/>
                <w:szCs w:val="21"/>
                <w:highlight w:val="none"/>
                <w:lang w:val="en-US" w:eastAsia="zh-CN"/>
              </w:rPr>
            </w:pPr>
            <w:r>
              <w:rPr>
                <w:color w:val="auto"/>
                <w:spacing w:val="-2"/>
                <w:sz w:val="21"/>
                <w:szCs w:val="21"/>
                <w:highlight w:val="none"/>
                <w:lang w:eastAsia="zh-CN"/>
              </w:rPr>
              <w:t>联系人：</w:t>
            </w:r>
            <w:r>
              <w:rPr>
                <w:rFonts w:hint="eastAsia"/>
                <w:color w:val="auto"/>
                <w:spacing w:val="-2"/>
                <w:sz w:val="21"/>
                <w:szCs w:val="21"/>
                <w:highlight w:val="none"/>
                <w:lang w:val="en-US" w:eastAsia="zh-CN"/>
              </w:rPr>
              <w:t>陶芳芳、阮俊晋(代理)</w:t>
            </w:r>
            <w:r>
              <w:rPr>
                <w:rFonts w:hint="eastAsia"/>
                <w:color w:val="auto"/>
                <w:spacing w:val="-2"/>
                <w:sz w:val="21"/>
                <w:szCs w:val="21"/>
                <w:highlight w:val="none"/>
                <w:lang w:eastAsia="zh-CN"/>
              </w:rPr>
              <w:t>，</w:t>
            </w:r>
            <w:r>
              <w:rPr>
                <w:rFonts w:hint="eastAsia"/>
                <w:color w:val="auto"/>
                <w:spacing w:val="-2"/>
                <w:sz w:val="21"/>
                <w:szCs w:val="21"/>
                <w:highlight w:val="none"/>
                <w:lang w:val="en-US" w:eastAsia="zh-CN"/>
              </w:rPr>
              <w:t>郑瑜(</w:t>
            </w:r>
            <w:r>
              <w:rPr>
                <w:rFonts w:hint="eastAsia"/>
                <w:color w:val="auto"/>
                <w:spacing w:val="-2"/>
                <w:sz w:val="21"/>
                <w:szCs w:val="21"/>
                <w:highlight w:val="none"/>
                <w:lang w:eastAsia="zh-CN"/>
              </w:rPr>
              <w:t>预算</w:t>
            </w:r>
            <w:r>
              <w:rPr>
                <w:rFonts w:hint="eastAsia"/>
                <w:color w:val="auto"/>
                <w:spacing w:val="-2"/>
                <w:sz w:val="21"/>
                <w:szCs w:val="21"/>
                <w:highlight w:val="none"/>
                <w:lang w:val="en-US" w:eastAsia="zh-CN"/>
              </w:rPr>
              <w:t>)</w:t>
            </w:r>
          </w:p>
          <w:p w14:paraId="4D1955A1">
            <w:pPr>
              <w:pStyle w:val="33"/>
              <w:spacing w:before="68" w:line="221" w:lineRule="auto"/>
              <w:ind w:left="106"/>
              <w:rPr>
                <w:color w:val="auto"/>
                <w:spacing w:val="-2"/>
                <w:sz w:val="21"/>
                <w:szCs w:val="21"/>
                <w:highlight w:val="none"/>
                <w:lang w:eastAsia="zh-CN"/>
              </w:rPr>
            </w:pPr>
            <w:r>
              <w:rPr>
                <w:color w:val="auto"/>
                <w:spacing w:val="-2"/>
                <w:sz w:val="21"/>
                <w:szCs w:val="21"/>
                <w:highlight w:val="none"/>
                <w:lang w:eastAsia="zh-CN"/>
              </w:rPr>
              <w:t>电话：</w:t>
            </w:r>
            <w:r>
              <w:rPr>
                <w:rFonts w:hint="eastAsia"/>
                <w:color w:val="auto"/>
                <w:spacing w:val="-2"/>
                <w:sz w:val="21"/>
                <w:szCs w:val="21"/>
                <w:highlight w:val="none"/>
                <w:lang w:val="en-US" w:eastAsia="zh-CN"/>
              </w:rPr>
              <w:t>15157588551、0575-88313149(代理)，13357525598(预算)</w:t>
            </w:r>
            <w:r>
              <w:rPr>
                <w:color w:val="auto"/>
                <w:spacing w:val="-2"/>
                <w:sz w:val="21"/>
                <w:szCs w:val="21"/>
                <w:highlight w:val="none"/>
                <w:lang w:eastAsia="zh-CN"/>
              </w:rPr>
              <w:t xml:space="preserve">          传真： /</w:t>
            </w:r>
          </w:p>
          <w:p w14:paraId="7ABDBE63">
            <w:pPr>
              <w:pStyle w:val="33"/>
              <w:spacing w:before="68" w:line="221" w:lineRule="auto"/>
              <w:ind w:left="106"/>
              <w:rPr>
                <w:color w:val="auto"/>
                <w:sz w:val="21"/>
                <w:szCs w:val="21"/>
                <w:highlight w:val="none"/>
              </w:rPr>
            </w:pPr>
            <w:r>
              <w:rPr>
                <w:color w:val="auto"/>
                <w:spacing w:val="-2"/>
                <w:sz w:val="21"/>
                <w:szCs w:val="21"/>
                <w:highlight w:val="none"/>
                <w:lang w:eastAsia="zh-CN"/>
              </w:rPr>
              <w:t>电子信箱：</w:t>
            </w:r>
            <w:r>
              <w:rPr>
                <w:rFonts w:hint="eastAsia"/>
                <w:color w:val="auto"/>
                <w:spacing w:val="-2"/>
                <w:sz w:val="21"/>
                <w:szCs w:val="21"/>
                <w:highlight w:val="none"/>
                <w:lang w:val="en-US" w:eastAsia="zh-CN"/>
              </w:rPr>
              <w:t>294148036@qq.com</w:t>
            </w:r>
          </w:p>
        </w:tc>
      </w:tr>
      <w:tr w14:paraId="1662C3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53" w:type="dxa"/>
            <w:tcBorders>
              <w:left w:val="single" w:color="000000" w:sz="6" w:space="0"/>
            </w:tcBorders>
            <w:vAlign w:val="top"/>
          </w:tcPr>
          <w:p w14:paraId="33FD3DF5">
            <w:pPr>
              <w:spacing w:before="255"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1.1.4</w:t>
            </w:r>
          </w:p>
        </w:tc>
        <w:tc>
          <w:tcPr>
            <w:tcW w:w="2444" w:type="dxa"/>
            <w:vAlign w:val="top"/>
          </w:tcPr>
          <w:p w14:paraId="181C1FBB">
            <w:pPr>
              <w:pStyle w:val="33"/>
              <w:spacing w:before="217" w:line="221" w:lineRule="auto"/>
              <w:ind w:left="109"/>
              <w:rPr>
                <w:color w:val="auto"/>
                <w:sz w:val="21"/>
                <w:szCs w:val="21"/>
                <w:highlight w:val="none"/>
              </w:rPr>
            </w:pPr>
            <w:r>
              <w:rPr>
                <w:color w:val="auto"/>
                <w:spacing w:val="-2"/>
                <w:sz w:val="21"/>
                <w:szCs w:val="21"/>
                <w:highlight w:val="none"/>
              </w:rPr>
              <w:t>项目及标段名称</w:t>
            </w:r>
          </w:p>
        </w:tc>
        <w:tc>
          <w:tcPr>
            <w:tcW w:w="5503" w:type="dxa"/>
            <w:tcBorders>
              <w:right w:val="single" w:color="000000" w:sz="6" w:space="0"/>
            </w:tcBorders>
            <w:vAlign w:val="center"/>
          </w:tcPr>
          <w:p w14:paraId="4C847A76">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水系连通工程--蛟闸江、小善江、石珓河等河道疏浚连通工程先行段</w:t>
            </w:r>
          </w:p>
        </w:tc>
      </w:tr>
      <w:tr w14:paraId="48C1C3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3" w:type="dxa"/>
            <w:tcBorders>
              <w:left w:val="single" w:color="000000" w:sz="6" w:space="0"/>
            </w:tcBorders>
            <w:vAlign w:val="top"/>
          </w:tcPr>
          <w:p w14:paraId="729570F4">
            <w:pPr>
              <w:spacing w:before="253"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1.1.5</w:t>
            </w:r>
          </w:p>
        </w:tc>
        <w:tc>
          <w:tcPr>
            <w:tcW w:w="2444" w:type="dxa"/>
            <w:vAlign w:val="top"/>
          </w:tcPr>
          <w:p w14:paraId="7993049F">
            <w:pPr>
              <w:pStyle w:val="33"/>
              <w:spacing w:before="214" w:line="222" w:lineRule="auto"/>
              <w:ind w:left="108"/>
              <w:rPr>
                <w:color w:val="auto"/>
                <w:sz w:val="21"/>
                <w:szCs w:val="21"/>
                <w:highlight w:val="none"/>
              </w:rPr>
            </w:pPr>
            <w:r>
              <w:rPr>
                <w:color w:val="auto"/>
                <w:spacing w:val="-2"/>
                <w:sz w:val="21"/>
                <w:szCs w:val="21"/>
                <w:highlight w:val="none"/>
              </w:rPr>
              <w:t>建设地点</w:t>
            </w:r>
          </w:p>
        </w:tc>
        <w:tc>
          <w:tcPr>
            <w:tcW w:w="5503" w:type="dxa"/>
            <w:tcBorders>
              <w:right w:val="single" w:color="000000" w:sz="6" w:space="0"/>
            </w:tcBorders>
            <w:vAlign w:val="center"/>
          </w:tcPr>
          <w:p w14:paraId="6418FBA6">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东至解放大道，南至凤林西路，西至绿云路，北至洋江西路</w:t>
            </w:r>
          </w:p>
        </w:tc>
      </w:tr>
      <w:tr w14:paraId="2039DE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53" w:type="dxa"/>
            <w:tcBorders>
              <w:left w:val="single" w:color="000000" w:sz="6" w:space="0"/>
            </w:tcBorders>
            <w:vAlign w:val="top"/>
          </w:tcPr>
          <w:p w14:paraId="56DAD81C">
            <w:pPr>
              <w:spacing w:before="256"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1.1.6</w:t>
            </w:r>
          </w:p>
        </w:tc>
        <w:tc>
          <w:tcPr>
            <w:tcW w:w="2444" w:type="dxa"/>
            <w:vAlign w:val="top"/>
          </w:tcPr>
          <w:p w14:paraId="6BB509A0">
            <w:pPr>
              <w:pStyle w:val="33"/>
              <w:spacing w:before="218" w:line="220" w:lineRule="auto"/>
              <w:ind w:left="107"/>
              <w:rPr>
                <w:color w:val="auto"/>
                <w:sz w:val="21"/>
                <w:szCs w:val="21"/>
                <w:highlight w:val="none"/>
              </w:rPr>
            </w:pPr>
            <w:r>
              <w:rPr>
                <w:color w:val="auto"/>
                <w:spacing w:val="-2"/>
                <w:sz w:val="21"/>
                <w:szCs w:val="21"/>
                <w:highlight w:val="none"/>
              </w:rPr>
              <w:t>现场管理机构</w:t>
            </w:r>
          </w:p>
        </w:tc>
        <w:tc>
          <w:tcPr>
            <w:tcW w:w="5503" w:type="dxa"/>
            <w:tcBorders>
              <w:right w:val="single" w:color="000000" w:sz="6" w:space="0"/>
            </w:tcBorders>
            <w:vAlign w:val="center"/>
          </w:tcPr>
          <w:p w14:paraId="59F004E7">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绍兴市镜湖综合保护投资建设有限公司</w:t>
            </w:r>
          </w:p>
        </w:tc>
      </w:tr>
      <w:tr w14:paraId="52AD7B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3" w:type="dxa"/>
            <w:tcBorders>
              <w:left w:val="single" w:color="000000" w:sz="6" w:space="0"/>
            </w:tcBorders>
            <w:vAlign w:val="top"/>
          </w:tcPr>
          <w:p w14:paraId="23410327">
            <w:pPr>
              <w:spacing w:before="254"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1.1.7</w:t>
            </w:r>
          </w:p>
        </w:tc>
        <w:tc>
          <w:tcPr>
            <w:tcW w:w="2444" w:type="dxa"/>
            <w:vAlign w:val="top"/>
          </w:tcPr>
          <w:p w14:paraId="7EA9FF1C">
            <w:pPr>
              <w:pStyle w:val="33"/>
              <w:spacing w:before="216" w:line="222" w:lineRule="auto"/>
              <w:ind w:left="109"/>
              <w:rPr>
                <w:color w:val="auto"/>
                <w:sz w:val="21"/>
                <w:szCs w:val="21"/>
                <w:highlight w:val="none"/>
              </w:rPr>
            </w:pPr>
            <w:r>
              <w:rPr>
                <w:color w:val="auto"/>
                <w:spacing w:val="-2"/>
                <w:sz w:val="21"/>
                <w:szCs w:val="21"/>
                <w:highlight w:val="none"/>
              </w:rPr>
              <w:t>设计人</w:t>
            </w:r>
          </w:p>
        </w:tc>
        <w:tc>
          <w:tcPr>
            <w:tcW w:w="5503" w:type="dxa"/>
            <w:tcBorders>
              <w:right w:val="single" w:color="000000" w:sz="6" w:space="0"/>
            </w:tcBorders>
            <w:vAlign w:val="center"/>
          </w:tcPr>
          <w:p w14:paraId="0EF13C5F">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绍兴市水利水电勘测设计院有限公司</w:t>
            </w:r>
          </w:p>
        </w:tc>
      </w:tr>
      <w:tr w14:paraId="51213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3" w:type="dxa"/>
            <w:tcBorders>
              <w:left w:val="single" w:color="000000" w:sz="6" w:space="0"/>
            </w:tcBorders>
            <w:vAlign w:val="top"/>
          </w:tcPr>
          <w:p w14:paraId="31BFFDED">
            <w:pPr>
              <w:spacing w:before="255"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1.1.8</w:t>
            </w:r>
          </w:p>
        </w:tc>
        <w:tc>
          <w:tcPr>
            <w:tcW w:w="2444" w:type="dxa"/>
            <w:vAlign w:val="top"/>
          </w:tcPr>
          <w:p w14:paraId="4BFE8B6B">
            <w:pPr>
              <w:pStyle w:val="33"/>
              <w:spacing w:before="217" w:line="223" w:lineRule="auto"/>
              <w:ind w:left="106"/>
              <w:rPr>
                <w:color w:val="auto"/>
                <w:sz w:val="21"/>
                <w:szCs w:val="21"/>
                <w:highlight w:val="none"/>
              </w:rPr>
            </w:pPr>
            <w:r>
              <w:rPr>
                <w:color w:val="auto"/>
                <w:spacing w:val="-2"/>
                <w:sz w:val="21"/>
                <w:szCs w:val="21"/>
                <w:highlight w:val="none"/>
              </w:rPr>
              <w:t>监理人</w:t>
            </w:r>
          </w:p>
        </w:tc>
        <w:tc>
          <w:tcPr>
            <w:tcW w:w="5503" w:type="dxa"/>
            <w:tcBorders>
              <w:right w:val="single" w:color="000000" w:sz="6" w:space="0"/>
            </w:tcBorders>
            <w:vAlign w:val="center"/>
          </w:tcPr>
          <w:p w14:paraId="4D040E6E">
            <w:pPr>
              <w:pStyle w:val="33"/>
              <w:spacing w:before="68" w:line="221" w:lineRule="auto"/>
              <w:ind w:left="106"/>
              <w:jc w:val="both"/>
              <w:rPr>
                <w:rFonts w:hint="eastAsia"/>
                <w:color w:val="auto"/>
                <w:spacing w:val="-2"/>
                <w:sz w:val="21"/>
                <w:szCs w:val="21"/>
                <w:highlight w:val="none"/>
                <w:lang w:val="en-US" w:eastAsia="zh-CN"/>
              </w:rPr>
            </w:pPr>
            <w:r>
              <w:rPr>
                <w:rFonts w:hint="eastAsia"/>
                <w:color w:val="auto"/>
                <w:spacing w:val="-2"/>
                <w:sz w:val="21"/>
                <w:szCs w:val="21"/>
                <w:highlight w:val="none"/>
                <w:lang w:val="en-US" w:eastAsia="zh-CN"/>
              </w:rPr>
              <w:t>/</w:t>
            </w:r>
          </w:p>
        </w:tc>
      </w:tr>
      <w:tr w14:paraId="4879F6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53" w:type="dxa"/>
            <w:tcBorders>
              <w:left w:val="single" w:color="000000" w:sz="6" w:space="0"/>
            </w:tcBorders>
            <w:vAlign w:val="top"/>
          </w:tcPr>
          <w:p w14:paraId="11B8FA7C">
            <w:pPr>
              <w:spacing w:before="259"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1.1.9</w:t>
            </w:r>
          </w:p>
        </w:tc>
        <w:tc>
          <w:tcPr>
            <w:tcW w:w="2444" w:type="dxa"/>
            <w:vAlign w:val="top"/>
          </w:tcPr>
          <w:p w14:paraId="21ED1684">
            <w:pPr>
              <w:pStyle w:val="33"/>
              <w:spacing w:before="220" w:line="220" w:lineRule="auto"/>
              <w:ind w:left="105"/>
              <w:rPr>
                <w:color w:val="auto"/>
                <w:sz w:val="21"/>
                <w:szCs w:val="21"/>
                <w:highlight w:val="none"/>
              </w:rPr>
            </w:pPr>
            <w:r>
              <w:rPr>
                <w:color w:val="auto"/>
                <w:spacing w:val="-1"/>
                <w:sz w:val="21"/>
                <w:szCs w:val="21"/>
                <w:highlight w:val="none"/>
              </w:rPr>
              <w:t>代建机构</w:t>
            </w:r>
          </w:p>
        </w:tc>
        <w:tc>
          <w:tcPr>
            <w:tcW w:w="5503" w:type="dxa"/>
            <w:tcBorders>
              <w:right w:val="single" w:color="000000" w:sz="6" w:space="0"/>
            </w:tcBorders>
            <w:vAlign w:val="center"/>
          </w:tcPr>
          <w:p w14:paraId="3CB7B45B">
            <w:pPr>
              <w:pStyle w:val="33"/>
              <w:spacing w:before="68" w:line="221" w:lineRule="auto"/>
              <w:ind w:left="106"/>
              <w:jc w:val="both"/>
              <w:rPr>
                <w:rFonts w:hint="eastAsia"/>
                <w:color w:val="auto"/>
                <w:spacing w:val="-2"/>
                <w:sz w:val="21"/>
                <w:szCs w:val="21"/>
                <w:highlight w:val="none"/>
                <w:lang w:val="en-US" w:eastAsia="zh-CN"/>
              </w:rPr>
            </w:pPr>
            <w:r>
              <w:rPr>
                <w:rFonts w:hint="eastAsia"/>
                <w:color w:val="auto"/>
                <w:spacing w:val="-2"/>
                <w:sz w:val="21"/>
                <w:szCs w:val="21"/>
                <w:highlight w:val="none"/>
                <w:lang w:val="en-US" w:eastAsia="zh-CN"/>
              </w:rPr>
              <w:t>/</w:t>
            </w:r>
          </w:p>
        </w:tc>
      </w:tr>
      <w:tr w14:paraId="0631FF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3" w:type="dxa"/>
            <w:tcBorders>
              <w:left w:val="single" w:color="000000" w:sz="6" w:space="0"/>
            </w:tcBorders>
            <w:vAlign w:val="top"/>
          </w:tcPr>
          <w:p w14:paraId="2443F888">
            <w:pPr>
              <w:spacing w:before="257"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1.2.1</w:t>
            </w:r>
          </w:p>
        </w:tc>
        <w:tc>
          <w:tcPr>
            <w:tcW w:w="2444" w:type="dxa"/>
            <w:vAlign w:val="top"/>
          </w:tcPr>
          <w:p w14:paraId="71F86A24">
            <w:pPr>
              <w:pStyle w:val="33"/>
              <w:spacing w:before="218" w:line="221" w:lineRule="auto"/>
              <w:ind w:left="115"/>
              <w:rPr>
                <w:color w:val="auto"/>
                <w:sz w:val="21"/>
                <w:szCs w:val="21"/>
                <w:highlight w:val="none"/>
              </w:rPr>
            </w:pPr>
            <w:r>
              <w:rPr>
                <w:color w:val="auto"/>
                <w:spacing w:val="-2"/>
                <w:sz w:val="21"/>
                <w:szCs w:val="21"/>
                <w:highlight w:val="none"/>
              </w:rPr>
              <w:t>资金来源及比例</w:t>
            </w:r>
          </w:p>
        </w:tc>
        <w:tc>
          <w:tcPr>
            <w:tcW w:w="5503" w:type="dxa"/>
            <w:tcBorders>
              <w:right w:val="single" w:color="000000" w:sz="6" w:space="0"/>
            </w:tcBorders>
            <w:vAlign w:val="center"/>
          </w:tcPr>
          <w:p w14:paraId="57B4332D">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自筹100%</w:t>
            </w:r>
          </w:p>
        </w:tc>
      </w:tr>
      <w:tr w14:paraId="1D75C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953" w:type="dxa"/>
            <w:tcBorders>
              <w:left w:val="single" w:color="000000" w:sz="6" w:space="0"/>
            </w:tcBorders>
            <w:vAlign w:val="top"/>
          </w:tcPr>
          <w:p w14:paraId="65E43E64">
            <w:pPr>
              <w:spacing w:before="260"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1.2.2</w:t>
            </w:r>
          </w:p>
        </w:tc>
        <w:tc>
          <w:tcPr>
            <w:tcW w:w="2444" w:type="dxa"/>
            <w:vAlign w:val="top"/>
          </w:tcPr>
          <w:p w14:paraId="21DD319F">
            <w:pPr>
              <w:pStyle w:val="33"/>
              <w:spacing w:before="222" w:line="221" w:lineRule="auto"/>
              <w:ind w:left="115"/>
              <w:rPr>
                <w:color w:val="auto"/>
                <w:sz w:val="21"/>
                <w:szCs w:val="21"/>
                <w:highlight w:val="none"/>
              </w:rPr>
            </w:pPr>
            <w:r>
              <w:rPr>
                <w:color w:val="auto"/>
                <w:spacing w:val="-3"/>
                <w:sz w:val="21"/>
                <w:szCs w:val="21"/>
                <w:highlight w:val="none"/>
              </w:rPr>
              <w:t>资金落实情况</w:t>
            </w:r>
          </w:p>
        </w:tc>
        <w:tc>
          <w:tcPr>
            <w:tcW w:w="5503" w:type="dxa"/>
            <w:tcBorders>
              <w:right w:val="single" w:color="000000" w:sz="6" w:space="0"/>
            </w:tcBorders>
            <w:vAlign w:val="center"/>
          </w:tcPr>
          <w:p w14:paraId="16B014D3">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已落实</w:t>
            </w:r>
          </w:p>
        </w:tc>
      </w:tr>
      <w:tr w14:paraId="55F63D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3" w:type="dxa"/>
            <w:tcBorders>
              <w:left w:val="single" w:color="000000" w:sz="6" w:space="0"/>
            </w:tcBorders>
            <w:vAlign w:val="top"/>
          </w:tcPr>
          <w:p w14:paraId="5E4A0439">
            <w:pPr>
              <w:spacing w:before="258"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1.3.1</w:t>
            </w:r>
          </w:p>
        </w:tc>
        <w:tc>
          <w:tcPr>
            <w:tcW w:w="2444" w:type="dxa"/>
            <w:vAlign w:val="top"/>
          </w:tcPr>
          <w:p w14:paraId="5D5D021B">
            <w:pPr>
              <w:pStyle w:val="33"/>
              <w:spacing w:before="220" w:line="221" w:lineRule="auto"/>
              <w:ind w:left="106"/>
              <w:rPr>
                <w:color w:val="auto"/>
                <w:sz w:val="21"/>
                <w:szCs w:val="21"/>
                <w:highlight w:val="none"/>
              </w:rPr>
            </w:pPr>
            <w:r>
              <w:rPr>
                <w:color w:val="auto"/>
                <w:spacing w:val="-2"/>
                <w:sz w:val="21"/>
                <w:szCs w:val="21"/>
                <w:highlight w:val="none"/>
              </w:rPr>
              <w:t>招标范围</w:t>
            </w:r>
          </w:p>
        </w:tc>
        <w:tc>
          <w:tcPr>
            <w:tcW w:w="5503" w:type="dxa"/>
            <w:tcBorders>
              <w:right w:val="single" w:color="000000" w:sz="6" w:space="0"/>
            </w:tcBorders>
            <w:vAlign w:val="center"/>
          </w:tcPr>
          <w:p w14:paraId="3A464C01">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详见招标公告。</w:t>
            </w:r>
          </w:p>
        </w:tc>
      </w:tr>
      <w:tr w14:paraId="25383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162" w:hRule="atLeast"/>
        </w:trPr>
        <w:tc>
          <w:tcPr>
            <w:tcW w:w="953" w:type="dxa"/>
            <w:tcBorders>
              <w:left w:val="single" w:color="000000" w:sz="6" w:space="0"/>
            </w:tcBorders>
            <w:vAlign w:val="top"/>
          </w:tcPr>
          <w:p w14:paraId="3E4E9790">
            <w:pPr>
              <w:spacing w:line="247" w:lineRule="auto"/>
              <w:rPr>
                <w:rFonts w:ascii="Arial"/>
                <w:color w:val="auto"/>
                <w:sz w:val="21"/>
                <w:highlight w:val="none"/>
              </w:rPr>
            </w:pPr>
          </w:p>
          <w:p w14:paraId="0AB2BFE6">
            <w:pPr>
              <w:spacing w:line="247" w:lineRule="auto"/>
              <w:rPr>
                <w:rFonts w:ascii="Arial"/>
                <w:color w:val="auto"/>
                <w:sz w:val="21"/>
                <w:highlight w:val="none"/>
              </w:rPr>
            </w:pPr>
          </w:p>
          <w:p w14:paraId="3A495FB7">
            <w:pPr>
              <w:spacing w:line="248" w:lineRule="auto"/>
              <w:rPr>
                <w:rFonts w:ascii="Arial"/>
                <w:color w:val="auto"/>
                <w:sz w:val="21"/>
                <w:highlight w:val="none"/>
              </w:rPr>
            </w:pPr>
          </w:p>
          <w:p w14:paraId="5121AA2C">
            <w:pPr>
              <w:spacing w:line="248" w:lineRule="auto"/>
              <w:rPr>
                <w:rFonts w:ascii="Arial"/>
                <w:color w:val="auto"/>
                <w:sz w:val="21"/>
                <w:highlight w:val="none"/>
              </w:rPr>
            </w:pPr>
          </w:p>
          <w:p w14:paraId="071F0531">
            <w:pPr>
              <w:spacing w:before="60"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1.3.2</w:t>
            </w:r>
          </w:p>
        </w:tc>
        <w:tc>
          <w:tcPr>
            <w:tcW w:w="2444" w:type="dxa"/>
            <w:vAlign w:val="top"/>
          </w:tcPr>
          <w:p w14:paraId="2A1C625D">
            <w:pPr>
              <w:spacing w:line="314" w:lineRule="auto"/>
              <w:rPr>
                <w:rFonts w:ascii="Arial"/>
                <w:color w:val="auto"/>
                <w:sz w:val="21"/>
                <w:highlight w:val="none"/>
              </w:rPr>
            </w:pPr>
          </w:p>
          <w:p w14:paraId="1D236F96">
            <w:pPr>
              <w:spacing w:line="315" w:lineRule="auto"/>
              <w:rPr>
                <w:rFonts w:ascii="Arial"/>
                <w:color w:val="auto"/>
                <w:sz w:val="21"/>
                <w:highlight w:val="none"/>
              </w:rPr>
            </w:pPr>
          </w:p>
          <w:p w14:paraId="7DBD562B">
            <w:pPr>
              <w:spacing w:line="315" w:lineRule="auto"/>
              <w:rPr>
                <w:rFonts w:ascii="Arial"/>
                <w:color w:val="auto"/>
                <w:sz w:val="21"/>
                <w:highlight w:val="none"/>
              </w:rPr>
            </w:pPr>
          </w:p>
          <w:p w14:paraId="3022E562">
            <w:pPr>
              <w:pStyle w:val="33"/>
              <w:spacing w:before="68" w:line="221" w:lineRule="auto"/>
              <w:ind w:left="106"/>
              <w:rPr>
                <w:color w:val="auto"/>
                <w:sz w:val="21"/>
                <w:szCs w:val="21"/>
                <w:highlight w:val="none"/>
              </w:rPr>
            </w:pPr>
            <w:r>
              <w:rPr>
                <w:color w:val="auto"/>
                <w:spacing w:val="-2"/>
                <w:sz w:val="21"/>
                <w:szCs w:val="21"/>
                <w:highlight w:val="none"/>
              </w:rPr>
              <w:t>计划工期</w:t>
            </w:r>
          </w:p>
        </w:tc>
        <w:tc>
          <w:tcPr>
            <w:tcW w:w="5503" w:type="dxa"/>
            <w:tcBorders>
              <w:right w:val="single" w:color="000000" w:sz="6" w:space="0"/>
            </w:tcBorders>
            <w:vAlign w:val="center"/>
          </w:tcPr>
          <w:p w14:paraId="586CECC9">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计划工期：总工期</w:t>
            </w:r>
            <w:r>
              <w:rPr>
                <w:rFonts w:hint="eastAsia"/>
                <w:color w:val="auto"/>
                <w:spacing w:val="-2"/>
                <w:sz w:val="21"/>
                <w:szCs w:val="21"/>
                <w:highlight w:val="none"/>
                <w:lang w:val="en-US" w:eastAsia="zh-CN"/>
              </w:rPr>
              <w:t>180</w:t>
            </w:r>
            <w:r>
              <w:rPr>
                <w:rFonts w:hint="eastAsia"/>
                <w:color w:val="auto"/>
                <w:spacing w:val="-2"/>
                <w:sz w:val="21"/>
                <w:szCs w:val="21"/>
                <w:highlight w:val="none"/>
                <w:lang w:eastAsia="zh-CN"/>
              </w:rPr>
              <w:t>日历天。投标承诺工期不得超过该计划工期。</w:t>
            </w:r>
          </w:p>
          <w:p w14:paraId="5C84B1A6">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计划开工日期：</w:t>
            </w:r>
            <w:r>
              <w:rPr>
                <w:rFonts w:hint="eastAsia"/>
                <w:color w:val="auto"/>
                <w:spacing w:val="-2"/>
                <w:sz w:val="21"/>
                <w:szCs w:val="21"/>
                <w:highlight w:val="none"/>
                <w:lang w:val="en-US" w:eastAsia="zh-CN"/>
              </w:rPr>
              <w:t>/</w:t>
            </w:r>
            <w:r>
              <w:rPr>
                <w:rFonts w:hint="eastAsia"/>
                <w:color w:val="auto"/>
                <w:spacing w:val="-2"/>
                <w:sz w:val="21"/>
                <w:szCs w:val="21"/>
                <w:highlight w:val="none"/>
                <w:lang w:eastAsia="zh-CN"/>
              </w:rPr>
              <w:t>年</w:t>
            </w:r>
            <w:r>
              <w:rPr>
                <w:rFonts w:hint="eastAsia"/>
                <w:color w:val="auto"/>
                <w:spacing w:val="-2"/>
                <w:sz w:val="21"/>
                <w:szCs w:val="21"/>
                <w:highlight w:val="none"/>
                <w:lang w:val="en-US" w:eastAsia="zh-CN"/>
              </w:rPr>
              <w:t>/</w:t>
            </w:r>
            <w:r>
              <w:rPr>
                <w:rFonts w:hint="eastAsia"/>
                <w:color w:val="auto"/>
                <w:spacing w:val="-2"/>
                <w:sz w:val="21"/>
                <w:szCs w:val="21"/>
                <w:highlight w:val="none"/>
                <w:lang w:eastAsia="zh-CN"/>
              </w:rPr>
              <w:t>月</w:t>
            </w:r>
            <w:r>
              <w:rPr>
                <w:rFonts w:hint="eastAsia"/>
                <w:color w:val="auto"/>
                <w:spacing w:val="-2"/>
                <w:sz w:val="21"/>
                <w:szCs w:val="21"/>
                <w:highlight w:val="none"/>
                <w:lang w:val="en-US" w:eastAsia="zh-CN"/>
              </w:rPr>
              <w:t>/</w:t>
            </w:r>
            <w:r>
              <w:rPr>
                <w:rFonts w:hint="eastAsia"/>
                <w:color w:val="auto"/>
                <w:spacing w:val="-2"/>
                <w:sz w:val="21"/>
                <w:szCs w:val="21"/>
                <w:highlight w:val="none"/>
                <w:lang w:eastAsia="zh-CN"/>
              </w:rPr>
              <w:t>日</w:t>
            </w:r>
          </w:p>
          <w:p w14:paraId="6C1CCCD8">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计划完工日期：</w:t>
            </w:r>
            <w:r>
              <w:rPr>
                <w:rFonts w:hint="eastAsia"/>
                <w:color w:val="auto"/>
                <w:spacing w:val="-2"/>
                <w:sz w:val="21"/>
                <w:szCs w:val="21"/>
                <w:highlight w:val="none"/>
                <w:lang w:val="en-US" w:eastAsia="zh-CN"/>
              </w:rPr>
              <w:t>/</w:t>
            </w:r>
            <w:r>
              <w:rPr>
                <w:rFonts w:hint="eastAsia"/>
                <w:color w:val="auto"/>
                <w:spacing w:val="-2"/>
                <w:sz w:val="21"/>
                <w:szCs w:val="21"/>
                <w:highlight w:val="none"/>
                <w:lang w:eastAsia="zh-CN"/>
              </w:rPr>
              <w:t>年</w:t>
            </w:r>
            <w:r>
              <w:rPr>
                <w:rFonts w:hint="eastAsia"/>
                <w:color w:val="auto"/>
                <w:spacing w:val="-2"/>
                <w:sz w:val="21"/>
                <w:szCs w:val="21"/>
                <w:highlight w:val="none"/>
                <w:lang w:val="en-US" w:eastAsia="zh-CN"/>
              </w:rPr>
              <w:t>/</w:t>
            </w:r>
            <w:r>
              <w:rPr>
                <w:rFonts w:hint="eastAsia"/>
                <w:color w:val="auto"/>
                <w:spacing w:val="-2"/>
                <w:sz w:val="21"/>
                <w:szCs w:val="21"/>
                <w:highlight w:val="none"/>
                <w:lang w:eastAsia="zh-CN"/>
              </w:rPr>
              <w:t>月</w:t>
            </w:r>
            <w:r>
              <w:rPr>
                <w:rFonts w:hint="eastAsia"/>
                <w:color w:val="auto"/>
                <w:spacing w:val="-2"/>
                <w:sz w:val="21"/>
                <w:szCs w:val="21"/>
                <w:highlight w:val="none"/>
                <w:lang w:val="en-US" w:eastAsia="zh-CN"/>
              </w:rPr>
              <w:t>/</w:t>
            </w:r>
            <w:r>
              <w:rPr>
                <w:rFonts w:hint="eastAsia"/>
                <w:color w:val="auto"/>
                <w:spacing w:val="-2"/>
                <w:sz w:val="21"/>
                <w:szCs w:val="21"/>
                <w:highlight w:val="none"/>
                <w:lang w:eastAsia="zh-CN"/>
              </w:rPr>
              <w:t>日</w:t>
            </w:r>
          </w:p>
          <w:p w14:paraId="1D790581">
            <w:pPr>
              <w:pStyle w:val="33"/>
              <w:spacing w:before="68" w:line="221" w:lineRule="auto"/>
              <w:ind w:left="106"/>
              <w:jc w:val="both"/>
              <w:rPr>
                <w:rFonts w:hint="eastAsia"/>
                <w:color w:val="auto"/>
                <w:spacing w:val="-2"/>
                <w:sz w:val="21"/>
                <w:szCs w:val="21"/>
                <w:highlight w:val="none"/>
                <w:lang w:eastAsia="zh-CN"/>
              </w:rPr>
            </w:pPr>
            <w:r>
              <w:rPr>
                <w:rFonts w:hint="eastAsia"/>
                <w:color w:val="auto"/>
                <w:spacing w:val="-2"/>
                <w:sz w:val="21"/>
                <w:szCs w:val="21"/>
                <w:highlight w:val="none"/>
                <w:lang w:eastAsia="zh-CN"/>
              </w:rPr>
              <w:t>节点工期：</w:t>
            </w:r>
            <w:r>
              <w:rPr>
                <w:rFonts w:hint="eastAsia"/>
                <w:color w:val="auto"/>
                <w:spacing w:val="-2"/>
                <w:sz w:val="21"/>
                <w:szCs w:val="21"/>
                <w:highlight w:val="none"/>
                <w:lang w:val="en-US" w:eastAsia="zh-CN"/>
              </w:rPr>
              <w:t>/</w:t>
            </w:r>
            <w:r>
              <w:rPr>
                <w:rFonts w:hint="eastAsia"/>
                <w:color w:val="auto"/>
                <w:spacing w:val="-2"/>
                <w:sz w:val="21"/>
                <w:szCs w:val="21"/>
                <w:highlight w:val="none"/>
                <w:lang w:eastAsia="zh-CN"/>
              </w:rPr>
              <w:t>。</w:t>
            </w:r>
          </w:p>
          <w:p w14:paraId="2067D533">
            <w:pPr>
              <w:pStyle w:val="33"/>
              <w:spacing w:before="68" w:line="221" w:lineRule="auto"/>
              <w:ind w:left="106"/>
              <w:jc w:val="both"/>
              <w:rPr>
                <w:color w:val="auto"/>
                <w:sz w:val="21"/>
                <w:szCs w:val="21"/>
                <w:highlight w:val="none"/>
              </w:rPr>
            </w:pPr>
            <w:r>
              <w:rPr>
                <w:rFonts w:hint="eastAsia"/>
                <w:color w:val="auto"/>
                <w:spacing w:val="-2"/>
                <w:sz w:val="21"/>
                <w:szCs w:val="21"/>
                <w:highlight w:val="none"/>
                <w:lang w:eastAsia="zh-CN"/>
              </w:rPr>
              <w:t>实际开工日期以总监理工程师签发的开工通知为准。</w:t>
            </w:r>
          </w:p>
        </w:tc>
      </w:tr>
      <w:tr w14:paraId="4B3AF53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7" w:hRule="atLeast"/>
        </w:trPr>
        <w:tc>
          <w:tcPr>
            <w:tcW w:w="953" w:type="dxa"/>
            <w:tcBorders>
              <w:left w:val="single" w:color="000000" w:sz="6" w:space="0"/>
              <w:bottom w:val="single" w:color="000000" w:sz="6" w:space="0"/>
            </w:tcBorders>
            <w:vAlign w:val="top"/>
          </w:tcPr>
          <w:p w14:paraId="0B85FAEC">
            <w:pPr>
              <w:spacing w:before="264"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1.3.3</w:t>
            </w:r>
          </w:p>
        </w:tc>
        <w:tc>
          <w:tcPr>
            <w:tcW w:w="2444" w:type="dxa"/>
            <w:tcBorders>
              <w:bottom w:val="single" w:color="000000" w:sz="6" w:space="0"/>
            </w:tcBorders>
            <w:vAlign w:val="top"/>
          </w:tcPr>
          <w:p w14:paraId="36D90DE1">
            <w:pPr>
              <w:pStyle w:val="33"/>
              <w:spacing w:before="226" w:line="221" w:lineRule="auto"/>
              <w:ind w:left="106"/>
              <w:rPr>
                <w:color w:val="auto"/>
                <w:sz w:val="21"/>
                <w:szCs w:val="21"/>
                <w:highlight w:val="none"/>
              </w:rPr>
            </w:pPr>
            <w:r>
              <w:rPr>
                <w:color w:val="auto"/>
                <w:spacing w:val="-2"/>
                <w:sz w:val="21"/>
                <w:szCs w:val="21"/>
                <w:highlight w:val="none"/>
              </w:rPr>
              <w:t>质量要求</w:t>
            </w:r>
          </w:p>
        </w:tc>
        <w:tc>
          <w:tcPr>
            <w:tcW w:w="5503" w:type="dxa"/>
            <w:tcBorders>
              <w:bottom w:val="single" w:color="000000" w:sz="6" w:space="0"/>
              <w:right w:val="single" w:color="000000" w:sz="6" w:space="0"/>
            </w:tcBorders>
            <w:vAlign w:val="center"/>
          </w:tcPr>
          <w:p w14:paraId="4B7E360E">
            <w:pPr>
              <w:pStyle w:val="33"/>
              <w:spacing w:before="68" w:line="221" w:lineRule="auto"/>
              <w:ind w:left="106"/>
              <w:jc w:val="both"/>
              <w:rPr>
                <w:rFonts w:ascii="Arial"/>
                <w:color w:val="auto"/>
                <w:sz w:val="21"/>
                <w:highlight w:val="none"/>
              </w:rPr>
            </w:pPr>
            <w:r>
              <w:rPr>
                <w:rFonts w:hint="eastAsia" w:ascii="宋体" w:hAnsi="宋体" w:eastAsia="宋体" w:cs="宋体"/>
                <w:snapToGrid w:val="0"/>
                <w:color w:val="auto"/>
                <w:sz w:val="21"/>
                <w:szCs w:val="21"/>
                <w:highlight w:val="none"/>
              </w:rPr>
              <w:t>符合现行国家有关工程施工验收规范和标准的合格要求。</w:t>
            </w:r>
          </w:p>
        </w:tc>
      </w:tr>
    </w:tbl>
    <w:p w14:paraId="56A21902">
      <w:pPr>
        <w:pStyle w:val="3"/>
        <w:rPr>
          <w:color w:val="auto"/>
          <w:highlight w:val="none"/>
        </w:rPr>
      </w:pPr>
    </w:p>
    <w:p w14:paraId="21873F14">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64AB2612">
      <w:pPr>
        <w:spacing w:line="89" w:lineRule="auto"/>
        <w:rPr>
          <w:rFonts w:ascii="Arial"/>
          <w:color w:val="auto"/>
          <w:sz w:val="2"/>
          <w:highlight w:val="none"/>
        </w:rPr>
      </w:pPr>
    </w:p>
    <w:tbl>
      <w:tblPr>
        <w:tblStyle w:val="32"/>
        <w:tblW w:w="890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2444"/>
        <w:gridCol w:w="5503"/>
      </w:tblGrid>
      <w:tr w14:paraId="23FB83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53" w:type="dxa"/>
            <w:tcBorders>
              <w:top w:val="single" w:color="000000" w:sz="6" w:space="0"/>
              <w:left w:val="single" w:color="000000" w:sz="6" w:space="0"/>
            </w:tcBorders>
            <w:vAlign w:val="top"/>
          </w:tcPr>
          <w:p w14:paraId="78C4AABA">
            <w:pPr>
              <w:pStyle w:val="33"/>
              <w:spacing w:before="213" w:line="221" w:lineRule="auto"/>
              <w:ind w:left="158"/>
              <w:rPr>
                <w:color w:val="auto"/>
                <w:sz w:val="21"/>
                <w:szCs w:val="21"/>
                <w:highlight w:val="none"/>
              </w:rPr>
            </w:pPr>
            <w:r>
              <w:rPr>
                <w:b/>
                <w:bCs/>
                <w:color w:val="auto"/>
                <w:spacing w:val="-4"/>
                <w:sz w:val="21"/>
                <w:szCs w:val="21"/>
                <w:highlight w:val="none"/>
              </w:rPr>
              <w:t>条款号</w:t>
            </w:r>
          </w:p>
        </w:tc>
        <w:tc>
          <w:tcPr>
            <w:tcW w:w="2444" w:type="dxa"/>
            <w:tcBorders>
              <w:top w:val="single" w:color="000000" w:sz="6" w:space="0"/>
            </w:tcBorders>
            <w:vAlign w:val="top"/>
          </w:tcPr>
          <w:p w14:paraId="168983CA">
            <w:pPr>
              <w:pStyle w:val="33"/>
              <w:spacing w:before="213" w:line="221" w:lineRule="auto"/>
              <w:ind w:left="642"/>
              <w:rPr>
                <w:color w:val="auto"/>
                <w:sz w:val="21"/>
                <w:szCs w:val="21"/>
                <w:highlight w:val="none"/>
              </w:rPr>
            </w:pPr>
            <w:r>
              <w:rPr>
                <w:b/>
                <w:bCs/>
                <w:color w:val="auto"/>
                <w:spacing w:val="-9"/>
                <w:sz w:val="21"/>
                <w:szCs w:val="21"/>
                <w:highlight w:val="none"/>
              </w:rPr>
              <w:t>条</w:t>
            </w:r>
            <w:r>
              <w:rPr>
                <w:color w:val="auto"/>
                <w:spacing w:val="9"/>
                <w:sz w:val="21"/>
                <w:szCs w:val="21"/>
                <w:highlight w:val="none"/>
              </w:rPr>
              <w:t xml:space="preserve"> </w:t>
            </w:r>
            <w:r>
              <w:rPr>
                <w:b/>
                <w:bCs/>
                <w:color w:val="auto"/>
                <w:spacing w:val="-9"/>
                <w:sz w:val="21"/>
                <w:szCs w:val="21"/>
                <w:highlight w:val="none"/>
              </w:rPr>
              <w:t>款</w:t>
            </w:r>
            <w:r>
              <w:rPr>
                <w:color w:val="auto"/>
                <w:spacing w:val="12"/>
                <w:sz w:val="21"/>
                <w:szCs w:val="21"/>
                <w:highlight w:val="none"/>
              </w:rPr>
              <w:t xml:space="preserve"> </w:t>
            </w:r>
            <w:r>
              <w:rPr>
                <w:b/>
                <w:bCs/>
                <w:color w:val="auto"/>
                <w:spacing w:val="-9"/>
                <w:sz w:val="21"/>
                <w:szCs w:val="21"/>
                <w:highlight w:val="none"/>
              </w:rPr>
              <w:t>名</w:t>
            </w:r>
            <w:r>
              <w:rPr>
                <w:color w:val="auto"/>
                <w:spacing w:val="5"/>
                <w:sz w:val="21"/>
                <w:szCs w:val="21"/>
                <w:highlight w:val="none"/>
              </w:rPr>
              <w:t xml:space="preserve"> </w:t>
            </w:r>
            <w:r>
              <w:rPr>
                <w:b/>
                <w:bCs/>
                <w:color w:val="auto"/>
                <w:spacing w:val="-9"/>
                <w:sz w:val="21"/>
                <w:szCs w:val="21"/>
                <w:highlight w:val="none"/>
              </w:rPr>
              <w:t>称</w:t>
            </w:r>
          </w:p>
        </w:tc>
        <w:tc>
          <w:tcPr>
            <w:tcW w:w="5503" w:type="dxa"/>
            <w:tcBorders>
              <w:top w:val="single" w:color="000000" w:sz="6" w:space="0"/>
              <w:right w:val="single" w:color="000000" w:sz="6" w:space="0"/>
            </w:tcBorders>
            <w:vAlign w:val="top"/>
          </w:tcPr>
          <w:p w14:paraId="6A2CF879">
            <w:pPr>
              <w:pStyle w:val="33"/>
              <w:spacing w:before="213" w:line="221" w:lineRule="auto"/>
              <w:ind w:left="1702"/>
              <w:rPr>
                <w:color w:val="auto"/>
                <w:sz w:val="21"/>
                <w:szCs w:val="21"/>
                <w:highlight w:val="none"/>
              </w:rPr>
            </w:pPr>
            <w:r>
              <w:rPr>
                <w:b/>
                <w:bCs/>
                <w:color w:val="auto"/>
                <w:spacing w:val="-16"/>
                <w:sz w:val="21"/>
                <w:szCs w:val="21"/>
                <w:highlight w:val="none"/>
              </w:rPr>
              <w:t>编</w:t>
            </w:r>
            <w:r>
              <w:rPr>
                <w:color w:val="auto"/>
                <w:spacing w:val="4"/>
                <w:sz w:val="21"/>
                <w:szCs w:val="21"/>
                <w:highlight w:val="none"/>
              </w:rPr>
              <w:t xml:space="preserve">    </w:t>
            </w:r>
            <w:r>
              <w:rPr>
                <w:b/>
                <w:bCs/>
                <w:color w:val="auto"/>
                <w:spacing w:val="-16"/>
                <w:sz w:val="21"/>
                <w:szCs w:val="21"/>
                <w:highlight w:val="none"/>
              </w:rPr>
              <w:t>列</w:t>
            </w:r>
            <w:r>
              <w:rPr>
                <w:color w:val="auto"/>
                <w:spacing w:val="8"/>
                <w:sz w:val="21"/>
                <w:szCs w:val="21"/>
                <w:highlight w:val="none"/>
              </w:rPr>
              <w:t xml:space="preserve">    </w:t>
            </w:r>
            <w:r>
              <w:rPr>
                <w:b/>
                <w:bCs/>
                <w:color w:val="auto"/>
                <w:spacing w:val="-16"/>
                <w:sz w:val="21"/>
                <w:szCs w:val="21"/>
                <w:highlight w:val="none"/>
              </w:rPr>
              <w:t>内</w:t>
            </w:r>
            <w:r>
              <w:rPr>
                <w:color w:val="auto"/>
                <w:spacing w:val="3"/>
                <w:sz w:val="21"/>
                <w:szCs w:val="21"/>
                <w:highlight w:val="none"/>
              </w:rPr>
              <w:t xml:space="preserve">    </w:t>
            </w:r>
            <w:r>
              <w:rPr>
                <w:b/>
                <w:bCs/>
                <w:color w:val="auto"/>
                <w:spacing w:val="-16"/>
                <w:sz w:val="21"/>
                <w:szCs w:val="21"/>
                <w:highlight w:val="none"/>
              </w:rPr>
              <w:t>容</w:t>
            </w:r>
          </w:p>
        </w:tc>
      </w:tr>
      <w:tr w14:paraId="4B3395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0" w:hRule="atLeast"/>
        </w:trPr>
        <w:tc>
          <w:tcPr>
            <w:tcW w:w="953" w:type="dxa"/>
            <w:tcBorders>
              <w:left w:val="single" w:color="000000" w:sz="6" w:space="0"/>
            </w:tcBorders>
            <w:vAlign w:val="top"/>
          </w:tcPr>
          <w:p w14:paraId="7DA9764E">
            <w:pPr>
              <w:spacing w:before="248"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1.4.1</w:t>
            </w:r>
          </w:p>
        </w:tc>
        <w:tc>
          <w:tcPr>
            <w:tcW w:w="2444" w:type="dxa"/>
            <w:vAlign w:val="top"/>
          </w:tcPr>
          <w:p w14:paraId="3D8D4938">
            <w:pPr>
              <w:pStyle w:val="33"/>
              <w:spacing w:before="209" w:line="221" w:lineRule="auto"/>
              <w:ind w:left="108"/>
              <w:rPr>
                <w:color w:val="auto"/>
                <w:sz w:val="21"/>
                <w:szCs w:val="21"/>
                <w:highlight w:val="none"/>
              </w:rPr>
            </w:pPr>
            <w:r>
              <w:rPr>
                <w:color w:val="auto"/>
                <w:spacing w:val="-1"/>
                <w:sz w:val="21"/>
                <w:szCs w:val="21"/>
                <w:highlight w:val="none"/>
              </w:rPr>
              <w:t>投标人资质条件、能力</w:t>
            </w:r>
          </w:p>
        </w:tc>
        <w:tc>
          <w:tcPr>
            <w:tcW w:w="5503" w:type="dxa"/>
            <w:tcBorders>
              <w:right w:val="single" w:color="000000" w:sz="6" w:space="0"/>
            </w:tcBorders>
            <w:vAlign w:val="top"/>
          </w:tcPr>
          <w:p w14:paraId="1DE88692">
            <w:pPr>
              <w:pStyle w:val="33"/>
              <w:spacing w:before="210" w:line="219" w:lineRule="auto"/>
              <w:ind w:left="323"/>
              <w:rPr>
                <w:color w:val="auto"/>
                <w:sz w:val="21"/>
                <w:szCs w:val="21"/>
                <w:highlight w:val="none"/>
              </w:rPr>
            </w:pPr>
            <w:r>
              <w:rPr>
                <w:color w:val="auto"/>
                <w:spacing w:val="-1"/>
                <w:sz w:val="21"/>
                <w:szCs w:val="21"/>
                <w:highlight w:val="none"/>
              </w:rPr>
              <w:t>详见招标公告要求</w:t>
            </w:r>
          </w:p>
        </w:tc>
      </w:tr>
      <w:tr w14:paraId="7B8652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3" w:hRule="atLeast"/>
        </w:trPr>
        <w:tc>
          <w:tcPr>
            <w:tcW w:w="953" w:type="dxa"/>
            <w:tcBorders>
              <w:left w:val="single" w:color="000000" w:sz="6" w:space="0"/>
            </w:tcBorders>
            <w:vAlign w:val="top"/>
          </w:tcPr>
          <w:p w14:paraId="48B1DC6E">
            <w:pPr>
              <w:spacing w:line="443" w:lineRule="auto"/>
              <w:rPr>
                <w:rFonts w:ascii="Arial"/>
                <w:color w:val="auto"/>
                <w:sz w:val="21"/>
                <w:highlight w:val="none"/>
              </w:rPr>
            </w:pPr>
          </w:p>
          <w:p w14:paraId="23608903">
            <w:pPr>
              <w:spacing w:before="61"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1.4.2</w:t>
            </w:r>
          </w:p>
        </w:tc>
        <w:tc>
          <w:tcPr>
            <w:tcW w:w="2444" w:type="dxa"/>
            <w:vAlign w:val="top"/>
          </w:tcPr>
          <w:p w14:paraId="79F81566">
            <w:pPr>
              <w:spacing w:line="397" w:lineRule="auto"/>
              <w:rPr>
                <w:rFonts w:ascii="Arial"/>
                <w:color w:val="auto"/>
                <w:sz w:val="21"/>
                <w:highlight w:val="none"/>
              </w:rPr>
            </w:pPr>
          </w:p>
          <w:p w14:paraId="6A212A0C">
            <w:pPr>
              <w:pStyle w:val="33"/>
              <w:spacing w:before="69" w:line="221" w:lineRule="auto"/>
              <w:ind w:left="109"/>
              <w:rPr>
                <w:color w:val="auto"/>
                <w:sz w:val="21"/>
                <w:szCs w:val="21"/>
                <w:highlight w:val="none"/>
              </w:rPr>
            </w:pPr>
            <w:r>
              <w:rPr>
                <w:color w:val="auto"/>
                <w:spacing w:val="-1"/>
                <w:sz w:val="21"/>
                <w:szCs w:val="21"/>
                <w:highlight w:val="none"/>
              </w:rPr>
              <w:t>是否接受联合体投标</w:t>
            </w:r>
          </w:p>
        </w:tc>
        <w:tc>
          <w:tcPr>
            <w:tcW w:w="5503" w:type="dxa"/>
            <w:tcBorders>
              <w:right w:val="single" w:color="000000" w:sz="6" w:space="0"/>
            </w:tcBorders>
            <w:vAlign w:val="top"/>
          </w:tcPr>
          <w:p w14:paraId="3B037425">
            <w:pPr>
              <w:pStyle w:val="33"/>
              <w:spacing w:before="108" w:line="222" w:lineRule="auto"/>
              <w:ind w:left="131"/>
              <w:rPr>
                <w:strike w:val="0"/>
                <w:dstrike w:val="0"/>
                <w:color w:val="auto"/>
                <w:sz w:val="21"/>
                <w:szCs w:val="21"/>
                <w:highlight w:val="none"/>
              </w:rPr>
            </w:pPr>
            <w:r>
              <w:rPr>
                <w:rFonts w:hint="eastAsia"/>
                <w:strike w:val="0"/>
                <w:dstrike w:val="0"/>
                <w:color w:val="auto"/>
                <w:spacing w:val="-10"/>
                <w:sz w:val="21"/>
                <w:szCs w:val="21"/>
                <w:highlight w:val="none"/>
                <w:lang w:eastAsia="zh-CN"/>
              </w:rPr>
              <w:t>☑</w:t>
            </w:r>
            <w:r>
              <w:rPr>
                <w:strike w:val="0"/>
                <w:dstrike w:val="0"/>
                <w:color w:val="auto"/>
                <w:spacing w:val="12"/>
                <w:sz w:val="21"/>
                <w:szCs w:val="21"/>
                <w:highlight w:val="none"/>
              </w:rPr>
              <w:t xml:space="preserve"> </w:t>
            </w:r>
            <w:r>
              <w:rPr>
                <w:strike w:val="0"/>
                <w:dstrike w:val="0"/>
                <w:color w:val="auto"/>
                <w:spacing w:val="-10"/>
                <w:sz w:val="21"/>
                <w:szCs w:val="21"/>
                <w:highlight w:val="none"/>
              </w:rPr>
              <w:t>不接受</w:t>
            </w:r>
          </w:p>
          <w:p w14:paraId="3964D7EB">
            <w:pPr>
              <w:pStyle w:val="33"/>
              <w:spacing w:before="107" w:line="266" w:lineRule="auto"/>
              <w:ind w:left="110" w:right="96" w:firstLine="20"/>
              <w:rPr>
                <w:strike w:val="0"/>
                <w:dstrike w:val="0"/>
                <w:color w:val="auto"/>
                <w:sz w:val="21"/>
                <w:szCs w:val="21"/>
                <w:highlight w:val="none"/>
              </w:rPr>
            </w:pPr>
            <w:r>
              <w:rPr>
                <w:strike w:val="0"/>
                <w:dstrike w:val="0"/>
                <w:color w:val="auto"/>
                <w:spacing w:val="-4"/>
                <w:sz w:val="21"/>
                <w:szCs w:val="21"/>
                <w:highlight w:val="none"/>
              </w:rPr>
              <w:t>□ 接受，应满足下列要求：见招标公告或投标邀请书及投</w:t>
            </w:r>
            <w:r>
              <w:rPr>
                <w:strike w:val="0"/>
                <w:dstrike w:val="0"/>
                <w:color w:val="auto"/>
                <w:spacing w:val="12"/>
                <w:sz w:val="21"/>
                <w:szCs w:val="21"/>
                <w:highlight w:val="none"/>
              </w:rPr>
              <w:t xml:space="preserve"> </w:t>
            </w:r>
            <w:r>
              <w:rPr>
                <w:strike w:val="0"/>
                <w:dstrike w:val="0"/>
                <w:color w:val="auto"/>
                <w:spacing w:val="-2"/>
                <w:sz w:val="21"/>
                <w:szCs w:val="21"/>
                <w:highlight w:val="none"/>
              </w:rPr>
              <w:t>标人须知相应条款内容要求。</w:t>
            </w:r>
          </w:p>
        </w:tc>
      </w:tr>
      <w:tr w14:paraId="18DB1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54" w:hRule="atLeast"/>
        </w:trPr>
        <w:tc>
          <w:tcPr>
            <w:tcW w:w="953" w:type="dxa"/>
            <w:tcBorders>
              <w:left w:val="single" w:color="000000" w:sz="6" w:space="0"/>
            </w:tcBorders>
            <w:vAlign w:val="top"/>
          </w:tcPr>
          <w:p w14:paraId="186335F7">
            <w:pPr>
              <w:spacing w:line="265" w:lineRule="auto"/>
              <w:rPr>
                <w:rFonts w:ascii="Arial"/>
                <w:color w:val="auto"/>
                <w:sz w:val="21"/>
                <w:highlight w:val="none"/>
              </w:rPr>
            </w:pPr>
          </w:p>
          <w:p w14:paraId="1C3B3C50">
            <w:pPr>
              <w:spacing w:line="266" w:lineRule="auto"/>
              <w:rPr>
                <w:rFonts w:ascii="Arial"/>
                <w:color w:val="auto"/>
                <w:sz w:val="21"/>
                <w:highlight w:val="none"/>
              </w:rPr>
            </w:pPr>
          </w:p>
          <w:p w14:paraId="18BD8790">
            <w:pPr>
              <w:spacing w:before="60" w:line="187" w:lineRule="auto"/>
              <w:ind w:left="28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4"/>
                <w:sz w:val="21"/>
                <w:szCs w:val="21"/>
                <w:highlight w:val="none"/>
              </w:rPr>
              <w:t>1.9.1</w:t>
            </w:r>
          </w:p>
        </w:tc>
        <w:tc>
          <w:tcPr>
            <w:tcW w:w="2444" w:type="dxa"/>
            <w:vAlign w:val="top"/>
          </w:tcPr>
          <w:p w14:paraId="4ED421E6">
            <w:pPr>
              <w:spacing w:line="242" w:lineRule="auto"/>
              <w:rPr>
                <w:rFonts w:ascii="Arial"/>
                <w:color w:val="auto"/>
                <w:sz w:val="21"/>
                <w:highlight w:val="none"/>
              </w:rPr>
            </w:pPr>
          </w:p>
          <w:p w14:paraId="5246FFF8">
            <w:pPr>
              <w:spacing w:line="242" w:lineRule="auto"/>
              <w:rPr>
                <w:rFonts w:ascii="Arial"/>
                <w:color w:val="auto"/>
                <w:sz w:val="21"/>
                <w:highlight w:val="none"/>
              </w:rPr>
            </w:pPr>
          </w:p>
          <w:p w14:paraId="4B749111">
            <w:pPr>
              <w:pStyle w:val="33"/>
              <w:spacing w:before="68" w:line="221" w:lineRule="auto"/>
              <w:ind w:left="106"/>
              <w:rPr>
                <w:color w:val="auto"/>
                <w:sz w:val="21"/>
                <w:szCs w:val="21"/>
                <w:highlight w:val="none"/>
              </w:rPr>
            </w:pPr>
            <w:r>
              <w:rPr>
                <w:color w:val="auto"/>
                <w:spacing w:val="-2"/>
                <w:sz w:val="21"/>
                <w:szCs w:val="21"/>
                <w:highlight w:val="none"/>
              </w:rPr>
              <w:t>踏勘现场</w:t>
            </w:r>
          </w:p>
        </w:tc>
        <w:tc>
          <w:tcPr>
            <w:tcW w:w="5503" w:type="dxa"/>
            <w:tcBorders>
              <w:right w:val="single" w:color="000000" w:sz="6" w:space="0"/>
            </w:tcBorders>
            <w:vAlign w:val="top"/>
          </w:tcPr>
          <w:p w14:paraId="6B168E8F">
            <w:pPr>
              <w:pStyle w:val="33"/>
              <w:spacing w:before="196" w:line="223" w:lineRule="auto"/>
              <w:ind w:left="131"/>
              <w:rPr>
                <w:strike w:val="0"/>
                <w:dstrike w:val="0"/>
                <w:color w:val="auto"/>
                <w:sz w:val="21"/>
                <w:szCs w:val="21"/>
                <w:highlight w:val="none"/>
              </w:rPr>
            </w:pPr>
            <w:r>
              <w:rPr>
                <w:rFonts w:hint="eastAsia"/>
                <w:strike w:val="0"/>
                <w:dstrike w:val="0"/>
                <w:color w:val="auto"/>
                <w:spacing w:val="-10"/>
                <w:sz w:val="21"/>
                <w:szCs w:val="21"/>
                <w:highlight w:val="none"/>
                <w:lang w:eastAsia="zh-CN"/>
              </w:rPr>
              <w:t>☑</w:t>
            </w:r>
            <w:r>
              <w:rPr>
                <w:strike w:val="0"/>
                <w:dstrike w:val="0"/>
                <w:color w:val="auto"/>
                <w:spacing w:val="12"/>
                <w:sz w:val="21"/>
                <w:szCs w:val="21"/>
                <w:highlight w:val="none"/>
              </w:rPr>
              <w:t xml:space="preserve"> </w:t>
            </w:r>
            <w:r>
              <w:rPr>
                <w:strike w:val="0"/>
                <w:dstrike w:val="0"/>
                <w:color w:val="auto"/>
                <w:spacing w:val="-10"/>
                <w:sz w:val="21"/>
                <w:szCs w:val="21"/>
                <w:highlight w:val="none"/>
              </w:rPr>
              <w:t>不组织</w:t>
            </w:r>
          </w:p>
          <w:p w14:paraId="399D7999">
            <w:pPr>
              <w:pStyle w:val="33"/>
              <w:spacing w:before="106" w:line="302" w:lineRule="auto"/>
              <w:ind w:left="120" w:right="99" w:firstLine="10"/>
              <w:rPr>
                <w:strike w:val="0"/>
                <w:dstrike w:val="0"/>
                <w:color w:val="auto"/>
                <w:sz w:val="21"/>
                <w:szCs w:val="21"/>
                <w:highlight w:val="none"/>
              </w:rPr>
            </w:pPr>
            <w:r>
              <w:rPr>
                <w:strike w:val="0"/>
                <w:dstrike w:val="0"/>
                <w:color w:val="auto"/>
                <w:spacing w:val="3"/>
                <w:sz w:val="21"/>
                <w:szCs w:val="21"/>
                <w:highlight w:val="none"/>
              </w:rPr>
              <w:t>□ 组织。踏勘时间</w:t>
            </w:r>
            <w:r>
              <w:rPr>
                <w:strike w:val="0"/>
                <w:dstrike w:val="0"/>
                <w:color w:val="auto"/>
                <w:spacing w:val="6"/>
                <w:sz w:val="21"/>
                <w:szCs w:val="21"/>
                <w:highlight w:val="none"/>
              </w:rPr>
              <w:t>：</w:t>
            </w:r>
            <w:r>
              <w:rPr>
                <w:strike w:val="0"/>
                <w:dstrike w:val="0"/>
                <w:color w:val="auto"/>
                <w:spacing w:val="2"/>
                <w:sz w:val="21"/>
                <w:szCs w:val="21"/>
                <w:highlight w:val="none"/>
                <w:u w:val="single" w:color="auto"/>
              </w:rPr>
              <w:t xml:space="preserve">                  </w:t>
            </w:r>
            <w:r>
              <w:rPr>
                <w:strike w:val="0"/>
                <w:dstrike w:val="0"/>
                <w:color w:val="auto"/>
                <w:spacing w:val="-79"/>
                <w:sz w:val="21"/>
                <w:szCs w:val="21"/>
                <w:highlight w:val="none"/>
              </w:rPr>
              <w:t xml:space="preserve"> </w:t>
            </w:r>
            <w:r>
              <w:rPr>
                <w:strike w:val="0"/>
                <w:dstrike w:val="0"/>
                <w:color w:val="auto"/>
                <w:spacing w:val="6"/>
                <w:sz w:val="21"/>
                <w:szCs w:val="21"/>
                <w:highlight w:val="none"/>
              </w:rPr>
              <w:t>，</w:t>
            </w:r>
            <w:r>
              <w:rPr>
                <w:strike w:val="0"/>
                <w:dstrike w:val="0"/>
                <w:color w:val="auto"/>
                <w:spacing w:val="3"/>
                <w:sz w:val="21"/>
                <w:szCs w:val="21"/>
                <w:highlight w:val="none"/>
              </w:rPr>
              <w:t>踏勘集中地</w:t>
            </w:r>
            <w:r>
              <w:rPr>
                <w:strike w:val="0"/>
                <w:dstrike w:val="0"/>
                <w:color w:val="auto"/>
                <w:sz w:val="21"/>
                <w:szCs w:val="21"/>
                <w:highlight w:val="none"/>
              </w:rPr>
              <w:t xml:space="preserve"> </w:t>
            </w:r>
            <w:r>
              <w:rPr>
                <w:strike w:val="0"/>
                <w:dstrike w:val="0"/>
                <w:color w:val="auto"/>
                <w:spacing w:val="-5"/>
                <w:sz w:val="21"/>
                <w:szCs w:val="21"/>
                <w:highlight w:val="none"/>
              </w:rPr>
              <w:t xml:space="preserve">点： </w:t>
            </w:r>
            <w:r>
              <w:rPr>
                <w:strike w:val="0"/>
                <w:dstrike w:val="0"/>
                <w:color w:val="auto"/>
                <w:spacing w:val="3"/>
                <w:sz w:val="21"/>
                <w:szCs w:val="21"/>
                <w:highlight w:val="none"/>
                <w:u w:val="single" w:color="auto"/>
              </w:rPr>
              <w:t xml:space="preserve">         </w:t>
            </w:r>
            <w:r>
              <w:rPr>
                <w:strike w:val="0"/>
                <w:dstrike w:val="0"/>
                <w:color w:val="auto"/>
                <w:spacing w:val="-5"/>
                <w:sz w:val="21"/>
                <w:szCs w:val="21"/>
                <w:highlight w:val="none"/>
                <w:u w:val="single" w:color="auto"/>
              </w:rPr>
              <w:t>。</w:t>
            </w:r>
          </w:p>
        </w:tc>
      </w:tr>
      <w:tr w14:paraId="596799B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151" w:hRule="atLeast"/>
        </w:trPr>
        <w:tc>
          <w:tcPr>
            <w:tcW w:w="953" w:type="dxa"/>
            <w:tcBorders>
              <w:left w:val="single" w:color="000000" w:sz="6" w:space="0"/>
            </w:tcBorders>
            <w:vAlign w:val="top"/>
          </w:tcPr>
          <w:p w14:paraId="77F3C1CE">
            <w:pPr>
              <w:spacing w:line="479" w:lineRule="auto"/>
              <w:rPr>
                <w:rFonts w:ascii="Arial"/>
                <w:color w:val="auto"/>
                <w:sz w:val="21"/>
                <w:highlight w:val="none"/>
              </w:rPr>
            </w:pPr>
          </w:p>
          <w:p w14:paraId="3EA27A56">
            <w:pPr>
              <w:spacing w:before="60" w:line="187" w:lineRule="auto"/>
              <w:ind w:left="22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1.10.1</w:t>
            </w:r>
          </w:p>
        </w:tc>
        <w:tc>
          <w:tcPr>
            <w:tcW w:w="2444" w:type="dxa"/>
            <w:vAlign w:val="top"/>
          </w:tcPr>
          <w:p w14:paraId="44E37B16">
            <w:pPr>
              <w:spacing w:line="433" w:lineRule="auto"/>
              <w:rPr>
                <w:rFonts w:ascii="Arial"/>
                <w:color w:val="auto"/>
                <w:sz w:val="21"/>
                <w:highlight w:val="none"/>
              </w:rPr>
            </w:pPr>
          </w:p>
          <w:p w14:paraId="2C1DAF21">
            <w:pPr>
              <w:pStyle w:val="33"/>
              <w:spacing w:before="68" w:line="220" w:lineRule="auto"/>
              <w:ind w:left="108"/>
              <w:rPr>
                <w:color w:val="auto"/>
                <w:sz w:val="21"/>
                <w:szCs w:val="21"/>
                <w:highlight w:val="none"/>
              </w:rPr>
            </w:pPr>
            <w:r>
              <w:rPr>
                <w:color w:val="auto"/>
                <w:spacing w:val="-2"/>
                <w:sz w:val="21"/>
                <w:szCs w:val="21"/>
                <w:highlight w:val="none"/>
              </w:rPr>
              <w:t>投标预备会</w:t>
            </w:r>
          </w:p>
        </w:tc>
        <w:tc>
          <w:tcPr>
            <w:tcW w:w="5503" w:type="dxa"/>
            <w:tcBorders>
              <w:right w:val="single" w:color="000000" w:sz="6" w:space="0"/>
            </w:tcBorders>
            <w:vAlign w:val="top"/>
          </w:tcPr>
          <w:p w14:paraId="7BAA933E">
            <w:pPr>
              <w:pStyle w:val="33"/>
              <w:spacing w:before="144" w:line="222" w:lineRule="auto"/>
              <w:ind w:left="131"/>
              <w:rPr>
                <w:strike w:val="0"/>
                <w:dstrike w:val="0"/>
                <w:color w:val="auto"/>
                <w:sz w:val="21"/>
                <w:szCs w:val="21"/>
                <w:highlight w:val="none"/>
              </w:rPr>
            </w:pPr>
            <w:r>
              <w:rPr>
                <w:rFonts w:hint="eastAsia"/>
                <w:strike w:val="0"/>
                <w:dstrike w:val="0"/>
                <w:color w:val="auto"/>
                <w:spacing w:val="-10"/>
                <w:sz w:val="21"/>
                <w:szCs w:val="21"/>
                <w:highlight w:val="none"/>
                <w:lang w:eastAsia="zh-CN"/>
              </w:rPr>
              <w:t>☑</w:t>
            </w:r>
            <w:r>
              <w:rPr>
                <w:strike w:val="0"/>
                <w:dstrike w:val="0"/>
                <w:color w:val="auto"/>
                <w:spacing w:val="12"/>
                <w:sz w:val="21"/>
                <w:szCs w:val="21"/>
                <w:highlight w:val="none"/>
              </w:rPr>
              <w:t xml:space="preserve"> </w:t>
            </w:r>
            <w:r>
              <w:rPr>
                <w:strike w:val="0"/>
                <w:dstrike w:val="0"/>
                <w:color w:val="auto"/>
                <w:spacing w:val="-10"/>
                <w:sz w:val="21"/>
                <w:szCs w:val="21"/>
                <w:highlight w:val="none"/>
              </w:rPr>
              <w:t>不召开</w:t>
            </w:r>
          </w:p>
          <w:p w14:paraId="246FCA13">
            <w:pPr>
              <w:pStyle w:val="33"/>
              <w:spacing w:before="107" w:line="267" w:lineRule="auto"/>
              <w:ind w:left="102" w:right="38" w:firstLine="29"/>
              <w:rPr>
                <w:strike w:val="0"/>
                <w:dstrike w:val="0"/>
                <w:color w:val="auto"/>
                <w:sz w:val="21"/>
                <w:szCs w:val="21"/>
                <w:highlight w:val="none"/>
              </w:rPr>
            </w:pPr>
            <w:r>
              <w:rPr>
                <w:strike w:val="0"/>
                <w:dstrike w:val="0"/>
                <w:color w:val="auto"/>
                <w:spacing w:val="-3"/>
                <w:sz w:val="21"/>
                <w:szCs w:val="21"/>
                <w:highlight w:val="none"/>
              </w:rPr>
              <w:t>□ 召开，定于</w:t>
            </w:r>
            <w:r>
              <w:rPr>
                <w:strike w:val="0"/>
                <w:dstrike w:val="0"/>
                <w:color w:val="auto"/>
                <w:spacing w:val="3"/>
                <w:sz w:val="21"/>
                <w:szCs w:val="21"/>
                <w:highlight w:val="none"/>
                <w:u w:val="single" w:color="auto"/>
              </w:rPr>
              <w:t xml:space="preserve">       </w:t>
            </w:r>
            <w:r>
              <w:rPr>
                <w:strike w:val="0"/>
                <w:dstrike w:val="0"/>
                <w:color w:val="auto"/>
                <w:spacing w:val="-3"/>
                <w:sz w:val="21"/>
                <w:szCs w:val="21"/>
                <w:highlight w:val="none"/>
              </w:rPr>
              <w:t>（</w:t>
            </w:r>
            <w:r>
              <w:rPr>
                <w:i/>
                <w:iCs/>
                <w:strike w:val="0"/>
                <w:dstrike w:val="0"/>
                <w:color w:val="auto"/>
                <w:spacing w:val="-3"/>
                <w:sz w:val="22"/>
                <w:szCs w:val="22"/>
                <w:highlight w:val="none"/>
              </w:rPr>
              <w:t>具体时间</w:t>
            </w:r>
            <w:r>
              <w:rPr>
                <w:strike w:val="0"/>
                <w:dstrike w:val="0"/>
                <w:color w:val="auto"/>
                <w:spacing w:val="-3"/>
                <w:sz w:val="21"/>
                <w:szCs w:val="21"/>
                <w:highlight w:val="none"/>
              </w:rPr>
              <w:t>）在</w:t>
            </w:r>
            <w:r>
              <w:rPr>
                <w:strike w:val="0"/>
                <w:dstrike w:val="0"/>
                <w:color w:val="auto"/>
                <w:spacing w:val="18"/>
                <w:sz w:val="21"/>
                <w:szCs w:val="21"/>
                <w:highlight w:val="none"/>
              </w:rPr>
              <w:t xml:space="preserve"> </w:t>
            </w:r>
            <w:r>
              <w:rPr>
                <w:strike w:val="0"/>
                <w:dstrike w:val="0"/>
                <w:color w:val="auto"/>
                <w:spacing w:val="2"/>
                <w:sz w:val="21"/>
                <w:szCs w:val="21"/>
                <w:highlight w:val="none"/>
                <w:u w:val="single" w:color="auto"/>
              </w:rPr>
              <w:t xml:space="preserve">       </w:t>
            </w:r>
            <w:r>
              <w:rPr>
                <w:strike w:val="0"/>
                <w:dstrike w:val="0"/>
                <w:color w:val="auto"/>
                <w:spacing w:val="-3"/>
                <w:sz w:val="21"/>
                <w:szCs w:val="21"/>
                <w:highlight w:val="none"/>
              </w:rPr>
              <w:t>（</w:t>
            </w:r>
            <w:r>
              <w:rPr>
                <w:i/>
                <w:iCs/>
                <w:strike w:val="0"/>
                <w:dstrike w:val="0"/>
                <w:color w:val="auto"/>
                <w:spacing w:val="-3"/>
                <w:sz w:val="22"/>
                <w:szCs w:val="22"/>
                <w:highlight w:val="none"/>
              </w:rPr>
              <w:t>投标预</w:t>
            </w:r>
            <w:r>
              <w:rPr>
                <w:strike w:val="0"/>
                <w:dstrike w:val="0"/>
                <w:color w:val="auto"/>
                <w:spacing w:val="2"/>
                <w:sz w:val="22"/>
                <w:szCs w:val="22"/>
                <w:highlight w:val="none"/>
              </w:rPr>
              <w:t xml:space="preserve"> </w:t>
            </w:r>
            <w:r>
              <w:rPr>
                <w:i/>
                <w:iCs/>
                <w:strike w:val="0"/>
                <w:dstrike w:val="0"/>
                <w:color w:val="auto"/>
                <w:spacing w:val="-3"/>
                <w:sz w:val="22"/>
                <w:szCs w:val="22"/>
                <w:highlight w:val="none"/>
              </w:rPr>
              <w:t>备会地点</w:t>
            </w:r>
            <w:r>
              <w:rPr>
                <w:strike w:val="0"/>
                <w:dstrike w:val="0"/>
                <w:color w:val="auto"/>
                <w:spacing w:val="-3"/>
                <w:sz w:val="21"/>
                <w:szCs w:val="21"/>
                <w:highlight w:val="none"/>
              </w:rPr>
              <w:t>）召开投标预备会。</w:t>
            </w:r>
          </w:p>
        </w:tc>
      </w:tr>
      <w:tr w14:paraId="45AEDD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953" w:type="dxa"/>
            <w:tcBorders>
              <w:left w:val="single" w:color="000000" w:sz="6" w:space="0"/>
            </w:tcBorders>
            <w:vAlign w:val="top"/>
          </w:tcPr>
          <w:p w14:paraId="7F918D15">
            <w:pPr>
              <w:spacing w:before="253" w:line="187" w:lineRule="auto"/>
              <w:ind w:left="22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1.10.3</w:t>
            </w:r>
          </w:p>
        </w:tc>
        <w:tc>
          <w:tcPr>
            <w:tcW w:w="2444" w:type="dxa"/>
            <w:vAlign w:val="top"/>
          </w:tcPr>
          <w:p w14:paraId="742FB511">
            <w:pPr>
              <w:pStyle w:val="33"/>
              <w:spacing w:before="215" w:line="221" w:lineRule="auto"/>
              <w:ind w:left="108"/>
              <w:rPr>
                <w:color w:val="auto"/>
                <w:sz w:val="21"/>
                <w:szCs w:val="21"/>
                <w:highlight w:val="none"/>
              </w:rPr>
            </w:pPr>
            <w:r>
              <w:rPr>
                <w:color w:val="auto"/>
                <w:spacing w:val="-2"/>
                <w:sz w:val="21"/>
                <w:szCs w:val="21"/>
                <w:highlight w:val="none"/>
              </w:rPr>
              <w:t>投标截止时间</w:t>
            </w:r>
          </w:p>
        </w:tc>
        <w:tc>
          <w:tcPr>
            <w:tcW w:w="5503" w:type="dxa"/>
            <w:tcBorders>
              <w:right w:val="single" w:color="000000" w:sz="6" w:space="0"/>
            </w:tcBorders>
            <w:vAlign w:val="center"/>
          </w:tcPr>
          <w:p w14:paraId="3A1C2974">
            <w:pPr>
              <w:jc w:val="both"/>
              <w:rPr>
                <w:rFonts w:ascii="Arial"/>
                <w:strike w:val="0"/>
                <w:dstrike w:val="0"/>
                <w:color w:val="auto"/>
                <w:sz w:val="21"/>
                <w:highlight w:val="none"/>
              </w:rPr>
            </w:pPr>
            <w:r>
              <w:rPr>
                <w:rFonts w:hint="eastAsia" w:ascii="Times New Roman" w:hAnsi="Times New Roman" w:eastAsia="宋体" w:cs="Times New Roman"/>
                <w:strike w:val="0"/>
                <w:dstrike w:val="0"/>
                <w:color w:val="auto"/>
                <w:highlight w:val="none"/>
                <w:lang w:eastAsia="zh-CN"/>
              </w:rPr>
              <w:t>202</w:t>
            </w:r>
            <w:r>
              <w:rPr>
                <w:rFonts w:hint="eastAsia" w:ascii="Times New Roman" w:hAnsi="Times New Roman" w:eastAsia="宋体" w:cs="Times New Roman"/>
                <w:strike w:val="0"/>
                <w:dstrike w:val="0"/>
                <w:color w:val="auto"/>
                <w:highlight w:val="none"/>
                <w:lang w:val="en-US" w:eastAsia="zh-CN"/>
              </w:rPr>
              <w:t>6</w:t>
            </w:r>
            <w:r>
              <w:rPr>
                <w:rFonts w:ascii="Times New Roman" w:hAnsi="Times New Roman" w:eastAsia="宋体" w:cs="Times New Roman"/>
                <w:strike w:val="0"/>
                <w:dstrike w:val="0"/>
                <w:color w:val="auto"/>
                <w:highlight w:val="none"/>
              </w:rPr>
              <w:t>年</w:t>
            </w:r>
            <w:r>
              <w:rPr>
                <w:rFonts w:hint="eastAsia" w:ascii="Times New Roman" w:hAnsi="Times New Roman" w:eastAsia="宋体" w:cs="Times New Roman"/>
                <w:strike w:val="0"/>
                <w:dstrike w:val="0"/>
                <w:color w:val="auto"/>
                <w:highlight w:val="none"/>
                <w:lang w:val="en-US" w:eastAsia="zh-CN"/>
              </w:rPr>
              <w:t xml:space="preserve"> 4 </w:t>
            </w:r>
            <w:r>
              <w:rPr>
                <w:rFonts w:ascii="Times New Roman" w:hAnsi="Times New Roman" w:eastAsia="宋体" w:cs="Times New Roman"/>
                <w:strike w:val="0"/>
                <w:dstrike w:val="0"/>
                <w:color w:val="auto"/>
                <w:highlight w:val="none"/>
              </w:rPr>
              <w:t>月</w:t>
            </w:r>
            <w:r>
              <w:rPr>
                <w:rFonts w:hint="eastAsia" w:ascii="Times New Roman" w:hAnsi="Times New Roman" w:eastAsia="宋体" w:cs="Times New Roman"/>
                <w:strike w:val="0"/>
                <w:dstrike w:val="0"/>
                <w:color w:val="auto"/>
                <w:highlight w:val="none"/>
                <w:lang w:val="en-US" w:eastAsia="zh-CN"/>
              </w:rPr>
              <w:t xml:space="preserve"> 1 </w:t>
            </w:r>
            <w:r>
              <w:rPr>
                <w:rFonts w:ascii="Times New Roman" w:hAnsi="Times New Roman" w:eastAsia="宋体" w:cs="Times New Roman"/>
                <w:strike w:val="0"/>
                <w:dstrike w:val="0"/>
                <w:color w:val="auto"/>
                <w:highlight w:val="none"/>
              </w:rPr>
              <w:t>日</w:t>
            </w:r>
            <w:r>
              <w:rPr>
                <w:rFonts w:hint="eastAsia" w:ascii="Times New Roman" w:hAnsi="Times New Roman" w:eastAsia="宋体" w:cs="Times New Roman"/>
                <w:strike w:val="0"/>
                <w:dstrike w:val="0"/>
                <w:color w:val="auto"/>
                <w:highlight w:val="none"/>
                <w:lang w:val="en-US" w:eastAsia="zh-CN"/>
              </w:rPr>
              <w:t>14</w:t>
            </w:r>
            <w:r>
              <w:rPr>
                <w:rFonts w:ascii="Times New Roman" w:hAnsi="Times New Roman" w:eastAsia="宋体" w:cs="Times New Roman"/>
                <w:strike w:val="0"/>
                <w:dstrike w:val="0"/>
                <w:color w:val="auto"/>
                <w:highlight w:val="none"/>
              </w:rPr>
              <w:t>时</w:t>
            </w:r>
            <w:r>
              <w:rPr>
                <w:rFonts w:hint="eastAsia" w:ascii="Times New Roman" w:hAnsi="Times New Roman" w:eastAsia="宋体" w:cs="Times New Roman"/>
                <w:strike w:val="0"/>
                <w:dstrike w:val="0"/>
                <w:color w:val="auto"/>
                <w:highlight w:val="none"/>
                <w:lang w:val="en-US" w:eastAsia="zh-CN"/>
              </w:rPr>
              <w:t>30</w:t>
            </w:r>
            <w:r>
              <w:rPr>
                <w:rFonts w:ascii="Times New Roman" w:hAnsi="Times New Roman" w:eastAsia="宋体" w:cs="Times New Roman"/>
                <w:strike w:val="0"/>
                <w:dstrike w:val="0"/>
                <w:color w:val="auto"/>
                <w:highlight w:val="none"/>
              </w:rPr>
              <w:t>分</w:t>
            </w:r>
          </w:p>
        </w:tc>
      </w:tr>
      <w:tr w14:paraId="7992BC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43" w:hRule="atLeast"/>
        </w:trPr>
        <w:tc>
          <w:tcPr>
            <w:tcW w:w="953" w:type="dxa"/>
            <w:tcBorders>
              <w:left w:val="single" w:color="000000" w:sz="6" w:space="0"/>
            </w:tcBorders>
            <w:vAlign w:val="top"/>
          </w:tcPr>
          <w:p w14:paraId="06FDAF68">
            <w:pPr>
              <w:spacing w:line="313" w:lineRule="auto"/>
              <w:rPr>
                <w:rFonts w:ascii="Arial"/>
                <w:color w:val="auto"/>
                <w:sz w:val="21"/>
                <w:highlight w:val="none"/>
              </w:rPr>
            </w:pPr>
          </w:p>
          <w:p w14:paraId="0361DA19">
            <w:pPr>
              <w:spacing w:line="313" w:lineRule="auto"/>
              <w:rPr>
                <w:rFonts w:ascii="Arial"/>
                <w:color w:val="auto"/>
                <w:sz w:val="21"/>
                <w:highlight w:val="none"/>
              </w:rPr>
            </w:pPr>
          </w:p>
          <w:p w14:paraId="52CD1694">
            <w:pPr>
              <w:spacing w:before="61" w:line="187"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1.11</w:t>
            </w:r>
          </w:p>
        </w:tc>
        <w:tc>
          <w:tcPr>
            <w:tcW w:w="2444" w:type="dxa"/>
            <w:vAlign w:val="top"/>
          </w:tcPr>
          <w:p w14:paraId="24C2A838">
            <w:pPr>
              <w:spacing w:line="290" w:lineRule="auto"/>
              <w:rPr>
                <w:rFonts w:ascii="Arial"/>
                <w:color w:val="auto"/>
                <w:sz w:val="21"/>
                <w:highlight w:val="none"/>
              </w:rPr>
            </w:pPr>
          </w:p>
          <w:p w14:paraId="1DEE2C83">
            <w:pPr>
              <w:spacing w:line="291" w:lineRule="auto"/>
              <w:rPr>
                <w:rFonts w:ascii="Arial"/>
                <w:color w:val="auto"/>
                <w:sz w:val="21"/>
                <w:highlight w:val="none"/>
              </w:rPr>
            </w:pPr>
          </w:p>
          <w:p w14:paraId="34D98765">
            <w:pPr>
              <w:pStyle w:val="33"/>
              <w:spacing w:before="68" w:line="221" w:lineRule="auto"/>
              <w:ind w:left="108"/>
              <w:rPr>
                <w:color w:val="auto"/>
                <w:sz w:val="21"/>
                <w:szCs w:val="21"/>
                <w:highlight w:val="none"/>
              </w:rPr>
            </w:pPr>
            <w:r>
              <w:rPr>
                <w:color w:val="auto"/>
                <w:spacing w:val="-3"/>
                <w:sz w:val="21"/>
                <w:szCs w:val="21"/>
                <w:highlight w:val="none"/>
              </w:rPr>
              <w:t>分包</w:t>
            </w:r>
          </w:p>
        </w:tc>
        <w:tc>
          <w:tcPr>
            <w:tcW w:w="5503" w:type="dxa"/>
            <w:tcBorders>
              <w:right w:val="single" w:color="000000" w:sz="6" w:space="0"/>
            </w:tcBorders>
            <w:vAlign w:val="top"/>
          </w:tcPr>
          <w:p w14:paraId="6121C04A">
            <w:pPr>
              <w:pStyle w:val="33"/>
              <w:spacing w:before="112" w:line="221" w:lineRule="auto"/>
              <w:ind w:left="131"/>
              <w:rPr>
                <w:strike w:val="0"/>
                <w:dstrike w:val="0"/>
                <w:color w:val="auto"/>
                <w:sz w:val="21"/>
                <w:szCs w:val="21"/>
                <w:highlight w:val="none"/>
              </w:rPr>
            </w:pPr>
            <w:r>
              <w:rPr>
                <w:strike w:val="0"/>
                <w:dstrike w:val="0"/>
                <w:color w:val="auto"/>
                <w:spacing w:val="-3"/>
                <w:sz w:val="21"/>
                <w:szCs w:val="21"/>
                <w:highlight w:val="none"/>
              </w:rPr>
              <w:t>□ 允许，工程分包内容要求：</w:t>
            </w:r>
            <w:r>
              <w:rPr>
                <w:strike w:val="0"/>
                <w:dstrike w:val="0"/>
                <w:color w:val="auto"/>
                <w:spacing w:val="1"/>
                <w:sz w:val="21"/>
                <w:szCs w:val="21"/>
                <w:highlight w:val="none"/>
                <w:u w:val="single" w:color="auto"/>
              </w:rPr>
              <w:t xml:space="preserve">          </w:t>
            </w:r>
          </w:p>
          <w:p w14:paraId="2FDB0899">
            <w:pPr>
              <w:pStyle w:val="33"/>
              <w:spacing w:before="108" w:line="221" w:lineRule="auto"/>
              <w:ind w:left="952"/>
              <w:rPr>
                <w:strike w:val="0"/>
                <w:dstrike w:val="0"/>
                <w:color w:val="auto"/>
                <w:sz w:val="21"/>
                <w:szCs w:val="21"/>
                <w:highlight w:val="none"/>
              </w:rPr>
            </w:pPr>
            <w:r>
              <w:rPr>
                <w:strike w:val="0"/>
                <w:dstrike w:val="0"/>
                <w:color w:val="auto"/>
                <w:spacing w:val="-2"/>
                <w:sz w:val="21"/>
                <w:szCs w:val="21"/>
                <w:highlight w:val="none"/>
              </w:rPr>
              <w:t>工程分包金额要求：</w:t>
            </w:r>
            <w:r>
              <w:rPr>
                <w:strike w:val="0"/>
                <w:dstrike w:val="0"/>
                <w:color w:val="auto"/>
                <w:sz w:val="21"/>
                <w:szCs w:val="21"/>
                <w:highlight w:val="none"/>
                <w:u w:val="single" w:color="auto"/>
              </w:rPr>
              <w:t xml:space="preserve">          </w:t>
            </w:r>
          </w:p>
          <w:p w14:paraId="1FB6C53D">
            <w:pPr>
              <w:pStyle w:val="33"/>
              <w:spacing w:before="108" w:line="264" w:lineRule="auto"/>
              <w:ind w:left="131" w:right="348" w:firstLine="817"/>
              <w:rPr>
                <w:strike w:val="0"/>
                <w:dstrike w:val="0"/>
                <w:color w:val="auto"/>
                <w:sz w:val="21"/>
                <w:szCs w:val="21"/>
                <w:highlight w:val="none"/>
              </w:rPr>
            </w:pPr>
            <w:r>
              <w:rPr>
                <w:strike w:val="0"/>
                <w:dstrike w:val="0"/>
                <w:color w:val="auto"/>
                <w:spacing w:val="-1"/>
                <w:sz w:val="21"/>
                <w:szCs w:val="21"/>
                <w:highlight w:val="none"/>
              </w:rPr>
              <w:t>接受工程分包的第三人资质要求：</w:t>
            </w:r>
            <w:r>
              <w:rPr>
                <w:strike w:val="0"/>
                <w:dstrike w:val="0"/>
                <w:color w:val="auto"/>
                <w:spacing w:val="-1"/>
                <w:sz w:val="21"/>
                <w:szCs w:val="21"/>
                <w:highlight w:val="none"/>
                <w:u w:val="single" w:color="auto"/>
              </w:rPr>
              <w:t xml:space="preserve">          </w:t>
            </w:r>
            <w:r>
              <w:rPr>
                <w:strike w:val="0"/>
                <w:dstrike w:val="0"/>
                <w:color w:val="auto"/>
                <w:spacing w:val="18"/>
                <w:sz w:val="21"/>
                <w:szCs w:val="21"/>
                <w:highlight w:val="none"/>
              </w:rPr>
              <w:t xml:space="preserve"> </w:t>
            </w:r>
            <w:r>
              <w:rPr>
                <w:rFonts w:hint="eastAsia"/>
                <w:strike w:val="0"/>
                <w:dstrike w:val="0"/>
                <w:color w:val="auto"/>
                <w:spacing w:val="-10"/>
                <w:sz w:val="21"/>
                <w:szCs w:val="21"/>
                <w:highlight w:val="none"/>
                <w:lang w:eastAsia="zh-CN"/>
              </w:rPr>
              <w:t>☑</w:t>
            </w:r>
            <w:r>
              <w:rPr>
                <w:strike w:val="0"/>
                <w:dstrike w:val="0"/>
                <w:color w:val="auto"/>
                <w:spacing w:val="12"/>
                <w:sz w:val="21"/>
                <w:szCs w:val="21"/>
                <w:highlight w:val="none"/>
              </w:rPr>
              <w:t xml:space="preserve"> </w:t>
            </w:r>
            <w:r>
              <w:rPr>
                <w:strike w:val="0"/>
                <w:dstrike w:val="0"/>
                <w:color w:val="auto"/>
                <w:spacing w:val="-10"/>
                <w:sz w:val="21"/>
                <w:szCs w:val="21"/>
                <w:highlight w:val="none"/>
              </w:rPr>
              <w:t>不允许</w:t>
            </w:r>
          </w:p>
        </w:tc>
      </w:tr>
      <w:tr w14:paraId="29C1EA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6" w:hRule="atLeast"/>
        </w:trPr>
        <w:tc>
          <w:tcPr>
            <w:tcW w:w="953" w:type="dxa"/>
            <w:tcBorders>
              <w:left w:val="single" w:color="000000" w:sz="6" w:space="0"/>
            </w:tcBorders>
            <w:vAlign w:val="top"/>
          </w:tcPr>
          <w:p w14:paraId="0C59CFA5">
            <w:pPr>
              <w:spacing w:line="273" w:lineRule="auto"/>
              <w:rPr>
                <w:rFonts w:ascii="Arial"/>
                <w:color w:val="auto"/>
                <w:sz w:val="21"/>
                <w:highlight w:val="none"/>
              </w:rPr>
            </w:pPr>
          </w:p>
          <w:p w14:paraId="77234DC4">
            <w:pPr>
              <w:spacing w:before="60" w:line="187" w:lineRule="auto"/>
              <w:ind w:left="307"/>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1.12</w:t>
            </w:r>
          </w:p>
        </w:tc>
        <w:tc>
          <w:tcPr>
            <w:tcW w:w="2444" w:type="dxa"/>
            <w:vAlign w:val="top"/>
          </w:tcPr>
          <w:p w14:paraId="4AFE2C05">
            <w:pPr>
              <w:pStyle w:val="33"/>
              <w:spacing w:before="296" w:line="221" w:lineRule="auto"/>
              <w:ind w:left="106"/>
              <w:rPr>
                <w:color w:val="auto"/>
                <w:sz w:val="21"/>
                <w:szCs w:val="21"/>
                <w:highlight w:val="none"/>
              </w:rPr>
            </w:pPr>
            <w:r>
              <w:rPr>
                <w:color w:val="auto"/>
                <w:spacing w:val="-2"/>
                <w:sz w:val="21"/>
                <w:szCs w:val="21"/>
                <w:highlight w:val="none"/>
              </w:rPr>
              <w:t>偏离</w:t>
            </w:r>
          </w:p>
        </w:tc>
        <w:tc>
          <w:tcPr>
            <w:tcW w:w="5503" w:type="dxa"/>
            <w:tcBorders>
              <w:right w:val="single" w:color="000000" w:sz="6" w:space="0"/>
            </w:tcBorders>
            <w:vAlign w:val="top"/>
          </w:tcPr>
          <w:p w14:paraId="6DA2CA99">
            <w:pPr>
              <w:pStyle w:val="33"/>
              <w:spacing w:before="116" w:line="221" w:lineRule="auto"/>
              <w:ind w:left="131"/>
              <w:rPr>
                <w:strike w:val="0"/>
                <w:dstrike w:val="0"/>
                <w:color w:val="auto"/>
                <w:sz w:val="21"/>
                <w:szCs w:val="21"/>
                <w:highlight w:val="none"/>
              </w:rPr>
            </w:pPr>
            <w:r>
              <w:rPr>
                <w:rFonts w:hint="eastAsia"/>
                <w:strike w:val="0"/>
                <w:dstrike w:val="0"/>
                <w:color w:val="auto"/>
                <w:spacing w:val="-10"/>
                <w:sz w:val="21"/>
                <w:szCs w:val="21"/>
                <w:highlight w:val="none"/>
                <w:lang w:eastAsia="zh-CN"/>
              </w:rPr>
              <w:t>☑</w:t>
            </w:r>
            <w:r>
              <w:rPr>
                <w:strike w:val="0"/>
                <w:dstrike w:val="0"/>
                <w:color w:val="auto"/>
                <w:spacing w:val="12"/>
                <w:sz w:val="21"/>
                <w:szCs w:val="21"/>
                <w:highlight w:val="none"/>
              </w:rPr>
              <w:t xml:space="preserve"> </w:t>
            </w:r>
            <w:r>
              <w:rPr>
                <w:strike w:val="0"/>
                <w:dstrike w:val="0"/>
                <w:color w:val="auto"/>
                <w:spacing w:val="-10"/>
                <w:sz w:val="21"/>
                <w:szCs w:val="21"/>
                <w:highlight w:val="none"/>
              </w:rPr>
              <w:t>不允许</w:t>
            </w:r>
          </w:p>
          <w:p w14:paraId="1D1BBE6D">
            <w:pPr>
              <w:pStyle w:val="33"/>
              <w:spacing w:before="109" w:line="210" w:lineRule="auto"/>
              <w:ind w:left="131"/>
              <w:rPr>
                <w:strike w:val="0"/>
                <w:dstrike w:val="0"/>
                <w:color w:val="auto"/>
                <w:sz w:val="21"/>
                <w:szCs w:val="21"/>
                <w:highlight w:val="none"/>
              </w:rPr>
            </w:pPr>
            <w:r>
              <w:rPr>
                <w:strike w:val="0"/>
                <w:dstrike w:val="0"/>
                <w:color w:val="auto"/>
                <w:spacing w:val="-2"/>
                <w:sz w:val="21"/>
                <w:szCs w:val="21"/>
                <w:highlight w:val="none"/>
              </w:rPr>
              <w:t>□ 允许偏离的内容、范围和幅度：</w:t>
            </w:r>
            <w:r>
              <w:rPr>
                <w:strike w:val="0"/>
                <w:dstrike w:val="0"/>
                <w:color w:val="auto"/>
                <w:sz w:val="21"/>
                <w:szCs w:val="21"/>
                <w:highlight w:val="none"/>
                <w:u w:val="single" w:color="auto"/>
              </w:rPr>
              <w:t xml:space="preserve">          </w:t>
            </w:r>
          </w:p>
        </w:tc>
      </w:tr>
      <w:tr w14:paraId="010E15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953" w:type="dxa"/>
            <w:tcBorders>
              <w:left w:val="single" w:color="000000" w:sz="6" w:space="0"/>
            </w:tcBorders>
            <w:vAlign w:val="top"/>
          </w:tcPr>
          <w:p w14:paraId="670A3DE7">
            <w:pPr>
              <w:spacing w:line="271" w:lineRule="auto"/>
              <w:rPr>
                <w:rFonts w:ascii="Arial"/>
                <w:color w:val="auto"/>
                <w:sz w:val="21"/>
                <w:highlight w:val="none"/>
              </w:rPr>
            </w:pPr>
          </w:p>
          <w:p w14:paraId="096144DF">
            <w:pPr>
              <w:spacing w:before="61" w:line="187" w:lineRule="auto"/>
              <w:ind w:left="339"/>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2.1</w:t>
            </w:r>
          </w:p>
        </w:tc>
        <w:tc>
          <w:tcPr>
            <w:tcW w:w="2444" w:type="dxa"/>
            <w:vAlign w:val="top"/>
          </w:tcPr>
          <w:p w14:paraId="7B7B6901">
            <w:pPr>
              <w:pStyle w:val="33"/>
              <w:spacing w:before="115" w:line="263" w:lineRule="auto"/>
              <w:ind w:left="106" w:right="106" w:firstLine="2"/>
              <w:rPr>
                <w:color w:val="auto"/>
                <w:sz w:val="21"/>
                <w:szCs w:val="21"/>
                <w:highlight w:val="none"/>
              </w:rPr>
            </w:pPr>
            <w:r>
              <w:rPr>
                <w:color w:val="auto"/>
                <w:spacing w:val="12"/>
                <w:sz w:val="21"/>
                <w:szCs w:val="21"/>
                <w:highlight w:val="none"/>
              </w:rPr>
              <w:t>构成招标文件的其他材</w:t>
            </w:r>
            <w:r>
              <w:rPr>
                <w:color w:val="auto"/>
                <w:spacing w:val="2"/>
                <w:sz w:val="21"/>
                <w:szCs w:val="21"/>
                <w:highlight w:val="none"/>
              </w:rPr>
              <w:t xml:space="preserve"> </w:t>
            </w:r>
            <w:r>
              <w:rPr>
                <w:color w:val="auto"/>
                <w:sz w:val="21"/>
                <w:szCs w:val="21"/>
                <w:highlight w:val="none"/>
              </w:rPr>
              <w:t>料</w:t>
            </w:r>
          </w:p>
        </w:tc>
        <w:tc>
          <w:tcPr>
            <w:tcW w:w="5503" w:type="dxa"/>
            <w:tcBorders>
              <w:right w:val="single" w:color="000000" w:sz="6" w:space="0"/>
            </w:tcBorders>
            <w:vAlign w:val="center"/>
          </w:tcPr>
          <w:p w14:paraId="773E3CC6">
            <w:pPr>
              <w:jc w:val="both"/>
              <w:rPr>
                <w:rFonts w:hint="default" w:ascii="Arial" w:eastAsia="宋体"/>
                <w:color w:val="auto"/>
                <w:sz w:val="21"/>
                <w:highlight w:val="none"/>
                <w:lang w:val="en-US" w:eastAsia="zh-CN"/>
              </w:rPr>
            </w:pPr>
            <w:r>
              <w:rPr>
                <w:rFonts w:hint="eastAsia" w:eastAsia="宋体"/>
                <w:color w:val="auto"/>
                <w:sz w:val="21"/>
                <w:highlight w:val="none"/>
                <w:lang w:val="en-US" w:eastAsia="zh-CN"/>
              </w:rPr>
              <w:t xml:space="preserve">   /</w:t>
            </w:r>
          </w:p>
        </w:tc>
      </w:tr>
      <w:tr w14:paraId="417D2F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232" w:hRule="atLeast"/>
        </w:trPr>
        <w:tc>
          <w:tcPr>
            <w:tcW w:w="953" w:type="dxa"/>
            <w:tcBorders>
              <w:left w:val="single" w:color="000000" w:sz="6" w:space="0"/>
            </w:tcBorders>
            <w:vAlign w:val="top"/>
          </w:tcPr>
          <w:p w14:paraId="70C3A015">
            <w:pPr>
              <w:spacing w:line="403" w:lineRule="auto"/>
              <w:rPr>
                <w:rFonts w:ascii="Arial"/>
                <w:color w:val="auto"/>
                <w:sz w:val="21"/>
                <w:highlight w:val="none"/>
              </w:rPr>
            </w:pPr>
          </w:p>
          <w:p w14:paraId="64F26D06">
            <w:pPr>
              <w:spacing w:before="60" w:line="187" w:lineRule="auto"/>
              <w:ind w:left="26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2.2.1</w:t>
            </w:r>
          </w:p>
        </w:tc>
        <w:tc>
          <w:tcPr>
            <w:tcW w:w="2444" w:type="dxa"/>
            <w:vAlign w:val="top"/>
          </w:tcPr>
          <w:p w14:paraId="7211D00A">
            <w:pPr>
              <w:pStyle w:val="33"/>
              <w:spacing w:before="247" w:line="304" w:lineRule="auto"/>
              <w:ind w:left="115" w:right="106" w:hanging="7"/>
              <w:rPr>
                <w:color w:val="auto"/>
                <w:sz w:val="21"/>
                <w:szCs w:val="21"/>
                <w:highlight w:val="none"/>
              </w:rPr>
            </w:pPr>
            <w:r>
              <w:rPr>
                <w:color w:val="auto"/>
                <w:spacing w:val="12"/>
                <w:sz w:val="21"/>
                <w:szCs w:val="21"/>
                <w:highlight w:val="none"/>
              </w:rPr>
              <w:t>投标人提出澄清申请的</w:t>
            </w:r>
            <w:r>
              <w:rPr>
                <w:color w:val="auto"/>
                <w:spacing w:val="2"/>
                <w:sz w:val="21"/>
                <w:szCs w:val="21"/>
                <w:highlight w:val="none"/>
              </w:rPr>
              <w:t xml:space="preserve"> </w:t>
            </w:r>
            <w:r>
              <w:rPr>
                <w:color w:val="auto"/>
                <w:spacing w:val="-3"/>
                <w:sz w:val="21"/>
                <w:szCs w:val="21"/>
                <w:highlight w:val="none"/>
              </w:rPr>
              <w:t>时间及形式</w:t>
            </w:r>
          </w:p>
        </w:tc>
        <w:tc>
          <w:tcPr>
            <w:tcW w:w="5503" w:type="dxa"/>
            <w:tcBorders>
              <w:right w:val="single" w:color="000000" w:sz="6" w:space="0"/>
            </w:tcBorders>
            <w:vAlign w:val="top"/>
          </w:tcPr>
          <w:p w14:paraId="2CD945A9">
            <w:pPr>
              <w:pStyle w:val="33"/>
              <w:spacing w:before="108" w:line="221" w:lineRule="auto"/>
              <w:ind w:left="112"/>
              <w:rPr>
                <w:rFonts w:hint="eastAsia"/>
                <w:color w:val="auto"/>
                <w:spacing w:val="-1"/>
                <w:sz w:val="21"/>
                <w:szCs w:val="21"/>
                <w:highlight w:val="none"/>
              </w:rPr>
            </w:pPr>
            <w:r>
              <w:rPr>
                <w:rFonts w:hint="eastAsia"/>
                <w:color w:val="auto"/>
                <w:spacing w:val="-1"/>
                <w:sz w:val="21"/>
                <w:szCs w:val="21"/>
                <w:highlight w:val="none"/>
              </w:rPr>
              <w:t>截止时间：</w:t>
            </w:r>
            <w:r>
              <w:rPr>
                <w:rFonts w:hint="eastAsia"/>
                <w:color w:val="auto"/>
                <w:spacing w:val="-1"/>
                <w:sz w:val="21"/>
                <w:szCs w:val="21"/>
                <w:highlight w:val="none"/>
                <w:u w:val="none"/>
                <w:lang w:val="en-US" w:eastAsia="zh-CN"/>
              </w:rPr>
              <w:t>投标截止时间</w:t>
            </w:r>
            <w:r>
              <w:rPr>
                <w:rFonts w:hint="eastAsia"/>
                <w:color w:val="auto"/>
                <w:spacing w:val="-1"/>
                <w:sz w:val="21"/>
                <w:szCs w:val="21"/>
                <w:highlight w:val="none"/>
                <w:u w:val="single"/>
                <w:lang w:val="en-US" w:eastAsia="zh-CN"/>
              </w:rPr>
              <w:t xml:space="preserve"> 17 </w:t>
            </w:r>
            <w:r>
              <w:rPr>
                <w:rFonts w:hint="eastAsia"/>
                <w:color w:val="auto"/>
                <w:spacing w:val="-1"/>
                <w:sz w:val="21"/>
                <w:szCs w:val="21"/>
                <w:highlight w:val="none"/>
                <w:u w:val="none"/>
                <w:lang w:val="en-US" w:eastAsia="zh-CN"/>
              </w:rPr>
              <w:t>日前</w:t>
            </w:r>
            <w:r>
              <w:rPr>
                <w:rFonts w:hint="eastAsia"/>
                <w:color w:val="auto"/>
                <w:spacing w:val="-1"/>
                <w:sz w:val="21"/>
                <w:szCs w:val="21"/>
                <w:highlight w:val="none"/>
              </w:rPr>
              <w:t>。</w:t>
            </w:r>
          </w:p>
          <w:p w14:paraId="7D6D5D41">
            <w:pPr>
              <w:pStyle w:val="33"/>
              <w:spacing w:before="108" w:line="221" w:lineRule="auto"/>
              <w:ind w:left="112"/>
              <w:rPr>
                <w:color w:val="auto"/>
                <w:sz w:val="21"/>
                <w:szCs w:val="21"/>
                <w:highlight w:val="none"/>
              </w:rPr>
            </w:pPr>
            <w:r>
              <w:rPr>
                <w:color w:val="auto"/>
                <w:spacing w:val="-1"/>
                <w:sz w:val="21"/>
                <w:szCs w:val="21"/>
                <w:highlight w:val="none"/>
              </w:rPr>
              <w:t>形式：</w:t>
            </w:r>
            <w:r>
              <w:rPr>
                <w:rFonts w:hint="eastAsia"/>
                <w:color w:val="auto"/>
                <w:spacing w:val="-1"/>
                <w:sz w:val="21"/>
                <w:szCs w:val="21"/>
                <w:highlight w:val="none"/>
                <w:u w:val="single" w:color="auto"/>
              </w:rPr>
              <w:t>纸质或电子扫描件（均需加盖投标单位公章，电子扫描件可加盖电子公章发送至邮箱</w:t>
            </w:r>
            <w:r>
              <w:rPr>
                <w:rFonts w:hint="eastAsia"/>
                <w:color w:val="auto"/>
                <w:spacing w:val="-1"/>
                <w:sz w:val="21"/>
                <w:szCs w:val="21"/>
                <w:highlight w:val="none"/>
                <w:u w:val="single" w:color="auto"/>
                <w:lang w:eastAsia="zh-CN"/>
              </w:rPr>
              <w:t>294148036@qq.com</w:t>
            </w:r>
            <w:r>
              <w:rPr>
                <w:rFonts w:hint="eastAsia"/>
                <w:color w:val="auto"/>
                <w:spacing w:val="-1"/>
                <w:sz w:val="21"/>
                <w:szCs w:val="21"/>
                <w:highlight w:val="none"/>
                <w:u w:val="single" w:color="auto"/>
              </w:rPr>
              <w:t>）</w:t>
            </w:r>
            <w:r>
              <w:rPr>
                <w:color w:val="auto"/>
                <w:spacing w:val="-1"/>
                <w:sz w:val="21"/>
                <w:szCs w:val="21"/>
                <w:highlight w:val="none"/>
              </w:rPr>
              <w:t>。</w:t>
            </w:r>
          </w:p>
        </w:tc>
      </w:tr>
      <w:tr w14:paraId="02AB7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62" w:hRule="atLeast"/>
        </w:trPr>
        <w:tc>
          <w:tcPr>
            <w:tcW w:w="953" w:type="dxa"/>
            <w:tcBorders>
              <w:left w:val="single" w:color="000000" w:sz="6" w:space="0"/>
            </w:tcBorders>
            <w:vAlign w:val="top"/>
          </w:tcPr>
          <w:p w14:paraId="40C5F585">
            <w:pPr>
              <w:spacing w:line="474" w:lineRule="auto"/>
              <w:rPr>
                <w:rFonts w:ascii="Arial"/>
                <w:color w:val="auto"/>
                <w:sz w:val="21"/>
                <w:highlight w:val="none"/>
              </w:rPr>
            </w:pPr>
          </w:p>
          <w:p w14:paraId="2D4EF702">
            <w:pPr>
              <w:spacing w:before="60" w:line="187" w:lineRule="auto"/>
              <w:ind w:left="26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2.2.2</w:t>
            </w:r>
          </w:p>
        </w:tc>
        <w:tc>
          <w:tcPr>
            <w:tcW w:w="2444" w:type="dxa"/>
            <w:vAlign w:val="top"/>
          </w:tcPr>
          <w:p w14:paraId="4C356702">
            <w:pPr>
              <w:spacing w:line="428" w:lineRule="auto"/>
              <w:rPr>
                <w:rFonts w:ascii="Arial"/>
                <w:color w:val="auto"/>
                <w:sz w:val="21"/>
                <w:highlight w:val="none"/>
              </w:rPr>
            </w:pPr>
          </w:p>
          <w:p w14:paraId="57EFD305">
            <w:pPr>
              <w:pStyle w:val="33"/>
              <w:spacing w:before="68" w:line="221" w:lineRule="auto"/>
              <w:ind w:left="106"/>
              <w:rPr>
                <w:color w:val="auto"/>
                <w:sz w:val="21"/>
                <w:szCs w:val="21"/>
                <w:highlight w:val="none"/>
              </w:rPr>
            </w:pPr>
            <w:r>
              <w:rPr>
                <w:color w:val="auto"/>
                <w:spacing w:val="-1"/>
                <w:sz w:val="21"/>
                <w:szCs w:val="21"/>
                <w:highlight w:val="none"/>
              </w:rPr>
              <w:t>招标人发出澄清的形式</w:t>
            </w:r>
          </w:p>
        </w:tc>
        <w:tc>
          <w:tcPr>
            <w:tcW w:w="5503" w:type="dxa"/>
            <w:tcBorders>
              <w:right w:val="single" w:color="000000" w:sz="6" w:space="0"/>
            </w:tcBorders>
            <w:vAlign w:val="top"/>
          </w:tcPr>
          <w:p w14:paraId="06191503">
            <w:pPr>
              <w:pStyle w:val="33"/>
              <w:spacing w:before="137" w:line="287" w:lineRule="auto"/>
              <w:ind w:left="109" w:right="135"/>
              <w:jc w:val="both"/>
              <w:rPr>
                <w:color w:val="auto"/>
                <w:sz w:val="21"/>
                <w:szCs w:val="21"/>
                <w:highlight w:val="none"/>
              </w:rPr>
            </w:pPr>
            <w:r>
              <w:rPr>
                <w:color w:val="auto"/>
                <w:spacing w:val="-1"/>
                <w:sz w:val="21"/>
                <w:szCs w:val="21"/>
                <w:highlight w:val="none"/>
              </w:rPr>
              <w:t>潜在投标人应自行关注电子招标投标交易平台公告，招标</w:t>
            </w:r>
            <w:r>
              <w:rPr>
                <w:color w:val="auto"/>
                <w:spacing w:val="14"/>
                <w:sz w:val="21"/>
                <w:szCs w:val="21"/>
                <w:highlight w:val="none"/>
              </w:rPr>
              <w:t xml:space="preserve"> </w:t>
            </w:r>
            <w:r>
              <w:rPr>
                <w:color w:val="auto"/>
                <w:sz w:val="21"/>
                <w:szCs w:val="21"/>
                <w:highlight w:val="none"/>
              </w:rPr>
              <w:t>人不再一一通知。投标人因自身原因导致投标失败</w:t>
            </w:r>
            <w:r>
              <w:rPr>
                <w:color w:val="auto"/>
                <w:spacing w:val="-1"/>
                <w:sz w:val="21"/>
                <w:szCs w:val="21"/>
                <w:highlight w:val="none"/>
              </w:rPr>
              <w:t>的，责</w:t>
            </w:r>
            <w:r>
              <w:rPr>
                <w:color w:val="auto"/>
                <w:sz w:val="21"/>
                <w:szCs w:val="21"/>
                <w:highlight w:val="none"/>
              </w:rPr>
              <w:t xml:space="preserve"> </w:t>
            </w:r>
            <w:r>
              <w:rPr>
                <w:color w:val="auto"/>
                <w:spacing w:val="-1"/>
                <w:sz w:val="21"/>
                <w:szCs w:val="21"/>
                <w:highlight w:val="none"/>
              </w:rPr>
              <w:t>任自负。</w:t>
            </w:r>
          </w:p>
        </w:tc>
      </w:tr>
      <w:tr w14:paraId="208BFF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258" w:hRule="atLeast"/>
        </w:trPr>
        <w:tc>
          <w:tcPr>
            <w:tcW w:w="953" w:type="dxa"/>
            <w:tcBorders>
              <w:left w:val="single" w:color="000000" w:sz="6" w:space="0"/>
            </w:tcBorders>
            <w:vAlign w:val="top"/>
          </w:tcPr>
          <w:p w14:paraId="27CFC1B4">
            <w:pPr>
              <w:spacing w:line="254" w:lineRule="auto"/>
              <w:rPr>
                <w:rFonts w:ascii="Arial"/>
                <w:color w:val="auto"/>
                <w:sz w:val="21"/>
                <w:highlight w:val="none"/>
              </w:rPr>
            </w:pPr>
          </w:p>
          <w:p w14:paraId="1AA1B41B">
            <w:pPr>
              <w:spacing w:line="254" w:lineRule="auto"/>
              <w:rPr>
                <w:rFonts w:ascii="Arial"/>
                <w:color w:val="auto"/>
                <w:sz w:val="21"/>
                <w:highlight w:val="none"/>
              </w:rPr>
            </w:pPr>
          </w:p>
          <w:p w14:paraId="24F6290D">
            <w:pPr>
              <w:spacing w:line="254" w:lineRule="auto"/>
              <w:rPr>
                <w:rFonts w:ascii="Arial"/>
                <w:color w:val="auto"/>
                <w:sz w:val="21"/>
                <w:highlight w:val="none"/>
              </w:rPr>
            </w:pPr>
          </w:p>
          <w:p w14:paraId="6FB67D74">
            <w:pPr>
              <w:spacing w:line="254" w:lineRule="auto"/>
              <w:rPr>
                <w:rFonts w:ascii="Arial"/>
                <w:color w:val="auto"/>
                <w:sz w:val="21"/>
                <w:highlight w:val="none"/>
              </w:rPr>
            </w:pPr>
          </w:p>
          <w:p w14:paraId="013FD586">
            <w:pPr>
              <w:spacing w:line="255" w:lineRule="auto"/>
              <w:rPr>
                <w:rFonts w:ascii="Arial"/>
                <w:color w:val="auto"/>
                <w:sz w:val="21"/>
                <w:highlight w:val="none"/>
              </w:rPr>
            </w:pPr>
          </w:p>
          <w:p w14:paraId="778BE607">
            <w:pPr>
              <w:spacing w:line="255" w:lineRule="auto"/>
              <w:rPr>
                <w:rFonts w:ascii="Arial"/>
                <w:color w:val="auto"/>
                <w:sz w:val="21"/>
                <w:highlight w:val="none"/>
              </w:rPr>
            </w:pPr>
          </w:p>
          <w:p w14:paraId="54842651">
            <w:pPr>
              <w:spacing w:before="61" w:line="187" w:lineRule="auto"/>
              <w:ind w:left="260"/>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2.3.1</w:t>
            </w:r>
          </w:p>
        </w:tc>
        <w:tc>
          <w:tcPr>
            <w:tcW w:w="2444" w:type="dxa"/>
            <w:vAlign w:val="top"/>
          </w:tcPr>
          <w:p w14:paraId="5307D462">
            <w:pPr>
              <w:spacing w:line="260" w:lineRule="auto"/>
              <w:rPr>
                <w:rFonts w:ascii="Arial"/>
                <w:color w:val="auto"/>
                <w:sz w:val="21"/>
                <w:highlight w:val="none"/>
              </w:rPr>
            </w:pPr>
          </w:p>
          <w:p w14:paraId="684D9E6B">
            <w:pPr>
              <w:spacing w:line="260" w:lineRule="auto"/>
              <w:rPr>
                <w:rFonts w:ascii="Arial"/>
                <w:color w:val="auto"/>
                <w:sz w:val="21"/>
                <w:highlight w:val="none"/>
              </w:rPr>
            </w:pPr>
          </w:p>
          <w:p w14:paraId="333830DE">
            <w:pPr>
              <w:spacing w:line="260" w:lineRule="auto"/>
              <w:rPr>
                <w:rFonts w:ascii="Arial"/>
                <w:color w:val="auto"/>
                <w:sz w:val="21"/>
                <w:highlight w:val="none"/>
              </w:rPr>
            </w:pPr>
          </w:p>
          <w:p w14:paraId="6C878AD4">
            <w:pPr>
              <w:spacing w:line="260" w:lineRule="auto"/>
              <w:rPr>
                <w:rFonts w:ascii="Arial"/>
                <w:color w:val="auto"/>
                <w:sz w:val="21"/>
                <w:highlight w:val="none"/>
              </w:rPr>
            </w:pPr>
          </w:p>
          <w:p w14:paraId="2F702F63">
            <w:pPr>
              <w:spacing w:line="261" w:lineRule="auto"/>
              <w:rPr>
                <w:rFonts w:ascii="Arial"/>
                <w:color w:val="auto"/>
                <w:sz w:val="21"/>
                <w:highlight w:val="none"/>
              </w:rPr>
            </w:pPr>
          </w:p>
          <w:p w14:paraId="50D8E287">
            <w:pPr>
              <w:pStyle w:val="33"/>
              <w:spacing w:before="68" w:line="304" w:lineRule="auto"/>
              <w:ind w:left="107" w:right="106" w:hanging="1"/>
              <w:rPr>
                <w:color w:val="auto"/>
                <w:sz w:val="21"/>
                <w:szCs w:val="21"/>
                <w:highlight w:val="none"/>
              </w:rPr>
            </w:pPr>
            <w:r>
              <w:rPr>
                <w:color w:val="auto"/>
                <w:spacing w:val="12"/>
                <w:sz w:val="21"/>
                <w:szCs w:val="21"/>
                <w:highlight w:val="none"/>
              </w:rPr>
              <w:t>招标人发出修改通知的</w:t>
            </w:r>
            <w:r>
              <w:rPr>
                <w:color w:val="auto"/>
                <w:spacing w:val="4"/>
                <w:sz w:val="21"/>
                <w:szCs w:val="21"/>
                <w:highlight w:val="none"/>
              </w:rPr>
              <w:t xml:space="preserve"> </w:t>
            </w:r>
            <w:r>
              <w:rPr>
                <w:color w:val="auto"/>
                <w:spacing w:val="-3"/>
                <w:sz w:val="21"/>
                <w:szCs w:val="21"/>
                <w:highlight w:val="none"/>
              </w:rPr>
              <w:t>形式</w:t>
            </w:r>
          </w:p>
        </w:tc>
        <w:tc>
          <w:tcPr>
            <w:tcW w:w="5503" w:type="dxa"/>
            <w:tcBorders>
              <w:right w:val="single" w:color="000000" w:sz="6" w:space="0"/>
            </w:tcBorders>
            <w:vAlign w:val="top"/>
          </w:tcPr>
          <w:p w14:paraId="77A630A9">
            <w:pPr>
              <w:pStyle w:val="33"/>
              <w:spacing w:before="118" w:line="310" w:lineRule="auto"/>
              <w:ind w:left="113" w:right="135" w:firstLine="207"/>
              <w:rPr>
                <w:color w:val="auto"/>
                <w:sz w:val="21"/>
                <w:szCs w:val="21"/>
                <w:highlight w:val="none"/>
              </w:rPr>
            </w:pPr>
            <w:r>
              <w:rPr>
                <w:color w:val="auto"/>
                <w:sz w:val="21"/>
                <w:szCs w:val="21"/>
                <w:highlight w:val="none"/>
              </w:rPr>
              <w:t>修改的内容影响投标文件编制的，招标人将</w:t>
            </w:r>
            <w:r>
              <w:rPr>
                <w:color w:val="auto"/>
                <w:spacing w:val="-1"/>
                <w:sz w:val="21"/>
                <w:szCs w:val="21"/>
                <w:highlight w:val="none"/>
              </w:rPr>
              <w:t>在投标截止</w:t>
            </w:r>
            <w:r>
              <w:rPr>
                <w:color w:val="auto"/>
                <w:sz w:val="21"/>
                <w:szCs w:val="21"/>
                <w:highlight w:val="none"/>
              </w:rPr>
              <w:t xml:space="preserve"> </w:t>
            </w:r>
            <w:r>
              <w:rPr>
                <w:color w:val="auto"/>
                <w:spacing w:val="-1"/>
                <w:sz w:val="21"/>
                <w:szCs w:val="21"/>
                <w:highlight w:val="none"/>
              </w:rPr>
              <w:t>时间</w:t>
            </w:r>
            <w:r>
              <w:rPr>
                <w:rFonts w:ascii="Times New Roman" w:hAnsi="Times New Roman" w:eastAsia="Times New Roman" w:cs="Times New Roman"/>
                <w:color w:val="auto"/>
                <w:spacing w:val="-1"/>
                <w:sz w:val="21"/>
                <w:szCs w:val="21"/>
                <w:highlight w:val="none"/>
              </w:rPr>
              <w:t>15</w:t>
            </w:r>
            <w:r>
              <w:rPr>
                <w:color w:val="auto"/>
                <w:spacing w:val="-1"/>
                <w:sz w:val="21"/>
                <w:szCs w:val="21"/>
                <w:highlight w:val="none"/>
              </w:rPr>
              <w:t>日前，在下载招标文件的电子招标投标交易平台</w:t>
            </w:r>
            <w:r>
              <w:rPr>
                <w:color w:val="auto"/>
                <w:sz w:val="21"/>
                <w:szCs w:val="21"/>
                <w:highlight w:val="none"/>
              </w:rPr>
              <w:t>发出修改通知，不足</w:t>
            </w:r>
            <w:r>
              <w:rPr>
                <w:rFonts w:ascii="Times New Roman" w:hAnsi="Times New Roman" w:eastAsia="Times New Roman" w:cs="Times New Roman"/>
                <w:color w:val="auto"/>
                <w:sz w:val="21"/>
                <w:szCs w:val="21"/>
                <w:highlight w:val="none"/>
              </w:rPr>
              <w:t>15</w:t>
            </w:r>
            <w:r>
              <w:rPr>
                <w:color w:val="auto"/>
                <w:sz w:val="21"/>
                <w:szCs w:val="21"/>
                <w:highlight w:val="none"/>
              </w:rPr>
              <w:t>日的，招标人将顺</w:t>
            </w:r>
            <w:r>
              <w:rPr>
                <w:color w:val="auto"/>
                <w:spacing w:val="-1"/>
                <w:sz w:val="21"/>
                <w:szCs w:val="21"/>
                <w:highlight w:val="none"/>
              </w:rPr>
              <w:t>延递交投标文件</w:t>
            </w:r>
            <w:r>
              <w:rPr>
                <w:color w:val="auto"/>
                <w:spacing w:val="-2"/>
                <w:sz w:val="21"/>
                <w:szCs w:val="21"/>
                <w:highlight w:val="none"/>
              </w:rPr>
              <w:t>的截止时间。</w:t>
            </w:r>
          </w:p>
          <w:p w14:paraId="2F8DAA3F">
            <w:pPr>
              <w:pStyle w:val="33"/>
              <w:spacing w:before="29" w:line="303" w:lineRule="auto"/>
              <w:ind w:left="109" w:right="135" w:firstLine="212"/>
              <w:rPr>
                <w:color w:val="auto"/>
                <w:sz w:val="21"/>
                <w:szCs w:val="21"/>
                <w:highlight w:val="none"/>
              </w:rPr>
            </w:pPr>
            <w:r>
              <w:rPr>
                <w:color w:val="auto"/>
                <w:sz w:val="21"/>
                <w:szCs w:val="21"/>
                <w:highlight w:val="none"/>
              </w:rPr>
              <w:t>修改的内容不影响投标文件编制的，将在投</w:t>
            </w:r>
            <w:r>
              <w:rPr>
                <w:color w:val="auto"/>
                <w:spacing w:val="-1"/>
                <w:sz w:val="21"/>
                <w:szCs w:val="21"/>
                <w:highlight w:val="none"/>
              </w:rPr>
              <w:t>标文件递交</w:t>
            </w:r>
            <w:r>
              <w:rPr>
                <w:color w:val="auto"/>
                <w:sz w:val="21"/>
                <w:szCs w:val="21"/>
                <w:highlight w:val="none"/>
              </w:rPr>
              <w:t xml:space="preserve"> </w:t>
            </w:r>
            <w:r>
              <w:rPr>
                <w:color w:val="auto"/>
                <w:spacing w:val="-1"/>
                <w:sz w:val="21"/>
                <w:szCs w:val="21"/>
                <w:highlight w:val="none"/>
              </w:rPr>
              <w:t>截止时间</w:t>
            </w:r>
            <w:r>
              <w:rPr>
                <w:rFonts w:hint="eastAsia"/>
                <w:color w:val="auto"/>
                <w:spacing w:val="-1"/>
                <w:sz w:val="21"/>
                <w:szCs w:val="21"/>
                <w:highlight w:val="none"/>
                <w:u w:val="single"/>
                <w:lang w:val="en-US" w:eastAsia="zh-CN"/>
              </w:rPr>
              <w:t xml:space="preserve"> </w:t>
            </w:r>
            <w:r>
              <w:rPr>
                <w:rFonts w:hint="eastAsia"/>
                <w:color w:val="auto"/>
                <w:spacing w:val="106"/>
                <w:sz w:val="21"/>
                <w:szCs w:val="21"/>
                <w:highlight w:val="none"/>
                <w:u w:val="single" w:color="auto"/>
                <w:lang w:val="en-US" w:eastAsia="zh-CN"/>
              </w:rPr>
              <w:t>7</w:t>
            </w:r>
            <w:r>
              <w:rPr>
                <w:color w:val="auto"/>
                <w:spacing w:val="-92"/>
                <w:sz w:val="21"/>
                <w:szCs w:val="21"/>
                <w:highlight w:val="none"/>
              </w:rPr>
              <w:t xml:space="preserve"> </w:t>
            </w:r>
            <w:r>
              <w:rPr>
                <w:color w:val="auto"/>
                <w:spacing w:val="-1"/>
                <w:sz w:val="21"/>
                <w:szCs w:val="21"/>
                <w:highlight w:val="none"/>
              </w:rPr>
              <w:t>天前，以上款相同的形式发布。</w:t>
            </w:r>
          </w:p>
          <w:p w14:paraId="7CE395F2">
            <w:pPr>
              <w:pStyle w:val="33"/>
              <w:spacing w:before="31" w:line="284" w:lineRule="auto"/>
              <w:ind w:left="110" w:right="99" w:firstLine="209"/>
              <w:rPr>
                <w:color w:val="auto"/>
                <w:sz w:val="21"/>
                <w:szCs w:val="21"/>
                <w:highlight w:val="none"/>
              </w:rPr>
            </w:pPr>
            <w:r>
              <w:rPr>
                <w:color w:val="auto"/>
                <w:spacing w:val="1"/>
                <w:sz w:val="21"/>
                <w:szCs w:val="21"/>
                <w:highlight w:val="none"/>
              </w:rPr>
              <w:t>潜在投标人应自行关注电子招标投标交易平台公告，招</w:t>
            </w:r>
            <w:r>
              <w:rPr>
                <w:color w:val="auto"/>
                <w:spacing w:val="8"/>
                <w:sz w:val="21"/>
                <w:szCs w:val="21"/>
                <w:highlight w:val="none"/>
              </w:rPr>
              <w:t xml:space="preserve"> </w:t>
            </w:r>
            <w:r>
              <w:rPr>
                <w:color w:val="auto"/>
                <w:spacing w:val="1"/>
                <w:sz w:val="21"/>
                <w:szCs w:val="21"/>
                <w:highlight w:val="none"/>
              </w:rPr>
              <w:t>标人不再一一通知。投标人因自身原因导致投标失败的，</w:t>
            </w:r>
            <w:r>
              <w:rPr>
                <w:color w:val="auto"/>
                <w:spacing w:val="3"/>
                <w:sz w:val="21"/>
                <w:szCs w:val="21"/>
                <w:highlight w:val="none"/>
              </w:rPr>
              <w:t xml:space="preserve"> </w:t>
            </w:r>
            <w:r>
              <w:rPr>
                <w:color w:val="auto"/>
                <w:spacing w:val="-5"/>
                <w:sz w:val="21"/>
                <w:szCs w:val="21"/>
                <w:highlight w:val="none"/>
              </w:rPr>
              <w:t>责任自负。</w:t>
            </w:r>
          </w:p>
        </w:tc>
      </w:tr>
    </w:tbl>
    <w:p w14:paraId="19EEDB6D">
      <w:pPr>
        <w:pStyle w:val="3"/>
        <w:rPr>
          <w:color w:val="auto"/>
          <w:highlight w:val="none"/>
        </w:rPr>
      </w:pPr>
    </w:p>
    <w:p w14:paraId="7A987FAD">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2C6A68C9">
      <w:pPr>
        <w:spacing w:line="89" w:lineRule="auto"/>
        <w:rPr>
          <w:rFonts w:ascii="Arial"/>
          <w:color w:val="auto"/>
          <w:sz w:val="2"/>
          <w:highlight w:val="none"/>
        </w:rPr>
      </w:pPr>
    </w:p>
    <w:tbl>
      <w:tblPr>
        <w:tblStyle w:val="32"/>
        <w:tblW w:w="8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2444"/>
        <w:gridCol w:w="5503"/>
      </w:tblGrid>
      <w:tr w14:paraId="39D296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7" w:hRule="atLeast"/>
        </w:trPr>
        <w:tc>
          <w:tcPr>
            <w:tcW w:w="953" w:type="dxa"/>
            <w:tcBorders>
              <w:top w:val="single" w:color="000000" w:sz="6" w:space="0"/>
              <w:left w:val="single" w:color="000000" w:sz="6" w:space="0"/>
            </w:tcBorders>
            <w:vAlign w:val="top"/>
          </w:tcPr>
          <w:p w14:paraId="3BB7B62B">
            <w:pPr>
              <w:pStyle w:val="33"/>
              <w:keepNext w:val="0"/>
              <w:keepLines w:val="0"/>
              <w:pageBreakBefore w:val="0"/>
              <w:widowControl/>
              <w:kinsoku/>
              <w:wordWrap/>
              <w:overflowPunct/>
              <w:topLinePunct w:val="0"/>
              <w:bidi w:val="0"/>
              <w:adjustRightInd w:val="0"/>
              <w:snapToGrid w:val="0"/>
              <w:spacing w:before="213" w:line="221" w:lineRule="auto"/>
              <w:ind w:left="158"/>
              <w:textAlignment w:val="baseline"/>
              <w:rPr>
                <w:color w:val="auto"/>
                <w:sz w:val="21"/>
                <w:szCs w:val="21"/>
                <w:highlight w:val="none"/>
              </w:rPr>
            </w:pPr>
            <w:r>
              <w:rPr>
                <w:b/>
                <w:bCs/>
                <w:color w:val="auto"/>
                <w:spacing w:val="-4"/>
                <w:sz w:val="21"/>
                <w:szCs w:val="21"/>
                <w:highlight w:val="none"/>
              </w:rPr>
              <w:t>条款号</w:t>
            </w:r>
          </w:p>
        </w:tc>
        <w:tc>
          <w:tcPr>
            <w:tcW w:w="2444" w:type="dxa"/>
            <w:tcBorders>
              <w:top w:val="single" w:color="000000" w:sz="6" w:space="0"/>
            </w:tcBorders>
            <w:vAlign w:val="top"/>
          </w:tcPr>
          <w:p w14:paraId="349BF690">
            <w:pPr>
              <w:pStyle w:val="33"/>
              <w:keepNext w:val="0"/>
              <w:keepLines w:val="0"/>
              <w:pageBreakBefore w:val="0"/>
              <w:widowControl/>
              <w:kinsoku/>
              <w:wordWrap/>
              <w:overflowPunct/>
              <w:topLinePunct w:val="0"/>
              <w:bidi w:val="0"/>
              <w:adjustRightInd w:val="0"/>
              <w:snapToGrid w:val="0"/>
              <w:spacing w:before="213" w:line="221" w:lineRule="auto"/>
              <w:ind w:left="642"/>
              <w:textAlignment w:val="baseline"/>
              <w:rPr>
                <w:color w:val="auto"/>
                <w:sz w:val="21"/>
                <w:szCs w:val="21"/>
                <w:highlight w:val="none"/>
              </w:rPr>
            </w:pPr>
            <w:r>
              <w:rPr>
                <w:b/>
                <w:bCs/>
                <w:color w:val="auto"/>
                <w:spacing w:val="-9"/>
                <w:sz w:val="21"/>
                <w:szCs w:val="21"/>
                <w:highlight w:val="none"/>
              </w:rPr>
              <w:t>条</w:t>
            </w:r>
            <w:r>
              <w:rPr>
                <w:color w:val="auto"/>
                <w:spacing w:val="9"/>
                <w:sz w:val="21"/>
                <w:szCs w:val="21"/>
                <w:highlight w:val="none"/>
              </w:rPr>
              <w:t xml:space="preserve"> </w:t>
            </w:r>
            <w:r>
              <w:rPr>
                <w:b/>
                <w:bCs/>
                <w:color w:val="auto"/>
                <w:spacing w:val="-9"/>
                <w:sz w:val="21"/>
                <w:szCs w:val="21"/>
                <w:highlight w:val="none"/>
              </w:rPr>
              <w:t>款</w:t>
            </w:r>
            <w:r>
              <w:rPr>
                <w:color w:val="auto"/>
                <w:spacing w:val="12"/>
                <w:sz w:val="21"/>
                <w:szCs w:val="21"/>
                <w:highlight w:val="none"/>
              </w:rPr>
              <w:t xml:space="preserve"> </w:t>
            </w:r>
            <w:r>
              <w:rPr>
                <w:b/>
                <w:bCs/>
                <w:color w:val="auto"/>
                <w:spacing w:val="-9"/>
                <w:sz w:val="21"/>
                <w:szCs w:val="21"/>
                <w:highlight w:val="none"/>
              </w:rPr>
              <w:t>名</w:t>
            </w:r>
            <w:r>
              <w:rPr>
                <w:color w:val="auto"/>
                <w:spacing w:val="5"/>
                <w:sz w:val="21"/>
                <w:szCs w:val="21"/>
                <w:highlight w:val="none"/>
              </w:rPr>
              <w:t xml:space="preserve"> </w:t>
            </w:r>
            <w:r>
              <w:rPr>
                <w:b/>
                <w:bCs/>
                <w:color w:val="auto"/>
                <w:spacing w:val="-9"/>
                <w:sz w:val="21"/>
                <w:szCs w:val="21"/>
                <w:highlight w:val="none"/>
              </w:rPr>
              <w:t>称</w:t>
            </w:r>
          </w:p>
        </w:tc>
        <w:tc>
          <w:tcPr>
            <w:tcW w:w="5503" w:type="dxa"/>
            <w:tcBorders>
              <w:top w:val="single" w:color="000000" w:sz="6" w:space="0"/>
              <w:right w:val="single" w:color="000000" w:sz="6" w:space="0"/>
            </w:tcBorders>
            <w:vAlign w:val="top"/>
          </w:tcPr>
          <w:p w14:paraId="01355079">
            <w:pPr>
              <w:pStyle w:val="33"/>
              <w:keepNext w:val="0"/>
              <w:keepLines w:val="0"/>
              <w:pageBreakBefore w:val="0"/>
              <w:widowControl/>
              <w:kinsoku/>
              <w:wordWrap/>
              <w:overflowPunct/>
              <w:topLinePunct w:val="0"/>
              <w:bidi w:val="0"/>
              <w:adjustRightInd w:val="0"/>
              <w:snapToGrid w:val="0"/>
              <w:spacing w:before="213" w:line="221" w:lineRule="auto"/>
              <w:ind w:left="1702"/>
              <w:textAlignment w:val="baseline"/>
              <w:rPr>
                <w:color w:val="auto"/>
                <w:sz w:val="21"/>
                <w:szCs w:val="21"/>
                <w:highlight w:val="none"/>
              </w:rPr>
            </w:pPr>
            <w:r>
              <w:rPr>
                <w:b/>
                <w:bCs/>
                <w:color w:val="auto"/>
                <w:spacing w:val="-16"/>
                <w:sz w:val="21"/>
                <w:szCs w:val="21"/>
                <w:highlight w:val="none"/>
              </w:rPr>
              <w:t>编</w:t>
            </w:r>
            <w:r>
              <w:rPr>
                <w:color w:val="auto"/>
                <w:spacing w:val="4"/>
                <w:sz w:val="21"/>
                <w:szCs w:val="21"/>
                <w:highlight w:val="none"/>
              </w:rPr>
              <w:t xml:space="preserve">    </w:t>
            </w:r>
            <w:r>
              <w:rPr>
                <w:b/>
                <w:bCs/>
                <w:color w:val="auto"/>
                <w:spacing w:val="-16"/>
                <w:sz w:val="21"/>
                <w:szCs w:val="21"/>
                <w:highlight w:val="none"/>
              </w:rPr>
              <w:t>列</w:t>
            </w:r>
            <w:r>
              <w:rPr>
                <w:color w:val="auto"/>
                <w:spacing w:val="8"/>
                <w:sz w:val="21"/>
                <w:szCs w:val="21"/>
                <w:highlight w:val="none"/>
              </w:rPr>
              <w:t xml:space="preserve">    </w:t>
            </w:r>
            <w:r>
              <w:rPr>
                <w:b/>
                <w:bCs/>
                <w:color w:val="auto"/>
                <w:spacing w:val="-16"/>
                <w:sz w:val="21"/>
                <w:szCs w:val="21"/>
                <w:highlight w:val="none"/>
              </w:rPr>
              <w:t>内</w:t>
            </w:r>
            <w:r>
              <w:rPr>
                <w:color w:val="auto"/>
                <w:spacing w:val="3"/>
                <w:sz w:val="21"/>
                <w:szCs w:val="21"/>
                <w:highlight w:val="none"/>
              </w:rPr>
              <w:t xml:space="preserve">    </w:t>
            </w:r>
            <w:r>
              <w:rPr>
                <w:b/>
                <w:bCs/>
                <w:color w:val="auto"/>
                <w:spacing w:val="-16"/>
                <w:sz w:val="21"/>
                <w:szCs w:val="21"/>
                <w:highlight w:val="none"/>
              </w:rPr>
              <w:t>容</w:t>
            </w:r>
          </w:p>
        </w:tc>
      </w:tr>
      <w:tr w14:paraId="17B64D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3" w:hRule="atLeast"/>
        </w:trPr>
        <w:tc>
          <w:tcPr>
            <w:tcW w:w="953" w:type="dxa"/>
            <w:tcBorders>
              <w:left w:val="single" w:color="000000" w:sz="6" w:space="0"/>
            </w:tcBorders>
            <w:vAlign w:val="top"/>
          </w:tcPr>
          <w:p w14:paraId="14EC5020">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29475CE9">
            <w:pPr>
              <w:keepNext w:val="0"/>
              <w:keepLines w:val="0"/>
              <w:pageBreakBefore w:val="0"/>
              <w:widowControl/>
              <w:kinsoku/>
              <w:wordWrap/>
              <w:overflowPunct/>
              <w:topLinePunct w:val="0"/>
              <w:bidi w:val="0"/>
              <w:adjustRightInd w:val="0"/>
              <w:snapToGrid w:val="0"/>
              <w:spacing w:before="60" w:line="187" w:lineRule="auto"/>
              <w:ind w:left="264"/>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3.3.1</w:t>
            </w:r>
          </w:p>
        </w:tc>
        <w:tc>
          <w:tcPr>
            <w:tcW w:w="2444" w:type="dxa"/>
            <w:vAlign w:val="top"/>
          </w:tcPr>
          <w:p w14:paraId="14519F73">
            <w:pPr>
              <w:pStyle w:val="33"/>
              <w:keepNext w:val="0"/>
              <w:keepLines w:val="0"/>
              <w:pageBreakBefore w:val="0"/>
              <w:widowControl/>
              <w:kinsoku/>
              <w:wordWrap/>
              <w:overflowPunct/>
              <w:topLinePunct w:val="0"/>
              <w:bidi w:val="0"/>
              <w:adjustRightInd w:val="0"/>
              <w:snapToGrid w:val="0"/>
              <w:spacing w:before="265" w:line="221" w:lineRule="auto"/>
              <w:ind w:left="108"/>
              <w:textAlignment w:val="baseline"/>
              <w:rPr>
                <w:color w:val="auto"/>
                <w:sz w:val="21"/>
                <w:szCs w:val="21"/>
                <w:highlight w:val="none"/>
              </w:rPr>
            </w:pPr>
            <w:r>
              <w:rPr>
                <w:color w:val="auto"/>
                <w:spacing w:val="-2"/>
                <w:sz w:val="21"/>
                <w:szCs w:val="21"/>
                <w:highlight w:val="none"/>
              </w:rPr>
              <w:t>投标有效期</w:t>
            </w:r>
          </w:p>
        </w:tc>
        <w:tc>
          <w:tcPr>
            <w:tcW w:w="5503" w:type="dxa"/>
            <w:tcBorders>
              <w:right w:val="single" w:color="000000" w:sz="6" w:space="0"/>
            </w:tcBorders>
            <w:vAlign w:val="top"/>
          </w:tcPr>
          <w:p w14:paraId="6F358919">
            <w:pPr>
              <w:pStyle w:val="33"/>
              <w:keepNext w:val="0"/>
              <w:keepLines w:val="0"/>
              <w:pageBreakBefore w:val="0"/>
              <w:widowControl/>
              <w:kinsoku/>
              <w:wordWrap/>
              <w:overflowPunct/>
              <w:topLinePunct w:val="0"/>
              <w:bidi w:val="0"/>
              <w:adjustRightInd w:val="0"/>
              <w:snapToGrid w:val="0"/>
              <w:spacing w:before="265" w:line="221" w:lineRule="auto"/>
              <w:ind w:firstLine="204" w:firstLineChars="100"/>
              <w:textAlignment w:val="baseline"/>
              <w:rPr>
                <w:color w:val="auto"/>
                <w:sz w:val="21"/>
                <w:szCs w:val="21"/>
                <w:highlight w:val="none"/>
              </w:rPr>
            </w:pPr>
            <w:r>
              <w:rPr>
                <w:color w:val="auto"/>
                <w:spacing w:val="-3"/>
                <w:sz w:val="21"/>
                <w:szCs w:val="21"/>
                <w:highlight w:val="none"/>
              </w:rPr>
              <w:t>自投标截止时间起生效，有效期为</w:t>
            </w:r>
            <w:r>
              <w:rPr>
                <w:rFonts w:hint="eastAsia"/>
                <w:color w:val="auto"/>
                <w:spacing w:val="-3"/>
                <w:sz w:val="21"/>
                <w:szCs w:val="21"/>
                <w:highlight w:val="none"/>
                <w:u w:val="single" w:color="auto"/>
                <w:lang w:val="en-US" w:eastAsia="zh-CN"/>
              </w:rPr>
              <w:t>90</w:t>
            </w:r>
            <w:r>
              <w:rPr>
                <w:color w:val="auto"/>
                <w:spacing w:val="-3"/>
                <w:sz w:val="21"/>
                <w:szCs w:val="21"/>
                <w:highlight w:val="none"/>
              </w:rPr>
              <w:t>天。</w:t>
            </w:r>
          </w:p>
        </w:tc>
      </w:tr>
      <w:tr w14:paraId="44F65B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18" w:hRule="atLeast"/>
        </w:trPr>
        <w:tc>
          <w:tcPr>
            <w:tcW w:w="953" w:type="dxa"/>
            <w:tcBorders>
              <w:left w:val="single" w:color="000000" w:sz="6" w:space="0"/>
            </w:tcBorders>
            <w:vAlign w:val="top"/>
          </w:tcPr>
          <w:p w14:paraId="1C584171">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14D6D24F">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5E3F224A">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15445A09">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061BA2EE">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147F8E80">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71A72C78">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3DFD6E44">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16B5E0DB">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03CB4508">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69C5B584">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1F056BF2">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0988AF0E">
            <w:pPr>
              <w:keepNext w:val="0"/>
              <w:keepLines w:val="0"/>
              <w:pageBreakBefore w:val="0"/>
              <w:widowControl/>
              <w:kinsoku/>
              <w:wordWrap/>
              <w:overflowPunct/>
              <w:topLinePunct w:val="0"/>
              <w:bidi w:val="0"/>
              <w:adjustRightInd w:val="0"/>
              <w:snapToGrid w:val="0"/>
              <w:spacing w:before="60" w:line="187" w:lineRule="auto"/>
              <w:ind w:left="264"/>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3.4.1</w:t>
            </w:r>
          </w:p>
        </w:tc>
        <w:tc>
          <w:tcPr>
            <w:tcW w:w="2444" w:type="dxa"/>
            <w:vAlign w:val="top"/>
          </w:tcPr>
          <w:p w14:paraId="7E02D57A">
            <w:pPr>
              <w:keepNext w:val="0"/>
              <w:keepLines w:val="0"/>
              <w:pageBreakBefore w:val="0"/>
              <w:widowControl/>
              <w:kinsoku/>
              <w:wordWrap/>
              <w:overflowPunct/>
              <w:topLinePunct w:val="0"/>
              <w:bidi w:val="0"/>
              <w:adjustRightInd w:val="0"/>
              <w:snapToGrid w:val="0"/>
              <w:spacing w:line="241" w:lineRule="auto"/>
              <w:textAlignment w:val="baseline"/>
              <w:rPr>
                <w:rFonts w:ascii="Arial"/>
                <w:color w:val="auto"/>
                <w:sz w:val="21"/>
                <w:highlight w:val="none"/>
              </w:rPr>
            </w:pPr>
          </w:p>
          <w:p w14:paraId="27889D22">
            <w:pPr>
              <w:keepNext w:val="0"/>
              <w:keepLines w:val="0"/>
              <w:pageBreakBefore w:val="0"/>
              <w:widowControl/>
              <w:kinsoku/>
              <w:wordWrap/>
              <w:overflowPunct/>
              <w:topLinePunct w:val="0"/>
              <w:bidi w:val="0"/>
              <w:adjustRightInd w:val="0"/>
              <w:snapToGrid w:val="0"/>
              <w:spacing w:line="241" w:lineRule="auto"/>
              <w:textAlignment w:val="baseline"/>
              <w:rPr>
                <w:rFonts w:ascii="Arial"/>
                <w:color w:val="auto"/>
                <w:sz w:val="21"/>
                <w:highlight w:val="none"/>
              </w:rPr>
            </w:pPr>
          </w:p>
          <w:p w14:paraId="7BE74679">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46869787">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26705837">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04BA5F5A">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0A397BB3">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2C96A8A2">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6D509AE6">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5285A344">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3CAF2A5F">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4EC046A9">
            <w:pPr>
              <w:keepNext w:val="0"/>
              <w:keepLines w:val="0"/>
              <w:pageBreakBefore w:val="0"/>
              <w:widowControl/>
              <w:kinsoku/>
              <w:wordWrap/>
              <w:overflowPunct/>
              <w:topLinePunct w:val="0"/>
              <w:bidi w:val="0"/>
              <w:adjustRightInd w:val="0"/>
              <w:snapToGrid w:val="0"/>
              <w:spacing w:line="242" w:lineRule="auto"/>
              <w:textAlignment w:val="baseline"/>
              <w:rPr>
                <w:rFonts w:ascii="Arial"/>
                <w:color w:val="auto"/>
                <w:sz w:val="21"/>
                <w:highlight w:val="none"/>
              </w:rPr>
            </w:pPr>
          </w:p>
          <w:p w14:paraId="0EFFBD26">
            <w:pPr>
              <w:pStyle w:val="33"/>
              <w:keepNext w:val="0"/>
              <w:keepLines w:val="0"/>
              <w:pageBreakBefore w:val="0"/>
              <w:widowControl/>
              <w:kinsoku/>
              <w:wordWrap/>
              <w:overflowPunct/>
              <w:topLinePunct w:val="0"/>
              <w:bidi w:val="0"/>
              <w:adjustRightInd w:val="0"/>
              <w:snapToGrid w:val="0"/>
              <w:spacing w:before="68" w:line="221" w:lineRule="auto"/>
              <w:ind w:left="108"/>
              <w:textAlignment w:val="baseline"/>
              <w:rPr>
                <w:color w:val="auto"/>
                <w:sz w:val="21"/>
                <w:szCs w:val="21"/>
                <w:highlight w:val="none"/>
              </w:rPr>
            </w:pPr>
            <w:r>
              <w:rPr>
                <w:color w:val="auto"/>
                <w:spacing w:val="-2"/>
                <w:sz w:val="21"/>
                <w:szCs w:val="21"/>
                <w:highlight w:val="none"/>
              </w:rPr>
              <w:t>投标保证金</w:t>
            </w:r>
          </w:p>
        </w:tc>
        <w:tc>
          <w:tcPr>
            <w:tcW w:w="5503" w:type="dxa"/>
            <w:tcBorders>
              <w:right w:val="single" w:color="000000" w:sz="6" w:space="0"/>
            </w:tcBorders>
            <w:vAlign w:val="top"/>
          </w:tcPr>
          <w:p w14:paraId="70535F47">
            <w:pPr>
              <w:pStyle w:val="33"/>
              <w:keepNext w:val="0"/>
              <w:keepLines w:val="0"/>
              <w:pageBreakBefore w:val="0"/>
              <w:widowControl/>
              <w:kinsoku/>
              <w:wordWrap/>
              <w:overflowPunct/>
              <w:topLinePunct w:val="0"/>
              <w:autoSpaceDE w:val="0"/>
              <w:autoSpaceDN w:val="0"/>
              <w:bidi w:val="0"/>
              <w:adjustRightInd w:val="0"/>
              <w:snapToGrid w:val="0"/>
              <w:spacing w:before="33" w:line="288" w:lineRule="auto"/>
              <w:ind w:left="239"/>
              <w:textAlignment w:val="baseline"/>
              <w:rPr>
                <w:rFonts w:hint="eastAsia"/>
                <w:color w:val="auto"/>
                <w:spacing w:val="-4"/>
                <w:sz w:val="21"/>
                <w:szCs w:val="21"/>
                <w:highlight w:val="none"/>
              </w:rPr>
            </w:pPr>
            <w:r>
              <w:rPr>
                <w:rFonts w:hint="eastAsia"/>
                <w:color w:val="auto"/>
                <w:spacing w:val="-4"/>
                <w:sz w:val="21"/>
                <w:szCs w:val="21"/>
                <w:highlight w:val="none"/>
              </w:rPr>
              <w:t>□不要求递交投标保证金。</w:t>
            </w:r>
          </w:p>
          <w:p w14:paraId="79B11FA4">
            <w:pPr>
              <w:pStyle w:val="33"/>
              <w:keepNext w:val="0"/>
              <w:keepLines w:val="0"/>
              <w:pageBreakBefore w:val="0"/>
              <w:widowControl/>
              <w:kinsoku/>
              <w:wordWrap/>
              <w:overflowPunct/>
              <w:topLinePunct w:val="0"/>
              <w:autoSpaceDE w:val="0"/>
              <w:autoSpaceDN w:val="0"/>
              <w:bidi w:val="0"/>
              <w:adjustRightInd w:val="0"/>
              <w:snapToGrid w:val="0"/>
              <w:spacing w:before="33" w:line="288" w:lineRule="auto"/>
              <w:ind w:left="239"/>
              <w:textAlignment w:val="baseline"/>
              <w:rPr>
                <w:rFonts w:hint="eastAsia"/>
                <w:color w:val="auto"/>
                <w:spacing w:val="-4"/>
                <w:sz w:val="21"/>
                <w:szCs w:val="21"/>
                <w:highlight w:val="none"/>
              </w:rPr>
            </w:pPr>
            <w:r>
              <w:rPr>
                <w:rFonts w:hint="eastAsia"/>
                <w:color w:val="auto"/>
                <w:spacing w:val="-4"/>
                <w:sz w:val="21"/>
                <w:szCs w:val="21"/>
                <w:highlight w:val="none"/>
                <w:lang w:eastAsia="zh-CN"/>
              </w:rPr>
              <w:t>☑</w:t>
            </w:r>
            <w:r>
              <w:rPr>
                <w:rFonts w:hint="eastAsia"/>
                <w:color w:val="auto"/>
                <w:spacing w:val="-4"/>
                <w:sz w:val="21"/>
                <w:szCs w:val="21"/>
                <w:highlight w:val="none"/>
              </w:rPr>
              <w:t>要求递交投标保证金。</w:t>
            </w:r>
          </w:p>
          <w:p w14:paraId="5D7F84A7">
            <w:pPr>
              <w:pStyle w:val="33"/>
              <w:keepNext w:val="0"/>
              <w:keepLines w:val="0"/>
              <w:pageBreakBefore w:val="0"/>
              <w:widowControl/>
              <w:kinsoku/>
              <w:wordWrap/>
              <w:overflowPunct/>
              <w:topLinePunct w:val="0"/>
              <w:autoSpaceDE w:val="0"/>
              <w:autoSpaceDN w:val="0"/>
              <w:bidi w:val="0"/>
              <w:adjustRightInd w:val="0"/>
              <w:snapToGrid w:val="0"/>
              <w:spacing w:before="33" w:line="288" w:lineRule="auto"/>
              <w:ind w:left="239"/>
              <w:textAlignment w:val="baseline"/>
              <w:rPr>
                <w:rFonts w:hint="eastAsia"/>
                <w:strike/>
                <w:dstrike w:val="0"/>
                <w:color w:val="auto"/>
                <w:spacing w:val="-4"/>
                <w:sz w:val="21"/>
                <w:szCs w:val="21"/>
                <w:highlight w:val="none"/>
              </w:rPr>
            </w:pPr>
            <w:r>
              <w:rPr>
                <w:rFonts w:hint="eastAsia"/>
                <w:strike/>
                <w:dstrike w:val="0"/>
                <w:color w:val="auto"/>
                <w:spacing w:val="-4"/>
                <w:sz w:val="21"/>
                <w:szCs w:val="21"/>
                <w:highlight w:val="none"/>
              </w:rPr>
              <w:t>□浙江省水利建设市场信用评价等级（施工类）A级的投标人（联合体投标的，以牵头人的信用评价等级为准），可免交投标保证金。</w:t>
            </w:r>
          </w:p>
          <w:p w14:paraId="32666CA4">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firstLine="210" w:firstLineChars="100"/>
              <w:textAlignment w:val="baseline"/>
              <w:rPr>
                <w:rFonts w:hint="eastAsia"/>
                <w:color w:val="auto"/>
                <w:sz w:val="21"/>
                <w:szCs w:val="21"/>
                <w:highlight w:val="none"/>
              </w:rPr>
            </w:pPr>
            <w:r>
              <w:rPr>
                <w:rFonts w:hint="eastAsia"/>
                <w:color w:val="auto"/>
                <w:sz w:val="21"/>
                <w:szCs w:val="21"/>
                <w:highlight w:val="none"/>
              </w:rPr>
              <w:t>1.金额：人民币</w:t>
            </w:r>
            <w:r>
              <w:rPr>
                <w:rFonts w:hint="eastAsia"/>
                <w:color w:val="auto"/>
                <w:sz w:val="21"/>
                <w:szCs w:val="21"/>
                <w:highlight w:val="none"/>
                <w:u w:val="single"/>
              </w:rPr>
              <w:t xml:space="preserve"> </w:t>
            </w:r>
            <w:r>
              <w:rPr>
                <w:rFonts w:hint="eastAsia"/>
                <w:color w:val="auto"/>
                <w:sz w:val="21"/>
                <w:szCs w:val="21"/>
                <w:highlight w:val="none"/>
                <w:u w:val="single"/>
                <w:lang w:val="en-US" w:eastAsia="zh-CN"/>
              </w:rPr>
              <w:t xml:space="preserve"> 13  </w:t>
            </w:r>
            <w:r>
              <w:rPr>
                <w:rFonts w:hint="eastAsia"/>
                <w:color w:val="auto"/>
                <w:sz w:val="21"/>
                <w:szCs w:val="21"/>
                <w:highlight w:val="none"/>
              </w:rPr>
              <w:t>万元（最高不得超过50万元）</w:t>
            </w:r>
          </w:p>
          <w:p w14:paraId="0EAC3284">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firstLine="210" w:firstLineChars="100"/>
              <w:textAlignment w:val="baseline"/>
              <w:rPr>
                <w:rFonts w:hint="eastAsia"/>
                <w:color w:val="auto"/>
                <w:sz w:val="21"/>
                <w:szCs w:val="21"/>
                <w:highlight w:val="none"/>
              </w:rPr>
            </w:pPr>
            <w:r>
              <w:rPr>
                <w:rFonts w:hint="eastAsia"/>
                <w:color w:val="auto"/>
                <w:sz w:val="21"/>
                <w:szCs w:val="21"/>
                <w:highlight w:val="none"/>
              </w:rPr>
              <w:t>2.交纳方式：银行保函/保证保险/担保公司担保/转账/数字保函</w:t>
            </w:r>
            <w:r>
              <w:rPr>
                <w:rFonts w:hint="eastAsia"/>
                <w:strike w:val="0"/>
                <w:dstrike w:val="0"/>
                <w:color w:val="auto"/>
                <w:sz w:val="21"/>
                <w:szCs w:val="21"/>
                <w:highlight w:val="none"/>
              </w:rPr>
              <w:t>（从基本账户转出）</w:t>
            </w:r>
          </w:p>
          <w:p w14:paraId="3AF6DA96">
            <w:pPr>
              <w:pStyle w:val="33"/>
              <w:keepNext w:val="0"/>
              <w:keepLines w:val="0"/>
              <w:pageBreakBefore w:val="0"/>
              <w:widowControl/>
              <w:kinsoku/>
              <w:wordWrap/>
              <w:overflowPunct/>
              <w:topLinePunct w:val="0"/>
              <w:autoSpaceDE w:val="0"/>
              <w:autoSpaceDN w:val="0"/>
              <w:bidi w:val="0"/>
              <w:adjustRightInd w:val="0"/>
              <w:snapToGrid w:val="0"/>
              <w:spacing w:before="31" w:line="288" w:lineRule="auto"/>
              <w:textAlignment w:val="baseline"/>
              <w:rPr>
                <w:rFonts w:hint="eastAsia"/>
                <w:color w:val="auto"/>
                <w:sz w:val="21"/>
                <w:szCs w:val="21"/>
                <w:highlight w:val="none"/>
              </w:rPr>
            </w:pPr>
            <w:r>
              <w:rPr>
                <w:rFonts w:hint="eastAsia"/>
                <w:color w:val="auto"/>
                <w:sz w:val="21"/>
                <w:szCs w:val="21"/>
                <w:highlight w:val="none"/>
              </w:rPr>
              <w:t>（1）交纳要求（转账）：</w:t>
            </w:r>
          </w:p>
          <w:p w14:paraId="7904EF2C">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color w:val="auto"/>
                <w:sz w:val="21"/>
                <w:szCs w:val="21"/>
                <w:highlight w:val="none"/>
                <w:u w:val="single"/>
              </w:rPr>
            </w:pPr>
            <w:r>
              <w:rPr>
                <w:rFonts w:hint="eastAsia"/>
                <w:color w:val="auto"/>
                <w:sz w:val="21"/>
                <w:szCs w:val="21"/>
                <w:highlight w:val="none"/>
                <w:u w:val="single"/>
              </w:rPr>
              <w:t>账户一：</w:t>
            </w:r>
          </w:p>
          <w:p w14:paraId="576C7F08">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eastAsia="宋体"/>
                <w:color w:val="auto"/>
                <w:sz w:val="21"/>
                <w:szCs w:val="21"/>
                <w:highlight w:val="none"/>
                <w:u w:val="single"/>
                <w:lang w:eastAsia="zh-CN"/>
              </w:rPr>
            </w:pPr>
            <w:r>
              <w:rPr>
                <w:rFonts w:hint="eastAsia"/>
                <w:color w:val="auto"/>
                <w:sz w:val="21"/>
                <w:szCs w:val="21"/>
                <w:highlight w:val="none"/>
                <w:u w:val="single"/>
              </w:rPr>
              <w:t>开户单位名称：绍兴市公共资源交易中心保证金专户</w:t>
            </w:r>
            <w:r>
              <w:rPr>
                <w:rFonts w:hint="eastAsia"/>
                <w:color w:val="auto"/>
                <w:sz w:val="21"/>
                <w:szCs w:val="21"/>
                <w:highlight w:val="none"/>
                <w:u w:val="single"/>
                <w:lang w:eastAsia="zh-CN"/>
              </w:rPr>
              <w:t>，</w:t>
            </w:r>
          </w:p>
          <w:p w14:paraId="47EAB665">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eastAsia="宋体"/>
                <w:color w:val="auto"/>
                <w:sz w:val="21"/>
                <w:szCs w:val="21"/>
                <w:highlight w:val="none"/>
                <w:u w:val="single"/>
                <w:lang w:eastAsia="zh-CN"/>
              </w:rPr>
            </w:pPr>
            <w:r>
              <w:rPr>
                <w:rFonts w:hint="eastAsia"/>
                <w:color w:val="auto"/>
                <w:sz w:val="21"/>
                <w:szCs w:val="21"/>
                <w:highlight w:val="none"/>
                <w:u w:val="single"/>
              </w:rPr>
              <w:t>开户行:绍兴银行营业部</w:t>
            </w:r>
            <w:r>
              <w:rPr>
                <w:rFonts w:hint="eastAsia"/>
                <w:color w:val="auto"/>
                <w:sz w:val="21"/>
                <w:szCs w:val="21"/>
                <w:highlight w:val="none"/>
                <w:u w:val="single"/>
                <w:lang w:eastAsia="zh-CN"/>
              </w:rPr>
              <w:t>，</w:t>
            </w:r>
          </w:p>
          <w:p w14:paraId="0BAA51AB">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default" w:eastAsia="宋体"/>
                <w:color w:val="auto"/>
                <w:sz w:val="21"/>
                <w:szCs w:val="21"/>
                <w:highlight w:val="none"/>
                <w:u w:val="single"/>
                <w:lang w:val="en-US" w:eastAsia="zh-CN"/>
              </w:rPr>
            </w:pPr>
            <w:r>
              <w:rPr>
                <w:rFonts w:hint="eastAsia"/>
                <w:color w:val="auto"/>
                <w:sz w:val="21"/>
                <w:szCs w:val="21"/>
                <w:highlight w:val="none"/>
                <w:u w:val="single"/>
              </w:rPr>
              <w:t>账号：</w:t>
            </w:r>
            <w:r>
              <w:rPr>
                <w:rFonts w:hint="eastAsia"/>
                <w:color w:val="auto"/>
                <w:sz w:val="21"/>
                <w:szCs w:val="21"/>
                <w:highlight w:val="none"/>
                <w:u w:val="single"/>
                <w:lang w:val="en-US" w:eastAsia="zh-CN"/>
              </w:rPr>
              <w:t xml:space="preserve">6224861565799181030 </w:t>
            </w:r>
          </w:p>
          <w:p w14:paraId="3DD3BF25">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color w:val="auto"/>
                <w:sz w:val="21"/>
                <w:szCs w:val="21"/>
                <w:highlight w:val="none"/>
                <w:u w:val="single"/>
              </w:rPr>
            </w:pPr>
            <w:r>
              <w:rPr>
                <w:rFonts w:hint="eastAsia"/>
                <w:color w:val="auto"/>
                <w:sz w:val="21"/>
                <w:szCs w:val="21"/>
                <w:highlight w:val="none"/>
                <w:u w:val="single"/>
              </w:rPr>
              <w:t>账户二：</w:t>
            </w:r>
          </w:p>
          <w:p w14:paraId="1836CDA2">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color w:val="auto"/>
                <w:sz w:val="21"/>
                <w:szCs w:val="21"/>
                <w:highlight w:val="none"/>
                <w:u w:val="single"/>
              </w:rPr>
            </w:pPr>
            <w:r>
              <w:rPr>
                <w:rFonts w:hint="eastAsia"/>
                <w:color w:val="auto"/>
                <w:sz w:val="21"/>
                <w:szCs w:val="21"/>
                <w:highlight w:val="none"/>
                <w:u w:val="single"/>
              </w:rPr>
              <w:t>开户单位名称：绍兴市公共资源交易中心保证金专户，</w:t>
            </w:r>
          </w:p>
          <w:p w14:paraId="658944DF">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color w:val="auto"/>
                <w:sz w:val="21"/>
                <w:szCs w:val="21"/>
                <w:highlight w:val="none"/>
                <w:u w:val="single"/>
              </w:rPr>
            </w:pPr>
            <w:r>
              <w:rPr>
                <w:rFonts w:hint="eastAsia"/>
                <w:color w:val="auto"/>
                <w:sz w:val="21"/>
                <w:szCs w:val="21"/>
                <w:highlight w:val="none"/>
                <w:u w:val="single"/>
              </w:rPr>
              <w:t>开户行:中信银行绍兴袍江支行，</w:t>
            </w:r>
          </w:p>
          <w:p w14:paraId="0F60900B">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color w:val="auto"/>
                <w:sz w:val="21"/>
                <w:szCs w:val="21"/>
                <w:highlight w:val="none"/>
                <w:u w:val="single"/>
              </w:rPr>
            </w:pPr>
            <w:r>
              <w:rPr>
                <w:rFonts w:hint="eastAsia"/>
                <w:color w:val="auto"/>
                <w:sz w:val="21"/>
                <w:szCs w:val="21"/>
                <w:highlight w:val="none"/>
                <w:u w:val="single"/>
              </w:rPr>
              <w:t xml:space="preserve">账号：      /          </w:t>
            </w:r>
          </w:p>
          <w:p w14:paraId="44CFB298">
            <w:pPr>
              <w:pStyle w:val="33"/>
              <w:keepNext w:val="0"/>
              <w:keepLines w:val="0"/>
              <w:pageBreakBefore w:val="0"/>
              <w:widowControl/>
              <w:kinsoku/>
              <w:wordWrap/>
              <w:overflowPunct/>
              <w:topLinePunct w:val="0"/>
              <w:autoSpaceDE w:val="0"/>
              <w:autoSpaceDN w:val="0"/>
              <w:bidi w:val="0"/>
              <w:adjustRightInd w:val="0"/>
              <w:snapToGrid w:val="0"/>
              <w:spacing w:before="31" w:line="288" w:lineRule="auto"/>
              <w:ind w:left="312"/>
              <w:textAlignment w:val="baseline"/>
              <w:rPr>
                <w:rFonts w:hint="eastAsia"/>
                <w:color w:val="auto"/>
                <w:sz w:val="22"/>
                <w:szCs w:val="22"/>
                <w:highlight w:val="none"/>
                <w:u w:val="single"/>
              </w:rPr>
            </w:pPr>
            <w:r>
              <w:rPr>
                <w:rFonts w:hint="eastAsia"/>
                <w:color w:val="auto"/>
                <w:sz w:val="21"/>
                <w:szCs w:val="21"/>
                <w:highlight w:val="none"/>
                <w:u w:val="single"/>
              </w:rPr>
              <w:t>投标人可自主选择以上账户之一缴纳投标保证金。</w:t>
            </w:r>
          </w:p>
          <w:p w14:paraId="032ECD8B">
            <w:pPr>
              <w:pStyle w:val="33"/>
              <w:keepNext w:val="0"/>
              <w:keepLines w:val="0"/>
              <w:pageBreakBefore w:val="0"/>
              <w:widowControl/>
              <w:kinsoku/>
              <w:wordWrap/>
              <w:overflowPunct/>
              <w:topLinePunct w:val="0"/>
              <w:bidi w:val="0"/>
              <w:adjustRightInd w:val="0"/>
              <w:snapToGrid w:val="0"/>
              <w:spacing w:before="109" w:line="268" w:lineRule="auto"/>
              <w:ind w:left="114" w:right="96" w:hanging="8"/>
              <w:textAlignment w:val="baseline"/>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（2）交纳要求（银行保函/保证保险/担保公司担保/转账/数字保函）：招标人接受投标保证金电子保险、担保保函。投标人自行在电子招投标交易平台（ http://220.187.225.202:8088/TPBidder-ztk/memberLogin）中自主选择办理。</w:t>
            </w:r>
          </w:p>
          <w:p w14:paraId="4F44A2B5">
            <w:pPr>
              <w:pStyle w:val="33"/>
              <w:keepNext w:val="0"/>
              <w:keepLines w:val="0"/>
              <w:pageBreakBefore w:val="0"/>
              <w:widowControl/>
              <w:kinsoku/>
              <w:wordWrap/>
              <w:overflowPunct/>
              <w:topLinePunct w:val="0"/>
              <w:bidi w:val="0"/>
              <w:adjustRightInd w:val="0"/>
              <w:snapToGrid w:val="0"/>
              <w:spacing w:before="109" w:line="268" w:lineRule="auto"/>
              <w:ind w:left="114" w:right="96" w:hanging="8"/>
              <w:textAlignment w:val="baseline"/>
              <w:rPr>
                <w:rFonts w:hint="eastAsia" w:ascii="宋体" w:hAnsi="宋体" w:eastAsia="宋体" w:cs="宋体"/>
                <w:color w:val="auto"/>
                <w:spacing w:val="-2"/>
                <w:sz w:val="21"/>
                <w:szCs w:val="21"/>
                <w:highlight w:val="none"/>
              </w:rPr>
            </w:pPr>
            <w:r>
              <w:rPr>
                <w:rFonts w:hint="eastAsia" w:ascii="宋体" w:hAnsi="宋体" w:eastAsia="宋体" w:cs="宋体"/>
                <w:color w:val="auto"/>
                <w:spacing w:val="-2"/>
                <w:sz w:val="21"/>
                <w:szCs w:val="21"/>
                <w:highlight w:val="none"/>
              </w:rPr>
              <w:t>保函费用必须从投标人企业基本账户转出，并在投标保证金缴纳截止时间前办妥保函手续。</w:t>
            </w:r>
          </w:p>
          <w:p w14:paraId="6E20D1AD">
            <w:pPr>
              <w:pStyle w:val="33"/>
              <w:keepNext w:val="0"/>
              <w:keepLines w:val="0"/>
              <w:pageBreakBefore w:val="0"/>
              <w:widowControl/>
              <w:kinsoku/>
              <w:wordWrap/>
              <w:overflowPunct/>
              <w:topLinePunct w:val="0"/>
              <w:bidi w:val="0"/>
              <w:adjustRightInd w:val="0"/>
              <w:snapToGrid w:val="0"/>
              <w:spacing w:before="109" w:line="268" w:lineRule="auto"/>
              <w:ind w:left="114" w:right="96" w:hanging="8"/>
              <w:textAlignment w:val="baseline"/>
              <w:rPr>
                <w:color w:val="auto"/>
                <w:sz w:val="22"/>
                <w:szCs w:val="22"/>
                <w:highlight w:val="none"/>
              </w:rPr>
            </w:pPr>
            <w:r>
              <w:rPr>
                <w:rFonts w:hint="eastAsia" w:ascii="宋体" w:hAnsi="宋体" w:eastAsia="宋体" w:cs="宋体"/>
                <w:color w:val="auto"/>
                <w:spacing w:val="-2"/>
                <w:sz w:val="21"/>
                <w:szCs w:val="21"/>
                <w:highlight w:val="none"/>
              </w:rPr>
              <w:t>备注：重新招标项目，参与投标的投标人仍需按上述规定要求重新递交投标保证金。如联合体投标的，其投标保证金由牵头人递交。</w:t>
            </w:r>
          </w:p>
        </w:tc>
      </w:tr>
      <w:tr w14:paraId="0FACE0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2" w:hRule="atLeast"/>
        </w:trPr>
        <w:tc>
          <w:tcPr>
            <w:tcW w:w="953" w:type="dxa"/>
            <w:tcBorders>
              <w:left w:val="single" w:color="000000" w:sz="6" w:space="0"/>
            </w:tcBorders>
            <w:vAlign w:val="top"/>
          </w:tcPr>
          <w:p w14:paraId="19E30D46">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3FEFE5BB">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55832149">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0A13E4AB">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58EE2D44">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313BB53A">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674532DD">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2324AB0C">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07FD8AF7">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51A4845A">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1994AEFF">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19EC14B3">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15D1BE3B">
            <w:pPr>
              <w:keepNext w:val="0"/>
              <w:keepLines w:val="0"/>
              <w:pageBreakBefore w:val="0"/>
              <w:widowControl/>
              <w:kinsoku/>
              <w:wordWrap/>
              <w:overflowPunct/>
              <w:topLinePunct w:val="0"/>
              <w:bidi w:val="0"/>
              <w:adjustRightInd w:val="0"/>
              <w:snapToGrid w:val="0"/>
              <w:spacing w:before="60" w:line="187" w:lineRule="auto"/>
              <w:ind w:left="264"/>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3.4.4</w:t>
            </w:r>
          </w:p>
        </w:tc>
        <w:tc>
          <w:tcPr>
            <w:tcW w:w="2444" w:type="dxa"/>
            <w:vAlign w:val="top"/>
          </w:tcPr>
          <w:p w14:paraId="334E8C12">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7C0B4ADA">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2B94C92F">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579706E0">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71B8EF28">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31F2DDE4">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6C129B5F">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51365EFD">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126DA81A">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67EC001B">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1EDB032F">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634CB7C4">
            <w:pPr>
              <w:pStyle w:val="33"/>
              <w:keepNext w:val="0"/>
              <w:keepLines w:val="0"/>
              <w:pageBreakBefore w:val="0"/>
              <w:widowControl/>
              <w:kinsoku/>
              <w:wordWrap/>
              <w:overflowPunct/>
              <w:topLinePunct w:val="0"/>
              <w:bidi w:val="0"/>
              <w:adjustRightInd w:val="0"/>
              <w:snapToGrid w:val="0"/>
              <w:spacing w:before="68" w:line="303" w:lineRule="auto"/>
              <w:ind w:left="106" w:right="238" w:firstLine="2"/>
              <w:textAlignment w:val="baseline"/>
              <w:rPr>
                <w:color w:val="auto"/>
                <w:sz w:val="21"/>
                <w:szCs w:val="21"/>
                <w:highlight w:val="none"/>
              </w:rPr>
            </w:pPr>
            <w:r>
              <w:rPr>
                <w:color w:val="auto"/>
                <w:spacing w:val="-1"/>
                <w:sz w:val="21"/>
                <w:szCs w:val="21"/>
                <w:highlight w:val="none"/>
              </w:rPr>
              <w:t>不予退还投标保证金的</w:t>
            </w:r>
            <w:r>
              <w:rPr>
                <w:color w:val="auto"/>
                <w:sz w:val="21"/>
                <w:szCs w:val="21"/>
                <w:highlight w:val="none"/>
              </w:rPr>
              <w:t xml:space="preserve"> </w:t>
            </w:r>
            <w:r>
              <w:rPr>
                <w:color w:val="auto"/>
                <w:spacing w:val="-2"/>
                <w:sz w:val="21"/>
                <w:szCs w:val="21"/>
                <w:highlight w:val="none"/>
              </w:rPr>
              <w:t>情形</w:t>
            </w:r>
          </w:p>
        </w:tc>
        <w:tc>
          <w:tcPr>
            <w:tcW w:w="5503" w:type="dxa"/>
            <w:tcBorders>
              <w:right w:val="single" w:color="000000" w:sz="6" w:space="0"/>
            </w:tcBorders>
            <w:vAlign w:val="top"/>
          </w:tcPr>
          <w:p w14:paraId="3EB28099">
            <w:pPr>
              <w:pStyle w:val="33"/>
              <w:keepNext w:val="0"/>
              <w:keepLines w:val="0"/>
              <w:pageBreakBefore w:val="0"/>
              <w:widowControl/>
              <w:kinsoku/>
              <w:wordWrap/>
              <w:overflowPunct/>
              <w:topLinePunct w:val="0"/>
              <w:bidi w:val="0"/>
              <w:adjustRightInd w:val="0"/>
              <w:snapToGrid w:val="0"/>
              <w:spacing w:before="114" w:line="221" w:lineRule="auto"/>
              <w:ind w:left="126"/>
              <w:textAlignment w:val="baseline"/>
              <w:rPr>
                <w:color w:val="auto"/>
                <w:sz w:val="21"/>
                <w:szCs w:val="21"/>
                <w:highlight w:val="none"/>
              </w:rPr>
            </w:pPr>
            <w:r>
              <w:rPr>
                <w:rFonts w:ascii="Times New Roman" w:hAnsi="Times New Roman" w:eastAsia="Times New Roman" w:cs="Times New Roman"/>
                <w:color w:val="auto"/>
                <w:spacing w:val="-2"/>
                <w:sz w:val="21"/>
                <w:szCs w:val="21"/>
                <w:highlight w:val="none"/>
              </w:rPr>
              <w:t>1</w:t>
            </w:r>
            <w:r>
              <w:rPr>
                <w:rFonts w:ascii="Times New Roman" w:hAnsi="Times New Roman" w:eastAsia="Times New Roman" w:cs="Times New Roman"/>
                <w:b/>
                <w:bCs/>
                <w:color w:val="auto"/>
                <w:spacing w:val="-2"/>
                <w:sz w:val="21"/>
                <w:szCs w:val="21"/>
                <w:highlight w:val="none"/>
              </w:rPr>
              <w:t xml:space="preserve">.  </w:t>
            </w:r>
            <w:r>
              <w:rPr>
                <w:color w:val="auto"/>
                <w:spacing w:val="-2"/>
                <w:sz w:val="21"/>
                <w:szCs w:val="21"/>
                <w:highlight w:val="none"/>
              </w:rPr>
              <w:t>投标人在规定的投标有效期内撤销或修改其投标文件。</w:t>
            </w:r>
          </w:p>
          <w:p w14:paraId="7F467BF4">
            <w:pPr>
              <w:pStyle w:val="33"/>
              <w:keepNext w:val="0"/>
              <w:keepLines w:val="0"/>
              <w:pageBreakBefore w:val="0"/>
              <w:widowControl/>
              <w:kinsoku/>
              <w:wordWrap/>
              <w:overflowPunct/>
              <w:topLinePunct w:val="0"/>
              <w:bidi w:val="0"/>
              <w:adjustRightInd w:val="0"/>
              <w:snapToGrid w:val="0"/>
              <w:spacing w:before="109" w:line="268" w:lineRule="auto"/>
              <w:ind w:left="114" w:right="96" w:hanging="8"/>
              <w:textAlignment w:val="baseline"/>
              <w:rPr>
                <w:color w:val="auto"/>
                <w:sz w:val="21"/>
                <w:szCs w:val="21"/>
                <w:highlight w:val="none"/>
              </w:rPr>
            </w:pPr>
            <w:r>
              <w:rPr>
                <w:rFonts w:ascii="Times New Roman" w:hAnsi="Times New Roman" w:eastAsia="Times New Roman" w:cs="Times New Roman"/>
                <w:color w:val="auto"/>
                <w:spacing w:val="-2"/>
                <w:sz w:val="21"/>
                <w:szCs w:val="21"/>
                <w:highlight w:val="none"/>
              </w:rPr>
              <w:t>2</w:t>
            </w:r>
            <w:r>
              <w:rPr>
                <w:rFonts w:ascii="Times New Roman" w:hAnsi="Times New Roman" w:eastAsia="Times New Roman" w:cs="Times New Roman"/>
                <w:b/>
                <w:bCs/>
                <w:color w:val="auto"/>
                <w:spacing w:val="-2"/>
                <w:sz w:val="21"/>
                <w:szCs w:val="21"/>
                <w:highlight w:val="none"/>
              </w:rPr>
              <w:t>.</w:t>
            </w:r>
            <w:r>
              <w:rPr>
                <w:rFonts w:ascii="Times New Roman" w:hAnsi="Times New Roman" w:eastAsia="Times New Roman" w:cs="Times New Roman"/>
                <w:b/>
                <w:bCs/>
                <w:color w:val="auto"/>
                <w:spacing w:val="19"/>
                <w:sz w:val="21"/>
                <w:szCs w:val="21"/>
                <w:highlight w:val="none"/>
              </w:rPr>
              <w:t xml:space="preserve">  </w:t>
            </w:r>
            <w:r>
              <w:rPr>
                <w:color w:val="auto"/>
                <w:spacing w:val="-2"/>
                <w:sz w:val="21"/>
                <w:szCs w:val="21"/>
                <w:highlight w:val="none"/>
              </w:rPr>
              <w:t>中标人在收到中标通知书后，无正当理由拒签合同协议</w:t>
            </w:r>
            <w:r>
              <w:rPr>
                <w:color w:val="auto"/>
                <w:sz w:val="21"/>
                <w:szCs w:val="21"/>
                <w:highlight w:val="none"/>
              </w:rPr>
              <w:t xml:space="preserve"> </w:t>
            </w:r>
            <w:r>
              <w:rPr>
                <w:color w:val="auto"/>
                <w:spacing w:val="-1"/>
                <w:sz w:val="21"/>
                <w:szCs w:val="21"/>
                <w:highlight w:val="none"/>
              </w:rPr>
              <w:t>书或未按招标文件规定提交履约担保。</w:t>
            </w:r>
          </w:p>
          <w:p w14:paraId="56C2962C">
            <w:pPr>
              <w:pStyle w:val="33"/>
              <w:keepNext w:val="0"/>
              <w:keepLines w:val="0"/>
              <w:pageBreakBefore w:val="0"/>
              <w:widowControl/>
              <w:kinsoku/>
              <w:wordWrap/>
              <w:overflowPunct/>
              <w:topLinePunct w:val="0"/>
              <w:bidi w:val="0"/>
              <w:adjustRightInd w:val="0"/>
              <w:snapToGrid w:val="0"/>
              <w:spacing w:before="110" w:line="268" w:lineRule="auto"/>
              <w:ind w:left="110" w:right="295"/>
              <w:textAlignment w:val="baseline"/>
              <w:rPr>
                <w:color w:val="auto"/>
                <w:sz w:val="21"/>
                <w:szCs w:val="21"/>
                <w:highlight w:val="none"/>
              </w:rPr>
            </w:pPr>
            <w:r>
              <w:rPr>
                <w:rFonts w:ascii="Times New Roman" w:hAnsi="Times New Roman" w:eastAsia="Times New Roman" w:cs="Times New Roman"/>
                <w:color w:val="auto"/>
                <w:sz w:val="21"/>
                <w:szCs w:val="21"/>
                <w:highlight w:val="none"/>
              </w:rPr>
              <w:t>3</w:t>
            </w:r>
            <w:r>
              <w:rPr>
                <w:rFonts w:ascii="Times New Roman" w:hAnsi="Times New Roman" w:eastAsia="Times New Roman" w:cs="Times New Roman"/>
                <w:b/>
                <w:bCs/>
                <w:color w:val="auto"/>
                <w:sz w:val="21"/>
                <w:szCs w:val="21"/>
                <w:highlight w:val="none"/>
              </w:rPr>
              <w:t xml:space="preserve">.  </w:t>
            </w:r>
            <w:r>
              <w:rPr>
                <w:color w:val="auto"/>
                <w:sz w:val="21"/>
                <w:szCs w:val="21"/>
                <w:highlight w:val="none"/>
              </w:rPr>
              <w:t>经查实，投标人在投标过程中存在串</w:t>
            </w:r>
            <w:r>
              <w:rPr>
                <w:color w:val="auto"/>
                <w:spacing w:val="-1"/>
                <w:sz w:val="21"/>
                <w:szCs w:val="21"/>
                <w:highlight w:val="none"/>
              </w:rPr>
              <w:t>通投标或弄虚作</w:t>
            </w:r>
            <w:r>
              <w:rPr>
                <w:color w:val="auto"/>
                <w:sz w:val="21"/>
                <w:szCs w:val="21"/>
                <w:highlight w:val="none"/>
              </w:rPr>
              <w:t xml:space="preserve"> </w:t>
            </w:r>
            <w:r>
              <w:rPr>
                <w:color w:val="auto"/>
                <w:spacing w:val="-8"/>
                <w:sz w:val="21"/>
                <w:szCs w:val="21"/>
                <w:highlight w:val="none"/>
              </w:rPr>
              <w:t>假的。</w:t>
            </w:r>
          </w:p>
          <w:p w14:paraId="5A56F273">
            <w:pPr>
              <w:pStyle w:val="33"/>
              <w:keepNext w:val="0"/>
              <w:keepLines w:val="0"/>
              <w:pageBreakBefore w:val="0"/>
              <w:widowControl/>
              <w:kinsoku/>
              <w:wordWrap/>
              <w:overflowPunct/>
              <w:topLinePunct w:val="0"/>
              <w:bidi w:val="0"/>
              <w:adjustRightInd w:val="0"/>
              <w:snapToGrid w:val="0"/>
              <w:spacing w:before="109" w:line="285" w:lineRule="auto"/>
              <w:ind w:left="112" w:right="156" w:hanging="7"/>
              <w:textAlignment w:val="baseline"/>
              <w:rPr>
                <w:color w:val="auto"/>
                <w:sz w:val="21"/>
                <w:szCs w:val="21"/>
                <w:highlight w:val="none"/>
              </w:rPr>
            </w:pPr>
            <w:r>
              <w:rPr>
                <w:rFonts w:ascii="Times New Roman" w:hAnsi="Times New Roman" w:eastAsia="Times New Roman" w:cs="Times New Roman"/>
                <w:color w:val="auto"/>
                <w:spacing w:val="-2"/>
                <w:sz w:val="21"/>
                <w:szCs w:val="21"/>
                <w:highlight w:val="none"/>
              </w:rPr>
              <w:t>4</w:t>
            </w:r>
            <w:r>
              <w:rPr>
                <w:rFonts w:ascii="Times New Roman" w:hAnsi="Times New Roman" w:eastAsia="Times New Roman" w:cs="Times New Roman"/>
                <w:b/>
                <w:bCs/>
                <w:color w:val="auto"/>
                <w:spacing w:val="-2"/>
                <w:sz w:val="21"/>
                <w:szCs w:val="21"/>
                <w:highlight w:val="none"/>
              </w:rPr>
              <w:t>.</w:t>
            </w:r>
            <w:r>
              <w:rPr>
                <w:rFonts w:ascii="Times New Roman" w:hAnsi="Times New Roman" w:eastAsia="Times New Roman" w:cs="Times New Roman"/>
                <w:b/>
                <w:bCs/>
                <w:color w:val="auto"/>
                <w:spacing w:val="24"/>
                <w:sz w:val="21"/>
                <w:szCs w:val="21"/>
                <w:highlight w:val="none"/>
              </w:rPr>
              <w:t xml:space="preserve">  </w:t>
            </w:r>
            <w:r>
              <w:rPr>
                <w:rFonts w:hint="eastAsia"/>
                <w:color w:val="auto"/>
                <w:spacing w:val="-2"/>
                <w:sz w:val="21"/>
                <w:szCs w:val="21"/>
                <w:highlight w:val="none"/>
                <w:lang w:eastAsia="zh-CN"/>
              </w:rPr>
              <w:t>☑</w:t>
            </w:r>
            <w:r>
              <w:rPr>
                <w:color w:val="auto"/>
                <w:spacing w:val="-2"/>
                <w:sz w:val="21"/>
                <w:szCs w:val="21"/>
                <w:highlight w:val="none"/>
              </w:rPr>
              <w:t>拟派项目负责人在投标截止时间有在其他在建合同</w:t>
            </w:r>
            <w:r>
              <w:rPr>
                <w:color w:val="auto"/>
                <w:sz w:val="21"/>
                <w:szCs w:val="21"/>
                <w:highlight w:val="none"/>
              </w:rPr>
              <w:t xml:space="preserve">  </w:t>
            </w:r>
            <w:r>
              <w:rPr>
                <w:color w:val="auto"/>
                <w:spacing w:val="-1"/>
                <w:sz w:val="21"/>
                <w:szCs w:val="21"/>
                <w:highlight w:val="none"/>
              </w:rPr>
              <w:t>工程上担任项目负责人（包括工程总承包项目中的</w:t>
            </w:r>
            <w:r>
              <w:rPr>
                <w:color w:val="auto"/>
                <w:spacing w:val="-2"/>
                <w:sz w:val="21"/>
                <w:szCs w:val="21"/>
                <w:highlight w:val="none"/>
              </w:rPr>
              <w:t>施工负</w:t>
            </w:r>
            <w:r>
              <w:rPr>
                <w:color w:val="auto"/>
                <w:sz w:val="21"/>
                <w:szCs w:val="21"/>
                <w:highlight w:val="none"/>
              </w:rPr>
              <w:t xml:space="preserve"> </w:t>
            </w:r>
            <w:r>
              <w:rPr>
                <w:color w:val="auto"/>
                <w:spacing w:val="-4"/>
                <w:sz w:val="21"/>
                <w:szCs w:val="21"/>
                <w:highlight w:val="none"/>
              </w:rPr>
              <w:t>责人）的情形。</w:t>
            </w:r>
          </w:p>
          <w:p w14:paraId="56246ED7">
            <w:pPr>
              <w:pStyle w:val="33"/>
              <w:keepNext w:val="0"/>
              <w:keepLines w:val="0"/>
              <w:pageBreakBefore w:val="0"/>
              <w:widowControl/>
              <w:kinsoku/>
              <w:wordWrap/>
              <w:overflowPunct/>
              <w:topLinePunct w:val="0"/>
              <w:bidi w:val="0"/>
              <w:adjustRightInd w:val="0"/>
              <w:snapToGrid w:val="0"/>
              <w:spacing w:before="108" w:line="221" w:lineRule="auto"/>
              <w:ind w:left="112"/>
              <w:textAlignment w:val="baseline"/>
              <w:rPr>
                <w:color w:val="auto"/>
                <w:sz w:val="21"/>
                <w:szCs w:val="21"/>
                <w:highlight w:val="none"/>
              </w:rPr>
            </w:pPr>
            <w:r>
              <w:rPr>
                <w:rFonts w:ascii="Times New Roman" w:hAnsi="Times New Roman" w:eastAsia="Times New Roman" w:cs="Times New Roman"/>
                <w:color w:val="auto"/>
                <w:spacing w:val="-2"/>
                <w:sz w:val="21"/>
                <w:szCs w:val="21"/>
                <w:highlight w:val="none"/>
              </w:rPr>
              <w:t>5</w:t>
            </w:r>
            <w:r>
              <w:rPr>
                <w:rFonts w:ascii="Times New Roman" w:hAnsi="Times New Roman" w:eastAsia="Times New Roman" w:cs="Times New Roman"/>
                <w:b/>
                <w:bCs/>
                <w:color w:val="auto"/>
                <w:spacing w:val="-2"/>
                <w:sz w:val="21"/>
                <w:szCs w:val="21"/>
                <w:highlight w:val="none"/>
              </w:rPr>
              <w:t>.</w:t>
            </w:r>
            <w:r>
              <w:rPr>
                <w:color w:val="auto"/>
                <w:spacing w:val="-2"/>
                <w:sz w:val="21"/>
                <w:szCs w:val="21"/>
                <w:highlight w:val="none"/>
              </w:rPr>
              <w:t>其他：</w:t>
            </w:r>
            <w:r>
              <w:rPr>
                <w:color w:val="auto"/>
                <w:spacing w:val="-13"/>
                <w:sz w:val="21"/>
                <w:szCs w:val="21"/>
                <w:highlight w:val="none"/>
              </w:rPr>
              <w:t xml:space="preserve"> </w:t>
            </w:r>
            <w:r>
              <w:rPr>
                <w:color w:val="auto"/>
                <w:spacing w:val="1"/>
                <w:sz w:val="21"/>
                <w:szCs w:val="21"/>
                <w:highlight w:val="none"/>
                <w:u w:val="single" w:color="auto"/>
              </w:rPr>
              <w:t xml:space="preserve"> </w:t>
            </w:r>
            <w:r>
              <w:rPr>
                <w:rFonts w:hint="eastAsia"/>
                <w:color w:val="auto"/>
                <w:spacing w:val="1"/>
                <w:sz w:val="21"/>
                <w:szCs w:val="21"/>
                <w:highlight w:val="none"/>
                <w:u w:val="single" w:color="auto"/>
                <w:lang w:val="en-US" w:eastAsia="zh-CN"/>
              </w:rPr>
              <w:t>/</w:t>
            </w:r>
            <w:r>
              <w:rPr>
                <w:color w:val="auto"/>
                <w:spacing w:val="1"/>
                <w:sz w:val="21"/>
                <w:szCs w:val="21"/>
                <w:highlight w:val="none"/>
                <w:u w:val="single" w:color="auto"/>
              </w:rPr>
              <w:t xml:space="preserve">  </w:t>
            </w:r>
            <w:r>
              <w:rPr>
                <w:color w:val="auto"/>
                <w:spacing w:val="-46"/>
                <w:sz w:val="21"/>
                <w:szCs w:val="21"/>
                <w:highlight w:val="none"/>
              </w:rPr>
              <w:t xml:space="preserve"> </w:t>
            </w:r>
            <w:r>
              <w:rPr>
                <w:color w:val="auto"/>
                <w:spacing w:val="-2"/>
                <w:sz w:val="21"/>
                <w:szCs w:val="21"/>
                <w:highlight w:val="none"/>
              </w:rPr>
              <w:t>。</w:t>
            </w:r>
          </w:p>
          <w:p w14:paraId="437A2FE7">
            <w:pPr>
              <w:pStyle w:val="33"/>
              <w:keepNext w:val="0"/>
              <w:keepLines w:val="0"/>
              <w:pageBreakBefore w:val="0"/>
              <w:widowControl/>
              <w:kinsoku/>
              <w:wordWrap/>
              <w:overflowPunct/>
              <w:topLinePunct w:val="0"/>
              <w:bidi w:val="0"/>
              <w:adjustRightInd w:val="0"/>
              <w:snapToGrid w:val="0"/>
              <w:spacing w:before="108" w:line="220" w:lineRule="auto"/>
              <w:ind w:left="321"/>
              <w:textAlignment w:val="baseline"/>
              <w:rPr>
                <w:color w:val="auto"/>
                <w:sz w:val="21"/>
                <w:szCs w:val="21"/>
                <w:highlight w:val="none"/>
              </w:rPr>
            </w:pPr>
            <w:r>
              <w:rPr>
                <w:color w:val="auto"/>
                <w:spacing w:val="-2"/>
                <w:sz w:val="21"/>
                <w:szCs w:val="21"/>
                <w:highlight w:val="none"/>
              </w:rPr>
              <w:t>注：本招标文件的</w:t>
            </w:r>
            <w:r>
              <w:rPr>
                <w:rFonts w:ascii="Times New Roman" w:hAnsi="Times New Roman" w:eastAsia="Times New Roman" w:cs="Times New Roman"/>
                <w:color w:val="auto"/>
                <w:spacing w:val="-2"/>
                <w:sz w:val="21"/>
                <w:szCs w:val="21"/>
                <w:highlight w:val="none"/>
              </w:rPr>
              <w:t>“</w:t>
            </w:r>
            <w:r>
              <w:rPr>
                <w:color w:val="auto"/>
                <w:spacing w:val="-2"/>
                <w:sz w:val="21"/>
                <w:szCs w:val="21"/>
                <w:highlight w:val="none"/>
              </w:rPr>
              <w:t>投标保证金不予退还</w:t>
            </w:r>
            <w:r>
              <w:rPr>
                <w:rFonts w:ascii="Times New Roman" w:hAnsi="Times New Roman" w:eastAsia="Times New Roman" w:cs="Times New Roman"/>
                <w:color w:val="auto"/>
                <w:spacing w:val="-2"/>
                <w:sz w:val="21"/>
                <w:szCs w:val="21"/>
                <w:highlight w:val="none"/>
              </w:rPr>
              <w:t>”</w:t>
            </w:r>
            <w:r>
              <w:rPr>
                <w:color w:val="auto"/>
                <w:spacing w:val="-2"/>
                <w:sz w:val="21"/>
                <w:szCs w:val="21"/>
                <w:highlight w:val="none"/>
              </w:rPr>
              <w:t>是指：</w:t>
            </w:r>
          </w:p>
          <w:p w14:paraId="792FDE17">
            <w:pPr>
              <w:pStyle w:val="33"/>
              <w:keepNext w:val="0"/>
              <w:keepLines w:val="0"/>
              <w:pageBreakBefore w:val="0"/>
              <w:widowControl/>
              <w:kinsoku/>
              <w:wordWrap/>
              <w:overflowPunct/>
              <w:topLinePunct w:val="0"/>
              <w:bidi w:val="0"/>
              <w:adjustRightInd w:val="0"/>
              <w:snapToGrid w:val="0"/>
              <w:spacing w:before="110" w:line="221" w:lineRule="auto"/>
              <w:ind w:left="327"/>
              <w:textAlignment w:val="baseline"/>
              <w:rPr>
                <w:color w:val="auto"/>
                <w:sz w:val="21"/>
                <w:szCs w:val="21"/>
                <w:highlight w:val="none"/>
              </w:rPr>
            </w:pPr>
            <w:r>
              <w:rPr>
                <w:color w:val="auto"/>
                <w:spacing w:val="-2"/>
                <w:sz w:val="21"/>
                <w:szCs w:val="21"/>
                <w:highlight w:val="none"/>
              </w:rPr>
              <w:t>（</w:t>
            </w:r>
            <w:r>
              <w:rPr>
                <w:rFonts w:ascii="Times New Roman" w:hAnsi="Times New Roman" w:eastAsia="Times New Roman" w:cs="Times New Roman"/>
                <w:color w:val="auto"/>
                <w:spacing w:val="-2"/>
                <w:sz w:val="21"/>
                <w:szCs w:val="21"/>
                <w:highlight w:val="none"/>
              </w:rPr>
              <w:t>1</w:t>
            </w:r>
            <w:r>
              <w:rPr>
                <w:color w:val="auto"/>
                <w:spacing w:val="-2"/>
                <w:sz w:val="21"/>
                <w:szCs w:val="21"/>
                <w:highlight w:val="none"/>
              </w:rPr>
              <w:t>）以现金转账形式，转账现金不予退还。</w:t>
            </w:r>
          </w:p>
          <w:p w14:paraId="3334BCA0">
            <w:pPr>
              <w:pStyle w:val="33"/>
              <w:keepNext w:val="0"/>
              <w:keepLines w:val="0"/>
              <w:pageBreakBefore w:val="0"/>
              <w:widowControl/>
              <w:kinsoku/>
              <w:wordWrap/>
              <w:overflowPunct/>
              <w:topLinePunct w:val="0"/>
              <w:bidi w:val="0"/>
              <w:adjustRightInd w:val="0"/>
              <w:snapToGrid w:val="0"/>
              <w:spacing w:before="108" w:line="269" w:lineRule="auto"/>
              <w:ind w:left="114" w:right="242" w:firstLine="213"/>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）以银行保函形式，招标人作为受益人向银行提起</w:t>
            </w:r>
            <w:r>
              <w:rPr>
                <w:color w:val="auto"/>
                <w:spacing w:val="11"/>
                <w:sz w:val="21"/>
                <w:szCs w:val="21"/>
                <w:highlight w:val="none"/>
              </w:rPr>
              <w:t xml:space="preserve"> </w:t>
            </w:r>
            <w:r>
              <w:rPr>
                <w:color w:val="auto"/>
                <w:spacing w:val="-9"/>
                <w:sz w:val="21"/>
                <w:szCs w:val="21"/>
                <w:highlight w:val="none"/>
              </w:rPr>
              <w:t>索赔。</w:t>
            </w:r>
          </w:p>
          <w:p w14:paraId="695A9D5B">
            <w:pPr>
              <w:pStyle w:val="33"/>
              <w:keepNext w:val="0"/>
              <w:keepLines w:val="0"/>
              <w:pageBreakBefore w:val="0"/>
              <w:widowControl/>
              <w:kinsoku/>
              <w:wordWrap/>
              <w:overflowPunct/>
              <w:topLinePunct w:val="0"/>
              <w:bidi w:val="0"/>
              <w:adjustRightInd w:val="0"/>
              <w:snapToGrid w:val="0"/>
              <w:spacing w:before="108" w:line="269" w:lineRule="auto"/>
              <w:ind w:left="111" w:right="461" w:firstLine="215"/>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3</w:t>
            </w:r>
            <w:r>
              <w:rPr>
                <w:color w:val="auto"/>
                <w:spacing w:val="-1"/>
                <w:sz w:val="21"/>
                <w:szCs w:val="21"/>
                <w:highlight w:val="none"/>
              </w:rPr>
              <w:t>）以保证保险形式，招标人作为被保险人（受益</w:t>
            </w:r>
            <w:r>
              <w:rPr>
                <w:color w:val="auto"/>
                <w:spacing w:val="1"/>
                <w:sz w:val="21"/>
                <w:szCs w:val="21"/>
                <w:highlight w:val="none"/>
              </w:rPr>
              <w:t xml:space="preserve"> </w:t>
            </w:r>
            <w:r>
              <w:rPr>
                <w:color w:val="auto"/>
                <w:spacing w:val="-5"/>
                <w:sz w:val="21"/>
                <w:szCs w:val="21"/>
                <w:highlight w:val="none"/>
              </w:rPr>
              <w:t>人）</w:t>
            </w:r>
            <w:r>
              <w:rPr>
                <w:color w:val="auto"/>
                <w:spacing w:val="30"/>
                <w:sz w:val="21"/>
                <w:szCs w:val="21"/>
                <w:highlight w:val="none"/>
              </w:rPr>
              <w:t xml:space="preserve"> </w:t>
            </w:r>
            <w:r>
              <w:rPr>
                <w:color w:val="auto"/>
                <w:spacing w:val="-5"/>
                <w:sz w:val="21"/>
                <w:szCs w:val="21"/>
                <w:highlight w:val="none"/>
              </w:rPr>
              <w:t>向保险人提起索赔。</w:t>
            </w:r>
          </w:p>
          <w:p w14:paraId="1B31B550">
            <w:pPr>
              <w:pStyle w:val="33"/>
              <w:keepNext w:val="0"/>
              <w:keepLines w:val="0"/>
              <w:pageBreakBefore w:val="0"/>
              <w:widowControl/>
              <w:kinsoku/>
              <w:wordWrap/>
              <w:overflowPunct/>
              <w:topLinePunct w:val="0"/>
              <w:bidi w:val="0"/>
              <w:adjustRightInd w:val="0"/>
              <w:snapToGrid w:val="0"/>
              <w:spacing w:before="108" w:line="267" w:lineRule="auto"/>
              <w:ind w:left="111" w:right="242" w:firstLine="215"/>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4</w:t>
            </w:r>
            <w:r>
              <w:rPr>
                <w:color w:val="auto"/>
                <w:spacing w:val="-1"/>
                <w:sz w:val="21"/>
                <w:szCs w:val="21"/>
                <w:highlight w:val="none"/>
              </w:rPr>
              <w:t>）以担保公司担保形式，招标人作为受益人向担保</w:t>
            </w:r>
            <w:r>
              <w:rPr>
                <w:color w:val="auto"/>
                <w:spacing w:val="11"/>
                <w:sz w:val="21"/>
                <w:szCs w:val="21"/>
                <w:highlight w:val="none"/>
              </w:rPr>
              <w:t xml:space="preserve"> </w:t>
            </w:r>
            <w:r>
              <w:rPr>
                <w:color w:val="auto"/>
                <w:spacing w:val="-2"/>
                <w:sz w:val="21"/>
                <w:szCs w:val="21"/>
                <w:highlight w:val="none"/>
              </w:rPr>
              <w:t>人提起索赔。</w:t>
            </w:r>
          </w:p>
        </w:tc>
      </w:tr>
      <w:tr w14:paraId="29F7ABF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0" w:hRule="atLeast"/>
        </w:trPr>
        <w:tc>
          <w:tcPr>
            <w:tcW w:w="953" w:type="dxa"/>
            <w:tcBorders>
              <w:left w:val="single" w:color="000000" w:sz="6" w:space="0"/>
            </w:tcBorders>
            <w:shd w:val="clear" w:color="auto" w:fill="auto"/>
            <w:vAlign w:val="top"/>
          </w:tcPr>
          <w:p w14:paraId="666E57D9">
            <w:pPr>
              <w:keepNext w:val="0"/>
              <w:keepLines w:val="0"/>
              <w:pageBreakBefore w:val="0"/>
              <w:widowControl/>
              <w:kinsoku/>
              <w:wordWrap/>
              <w:overflowPunct/>
              <w:topLinePunct w:val="0"/>
              <w:bidi w:val="0"/>
              <w:adjustRightInd w:val="0"/>
              <w:snapToGrid w:val="0"/>
              <w:spacing w:line="263" w:lineRule="auto"/>
              <w:textAlignment w:val="baseline"/>
              <w:rPr>
                <w:rFonts w:ascii="Arial"/>
                <w:strike w:val="0"/>
                <w:dstrike w:val="0"/>
                <w:color w:val="auto"/>
                <w:sz w:val="21"/>
                <w:highlight w:val="none"/>
              </w:rPr>
            </w:pPr>
          </w:p>
          <w:p w14:paraId="2E7A8D85">
            <w:pPr>
              <w:keepNext w:val="0"/>
              <w:keepLines w:val="0"/>
              <w:pageBreakBefore w:val="0"/>
              <w:widowControl/>
              <w:kinsoku/>
              <w:wordWrap/>
              <w:overflowPunct/>
              <w:topLinePunct w:val="0"/>
              <w:bidi w:val="0"/>
              <w:adjustRightInd w:val="0"/>
              <w:snapToGrid w:val="0"/>
              <w:spacing w:before="61" w:line="187" w:lineRule="auto"/>
              <w:ind w:left="264" w:leftChars="0"/>
              <w:textAlignment w:val="baseline"/>
              <w:rPr>
                <w:rFonts w:ascii="Times New Roman" w:hAnsi="Times New Roman" w:eastAsia="Times New Roman" w:cs="Times New Roman"/>
                <w:strike w:val="0"/>
                <w:dstrike w:val="0"/>
                <w:snapToGrid w:val="0"/>
                <w:color w:val="auto"/>
                <w:kern w:val="0"/>
                <w:sz w:val="21"/>
                <w:szCs w:val="21"/>
                <w:highlight w:val="none"/>
                <w:lang w:val="en-US" w:eastAsia="en-US" w:bidi="ar-SA"/>
              </w:rPr>
            </w:pPr>
            <w:r>
              <w:rPr>
                <w:rFonts w:ascii="Times New Roman" w:hAnsi="Times New Roman" w:eastAsia="Times New Roman" w:cs="Times New Roman"/>
                <w:strike w:val="0"/>
                <w:dstrike w:val="0"/>
                <w:color w:val="auto"/>
                <w:spacing w:val="-1"/>
                <w:sz w:val="21"/>
                <w:szCs w:val="21"/>
                <w:highlight w:val="none"/>
              </w:rPr>
              <w:t>3.5.2</w:t>
            </w:r>
          </w:p>
        </w:tc>
        <w:tc>
          <w:tcPr>
            <w:tcW w:w="2444" w:type="dxa"/>
            <w:shd w:val="clear" w:color="auto" w:fill="auto"/>
            <w:vAlign w:val="top"/>
          </w:tcPr>
          <w:p w14:paraId="534A609D">
            <w:pPr>
              <w:pStyle w:val="33"/>
              <w:keepNext w:val="0"/>
              <w:keepLines w:val="0"/>
              <w:pageBreakBefore w:val="0"/>
              <w:widowControl/>
              <w:kinsoku/>
              <w:wordWrap/>
              <w:overflowPunct/>
              <w:topLinePunct w:val="0"/>
              <w:bidi w:val="0"/>
              <w:adjustRightInd w:val="0"/>
              <w:snapToGrid w:val="0"/>
              <w:spacing w:before="106" w:line="267" w:lineRule="auto"/>
              <w:ind w:left="107" w:leftChars="0" w:right="106" w:rightChars="0" w:hanging="2" w:firstLineChars="0"/>
              <w:textAlignment w:val="baseline"/>
              <w:rPr>
                <w:rFonts w:ascii="宋体" w:hAnsi="宋体" w:eastAsia="宋体" w:cs="宋体"/>
                <w:strike w:val="0"/>
                <w:dstrike w:val="0"/>
                <w:snapToGrid w:val="0"/>
                <w:color w:val="auto"/>
                <w:kern w:val="0"/>
                <w:sz w:val="21"/>
                <w:szCs w:val="21"/>
                <w:highlight w:val="none"/>
                <w:lang w:val="en-US" w:eastAsia="en-US" w:bidi="ar-SA"/>
              </w:rPr>
            </w:pPr>
            <w:r>
              <w:rPr>
                <w:strike w:val="0"/>
                <w:dstrike w:val="0"/>
                <w:color w:val="auto"/>
                <w:spacing w:val="12"/>
                <w:sz w:val="21"/>
                <w:szCs w:val="21"/>
                <w:highlight w:val="none"/>
              </w:rPr>
              <w:t>近年财务状况的年份要</w:t>
            </w:r>
            <w:r>
              <w:rPr>
                <w:strike w:val="0"/>
                <w:dstrike w:val="0"/>
                <w:color w:val="auto"/>
                <w:spacing w:val="5"/>
                <w:sz w:val="21"/>
                <w:szCs w:val="21"/>
                <w:highlight w:val="none"/>
              </w:rPr>
              <w:t xml:space="preserve"> </w:t>
            </w:r>
            <w:r>
              <w:rPr>
                <w:strike w:val="0"/>
                <w:dstrike w:val="0"/>
                <w:color w:val="auto"/>
                <w:sz w:val="21"/>
                <w:szCs w:val="21"/>
                <w:highlight w:val="none"/>
              </w:rPr>
              <w:t>求</w:t>
            </w:r>
          </w:p>
        </w:tc>
        <w:tc>
          <w:tcPr>
            <w:tcW w:w="5503" w:type="dxa"/>
            <w:tcBorders>
              <w:right w:val="single" w:color="000000" w:sz="6" w:space="0"/>
            </w:tcBorders>
            <w:shd w:val="clear" w:color="auto" w:fill="auto"/>
            <w:vAlign w:val="top"/>
          </w:tcPr>
          <w:p w14:paraId="3D3554F1">
            <w:pPr>
              <w:pStyle w:val="33"/>
              <w:keepNext w:val="0"/>
              <w:keepLines w:val="0"/>
              <w:pageBreakBefore w:val="0"/>
              <w:widowControl/>
              <w:tabs>
                <w:tab w:val="left" w:pos="838"/>
              </w:tabs>
              <w:kinsoku/>
              <w:wordWrap/>
              <w:overflowPunct/>
              <w:topLinePunct w:val="0"/>
              <w:bidi w:val="0"/>
              <w:adjustRightInd w:val="0"/>
              <w:snapToGrid w:val="0"/>
              <w:spacing w:before="286" w:line="221" w:lineRule="auto"/>
              <w:ind w:firstLine="210" w:firstLineChars="100"/>
              <w:textAlignment w:val="baseline"/>
              <w:rPr>
                <w:rFonts w:ascii="宋体" w:hAnsi="宋体" w:eastAsia="宋体" w:cs="宋体"/>
                <w:strike w:val="0"/>
                <w:dstrike w:val="0"/>
                <w:snapToGrid w:val="0"/>
                <w:color w:val="auto"/>
                <w:kern w:val="0"/>
                <w:sz w:val="21"/>
                <w:szCs w:val="21"/>
                <w:highlight w:val="none"/>
                <w:lang w:val="en-US" w:eastAsia="en-US" w:bidi="ar-SA"/>
              </w:rPr>
            </w:pPr>
            <w:r>
              <w:rPr>
                <w:rFonts w:hint="eastAsia"/>
                <w:strike w:val="0"/>
                <w:dstrike w:val="0"/>
                <w:color w:val="auto"/>
                <w:sz w:val="21"/>
                <w:szCs w:val="21"/>
                <w:highlight w:val="none"/>
                <w:u w:val="single" w:color="auto"/>
                <w:lang w:val="en-US" w:eastAsia="zh-CN"/>
              </w:rPr>
              <w:t xml:space="preserve">  / </w:t>
            </w:r>
            <w:r>
              <w:rPr>
                <w:strike w:val="0"/>
                <w:dstrike w:val="0"/>
                <w:color w:val="auto"/>
                <w:spacing w:val="-92"/>
                <w:sz w:val="21"/>
                <w:szCs w:val="21"/>
                <w:highlight w:val="none"/>
              </w:rPr>
              <w:t xml:space="preserve"> </w:t>
            </w:r>
            <w:r>
              <w:rPr>
                <w:strike w:val="0"/>
                <w:dstrike w:val="0"/>
                <w:color w:val="auto"/>
                <w:spacing w:val="-3"/>
                <w:sz w:val="21"/>
                <w:szCs w:val="21"/>
                <w:highlight w:val="none"/>
              </w:rPr>
              <w:t>年（</w:t>
            </w:r>
            <w:r>
              <w:rPr>
                <w:strike w:val="0"/>
                <w:dstrike w:val="0"/>
                <w:color w:val="auto"/>
                <w:spacing w:val="-3"/>
                <w:sz w:val="21"/>
                <w:szCs w:val="21"/>
                <w:highlight w:val="none"/>
                <w:u w:val="single" w:color="auto"/>
              </w:rPr>
              <w:t xml:space="preserve">   </w:t>
            </w:r>
            <w:r>
              <w:rPr>
                <w:rFonts w:hint="eastAsia"/>
                <w:strike w:val="0"/>
                <w:dstrike w:val="0"/>
                <w:color w:val="auto"/>
                <w:spacing w:val="-3"/>
                <w:sz w:val="21"/>
                <w:szCs w:val="21"/>
                <w:highlight w:val="none"/>
                <w:u w:val="single" w:color="auto"/>
                <w:lang w:val="en-US" w:eastAsia="zh-CN"/>
              </w:rPr>
              <w:t>/</w:t>
            </w:r>
            <w:r>
              <w:rPr>
                <w:strike w:val="0"/>
                <w:dstrike w:val="0"/>
                <w:color w:val="auto"/>
                <w:spacing w:val="-3"/>
                <w:sz w:val="21"/>
                <w:szCs w:val="21"/>
                <w:highlight w:val="none"/>
                <w:u w:val="single" w:color="auto"/>
              </w:rPr>
              <w:t xml:space="preserve">  </w:t>
            </w:r>
            <w:r>
              <w:rPr>
                <w:strike w:val="0"/>
                <w:dstrike w:val="0"/>
                <w:color w:val="auto"/>
                <w:spacing w:val="-96"/>
                <w:sz w:val="21"/>
                <w:szCs w:val="21"/>
                <w:highlight w:val="none"/>
              </w:rPr>
              <w:t xml:space="preserve"> </w:t>
            </w:r>
            <w:r>
              <w:rPr>
                <w:strike w:val="0"/>
                <w:dstrike w:val="0"/>
                <w:color w:val="auto"/>
                <w:spacing w:val="-3"/>
                <w:sz w:val="21"/>
                <w:szCs w:val="21"/>
                <w:highlight w:val="none"/>
              </w:rPr>
              <w:t>年至</w:t>
            </w:r>
            <w:r>
              <w:rPr>
                <w:strike w:val="0"/>
                <w:dstrike w:val="0"/>
                <w:color w:val="auto"/>
                <w:spacing w:val="25"/>
                <w:sz w:val="21"/>
                <w:szCs w:val="21"/>
                <w:highlight w:val="none"/>
                <w:u w:val="single" w:color="auto"/>
              </w:rPr>
              <w:t xml:space="preserve">  </w:t>
            </w:r>
            <w:r>
              <w:rPr>
                <w:rFonts w:hint="eastAsia"/>
                <w:strike w:val="0"/>
                <w:dstrike w:val="0"/>
                <w:color w:val="auto"/>
                <w:spacing w:val="25"/>
                <w:sz w:val="21"/>
                <w:szCs w:val="21"/>
                <w:highlight w:val="none"/>
                <w:u w:val="single" w:color="auto"/>
                <w:lang w:val="en-US" w:eastAsia="zh-CN"/>
              </w:rPr>
              <w:t>/</w:t>
            </w:r>
            <w:r>
              <w:rPr>
                <w:strike w:val="0"/>
                <w:dstrike w:val="0"/>
                <w:color w:val="auto"/>
                <w:spacing w:val="25"/>
                <w:sz w:val="21"/>
                <w:szCs w:val="21"/>
                <w:highlight w:val="none"/>
                <w:u w:val="single" w:color="auto"/>
              </w:rPr>
              <w:t xml:space="preserve">  </w:t>
            </w:r>
            <w:r>
              <w:rPr>
                <w:strike w:val="0"/>
                <w:dstrike w:val="0"/>
                <w:color w:val="auto"/>
                <w:spacing w:val="-93"/>
                <w:sz w:val="21"/>
                <w:szCs w:val="21"/>
                <w:highlight w:val="none"/>
              </w:rPr>
              <w:t xml:space="preserve"> </w:t>
            </w:r>
            <w:r>
              <w:rPr>
                <w:strike w:val="0"/>
                <w:dstrike w:val="0"/>
                <w:color w:val="auto"/>
                <w:spacing w:val="-3"/>
                <w:sz w:val="21"/>
                <w:szCs w:val="21"/>
                <w:highlight w:val="none"/>
              </w:rPr>
              <w:t>年）</w:t>
            </w:r>
          </w:p>
        </w:tc>
      </w:tr>
      <w:tr w14:paraId="6E2D5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0" w:hRule="atLeast"/>
        </w:trPr>
        <w:tc>
          <w:tcPr>
            <w:tcW w:w="953" w:type="dxa"/>
            <w:tcBorders>
              <w:left w:val="single" w:color="000000" w:sz="6" w:space="0"/>
            </w:tcBorders>
            <w:shd w:val="clear" w:color="auto" w:fill="auto"/>
            <w:vAlign w:val="top"/>
          </w:tcPr>
          <w:p w14:paraId="5D601BDB">
            <w:pPr>
              <w:keepNext w:val="0"/>
              <w:keepLines w:val="0"/>
              <w:pageBreakBefore w:val="0"/>
              <w:widowControl/>
              <w:kinsoku/>
              <w:wordWrap/>
              <w:overflowPunct/>
              <w:topLinePunct w:val="0"/>
              <w:bidi w:val="0"/>
              <w:adjustRightInd w:val="0"/>
              <w:snapToGrid w:val="0"/>
              <w:spacing w:line="264" w:lineRule="auto"/>
              <w:textAlignment w:val="baseline"/>
              <w:rPr>
                <w:rFonts w:ascii="Arial"/>
                <w:strike w:val="0"/>
                <w:dstrike w:val="0"/>
                <w:color w:val="auto"/>
                <w:sz w:val="21"/>
                <w:highlight w:val="none"/>
              </w:rPr>
            </w:pPr>
          </w:p>
          <w:p w14:paraId="5F1BC2D5">
            <w:pPr>
              <w:keepNext w:val="0"/>
              <w:keepLines w:val="0"/>
              <w:pageBreakBefore w:val="0"/>
              <w:widowControl/>
              <w:kinsoku/>
              <w:wordWrap/>
              <w:overflowPunct/>
              <w:topLinePunct w:val="0"/>
              <w:bidi w:val="0"/>
              <w:adjustRightInd w:val="0"/>
              <w:snapToGrid w:val="0"/>
              <w:spacing w:before="60" w:line="187" w:lineRule="auto"/>
              <w:ind w:left="264" w:leftChars="0"/>
              <w:textAlignment w:val="baseline"/>
              <w:rPr>
                <w:rFonts w:ascii="Times New Roman" w:hAnsi="Times New Roman" w:eastAsia="Times New Roman" w:cs="Times New Roman"/>
                <w:strike w:val="0"/>
                <w:dstrike w:val="0"/>
                <w:snapToGrid w:val="0"/>
                <w:color w:val="auto"/>
                <w:kern w:val="0"/>
                <w:sz w:val="21"/>
                <w:szCs w:val="21"/>
                <w:highlight w:val="none"/>
                <w:lang w:val="en-US" w:eastAsia="en-US" w:bidi="ar-SA"/>
              </w:rPr>
            </w:pPr>
            <w:r>
              <w:rPr>
                <w:rFonts w:ascii="Times New Roman" w:hAnsi="Times New Roman" w:eastAsia="Times New Roman" w:cs="Times New Roman"/>
                <w:strike w:val="0"/>
                <w:dstrike w:val="0"/>
                <w:color w:val="auto"/>
                <w:spacing w:val="-1"/>
                <w:sz w:val="21"/>
                <w:szCs w:val="21"/>
                <w:highlight w:val="none"/>
              </w:rPr>
              <w:t>3.5.3</w:t>
            </w:r>
          </w:p>
        </w:tc>
        <w:tc>
          <w:tcPr>
            <w:tcW w:w="2444" w:type="dxa"/>
            <w:shd w:val="clear" w:color="auto" w:fill="auto"/>
            <w:vAlign w:val="top"/>
          </w:tcPr>
          <w:p w14:paraId="78D104F7">
            <w:pPr>
              <w:pStyle w:val="33"/>
              <w:keepNext w:val="0"/>
              <w:keepLines w:val="0"/>
              <w:pageBreakBefore w:val="0"/>
              <w:widowControl/>
              <w:kinsoku/>
              <w:wordWrap/>
              <w:overflowPunct/>
              <w:topLinePunct w:val="0"/>
              <w:bidi w:val="0"/>
              <w:adjustRightInd w:val="0"/>
              <w:snapToGrid w:val="0"/>
              <w:spacing w:before="108" w:line="266" w:lineRule="auto"/>
              <w:ind w:left="107" w:leftChars="0" w:right="106" w:rightChars="0" w:hanging="2" w:firstLineChars="0"/>
              <w:textAlignment w:val="baseline"/>
              <w:rPr>
                <w:rFonts w:ascii="宋体" w:hAnsi="宋体" w:eastAsia="宋体" w:cs="宋体"/>
                <w:strike w:val="0"/>
                <w:dstrike w:val="0"/>
                <w:snapToGrid w:val="0"/>
                <w:color w:val="auto"/>
                <w:kern w:val="0"/>
                <w:sz w:val="21"/>
                <w:szCs w:val="21"/>
                <w:highlight w:val="none"/>
                <w:lang w:val="en-US" w:eastAsia="en-US" w:bidi="ar-SA"/>
              </w:rPr>
            </w:pPr>
            <w:r>
              <w:rPr>
                <w:strike w:val="0"/>
                <w:dstrike w:val="0"/>
                <w:color w:val="auto"/>
                <w:spacing w:val="12"/>
                <w:sz w:val="21"/>
                <w:szCs w:val="21"/>
                <w:highlight w:val="none"/>
              </w:rPr>
              <w:t>近年完成的类似项目情</w:t>
            </w:r>
            <w:r>
              <w:rPr>
                <w:strike w:val="0"/>
                <w:dstrike w:val="0"/>
                <w:color w:val="auto"/>
                <w:spacing w:val="5"/>
                <w:sz w:val="21"/>
                <w:szCs w:val="21"/>
                <w:highlight w:val="none"/>
              </w:rPr>
              <w:t xml:space="preserve"> </w:t>
            </w:r>
            <w:r>
              <w:rPr>
                <w:strike w:val="0"/>
                <w:dstrike w:val="0"/>
                <w:color w:val="auto"/>
                <w:spacing w:val="-2"/>
                <w:sz w:val="21"/>
                <w:szCs w:val="21"/>
                <w:highlight w:val="none"/>
              </w:rPr>
              <w:t>况的年份要求</w:t>
            </w:r>
          </w:p>
        </w:tc>
        <w:tc>
          <w:tcPr>
            <w:tcW w:w="5503" w:type="dxa"/>
            <w:tcBorders>
              <w:right w:val="single" w:color="000000" w:sz="6" w:space="0"/>
            </w:tcBorders>
            <w:shd w:val="clear" w:color="auto" w:fill="auto"/>
            <w:vAlign w:val="top"/>
          </w:tcPr>
          <w:p w14:paraId="702A1474">
            <w:pPr>
              <w:pStyle w:val="33"/>
              <w:keepNext w:val="0"/>
              <w:keepLines w:val="0"/>
              <w:pageBreakBefore w:val="0"/>
              <w:widowControl/>
              <w:tabs>
                <w:tab w:val="left" w:pos="838"/>
              </w:tabs>
              <w:kinsoku/>
              <w:wordWrap/>
              <w:overflowPunct/>
              <w:topLinePunct w:val="0"/>
              <w:bidi w:val="0"/>
              <w:adjustRightInd w:val="0"/>
              <w:snapToGrid w:val="0"/>
              <w:spacing w:before="287" w:line="221" w:lineRule="auto"/>
              <w:ind w:firstLine="210" w:firstLineChars="100"/>
              <w:textAlignment w:val="baseline"/>
              <w:rPr>
                <w:rFonts w:ascii="宋体" w:hAnsi="宋体" w:eastAsia="宋体" w:cs="宋体"/>
                <w:strike w:val="0"/>
                <w:dstrike w:val="0"/>
                <w:snapToGrid w:val="0"/>
                <w:color w:val="auto"/>
                <w:kern w:val="0"/>
                <w:sz w:val="21"/>
                <w:szCs w:val="21"/>
                <w:highlight w:val="none"/>
                <w:lang w:val="en-US" w:eastAsia="en-US" w:bidi="ar-SA"/>
              </w:rPr>
            </w:pPr>
            <w:r>
              <w:rPr>
                <w:rFonts w:hint="eastAsia"/>
                <w:strike w:val="0"/>
                <w:dstrike w:val="0"/>
                <w:color w:val="auto"/>
                <w:sz w:val="21"/>
                <w:szCs w:val="21"/>
                <w:highlight w:val="none"/>
                <w:u w:val="single" w:color="auto"/>
                <w:lang w:val="en-US" w:eastAsia="zh-CN"/>
              </w:rPr>
              <w:t xml:space="preserve">  /  </w:t>
            </w:r>
            <w:r>
              <w:rPr>
                <w:strike w:val="0"/>
                <w:dstrike w:val="0"/>
                <w:color w:val="auto"/>
                <w:spacing w:val="-79"/>
                <w:sz w:val="21"/>
                <w:szCs w:val="21"/>
                <w:highlight w:val="none"/>
              </w:rPr>
              <w:t xml:space="preserve"> </w:t>
            </w:r>
            <w:r>
              <w:rPr>
                <w:strike w:val="0"/>
                <w:dstrike w:val="0"/>
                <w:color w:val="auto"/>
                <w:spacing w:val="-4"/>
                <w:sz w:val="21"/>
                <w:szCs w:val="21"/>
                <w:highlight w:val="none"/>
              </w:rPr>
              <w:t>年（</w:t>
            </w:r>
            <w:r>
              <w:rPr>
                <w:rFonts w:hint="eastAsia"/>
                <w:strike w:val="0"/>
                <w:dstrike w:val="0"/>
                <w:color w:val="auto"/>
                <w:spacing w:val="-4"/>
                <w:sz w:val="21"/>
                <w:szCs w:val="21"/>
                <w:highlight w:val="none"/>
                <w:u w:val="single" w:color="auto"/>
                <w:lang w:val="en-US" w:eastAsia="zh-CN"/>
              </w:rPr>
              <w:t xml:space="preserve">  </w:t>
            </w:r>
            <w:r>
              <w:rPr>
                <w:rFonts w:hint="eastAsia"/>
                <w:strike w:val="0"/>
                <w:dstrike w:val="0"/>
                <w:color w:val="auto"/>
                <w:sz w:val="21"/>
                <w:szCs w:val="21"/>
                <w:highlight w:val="none"/>
                <w:u w:val="single" w:color="auto"/>
                <w:lang w:val="en-US" w:eastAsia="zh-CN"/>
              </w:rPr>
              <w:t>/</w:t>
            </w:r>
            <w:r>
              <w:rPr>
                <w:rFonts w:hint="eastAsia"/>
                <w:strike w:val="0"/>
                <w:dstrike w:val="0"/>
                <w:color w:val="auto"/>
                <w:spacing w:val="-4"/>
                <w:sz w:val="21"/>
                <w:szCs w:val="21"/>
                <w:highlight w:val="none"/>
                <w:u w:val="single" w:color="auto"/>
                <w:lang w:val="en-US" w:eastAsia="zh-CN"/>
              </w:rPr>
              <w:t xml:space="preserve"> </w:t>
            </w:r>
            <w:r>
              <w:rPr>
                <w:strike w:val="0"/>
                <w:dstrike w:val="0"/>
                <w:color w:val="auto"/>
                <w:spacing w:val="-4"/>
                <w:sz w:val="21"/>
                <w:szCs w:val="21"/>
                <w:highlight w:val="none"/>
              </w:rPr>
              <w:t>年</w:t>
            </w:r>
            <w:r>
              <w:rPr>
                <w:strike w:val="0"/>
                <w:dstrike w:val="0"/>
                <w:color w:val="auto"/>
                <w:spacing w:val="-4"/>
                <w:sz w:val="21"/>
                <w:szCs w:val="21"/>
                <w:highlight w:val="none"/>
                <w:u w:val="single" w:color="auto"/>
              </w:rPr>
              <w:t xml:space="preserve"> </w:t>
            </w:r>
            <w:r>
              <w:rPr>
                <w:rFonts w:hint="eastAsia"/>
                <w:strike w:val="0"/>
                <w:dstrike w:val="0"/>
                <w:color w:val="auto"/>
                <w:spacing w:val="-4"/>
                <w:sz w:val="21"/>
                <w:szCs w:val="21"/>
                <w:highlight w:val="none"/>
                <w:u w:val="single" w:color="auto"/>
                <w:lang w:val="en-US" w:eastAsia="zh-CN"/>
              </w:rPr>
              <w:t xml:space="preserve">  </w:t>
            </w:r>
            <w:r>
              <w:rPr>
                <w:rFonts w:hint="eastAsia"/>
                <w:strike w:val="0"/>
                <w:dstrike w:val="0"/>
                <w:color w:val="auto"/>
                <w:sz w:val="21"/>
                <w:szCs w:val="21"/>
                <w:highlight w:val="none"/>
                <w:u w:val="single" w:color="auto"/>
                <w:lang w:val="en-US" w:eastAsia="zh-CN"/>
              </w:rPr>
              <w:t>/</w:t>
            </w:r>
            <w:r>
              <w:rPr>
                <w:strike w:val="0"/>
                <w:dstrike w:val="0"/>
                <w:color w:val="auto"/>
                <w:spacing w:val="-4"/>
                <w:sz w:val="21"/>
                <w:szCs w:val="21"/>
                <w:highlight w:val="none"/>
                <w:u w:val="single" w:color="auto"/>
              </w:rPr>
              <w:t xml:space="preserve"> </w:t>
            </w:r>
            <w:r>
              <w:rPr>
                <w:strike w:val="0"/>
                <w:dstrike w:val="0"/>
                <w:color w:val="auto"/>
                <w:spacing w:val="-91"/>
                <w:sz w:val="21"/>
                <w:szCs w:val="21"/>
                <w:highlight w:val="none"/>
              </w:rPr>
              <w:t xml:space="preserve"> </w:t>
            </w:r>
            <w:r>
              <w:rPr>
                <w:strike w:val="0"/>
                <w:dstrike w:val="0"/>
                <w:color w:val="auto"/>
                <w:spacing w:val="-4"/>
                <w:sz w:val="21"/>
                <w:szCs w:val="21"/>
                <w:highlight w:val="none"/>
              </w:rPr>
              <w:t>月</w:t>
            </w:r>
            <w:r>
              <w:rPr>
                <w:strike w:val="0"/>
                <w:dstrike w:val="0"/>
                <w:color w:val="auto"/>
                <w:spacing w:val="-4"/>
                <w:sz w:val="21"/>
                <w:szCs w:val="21"/>
                <w:highlight w:val="none"/>
                <w:u w:val="single" w:color="auto"/>
              </w:rPr>
              <w:t xml:space="preserve">  </w:t>
            </w:r>
            <w:r>
              <w:rPr>
                <w:rFonts w:hint="eastAsia"/>
                <w:strike w:val="0"/>
                <w:dstrike w:val="0"/>
                <w:color w:val="auto"/>
                <w:sz w:val="21"/>
                <w:szCs w:val="21"/>
                <w:highlight w:val="none"/>
                <w:u w:val="single" w:color="auto"/>
                <w:lang w:val="en-US" w:eastAsia="zh-CN"/>
              </w:rPr>
              <w:t>/</w:t>
            </w:r>
            <w:r>
              <w:rPr>
                <w:rFonts w:hint="eastAsia"/>
                <w:strike w:val="0"/>
                <w:dstrike w:val="0"/>
                <w:color w:val="auto"/>
                <w:spacing w:val="-4"/>
                <w:sz w:val="21"/>
                <w:szCs w:val="21"/>
                <w:highlight w:val="none"/>
                <w:u w:val="single" w:color="auto"/>
                <w:lang w:val="en-US" w:eastAsia="zh-CN"/>
              </w:rPr>
              <w:t xml:space="preserve"> </w:t>
            </w:r>
            <w:r>
              <w:rPr>
                <w:strike w:val="0"/>
                <w:dstrike w:val="0"/>
                <w:color w:val="auto"/>
                <w:spacing w:val="-61"/>
                <w:sz w:val="21"/>
                <w:szCs w:val="21"/>
                <w:highlight w:val="none"/>
              </w:rPr>
              <w:t xml:space="preserve"> </w:t>
            </w:r>
            <w:r>
              <w:rPr>
                <w:strike w:val="0"/>
                <w:dstrike w:val="0"/>
                <w:color w:val="auto"/>
                <w:spacing w:val="-4"/>
                <w:sz w:val="21"/>
                <w:szCs w:val="21"/>
                <w:highlight w:val="none"/>
              </w:rPr>
              <w:t>日至投标截止时间）</w:t>
            </w:r>
          </w:p>
        </w:tc>
      </w:tr>
      <w:tr w14:paraId="55C967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953" w:type="dxa"/>
            <w:tcBorders>
              <w:left w:val="single" w:color="000000" w:sz="6" w:space="0"/>
            </w:tcBorders>
            <w:shd w:val="clear" w:color="auto" w:fill="auto"/>
            <w:vAlign w:val="top"/>
          </w:tcPr>
          <w:p w14:paraId="1F89D62B">
            <w:pPr>
              <w:keepNext w:val="0"/>
              <w:keepLines w:val="0"/>
              <w:pageBreakBefore w:val="0"/>
              <w:widowControl/>
              <w:kinsoku/>
              <w:wordWrap/>
              <w:overflowPunct/>
              <w:topLinePunct w:val="0"/>
              <w:bidi w:val="0"/>
              <w:adjustRightInd w:val="0"/>
              <w:snapToGrid w:val="0"/>
              <w:spacing w:line="264" w:lineRule="auto"/>
              <w:textAlignment w:val="baseline"/>
              <w:rPr>
                <w:rFonts w:ascii="Arial"/>
                <w:color w:val="auto"/>
                <w:sz w:val="21"/>
                <w:highlight w:val="none"/>
              </w:rPr>
            </w:pPr>
          </w:p>
          <w:p w14:paraId="248C0790">
            <w:pPr>
              <w:keepNext w:val="0"/>
              <w:keepLines w:val="0"/>
              <w:pageBreakBefore w:val="0"/>
              <w:widowControl/>
              <w:kinsoku/>
              <w:wordWrap/>
              <w:overflowPunct/>
              <w:topLinePunct w:val="0"/>
              <w:bidi w:val="0"/>
              <w:adjustRightInd w:val="0"/>
              <w:snapToGrid w:val="0"/>
              <w:spacing w:before="61" w:line="187" w:lineRule="auto"/>
              <w:ind w:left="344"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3.6</w:t>
            </w:r>
          </w:p>
        </w:tc>
        <w:tc>
          <w:tcPr>
            <w:tcW w:w="2444" w:type="dxa"/>
            <w:shd w:val="clear" w:color="auto" w:fill="auto"/>
            <w:vAlign w:val="top"/>
          </w:tcPr>
          <w:p w14:paraId="63A1C981">
            <w:pPr>
              <w:pStyle w:val="33"/>
              <w:keepNext w:val="0"/>
              <w:keepLines w:val="0"/>
              <w:pageBreakBefore w:val="0"/>
              <w:widowControl/>
              <w:kinsoku/>
              <w:wordWrap/>
              <w:overflowPunct/>
              <w:topLinePunct w:val="0"/>
              <w:bidi w:val="0"/>
              <w:adjustRightInd w:val="0"/>
              <w:snapToGrid w:val="0"/>
              <w:spacing w:before="108" w:line="266" w:lineRule="auto"/>
              <w:ind w:left="106" w:leftChars="0" w:right="238" w:rightChars="0" w:firstLine="2" w:firstLineChars="0"/>
              <w:textAlignment w:val="baseline"/>
              <w:rPr>
                <w:rFonts w:ascii="宋体" w:hAnsi="宋体" w:eastAsia="宋体" w:cs="宋体"/>
                <w:snapToGrid w:val="0"/>
                <w:color w:val="auto"/>
                <w:kern w:val="0"/>
                <w:sz w:val="21"/>
                <w:szCs w:val="21"/>
                <w:highlight w:val="none"/>
                <w:lang w:val="en-US" w:eastAsia="en-US" w:bidi="ar-SA"/>
              </w:rPr>
            </w:pPr>
            <w:r>
              <w:rPr>
                <w:color w:val="auto"/>
                <w:spacing w:val="-1"/>
                <w:sz w:val="21"/>
                <w:szCs w:val="21"/>
                <w:highlight w:val="none"/>
              </w:rPr>
              <w:t>是否允许递交备选投标</w:t>
            </w:r>
            <w:r>
              <w:rPr>
                <w:color w:val="auto"/>
                <w:sz w:val="21"/>
                <w:szCs w:val="21"/>
                <w:highlight w:val="none"/>
              </w:rPr>
              <w:t xml:space="preserve"> </w:t>
            </w:r>
            <w:r>
              <w:rPr>
                <w:color w:val="auto"/>
                <w:spacing w:val="-2"/>
                <w:sz w:val="21"/>
                <w:szCs w:val="21"/>
                <w:highlight w:val="none"/>
              </w:rPr>
              <w:t>方案</w:t>
            </w:r>
          </w:p>
        </w:tc>
        <w:tc>
          <w:tcPr>
            <w:tcW w:w="5503" w:type="dxa"/>
            <w:tcBorders>
              <w:right w:val="single" w:color="000000" w:sz="6" w:space="0"/>
            </w:tcBorders>
            <w:shd w:val="clear" w:color="auto" w:fill="auto"/>
            <w:vAlign w:val="top"/>
          </w:tcPr>
          <w:p w14:paraId="1DB0200C">
            <w:pPr>
              <w:pStyle w:val="33"/>
              <w:keepNext w:val="0"/>
              <w:keepLines w:val="0"/>
              <w:pageBreakBefore w:val="0"/>
              <w:widowControl/>
              <w:kinsoku/>
              <w:wordWrap/>
              <w:overflowPunct/>
              <w:topLinePunct w:val="0"/>
              <w:bidi w:val="0"/>
              <w:adjustRightInd w:val="0"/>
              <w:snapToGrid w:val="0"/>
              <w:spacing w:before="108" w:line="266" w:lineRule="auto"/>
              <w:ind w:left="237" w:leftChars="0" w:right="4263" w:right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color w:val="auto"/>
                <w:spacing w:val="-12"/>
                <w:sz w:val="21"/>
                <w:szCs w:val="21"/>
                <w:highlight w:val="none"/>
                <w:lang w:eastAsia="zh-CN"/>
              </w:rPr>
              <w:t>☑</w:t>
            </w:r>
            <w:r>
              <w:rPr>
                <w:color w:val="auto"/>
                <w:spacing w:val="-12"/>
                <w:sz w:val="21"/>
                <w:szCs w:val="21"/>
                <w:highlight w:val="none"/>
              </w:rPr>
              <w:t>不允许。</w:t>
            </w:r>
            <w:r>
              <w:rPr>
                <w:color w:val="auto"/>
                <w:spacing w:val="1"/>
                <w:sz w:val="21"/>
                <w:szCs w:val="21"/>
                <w:highlight w:val="none"/>
              </w:rPr>
              <w:t xml:space="preserve"> </w:t>
            </w:r>
            <w:r>
              <w:rPr>
                <w:color w:val="auto"/>
                <w:spacing w:val="-7"/>
                <w:sz w:val="21"/>
                <w:szCs w:val="21"/>
                <w:highlight w:val="none"/>
              </w:rPr>
              <w:t>□允许。</w:t>
            </w:r>
          </w:p>
        </w:tc>
      </w:tr>
      <w:tr w14:paraId="329A1F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953" w:type="dxa"/>
            <w:tcBorders>
              <w:left w:val="single" w:color="000000" w:sz="6" w:space="0"/>
            </w:tcBorders>
            <w:shd w:val="clear" w:color="auto" w:fill="auto"/>
            <w:vAlign w:val="top"/>
          </w:tcPr>
          <w:p w14:paraId="3ABFD0E4">
            <w:pPr>
              <w:keepNext w:val="0"/>
              <w:keepLines w:val="0"/>
              <w:pageBreakBefore w:val="0"/>
              <w:widowControl/>
              <w:kinsoku/>
              <w:wordWrap/>
              <w:overflowPunct/>
              <w:topLinePunct w:val="0"/>
              <w:bidi w:val="0"/>
              <w:adjustRightInd w:val="0"/>
              <w:snapToGrid w:val="0"/>
              <w:spacing w:line="256" w:lineRule="auto"/>
              <w:textAlignment w:val="baseline"/>
              <w:rPr>
                <w:rFonts w:ascii="Arial"/>
                <w:color w:val="auto"/>
                <w:sz w:val="21"/>
                <w:highlight w:val="none"/>
              </w:rPr>
            </w:pPr>
          </w:p>
          <w:p w14:paraId="3372C82D">
            <w:pPr>
              <w:keepNext w:val="0"/>
              <w:keepLines w:val="0"/>
              <w:pageBreakBefore w:val="0"/>
              <w:widowControl/>
              <w:kinsoku/>
              <w:wordWrap/>
              <w:overflowPunct/>
              <w:topLinePunct w:val="0"/>
              <w:bidi w:val="0"/>
              <w:adjustRightInd w:val="0"/>
              <w:snapToGrid w:val="0"/>
              <w:spacing w:line="256" w:lineRule="auto"/>
              <w:textAlignment w:val="baseline"/>
              <w:rPr>
                <w:rFonts w:ascii="Arial"/>
                <w:color w:val="auto"/>
                <w:sz w:val="21"/>
                <w:highlight w:val="none"/>
              </w:rPr>
            </w:pPr>
          </w:p>
          <w:p w14:paraId="4207C623">
            <w:pPr>
              <w:keepNext w:val="0"/>
              <w:keepLines w:val="0"/>
              <w:pageBreakBefore w:val="0"/>
              <w:widowControl/>
              <w:kinsoku/>
              <w:wordWrap/>
              <w:overflowPunct/>
              <w:topLinePunct w:val="0"/>
              <w:bidi w:val="0"/>
              <w:adjustRightInd w:val="0"/>
              <w:snapToGrid w:val="0"/>
              <w:spacing w:line="257" w:lineRule="auto"/>
              <w:textAlignment w:val="baseline"/>
              <w:rPr>
                <w:rFonts w:ascii="Arial"/>
                <w:color w:val="auto"/>
                <w:sz w:val="21"/>
                <w:highlight w:val="none"/>
              </w:rPr>
            </w:pPr>
          </w:p>
          <w:p w14:paraId="6944A1AA">
            <w:pPr>
              <w:keepNext w:val="0"/>
              <w:keepLines w:val="0"/>
              <w:pageBreakBefore w:val="0"/>
              <w:widowControl/>
              <w:kinsoku/>
              <w:wordWrap/>
              <w:overflowPunct/>
              <w:topLinePunct w:val="0"/>
              <w:bidi w:val="0"/>
              <w:adjustRightInd w:val="0"/>
              <w:snapToGrid w:val="0"/>
              <w:spacing w:line="257" w:lineRule="auto"/>
              <w:textAlignment w:val="baseline"/>
              <w:rPr>
                <w:rFonts w:ascii="Arial"/>
                <w:color w:val="auto"/>
                <w:sz w:val="21"/>
                <w:highlight w:val="none"/>
              </w:rPr>
            </w:pPr>
          </w:p>
          <w:p w14:paraId="5F104646">
            <w:pPr>
              <w:keepNext w:val="0"/>
              <w:keepLines w:val="0"/>
              <w:pageBreakBefore w:val="0"/>
              <w:widowControl/>
              <w:kinsoku/>
              <w:wordWrap/>
              <w:overflowPunct/>
              <w:topLinePunct w:val="0"/>
              <w:bidi w:val="0"/>
              <w:adjustRightInd w:val="0"/>
              <w:snapToGrid w:val="0"/>
              <w:spacing w:line="257" w:lineRule="auto"/>
              <w:textAlignment w:val="baseline"/>
              <w:rPr>
                <w:rFonts w:ascii="Arial"/>
                <w:color w:val="auto"/>
                <w:sz w:val="21"/>
                <w:highlight w:val="none"/>
              </w:rPr>
            </w:pPr>
          </w:p>
          <w:p w14:paraId="1782D8A5">
            <w:pPr>
              <w:keepNext w:val="0"/>
              <w:keepLines w:val="0"/>
              <w:pageBreakBefore w:val="0"/>
              <w:widowControl/>
              <w:kinsoku/>
              <w:wordWrap/>
              <w:overflowPunct/>
              <w:topLinePunct w:val="0"/>
              <w:bidi w:val="0"/>
              <w:adjustRightInd w:val="0"/>
              <w:snapToGrid w:val="0"/>
              <w:spacing w:line="257" w:lineRule="auto"/>
              <w:textAlignment w:val="baseline"/>
              <w:rPr>
                <w:rFonts w:ascii="Arial"/>
                <w:color w:val="auto"/>
                <w:sz w:val="21"/>
                <w:highlight w:val="none"/>
              </w:rPr>
            </w:pPr>
          </w:p>
          <w:p w14:paraId="4D68C555">
            <w:pPr>
              <w:keepNext w:val="0"/>
              <w:keepLines w:val="0"/>
              <w:pageBreakBefore w:val="0"/>
              <w:widowControl/>
              <w:kinsoku/>
              <w:wordWrap/>
              <w:overflowPunct/>
              <w:topLinePunct w:val="0"/>
              <w:bidi w:val="0"/>
              <w:adjustRightInd w:val="0"/>
              <w:snapToGrid w:val="0"/>
              <w:spacing w:line="257" w:lineRule="auto"/>
              <w:textAlignment w:val="baseline"/>
              <w:rPr>
                <w:rFonts w:ascii="Arial"/>
                <w:color w:val="auto"/>
                <w:sz w:val="21"/>
                <w:highlight w:val="none"/>
              </w:rPr>
            </w:pPr>
          </w:p>
          <w:p w14:paraId="5747D6E2">
            <w:pPr>
              <w:keepNext w:val="0"/>
              <w:keepLines w:val="0"/>
              <w:pageBreakBefore w:val="0"/>
              <w:widowControl/>
              <w:kinsoku/>
              <w:wordWrap/>
              <w:overflowPunct/>
              <w:topLinePunct w:val="0"/>
              <w:bidi w:val="0"/>
              <w:adjustRightInd w:val="0"/>
              <w:snapToGrid w:val="0"/>
              <w:spacing w:line="257" w:lineRule="auto"/>
              <w:textAlignment w:val="baseline"/>
              <w:rPr>
                <w:rFonts w:ascii="Arial"/>
                <w:color w:val="auto"/>
                <w:sz w:val="21"/>
                <w:highlight w:val="none"/>
              </w:rPr>
            </w:pPr>
          </w:p>
          <w:p w14:paraId="07CFE22B">
            <w:pPr>
              <w:keepNext w:val="0"/>
              <w:keepLines w:val="0"/>
              <w:pageBreakBefore w:val="0"/>
              <w:widowControl/>
              <w:kinsoku/>
              <w:wordWrap/>
              <w:overflowPunct/>
              <w:topLinePunct w:val="0"/>
              <w:bidi w:val="0"/>
              <w:adjustRightInd w:val="0"/>
              <w:snapToGrid w:val="0"/>
              <w:spacing w:before="60" w:line="187" w:lineRule="auto"/>
              <w:ind w:left="264"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1"/>
                <w:sz w:val="21"/>
                <w:szCs w:val="21"/>
                <w:highlight w:val="none"/>
              </w:rPr>
              <w:t>3.7.3</w:t>
            </w:r>
          </w:p>
        </w:tc>
        <w:tc>
          <w:tcPr>
            <w:tcW w:w="2444" w:type="dxa"/>
            <w:shd w:val="clear" w:color="auto" w:fill="auto"/>
            <w:vAlign w:val="top"/>
          </w:tcPr>
          <w:p w14:paraId="3681B523">
            <w:pPr>
              <w:keepNext w:val="0"/>
              <w:keepLines w:val="0"/>
              <w:pageBreakBefore w:val="0"/>
              <w:widowControl/>
              <w:kinsoku/>
              <w:wordWrap/>
              <w:overflowPunct/>
              <w:topLinePunct w:val="0"/>
              <w:bidi w:val="0"/>
              <w:adjustRightInd w:val="0"/>
              <w:snapToGrid w:val="0"/>
              <w:spacing w:line="250" w:lineRule="auto"/>
              <w:textAlignment w:val="baseline"/>
              <w:rPr>
                <w:rFonts w:ascii="Arial"/>
                <w:color w:val="auto"/>
                <w:sz w:val="21"/>
                <w:highlight w:val="none"/>
              </w:rPr>
            </w:pPr>
          </w:p>
          <w:p w14:paraId="09C10721">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7F74D20B">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54697C6F">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10C204DD">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46D89A5F">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4E2AD3AA">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021B7CDF">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233D57A9">
            <w:pPr>
              <w:pStyle w:val="33"/>
              <w:keepNext w:val="0"/>
              <w:keepLines w:val="0"/>
              <w:pageBreakBefore w:val="0"/>
              <w:widowControl/>
              <w:kinsoku/>
              <w:wordWrap/>
              <w:overflowPunct/>
              <w:topLinePunct w:val="0"/>
              <w:bidi w:val="0"/>
              <w:adjustRightInd w:val="0"/>
              <w:snapToGrid w:val="0"/>
              <w:spacing w:before="69" w:line="221" w:lineRule="auto"/>
              <w:ind w:left="108"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2"/>
                <w:sz w:val="21"/>
                <w:szCs w:val="21"/>
                <w:highlight w:val="none"/>
              </w:rPr>
              <w:t>投标文件制作要求</w:t>
            </w:r>
          </w:p>
        </w:tc>
        <w:tc>
          <w:tcPr>
            <w:tcW w:w="5503" w:type="dxa"/>
            <w:tcBorders>
              <w:right w:val="single" w:color="000000" w:sz="6" w:space="0"/>
            </w:tcBorders>
            <w:shd w:val="clear" w:color="auto" w:fill="auto"/>
            <w:vAlign w:val="top"/>
          </w:tcPr>
          <w:p w14:paraId="4D258755">
            <w:pPr>
              <w:pStyle w:val="33"/>
              <w:keepNext w:val="0"/>
              <w:keepLines w:val="0"/>
              <w:pageBreakBefore w:val="0"/>
              <w:widowControl/>
              <w:kinsoku/>
              <w:wordWrap/>
              <w:overflowPunct/>
              <w:topLinePunct w:val="0"/>
              <w:bidi w:val="0"/>
              <w:adjustRightInd w:val="0"/>
              <w:snapToGrid w:val="0"/>
              <w:spacing w:before="106" w:line="307" w:lineRule="auto"/>
              <w:ind w:left="110" w:right="98" w:firstLine="227"/>
              <w:textAlignment w:val="baseline"/>
              <w:rPr>
                <w:strike w:val="0"/>
                <w:dstrike w:val="0"/>
                <w:color w:val="auto"/>
                <w:sz w:val="21"/>
                <w:szCs w:val="21"/>
                <w:highlight w:val="none"/>
              </w:rPr>
            </w:pPr>
            <w:r>
              <w:rPr>
                <w:rFonts w:ascii="Times New Roman" w:hAnsi="Times New Roman" w:eastAsia="Times New Roman" w:cs="Times New Roman"/>
                <w:strike w:val="0"/>
                <w:dstrike w:val="0"/>
                <w:color w:val="auto"/>
                <w:spacing w:val="3"/>
                <w:sz w:val="21"/>
                <w:szCs w:val="21"/>
                <w:highlight w:val="none"/>
              </w:rPr>
              <w:t>1</w:t>
            </w:r>
            <w:r>
              <w:rPr>
                <w:rFonts w:ascii="Times New Roman" w:hAnsi="Times New Roman" w:eastAsia="Times New Roman" w:cs="Times New Roman"/>
                <w:b/>
                <w:bCs/>
                <w:strike w:val="0"/>
                <w:dstrike w:val="0"/>
                <w:color w:val="auto"/>
                <w:spacing w:val="3"/>
                <w:sz w:val="21"/>
                <w:szCs w:val="21"/>
                <w:highlight w:val="none"/>
              </w:rPr>
              <w:t xml:space="preserve">.  </w:t>
            </w:r>
            <w:r>
              <w:rPr>
                <w:strike w:val="0"/>
                <w:dstrike w:val="0"/>
                <w:color w:val="auto"/>
                <w:spacing w:val="3"/>
                <w:sz w:val="21"/>
                <w:szCs w:val="21"/>
                <w:highlight w:val="none"/>
              </w:rPr>
              <w:t>投标文件格式文件要求法定代表人签字或盖章的</w:t>
            </w:r>
            <w:r>
              <w:rPr>
                <w:rFonts w:ascii="Times New Roman" w:hAnsi="Times New Roman" w:eastAsia="Times New Roman" w:cs="Times New Roman"/>
                <w:strike w:val="0"/>
                <w:dstrike w:val="0"/>
                <w:color w:val="auto"/>
                <w:spacing w:val="3"/>
                <w:sz w:val="21"/>
                <w:szCs w:val="21"/>
                <w:highlight w:val="none"/>
              </w:rPr>
              <w:t>,</w:t>
            </w:r>
            <w:r>
              <w:rPr>
                <w:rFonts w:ascii="Times New Roman" w:hAnsi="Times New Roman" w:eastAsia="Times New Roman" w:cs="Times New Roman"/>
                <w:strike w:val="0"/>
                <w:dstrike w:val="0"/>
                <w:color w:val="auto"/>
                <w:spacing w:val="-14"/>
                <w:sz w:val="21"/>
                <w:szCs w:val="21"/>
                <w:highlight w:val="none"/>
              </w:rPr>
              <w:t xml:space="preserve"> </w:t>
            </w:r>
            <w:r>
              <w:rPr>
                <w:strike w:val="0"/>
                <w:dstrike w:val="0"/>
                <w:color w:val="auto"/>
                <w:spacing w:val="3"/>
                <w:sz w:val="21"/>
                <w:szCs w:val="21"/>
                <w:highlight w:val="none"/>
              </w:rPr>
              <w:t>电</w:t>
            </w:r>
            <w:r>
              <w:rPr>
                <w:strike w:val="0"/>
                <w:dstrike w:val="0"/>
                <w:color w:val="auto"/>
                <w:sz w:val="21"/>
                <w:szCs w:val="21"/>
                <w:highlight w:val="none"/>
              </w:rPr>
              <w:t xml:space="preserve"> </w:t>
            </w:r>
            <w:r>
              <w:rPr>
                <w:strike w:val="0"/>
                <w:dstrike w:val="0"/>
                <w:color w:val="auto"/>
                <w:spacing w:val="6"/>
                <w:sz w:val="21"/>
                <w:szCs w:val="21"/>
                <w:highlight w:val="none"/>
              </w:rPr>
              <w:t>子投标文件应使用</w:t>
            </w:r>
            <w:r>
              <w:rPr>
                <w:rFonts w:ascii="Times New Roman" w:hAnsi="Times New Roman" w:eastAsia="Times New Roman" w:cs="Times New Roman"/>
                <w:b/>
                <w:bCs/>
                <w:strike w:val="0"/>
                <w:dstrike w:val="0"/>
                <w:color w:val="auto"/>
                <w:sz w:val="21"/>
                <w:szCs w:val="21"/>
                <w:highlight w:val="none"/>
              </w:rPr>
              <w:t>CA</w:t>
            </w:r>
            <w:r>
              <w:rPr>
                <w:strike w:val="0"/>
                <w:dstrike w:val="0"/>
                <w:color w:val="auto"/>
                <w:spacing w:val="6"/>
                <w:sz w:val="21"/>
                <w:szCs w:val="21"/>
                <w:highlight w:val="none"/>
              </w:rPr>
              <w:t>数字证书加盖法定代表人个人电子</w:t>
            </w:r>
            <w:r>
              <w:rPr>
                <w:strike w:val="0"/>
                <w:dstrike w:val="0"/>
                <w:color w:val="auto"/>
                <w:spacing w:val="11"/>
                <w:sz w:val="21"/>
                <w:szCs w:val="21"/>
                <w:highlight w:val="none"/>
              </w:rPr>
              <w:t xml:space="preserve"> </w:t>
            </w:r>
            <w:r>
              <w:rPr>
                <w:strike w:val="0"/>
                <w:dstrike w:val="0"/>
                <w:color w:val="auto"/>
                <w:spacing w:val="1"/>
                <w:sz w:val="21"/>
                <w:szCs w:val="21"/>
                <w:highlight w:val="none"/>
              </w:rPr>
              <w:t>印章；投标格式文件中要求投标人单位盖章的，电子投标</w:t>
            </w:r>
            <w:r>
              <w:rPr>
                <w:strike w:val="0"/>
                <w:dstrike w:val="0"/>
                <w:color w:val="auto"/>
                <w:spacing w:val="6"/>
                <w:sz w:val="21"/>
                <w:szCs w:val="21"/>
                <w:highlight w:val="none"/>
              </w:rPr>
              <w:t xml:space="preserve"> </w:t>
            </w:r>
            <w:r>
              <w:rPr>
                <w:strike w:val="0"/>
                <w:dstrike w:val="0"/>
                <w:color w:val="auto"/>
                <w:spacing w:val="-3"/>
                <w:sz w:val="21"/>
                <w:szCs w:val="21"/>
                <w:highlight w:val="none"/>
              </w:rPr>
              <w:t>文件应使用</w:t>
            </w:r>
            <w:r>
              <w:rPr>
                <w:rFonts w:ascii="Times New Roman" w:hAnsi="Times New Roman" w:eastAsia="Times New Roman" w:cs="Times New Roman"/>
                <w:b/>
                <w:bCs/>
                <w:strike w:val="0"/>
                <w:dstrike w:val="0"/>
                <w:color w:val="auto"/>
                <w:spacing w:val="-3"/>
                <w:sz w:val="21"/>
                <w:szCs w:val="21"/>
                <w:highlight w:val="none"/>
              </w:rPr>
              <w:t>CA</w:t>
            </w:r>
            <w:r>
              <w:rPr>
                <w:strike w:val="0"/>
                <w:dstrike w:val="0"/>
                <w:color w:val="auto"/>
                <w:spacing w:val="-3"/>
                <w:sz w:val="21"/>
                <w:szCs w:val="21"/>
                <w:highlight w:val="none"/>
              </w:rPr>
              <w:t>数字证书加盖投标人单位电子印章。联合体</w:t>
            </w:r>
            <w:r>
              <w:rPr>
                <w:strike w:val="0"/>
                <w:dstrike w:val="0"/>
                <w:color w:val="auto"/>
                <w:spacing w:val="16"/>
                <w:sz w:val="21"/>
                <w:szCs w:val="21"/>
                <w:highlight w:val="none"/>
              </w:rPr>
              <w:t xml:space="preserve"> </w:t>
            </w:r>
            <w:r>
              <w:rPr>
                <w:strike w:val="0"/>
                <w:dstrike w:val="0"/>
                <w:color w:val="auto"/>
                <w:spacing w:val="1"/>
                <w:sz w:val="21"/>
                <w:szCs w:val="21"/>
                <w:highlight w:val="none"/>
              </w:rPr>
              <w:t>投标的，除联合体协议书之外，其余由联合体牵头人加盖</w:t>
            </w:r>
            <w:r>
              <w:rPr>
                <w:strike w:val="0"/>
                <w:dstrike w:val="0"/>
                <w:color w:val="auto"/>
                <w:spacing w:val="6"/>
                <w:sz w:val="21"/>
                <w:szCs w:val="21"/>
                <w:highlight w:val="none"/>
              </w:rPr>
              <w:t xml:space="preserve"> </w:t>
            </w:r>
            <w:r>
              <w:rPr>
                <w:strike w:val="0"/>
                <w:dstrike w:val="0"/>
                <w:color w:val="auto"/>
                <w:spacing w:val="1"/>
                <w:sz w:val="21"/>
                <w:szCs w:val="21"/>
                <w:highlight w:val="none"/>
              </w:rPr>
              <w:t>单位电子印章、法定代表人个人电子印章即可。工程量清</w:t>
            </w:r>
            <w:r>
              <w:rPr>
                <w:strike w:val="0"/>
                <w:dstrike w:val="0"/>
                <w:color w:val="auto"/>
                <w:spacing w:val="6"/>
                <w:sz w:val="21"/>
                <w:szCs w:val="21"/>
                <w:highlight w:val="none"/>
              </w:rPr>
              <w:t xml:space="preserve"> </w:t>
            </w:r>
            <w:r>
              <w:rPr>
                <w:strike w:val="0"/>
                <w:dstrike w:val="0"/>
                <w:color w:val="auto"/>
                <w:spacing w:val="1"/>
                <w:sz w:val="21"/>
                <w:szCs w:val="21"/>
                <w:highlight w:val="none"/>
              </w:rPr>
              <w:t>单报价表封面由注册一级造价工程师（水利工程）或浙江</w:t>
            </w:r>
            <w:r>
              <w:rPr>
                <w:strike w:val="0"/>
                <w:dstrike w:val="0"/>
                <w:color w:val="auto"/>
                <w:spacing w:val="6"/>
                <w:sz w:val="21"/>
                <w:szCs w:val="21"/>
                <w:highlight w:val="none"/>
              </w:rPr>
              <w:t xml:space="preserve"> </w:t>
            </w:r>
            <w:r>
              <w:rPr>
                <w:strike w:val="0"/>
                <w:dstrike w:val="0"/>
                <w:color w:val="auto"/>
                <w:spacing w:val="1"/>
                <w:sz w:val="21"/>
                <w:szCs w:val="21"/>
                <w:highlight w:val="none"/>
              </w:rPr>
              <w:t>省二级造价工程师（水利工程）签字并加盖执业专用章，</w:t>
            </w:r>
            <w:r>
              <w:rPr>
                <w:strike w:val="0"/>
                <w:dstrike w:val="0"/>
                <w:color w:val="auto"/>
                <w:spacing w:val="3"/>
                <w:sz w:val="21"/>
                <w:szCs w:val="21"/>
                <w:highlight w:val="none"/>
              </w:rPr>
              <w:t xml:space="preserve"> </w:t>
            </w:r>
            <w:r>
              <w:rPr>
                <w:strike w:val="0"/>
                <w:dstrike w:val="0"/>
                <w:color w:val="auto"/>
                <w:spacing w:val="1"/>
                <w:sz w:val="21"/>
                <w:szCs w:val="21"/>
                <w:highlight w:val="none"/>
              </w:rPr>
              <w:t>并提供造价工程师注册证书。投标人可委托工程造价咨询</w:t>
            </w:r>
            <w:r>
              <w:rPr>
                <w:strike w:val="0"/>
                <w:dstrike w:val="0"/>
                <w:color w:val="auto"/>
                <w:spacing w:val="6"/>
                <w:sz w:val="21"/>
                <w:szCs w:val="21"/>
                <w:highlight w:val="none"/>
              </w:rPr>
              <w:t xml:space="preserve"> </w:t>
            </w:r>
            <w:r>
              <w:rPr>
                <w:strike w:val="0"/>
                <w:dstrike w:val="0"/>
                <w:color w:val="auto"/>
                <w:spacing w:val="-1"/>
                <w:sz w:val="21"/>
                <w:szCs w:val="21"/>
                <w:highlight w:val="none"/>
              </w:rPr>
              <w:t>人编制投标报价。</w:t>
            </w:r>
          </w:p>
          <w:p w14:paraId="324B74D5">
            <w:pPr>
              <w:pStyle w:val="33"/>
              <w:keepNext w:val="0"/>
              <w:keepLines w:val="0"/>
              <w:pageBreakBefore w:val="0"/>
              <w:widowControl/>
              <w:kinsoku/>
              <w:wordWrap/>
              <w:overflowPunct/>
              <w:topLinePunct w:val="0"/>
              <w:bidi w:val="0"/>
              <w:adjustRightInd w:val="0"/>
              <w:snapToGrid w:val="0"/>
              <w:spacing w:before="110" w:line="221" w:lineRule="auto"/>
              <w:ind w:firstLine="408" w:firstLineChars="200"/>
              <w:textAlignment w:val="baseline"/>
              <w:rPr>
                <w:strike w:val="0"/>
                <w:dstrike w:val="0"/>
                <w:color w:val="auto"/>
                <w:sz w:val="21"/>
                <w:szCs w:val="21"/>
                <w:highlight w:val="none"/>
              </w:rPr>
            </w:pPr>
            <w:r>
              <w:rPr>
                <w:rFonts w:ascii="Times New Roman" w:hAnsi="Times New Roman" w:eastAsia="Times New Roman" w:cs="Times New Roman"/>
                <w:strike w:val="0"/>
                <w:dstrike w:val="0"/>
                <w:color w:val="auto"/>
                <w:spacing w:val="-3"/>
                <w:sz w:val="21"/>
                <w:szCs w:val="21"/>
                <w:highlight w:val="none"/>
              </w:rPr>
              <w:t>2</w:t>
            </w:r>
            <w:r>
              <w:rPr>
                <w:rFonts w:ascii="Times New Roman" w:hAnsi="Times New Roman" w:eastAsia="Times New Roman" w:cs="Times New Roman"/>
                <w:b/>
                <w:bCs/>
                <w:strike w:val="0"/>
                <w:dstrike w:val="0"/>
                <w:color w:val="auto"/>
                <w:spacing w:val="-3"/>
                <w:sz w:val="21"/>
                <w:szCs w:val="21"/>
                <w:highlight w:val="none"/>
              </w:rPr>
              <w:t>.</w:t>
            </w:r>
            <w:r>
              <w:rPr>
                <w:rFonts w:ascii="Times New Roman" w:hAnsi="Times New Roman" w:eastAsia="Times New Roman" w:cs="Times New Roman"/>
                <w:b/>
                <w:bCs/>
                <w:strike w:val="0"/>
                <w:dstrike w:val="0"/>
                <w:color w:val="auto"/>
                <w:spacing w:val="17"/>
                <w:sz w:val="21"/>
                <w:szCs w:val="21"/>
                <w:highlight w:val="none"/>
              </w:rPr>
              <w:t xml:space="preserve">  </w:t>
            </w:r>
            <w:r>
              <w:rPr>
                <w:rFonts w:hint="eastAsia"/>
                <w:strike w:val="0"/>
                <w:dstrike w:val="0"/>
                <w:color w:val="auto"/>
                <w:spacing w:val="-3"/>
                <w:sz w:val="21"/>
                <w:szCs w:val="21"/>
                <w:highlight w:val="none"/>
                <w:lang w:eastAsia="zh-CN"/>
              </w:rPr>
              <w:t>□</w:t>
            </w:r>
            <w:r>
              <w:rPr>
                <w:strike w:val="0"/>
                <w:dstrike w:val="0"/>
                <w:color w:val="auto"/>
                <w:spacing w:val="-3"/>
                <w:sz w:val="21"/>
                <w:szCs w:val="21"/>
                <w:highlight w:val="none"/>
              </w:rPr>
              <w:t>施工组织设计页数不超过</w:t>
            </w:r>
            <w:r>
              <w:rPr>
                <w:strike w:val="0"/>
                <w:dstrike w:val="0"/>
                <w:color w:val="auto"/>
                <w:spacing w:val="-105"/>
                <w:sz w:val="21"/>
                <w:szCs w:val="21"/>
                <w:highlight w:val="none"/>
              </w:rPr>
              <w:t xml:space="preserve"> </w:t>
            </w:r>
            <w:r>
              <w:rPr>
                <w:strike w:val="0"/>
                <w:dstrike w:val="0"/>
                <w:color w:val="auto"/>
                <w:spacing w:val="7"/>
                <w:sz w:val="21"/>
                <w:szCs w:val="21"/>
                <w:highlight w:val="none"/>
                <w:u w:val="single" w:color="auto"/>
              </w:rPr>
              <w:t xml:space="preserve"> </w:t>
            </w:r>
            <w:r>
              <w:rPr>
                <w:rFonts w:hint="eastAsia"/>
                <w:strike w:val="0"/>
                <w:dstrike w:val="0"/>
                <w:color w:val="auto"/>
                <w:spacing w:val="7"/>
                <w:sz w:val="21"/>
                <w:szCs w:val="21"/>
                <w:highlight w:val="none"/>
                <w:u w:val="single" w:color="auto"/>
                <w:lang w:val="en-US" w:eastAsia="zh-CN"/>
              </w:rPr>
              <w:t xml:space="preserve"> </w:t>
            </w:r>
            <w:r>
              <w:rPr>
                <w:strike w:val="0"/>
                <w:dstrike w:val="0"/>
                <w:color w:val="auto"/>
                <w:spacing w:val="7"/>
                <w:sz w:val="21"/>
                <w:szCs w:val="21"/>
                <w:highlight w:val="none"/>
                <w:u w:val="single" w:color="auto"/>
              </w:rPr>
              <w:t xml:space="preserve"> </w:t>
            </w:r>
            <w:r>
              <w:rPr>
                <w:strike w:val="0"/>
                <w:dstrike w:val="0"/>
                <w:color w:val="auto"/>
                <w:spacing w:val="-92"/>
                <w:sz w:val="21"/>
                <w:szCs w:val="21"/>
                <w:highlight w:val="none"/>
              </w:rPr>
              <w:t xml:space="preserve"> </w:t>
            </w:r>
            <w:r>
              <w:rPr>
                <w:strike w:val="0"/>
                <w:dstrike w:val="0"/>
                <w:color w:val="auto"/>
                <w:spacing w:val="-3"/>
                <w:sz w:val="21"/>
                <w:szCs w:val="21"/>
                <w:highlight w:val="none"/>
              </w:rPr>
              <w:t>页；</w:t>
            </w:r>
          </w:p>
          <w:p w14:paraId="7C420B8A">
            <w:pPr>
              <w:pStyle w:val="33"/>
              <w:keepNext w:val="0"/>
              <w:keepLines w:val="0"/>
              <w:pageBreakBefore w:val="0"/>
              <w:widowControl/>
              <w:kinsoku/>
              <w:wordWrap/>
              <w:overflowPunct/>
              <w:topLinePunct w:val="0"/>
              <w:autoSpaceDE/>
              <w:autoSpaceDN/>
              <w:bidi w:val="0"/>
              <w:adjustRightInd w:val="0"/>
              <w:snapToGrid w:val="0"/>
              <w:spacing w:line="288" w:lineRule="auto"/>
              <w:ind w:firstLine="400" w:firstLineChars="200"/>
              <w:textAlignment w:val="baseline"/>
              <w:rPr>
                <w:rFonts w:hint="eastAsia" w:ascii="宋体" w:hAnsi="宋体" w:eastAsia="宋体" w:cs="宋体"/>
                <w:snapToGrid w:val="0"/>
                <w:color w:val="auto"/>
                <w:kern w:val="0"/>
                <w:sz w:val="21"/>
                <w:szCs w:val="21"/>
                <w:highlight w:val="none"/>
                <w:lang w:val="en-US" w:eastAsia="zh-CN" w:bidi="ar-SA"/>
              </w:rPr>
            </w:pPr>
            <w:r>
              <w:rPr>
                <w:rFonts w:ascii="Times New Roman" w:hAnsi="Times New Roman" w:eastAsia="Times New Roman" w:cs="Times New Roman"/>
                <w:color w:val="auto"/>
                <w:spacing w:val="-5"/>
                <w:sz w:val="21"/>
                <w:szCs w:val="21"/>
                <w:highlight w:val="none"/>
              </w:rPr>
              <w:t>3</w:t>
            </w:r>
            <w:r>
              <w:rPr>
                <w:rFonts w:ascii="Times New Roman" w:hAnsi="Times New Roman" w:eastAsia="Times New Roman" w:cs="Times New Roman"/>
                <w:b/>
                <w:bCs/>
                <w:color w:val="auto"/>
                <w:spacing w:val="-5"/>
                <w:sz w:val="21"/>
                <w:szCs w:val="21"/>
                <w:highlight w:val="none"/>
              </w:rPr>
              <w:t>.</w:t>
            </w:r>
            <w:r>
              <w:rPr>
                <w:rFonts w:ascii="Times New Roman" w:hAnsi="Times New Roman" w:eastAsia="Times New Roman" w:cs="Times New Roman"/>
                <w:b/>
                <w:bCs/>
                <w:color w:val="auto"/>
                <w:spacing w:val="15"/>
                <w:w w:val="101"/>
                <w:sz w:val="21"/>
                <w:szCs w:val="21"/>
                <w:highlight w:val="none"/>
              </w:rPr>
              <w:t xml:space="preserve">  </w:t>
            </w:r>
            <w:r>
              <w:rPr>
                <w:rFonts w:hint="eastAsia"/>
                <w:color w:val="auto"/>
                <w:spacing w:val="-5"/>
                <w:sz w:val="21"/>
                <w:szCs w:val="21"/>
                <w:highlight w:val="none"/>
                <w:lang w:eastAsia="zh-CN"/>
              </w:rPr>
              <w:t>□</w:t>
            </w:r>
            <w:r>
              <w:rPr>
                <w:color w:val="auto"/>
                <w:spacing w:val="-5"/>
                <w:sz w:val="21"/>
                <w:szCs w:val="21"/>
                <w:highlight w:val="none"/>
              </w:rPr>
              <w:t>其他要求：</w:t>
            </w:r>
            <w:r>
              <w:rPr>
                <w:color w:val="auto"/>
                <w:sz w:val="21"/>
                <w:szCs w:val="21"/>
                <w:highlight w:val="none"/>
                <w:u w:val="single" w:color="auto"/>
              </w:rPr>
              <w:t xml:space="preserve"> </w:t>
            </w:r>
            <w:r>
              <w:rPr>
                <w:rFonts w:hint="eastAsia" w:ascii="Times New Roman" w:hAnsi="Times New Roman" w:cs="Times New Roman"/>
                <w:color w:val="auto"/>
                <w:sz w:val="21"/>
                <w:szCs w:val="21"/>
                <w:highlight w:val="none"/>
                <w:u w:val="single"/>
                <w:lang w:val="en-US" w:eastAsia="zh-CN"/>
              </w:rPr>
              <w:t xml:space="preserve">                                   </w:t>
            </w:r>
          </w:p>
        </w:tc>
      </w:tr>
      <w:tr w14:paraId="03BB4B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7" w:hRule="atLeast"/>
        </w:trPr>
        <w:tc>
          <w:tcPr>
            <w:tcW w:w="953" w:type="dxa"/>
            <w:tcBorders>
              <w:left w:val="single" w:color="000000" w:sz="6" w:space="0"/>
            </w:tcBorders>
            <w:shd w:val="clear" w:color="auto" w:fill="auto"/>
            <w:vAlign w:val="top"/>
          </w:tcPr>
          <w:p w14:paraId="5BACD141">
            <w:pPr>
              <w:keepNext w:val="0"/>
              <w:keepLines w:val="0"/>
              <w:pageBreakBefore w:val="0"/>
              <w:widowControl/>
              <w:kinsoku/>
              <w:wordWrap/>
              <w:overflowPunct/>
              <w:topLinePunct w:val="0"/>
              <w:bidi w:val="0"/>
              <w:adjustRightInd w:val="0"/>
              <w:snapToGrid w:val="0"/>
              <w:spacing w:line="365" w:lineRule="auto"/>
              <w:textAlignment w:val="baseline"/>
              <w:rPr>
                <w:rFonts w:ascii="Arial"/>
                <w:color w:val="auto"/>
                <w:sz w:val="21"/>
                <w:highlight w:val="none"/>
              </w:rPr>
            </w:pPr>
          </w:p>
          <w:p w14:paraId="1DD388D4">
            <w:pPr>
              <w:keepNext w:val="0"/>
              <w:keepLines w:val="0"/>
              <w:pageBreakBefore w:val="0"/>
              <w:widowControl/>
              <w:kinsoku/>
              <w:wordWrap/>
              <w:overflowPunct/>
              <w:topLinePunct w:val="0"/>
              <w:bidi w:val="0"/>
              <w:adjustRightInd w:val="0"/>
              <w:snapToGrid w:val="0"/>
              <w:spacing w:before="60" w:line="187" w:lineRule="auto"/>
              <w:ind w:left="264"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1"/>
                <w:sz w:val="21"/>
                <w:szCs w:val="21"/>
                <w:highlight w:val="none"/>
              </w:rPr>
              <w:t>3.7.4</w:t>
            </w:r>
          </w:p>
        </w:tc>
        <w:tc>
          <w:tcPr>
            <w:tcW w:w="2444" w:type="dxa"/>
            <w:shd w:val="clear" w:color="auto" w:fill="auto"/>
            <w:vAlign w:val="top"/>
          </w:tcPr>
          <w:p w14:paraId="6B849056">
            <w:pPr>
              <w:keepNext w:val="0"/>
              <w:keepLines w:val="0"/>
              <w:pageBreakBefore w:val="0"/>
              <w:widowControl/>
              <w:kinsoku/>
              <w:wordWrap/>
              <w:overflowPunct/>
              <w:topLinePunct w:val="0"/>
              <w:bidi w:val="0"/>
              <w:adjustRightInd w:val="0"/>
              <w:snapToGrid w:val="0"/>
              <w:spacing w:line="318" w:lineRule="auto"/>
              <w:textAlignment w:val="baseline"/>
              <w:rPr>
                <w:rFonts w:ascii="Arial"/>
                <w:color w:val="auto"/>
                <w:sz w:val="21"/>
                <w:highlight w:val="none"/>
              </w:rPr>
            </w:pPr>
          </w:p>
          <w:p w14:paraId="4170C756">
            <w:pPr>
              <w:pStyle w:val="33"/>
              <w:keepNext w:val="0"/>
              <w:keepLines w:val="0"/>
              <w:pageBreakBefore w:val="0"/>
              <w:widowControl/>
              <w:kinsoku/>
              <w:wordWrap/>
              <w:overflowPunct/>
              <w:topLinePunct w:val="0"/>
              <w:bidi w:val="0"/>
              <w:adjustRightInd w:val="0"/>
              <w:snapToGrid w:val="0"/>
              <w:spacing w:before="69" w:line="221" w:lineRule="auto"/>
              <w:ind w:left="108"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2"/>
                <w:sz w:val="21"/>
                <w:szCs w:val="21"/>
                <w:highlight w:val="none"/>
              </w:rPr>
              <w:t>投标文件的份数</w:t>
            </w:r>
          </w:p>
        </w:tc>
        <w:tc>
          <w:tcPr>
            <w:tcW w:w="5503" w:type="dxa"/>
            <w:tcBorders>
              <w:right w:val="single" w:color="000000" w:sz="6" w:space="0"/>
            </w:tcBorders>
            <w:shd w:val="clear" w:color="auto" w:fill="auto"/>
            <w:vAlign w:val="center"/>
          </w:tcPr>
          <w:p w14:paraId="5DF7C8C5">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default" w:ascii="Times New Roman" w:hAnsi="Times New Roman" w:eastAsia="宋体" w:cs="Times New Roman"/>
                <w:snapToGrid w:val="0"/>
                <w:color w:val="auto"/>
                <w:kern w:val="0"/>
                <w:sz w:val="21"/>
                <w:szCs w:val="21"/>
                <w:highlight w:val="none"/>
                <w:lang w:val="en-US" w:eastAsia="zh-CN" w:bidi="ar-SA"/>
              </w:rPr>
            </w:pPr>
            <w:r>
              <w:rPr>
                <w:rFonts w:hint="default" w:ascii="Times New Roman" w:hAnsi="Times New Roman" w:cs="Times New Roman"/>
                <w:color w:val="auto"/>
                <w:sz w:val="21"/>
                <w:szCs w:val="21"/>
                <w:highlight w:val="none"/>
                <w:lang w:val="en-US" w:eastAsia="zh-CN"/>
              </w:rPr>
              <w:t>加密电子投标文件一份上传至：</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cs="Times New Roman"/>
                <w:color w:val="auto"/>
                <w:sz w:val="21"/>
                <w:szCs w:val="21"/>
                <w:highlight w:val="none"/>
                <w:u w:val="single"/>
                <w:lang w:val="en-US" w:eastAsia="zh-CN"/>
              </w:rPr>
              <w:t>上传至绍兴市公共资源交易中心电子招投标交易平台</w:t>
            </w:r>
            <w:r>
              <w:rPr>
                <w:rFonts w:hint="eastAsia" w:ascii="Times New Roman" w:hAnsi="Times New Roman" w:cs="Times New Roman"/>
                <w:color w:val="auto"/>
                <w:sz w:val="21"/>
                <w:szCs w:val="21"/>
                <w:highlight w:val="none"/>
                <w:u w:val="single"/>
                <w:lang w:val="en-US" w:eastAsia="zh-CN"/>
              </w:rPr>
              <w:t>）</w:t>
            </w:r>
            <w:r>
              <w:rPr>
                <w:rFonts w:hint="default" w:ascii="Times New Roman" w:hAnsi="Times New Roman" w:cs="Times New Roman"/>
                <w:color w:val="auto"/>
                <w:sz w:val="21"/>
                <w:szCs w:val="21"/>
                <w:highlight w:val="none"/>
                <w:lang w:val="en-US" w:eastAsia="zh-CN"/>
              </w:rPr>
              <w:t>，作为投标文件正本。</w:t>
            </w:r>
          </w:p>
        </w:tc>
      </w:tr>
    </w:tbl>
    <w:p w14:paraId="771A0EA1">
      <w:pPr>
        <w:pStyle w:val="3"/>
        <w:rPr>
          <w:color w:val="auto"/>
          <w:highlight w:val="none"/>
        </w:rPr>
      </w:pPr>
    </w:p>
    <w:p w14:paraId="2E48ABF1">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6D7878DD">
      <w:pPr>
        <w:spacing w:line="89" w:lineRule="auto"/>
        <w:rPr>
          <w:rFonts w:ascii="Arial"/>
          <w:color w:val="auto"/>
          <w:sz w:val="2"/>
          <w:highlight w:val="none"/>
        </w:rPr>
      </w:pPr>
    </w:p>
    <w:tbl>
      <w:tblPr>
        <w:tblStyle w:val="32"/>
        <w:tblpPr w:leftFromText="180" w:rightFromText="180" w:vertAnchor="text" w:horzAnchor="page" w:tblpX="1625" w:tblpY="15"/>
        <w:tblOverlap w:val="never"/>
        <w:tblW w:w="8900" w:type="dxa"/>
        <w:tblInd w:w="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2444"/>
        <w:gridCol w:w="5503"/>
      </w:tblGrid>
      <w:tr w14:paraId="59CE2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77" w:hRule="atLeast"/>
        </w:trPr>
        <w:tc>
          <w:tcPr>
            <w:tcW w:w="953" w:type="dxa"/>
            <w:tcBorders>
              <w:top w:val="single" w:color="000000" w:sz="6" w:space="0"/>
              <w:left w:val="single" w:color="000000" w:sz="6" w:space="0"/>
            </w:tcBorders>
            <w:vAlign w:val="top"/>
          </w:tcPr>
          <w:p w14:paraId="516545E8">
            <w:pPr>
              <w:pStyle w:val="33"/>
              <w:keepNext w:val="0"/>
              <w:keepLines w:val="0"/>
              <w:pageBreakBefore w:val="0"/>
              <w:widowControl/>
              <w:kinsoku/>
              <w:wordWrap/>
              <w:overflowPunct/>
              <w:topLinePunct w:val="0"/>
              <w:bidi w:val="0"/>
              <w:adjustRightInd w:val="0"/>
              <w:snapToGrid w:val="0"/>
              <w:spacing w:before="213" w:line="221" w:lineRule="auto"/>
              <w:ind w:left="158"/>
              <w:textAlignment w:val="baseline"/>
              <w:rPr>
                <w:color w:val="auto"/>
                <w:sz w:val="21"/>
                <w:szCs w:val="21"/>
                <w:highlight w:val="none"/>
              </w:rPr>
            </w:pPr>
            <w:r>
              <w:rPr>
                <w:b/>
                <w:bCs/>
                <w:color w:val="auto"/>
                <w:spacing w:val="-4"/>
                <w:sz w:val="21"/>
                <w:szCs w:val="21"/>
                <w:highlight w:val="none"/>
              </w:rPr>
              <w:t>条款号</w:t>
            </w:r>
          </w:p>
        </w:tc>
        <w:tc>
          <w:tcPr>
            <w:tcW w:w="2444" w:type="dxa"/>
            <w:tcBorders>
              <w:top w:val="single" w:color="000000" w:sz="6" w:space="0"/>
            </w:tcBorders>
            <w:vAlign w:val="top"/>
          </w:tcPr>
          <w:p w14:paraId="33F3CF71">
            <w:pPr>
              <w:pStyle w:val="33"/>
              <w:keepNext w:val="0"/>
              <w:keepLines w:val="0"/>
              <w:pageBreakBefore w:val="0"/>
              <w:widowControl/>
              <w:kinsoku/>
              <w:wordWrap/>
              <w:overflowPunct/>
              <w:topLinePunct w:val="0"/>
              <w:bidi w:val="0"/>
              <w:adjustRightInd w:val="0"/>
              <w:snapToGrid w:val="0"/>
              <w:spacing w:before="213" w:line="221" w:lineRule="auto"/>
              <w:ind w:left="642"/>
              <w:textAlignment w:val="baseline"/>
              <w:rPr>
                <w:color w:val="auto"/>
                <w:sz w:val="21"/>
                <w:szCs w:val="21"/>
                <w:highlight w:val="none"/>
              </w:rPr>
            </w:pPr>
            <w:r>
              <w:rPr>
                <w:b/>
                <w:bCs/>
                <w:color w:val="auto"/>
                <w:spacing w:val="-9"/>
                <w:sz w:val="21"/>
                <w:szCs w:val="21"/>
                <w:highlight w:val="none"/>
              </w:rPr>
              <w:t>条</w:t>
            </w:r>
            <w:r>
              <w:rPr>
                <w:color w:val="auto"/>
                <w:spacing w:val="9"/>
                <w:sz w:val="21"/>
                <w:szCs w:val="21"/>
                <w:highlight w:val="none"/>
              </w:rPr>
              <w:t xml:space="preserve"> </w:t>
            </w:r>
            <w:r>
              <w:rPr>
                <w:b/>
                <w:bCs/>
                <w:color w:val="auto"/>
                <w:spacing w:val="-9"/>
                <w:sz w:val="21"/>
                <w:szCs w:val="21"/>
                <w:highlight w:val="none"/>
              </w:rPr>
              <w:t>款</w:t>
            </w:r>
            <w:r>
              <w:rPr>
                <w:color w:val="auto"/>
                <w:spacing w:val="12"/>
                <w:sz w:val="21"/>
                <w:szCs w:val="21"/>
                <w:highlight w:val="none"/>
              </w:rPr>
              <w:t xml:space="preserve"> </w:t>
            </w:r>
            <w:r>
              <w:rPr>
                <w:b/>
                <w:bCs/>
                <w:color w:val="auto"/>
                <w:spacing w:val="-9"/>
                <w:sz w:val="21"/>
                <w:szCs w:val="21"/>
                <w:highlight w:val="none"/>
              </w:rPr>
              <w:t>名</w:t>
            </w:r>
            <w:r>
              <w:rPr>
                <w:color w:val="auto"/>
                <w:spacing w:val="5"/>
                <w:sz w:val="21"/>
                <w:szCs w:val="21"/>
                <w:highlight w:val="none"/>
              </w:rPr>
              <w:t xml:space="preserve"> </w:t>
            </w:r>
            <w:r>
              <w:rPr>
                <w:b/>
                <w:bCs/>
                <w:color w:val="auto"/>
                <w:spacing w:val="-9"/>
                <w:sz w:val="21"/>
                <w:szCs w:val="21"/>
                <w:highlight w:val="none"/>
              </w:rPr>
              <w:t>称</w:t>
            </w:r>
          </w:p>
        </w:tc>
        <w:tc>
          <w:tcPr>
            <w:tcW w:w="5503" w:type="dxa"/>
            <w:tcBorders>
              <w:top w:val="single" w:color="000000" w:sz="6" w:space="0"/>
              <w:right w:val="single" w:color="000000" w:sz="6" w:space="0"/>
            </w:tcBorders>
            <w:vAlign w:val="top"/>
          </w:tcPr>
          <w:p w14:paraId="13EB63FA">
            <w:pPr>
              <w:pStyle w:val="33"/>
              <w:keepNext w:val="0"/>
              <w:keepLines w:val="0"/>
              <w:pageBreakBefore w:val="0"/>
              <w:widowControl/>
              <w:kinsoku/>
              <w:wordWrap/>
              <w:overflowPunct/>
              <w:topLinePunct w:val="0"/>
              <w:bidi w:val="0"/>
              <w:adjustRightInd w:val="0"/>
              <w:snapToGrid w:val="0"/>
              <w:spacing w:before="213" w:line="221" w:lineRule="auto"/>
              <w:ind w:left="1702"/>
              <w:textAlignment w:val="baseline"/>
              <w:rPr>
                <w:color w:val="auto"/>
                <w:sz w:val="21"/>
                <w:szCs w:val="21"/>
                <w:highlight w:val="none"/>
              </w:rPr>
            </w:pPr>
            <w:r>
              <w:rPr>
                <w:b/>
                <w:bCs/>
                <w:color w:val="auto"/>
                <w:spacing w:val="-16"/>
                <w:sz w:val="21"/>
                <w:szCs w:val="21"/>
                <w:highlight w:val="none"/>
              </w:rPr>
              <w:t>编</w:t>
            </w:r>
            <w:r>
              <w:rPr>
                <w:color w:val="auto"/>
                <w:spacing w:val="4"/>
                <w:sz w:val="21"/>
                <w:szCs w:val="21"/>
                <w:highlight w:val="none"/>
              </w:rPr>
              <w:t xml:space="preserve">    </w:t>
            </w:r>
            <w:r>
              <w:rPr>
                <w:b/>
                <w:bCs/>
                <w:color w:val="auto"/>
                <w:spacing w:val="-16"/>
                <w:sz w:val="21"/>
                <w:szCs w:val="21"/>
                <w:highlight w:val="none"/>
              </w:rPr>
              <w:t>列</w:t>
            </w:r>
            <w:r>
              <w:rPr>
                <w:color w:val="auto"/>
                <w:spacing w:val="8"/>
                <w:sz w:val="21"/>
                <w:szCs w:val="21"/>
                <w:highlight w:val="none"/>
              </w:rPr>
              <w:t xml:space="preserve">    </w:t>
            </w:r>
            <w:r>
              <w:rPr>
                <w:b/>
                <w:bCs/>
                <w:color w:val="auto"/>
                <w:spacing w:val="-16"/>
                <w:sz w:val="21"/>
                <w:szCs w:val="21"/>
                <w:highlight w:val="none"/>
              </w:rPr>
              <w:t>内</w:t>
            </w:r>
            <w:r>
              <w:rPr>
                <w:color w:val="auto"/>
                <w:spacing w:val="3"/>
                <w:sz w:val="21"/>
                <w:szCs w:val="21"/>
                <w:highlight w:val="none"/>
              </w:rPr>
              <w:t xml:space="preserve">    </w:t>
            </w:r>
            <w:r>
              <w:rPr>
                <w:b/>
                <w:bCs/>
                <w:color w:val="auto"/>
                <w:spacing w:val="-16"/>
                <w:sz w:val="21"/>
                <w:szCs w:val="21"/>
                <w:highlight w:val="none"/>
              </w:rPr>
              <w:t>容</w:t>
            </w:r>
          </w:p>
        </w:tc>
      </w:tr>
      <w:tr w14:paraId="506198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323" w:hRule="atLeast"/>
        </w:trPr>
        <w:tc>
          <w:tcPr>
            <w:tcW w:w="953" w:type="dxa"/>
            <w:tcBorders>
              <w:left w:val="single" w:color="000000" w:sz="6" w:space="0"/>
            </w:tcBorders>
            <w:vAlign w:val="top"/>
          </w:tcPr>
          <w:p w14:paraId="73C189E3">
            <w:pPr>
              <w:keepNext w:val="0"/>
              <w:keepLines w:val="0"/>
              <w:pageBreakBefore w:val="0"/>
              <w:widowControl/>
              <w:kinsoku/>
              <w:wordWrap/>
              <w:overflowPunct/>
              <w:topLinePunct w:val="0"/>
              <w:bidi w:val="0"/>
              <w:adjustRightInd w:val="0"/>
              <w:snapToGrid w:val="0"/>
              <w:spacing w:line="284" w:lineRule="auto"/>
              <w:textAlignment w:val="baseline"/>
              <w:rPr>
                <w:rFonts w:ascii="Arial"/>
                <w:color w:val="auto"/>
                <w:sz w:val="21"/>
                <w:highlight w:val="none"/>
              </w:rPr>
            </w:pPr>
          </w:p>
          <w:p w14:paraId="03A605AD">
            <w:pPr>
              <w:keepNext w:val="0"/>
              <w:keepLines w:val="0"/>
              <w:pageBreakBefore w:val="0"/>
              <w:widowControl/>
              <w:kinsoku/>
              <w:wordWrap/>
              <w:overflowPunct/>
              <w:topLinePunct w:val="0"/>
              <w:bidi w:val="0"/>
              <w:adjustRightInd w:val="0"/>
              <w:snapToGrid w:val="0"/>
              <w:spacing w:line="284" w:lineRule="auto"/>
              <w:textAlignment w:val="baseline"/>
              <w:rPr>
                <w:rFonts w:ascii="Arial"/>
                <w:color w:val="auto"/>
                <w:sz w:val="21"/>
                <w:highlight w:val="none"/>
              </w:rPr>
            </w:pPr>
          </w:p>
          <w:p w14:paraId="377BE7D9">
            <w:pPr>
              <w:keepNext w:val="0"/>
              <w:keepLines w:val="0"/>
              <w:pageBreakBefore w:val="0"/>
              <w:widowControl/>
              <w:kinsoku/>
              <w:wordWrap/>
              <w:overflowPunct/>
              <w:topLinePunct w:val="0"/>
              <w:bidi w:val="0"/>
              <w:adjustRightInd w:val="0"/>
              <w:snapToGrid w:val="0"/>
              <w:spacing w:before="61" w:line="187" w:lineRule="auto"/>
              <w:ind w:left="259"/>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4.2.2</w:t>
            </w:r>
          </w:p>
        </w:tc>
        <w:tc>
          <w:tcPr>
            <w:tcW w:w="2444" w:type="dxa"/>
            <w:vAlign w:val="top"/>
          </w:tcPr>
          <w:p w14:paraId="1728E074">
            <w:pPr>
              <w:keepNext w:val="0"/>
              <w:keepLines w:val="0"/>
              <w:pageBreakBefore w:val="0"/>
              <w:widowControl/>
              <w:kinsoku/>
              <w:wordWrap/>
              <w:overflowPunct/>
              <w:topLinePunct w:val="0"/>
              <w:bidi w:val="0"/>
              <w:adjustRightInd w:val="0"/>
              <w:snapToGrid w:val="0"/>
              <w:spacing w:line="344" w:lineRule="auto"/>
              <w:textAlignment w:val="baseline"/>
              <w:rPr>
                <w:rFonts w:ascii="Arial"/>
                <w:color w:val="auto"/>
                <w:sz w:val="21"/>
                <w:highlight w:val="none"/>
              </w:rPr>
            </w:pPr>
          </w:p>
          <w:p w14:paraId="2B1C961B">
            <w:pPr>
              <w:pStyle w:val="33"/>
              <w:keepNext w:val="0"/>
              <w:keepLines w:val="0"/>
              <w:pageBreakBefore w:val="0"/>
              <w:widowControl/>
              <w:kinsoku/>
              <w:wordWrap/>
              <w:overflowPunct/>
              <w:topLinePunct w:val="0"/>
              <w:bidi w:val="0"/>
              <w:adjustRightInd w:val="0"/>
              <w:snapToGrid w:val="0"/>
              <w:spacing w:before="68" w:line="305" w:lineRule="auto"/>
              <w:ind w:left="115" w:right="106" w:hanging="9"/>
              <w:textAlignment w:val="baseline"/>
              <w:rPr>
                <w:color w:val="auto"/>
                <w:sz w:val="21"/>
                <w:szCs w:val="21"/>
                <w:highlight w:val="none"/>
              </w:rPr>
            </w:pPr>
            <w:r>
              <w:rPr>
                <w:color w:val="auto"/>
                <w:spacing w:val="12"/>
                <w:sz w:val="21"/>
                <w:szCs w:val="21"/>
                <w:highlight w:val="none"/>
              </w:rPr>
              <w:t>递交投标文件方式和地</w:t>
            </w:r>
            <w:r>
              <w:rPr>
                <w:color w:val="auto"/>
                <w:spacing w:val="4"/>
                <w:sz w:val="21"/>
                <w:szCs w:val="21"/>
                <w:highlight w:val="none"/>
              </w:rPr>
              <w:t xml:space="preserve"> </w:t>
            </w:r>
            <w:r>
              <w:rPr>
                <w:color w:val="auto"/>
                <w:sz w:val="21"/>
                <w:szCs w:val="21"/>
                <w:highlight w:val="none"/>
              </w:rPr>
              <w:t>点</w:t>
            </w:r>
          </w:p>
        </w:tc>
        <w:tc>
          <w:tcPr>
            <w:tcW w:w="5503" w:type="dxa"/>
            <w:tcBorders>
              <w:right w:val="single" w:color="000000" w:sz="6" w:space="0"/>
            </w:tcBorders>
            <w:vAlign w:val="top"/>
          </w:tcPr>
          <w:p w14:paraId="63BD67BE">
            <w:pPr>
              <w:pStyle w:val="33"/>
              <w:keepNext w:val="0"/>
              <w:keepLines w:val="0"/>
              <w:pageBreakBefore w:val="0"/>
              <w:widowControl/>
              <w:kinsoku/>
              <w:wordWrap/>
              <w:overflowPunct/>
              <w:topLinePunct w:val="0"/>
              <w:bidi w:val="0"/>
              <w:adjustRightInd w:val="0"/>
              <w:snapToGrid w:val="0"/>
              <w:spacing w:before="233" w:line="299" w:lineRule="auto"/>
              <w:ind w:left="100" w:right="135" w:firstLine="218"/>
              <w:jc w:val="both"/>
              <w:textAlignment w:val="baseline"/>
              <w:rPr>
                <w:color w:val="auto"/>
                <w:sz w:val="21"/>
                <w:szCs w:val="21"/>
                <w:highlight w:val="none"/>
              </w:rPr>
            </w:pPr>
            <w:r>
              <w:rPr>
                <w:rFonts w:hint="eastAsia"/>
                <w:color w:val="auto"/>
                <w:sz w:val="21"/>
                <w:szCs w:val="21"/>
                <w:highlight w:val="none"/>
              </w:rPr>
              <w:t>将由投标文件制作工具制作生成的加密投标文件在投标截止时间前（以上传完成时间为准）上传至</w:t>
            </w:r>
            <w:r>
              <w:rPr>
                <w:rFonts w:hint="default" w:ascii="Times New Roman" w:hAnsi="Times New Roman" w:cs="Times New Roman"/>
                <w:b/>
                <w:bCs/>
                <w:color w:val="auto"/>
                <w:sz w:val="21"/>
                <w:szCs w:val="21"/>
                <w:highlight w:val="none"/>
                <w:u w:val="single"/>
                <w:lang w:val="en-US" w:eastAsia="zh-CN"/>
              </w:rPr>
              <w:t>绍兴市公共资源交易中心电子招投标交易平台</w:t>
            </w:r>
            <w:r>
              <w:rPr>
                <w:rFonts w:hint="eastAsia"/>
                <w:color w:val="auto"/>
                <w:sz w:val="21"/>
                <w:szCs w:val="21"/>
                <w:highlight w:val="none"/>
              </w:rPr>
              <w:t>。</w:t>
            </w:r>
          </w:p>
        </w:tc>
      </w:tr>
      <w:tr w14:paraId="33CE58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34" w:hRule="atLeast"/>
        </w:trPr>
        <w:tc>
          <w:tcPr>
            <w:tcW w:w="953" w:type="dxa"/>
            <w:tcBorders>
              <w:left w:val="single" w:color="000000" w:sz="6" w:space="0"/>
            </w:tcBorders>
            <w:vAlign w:val="top"/>
          </w:tcPr>
          <w:p w14:paraId="36173FD0">
            <w:pPr>
              <w:keepNext w:val="0"/>
              <w:keepLines w:val="0"/>
              <w:pageBreakBefore w:val="0"/>
              <w:widowControl/>
              <w:kinsoku/>
              <w:wordWrap/>
              <w:overflowPunct/>
              <w:topLinePunct w:val="0"/>
              <w:bidi w:val="0"/>
              <w:adjustRightInd w:val="0"/>
              <w:snapToGrid w:val="0"/>
              <w:spacing w:line="291" w:lineRule="auto"/>
              <w:textAlignment w:val="baseline"/>
              <w:rPr>
                <w:rFonts w:ascii="Arial"/>
                <w:color w:val="auto"/>
                <w:sz w:val="21"/>
                <w:highlight w:val="none"/>
              </w:rPr>
            </w:pPr>
          </w:p>
          <w:p w14:paraId="2B2018ED">
            <w:pPr>
              <w:keepNext w:val="0"/>
              <w:keepLines w:val="0"/>
              <w:pageBreakBefore w:val="0"/>
              <w:widowControl/>
              <w:kinsoku/>
              <w:wordWrap/>
              <w:overflowPunct/>
              <w:topLinePunct w:val="0"/>
              <w:bidi w:val="0"/>
              <w:adjustRightInd w:val="0"/>
              <w:snapToGrid w:val="0"/>
              <w:spacing w:line="291" w:lineRule="auto"/>
              <w:textAlignment w:val="baseline"/>
              <w:rPr>
                <w:rFonts w:ascii="Arial"/>
                <w:color w:val="auto"/>
                <w:sz w:val="21"/>
                <w:highlight w:val="none"/>
              </w:rPr>
            </w:pPr>
          </w:p>
          <w:p w14:paraId="031B7719">
            <w:pPr>
              <w:keepNext w:val="0"/>
              <w:keepLines w:val="0"/>
              <w:pageBreakBefore w:val="0"/>
              <w:widowControl/>
              <w:kinsoku/>
              <w:wordWrap/>
              <w:overflowPunct/>
              <w:topLinePunct w:val="0"/>
              <w:bidi w:val="0"/>
              <w:adjustRightInd w:val="0"/>
              <w:snapToGrid w:val="0"/>
              <w:spacing w:line="291" w:lineRule="auto"/>
              <w:textAlignment w:val="baseline"/>
              <w:rPr>
                <w:rFonts w:ascii="Arial"/>
                <w:color w:val="auto"/>
                <w:sz w:val="21"/>
                <w:highlight w:val="none"/>
              </w:rPr>
            </w:pPr>
          </w:p>
          <w:p w14:paraId="021105AC">
            <w:pPr>
              <w:keepNext w:val="0"/>
              <w:keepLines w:val="0"/>
              <w:pageBreakBefore w:val="0"/>
              <w:widowControl/>
              <w:kinsoku/>
              <w:wordWrap/>
              <w:overflowPunct/>
              <w:topLinePunct w:val="0"/>
              <w:bidi w:val="0"/>
              <w:adjustRightInd w:val="0"/>
              <w:snapToGrid w:val="0"/>
              <w:spacing w:before="60" w:line="187" w:lineRule="auto"/>
              <w:ind w:left="259"/>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4.2.5</w:t>
            </w:r>
          </w:p>
        </w:tc>
        <w:tc>
          <w:tcPr>
            <w:tcW w:w="2444" w:type="dxa"/>
            <w:vAlign w:val="top"/>
          </w:tcPr>
          <w:p w14:paraId="286108D9">
            <w:pPr>
              <w:keepNext w:val="0"/>
              <w:keepLines w:val="0"/>
              <w:pageBreakBefore w:val="0"/>
              <w:widowControl/>
              <w:kinsoku/>
              <w:wordWrap/>
              <w:overflowPunct/>
              <w:topLinePunct w:val="0"/>
              <w:bidi w:val="0"/>
              <w:adjustRightInd w:val="0"/>
              <w:snapToGrid w:val="0"/>
              <w:spacing w:line="275" w:lineRule="auto"/>
              <w:textAlignment w:val="baseline"/>
              <w:rPr>
                <w:rFonts w:ascii="Arial"/>
                <w:color w:val="auto"/>
                <w:sz w:val="21"/>
                <w:highlight w:val="none"/>
              </w:rPr>
            </w:pPr>
          </w:p>
          <w:p w14:paraId="65CF6F92">
            <w:pPr>
              <w:keepNext w:val="0"/>
              <w:keepLines w:val="0"/>
              <w:pageBreakBefore w:val="0"/>
              <w:widowControl/>
              <w:kinsoku/>
              <w:wordWrap/>
              <w:overflowPunct/>
              <w:topLinePunct w:val="0"/>
              <w:bidi w:val="0"/>
              <w:adjustRightInd w:val="0"/>
              <w:snapToGrid w:val="0"/>
              <w:spacing w:line="275" w:lineRule="auto"/>
              <w:textAlignment w:val="baseline"/>
              <w:rPr>
                <w:rFonts w:ascii="Arial"/>
                <w:color w:val="auto"/>
                <w:sz w:val="21"/>
                <w:highlight w:val="none"/>
              </w:rPr>
            </w:pPr>
          </w:p>
          <w:p w14:paraId="68AAC35E">
            <w:pPr>
              <w:keepNext w:val="0"/>
              <w:keepLines w:val="0"/>
              <w:pageBreakBefore w:val="0"/>
              <w:widowControl/>
              <w:kinsoku/>
              <w:wordWrap/>
              <w:overflowPunct/>
              <w:topLinePunct w:val="0"/>
              <w:bidi w:val="0"/>
              <w:adjustRightInd w:val="0"/>
              <w:snapToGrid w:val="0"/>
              <w:spacing w:line="276" w:lineRule="auto"/>
              <w:textAlignment w:val="baseline"/>
              <w:rPr>
                <w:rFonts w:ascii="Arial"/>
                <w:color w:val="auto"/>
                <w:sz w:val="21"/>
                <w:highlight w:val="none"/>
              </w:rPr>
            </w:pPr>
          </w:p>
          <w:p w14:paraId="3B23A36D">
            <w:pPr>
              <w:pStyle w:val="33"/>
              <w:keepNext w:val="0"/>
              <w:keepLines w:val="0"/>
              <w:pageBreakBefore w:val="0"/>
              <w:widowControl/>
              <w:kinsoku/>
              <w:wordWrap/>
              <w:overflowPunct/>
              <w:topLinePunct w:val="0"/>
              <w:bidi w:val="0"/>
              <w:adjustRightInd w:val="0"/>
              <w:snapToGrid w:val="0"/>
              <w:spacing w:before="69" w:line="221" w:lineRule="auto"/>
              <w:ind w:left="108"/>
              <w:textAlignment w:val="baseline"/>
              <w:rPr>
                <w:color w:val="auto"/>
                <w:sz w:val="21"/>
                <w:szCs w:val="21"/>
                <w:highlight w:val="none"/>
              </w:rPr>
            </w:pPr>
            <w:r>
              <w:rPr>
                <w:color w:val="auto"/>
                <w:spacing w:val="-1"/>
                <w:sz w:val="21"/>
                <w:szCs w:val="21"/>
                <w:highlight w:val="none"/>
              </w:rPr>
              <w:t>投标文件拒收的情形</w:t>
            </w:r>
          </w:p>
        </w:tc>
        <w:tc>
          <w:tcPr>
            <w:tcW w:w="5503" w:type="dxa"/>
            <w:tcBorders>
              <w:right w:val="single" w:color="000000" w:sz="6" w:space="0"/>
            </w:tcBorders>
            <w:vAlign w:val="top"/>
          </w:tcPr>
          <w:p w14:paraId="2AA0B78B">
            <w:pPr>
              <w:pStyle w:val="33"/>
              <w:keepNext w:val="0"/>
              <w:keepLines w:val="0"/>
              <w:pageBreakBefore w:val="0"/>
              <w:widowControl/>
              <w:kinsoku/>
              <w:wordWrap/>
              <w:overflowPunct/>
              <w:topLinePunct w:val="0"/>
              <w:autoSpaceDE/>
              <w:autoSpaceDN/>
              <w:bidi w:val="0"/>
              <w:adjustRightInd w:val="0"/>
              <w:snapToGrid w:val="0"/>
              <w:spacing w:line="240" w:lineRule="exact"/>
              <w:ind w:firstLine="420" w:firstLineChars="200"/>
              <w:textAlignment w:val="baseline"/>
              <w:rPr>
                <w:rFonts w:ascii="Times New Roman" w:hAnsi="Times New Roman" w:cs="Times New Roman"/>
                <w:color w:val="auto"/>
                <w:sz w:val="21"/>
                <w:szCs w:val="21"/>
                <w:highlight w:val="none"/>
                <w:lang w:eastAsia="zh-CN"/>
              </w:rPr>
            </w:pPr>
          </w:p>
          <w:p w14:paraId="50133698">
            <w:pPr>
              <w:pStyle w:val="33"/>
              <w:keepNext w:val="0"/>
              <w:keepLines w:val="0"/>
              <w:pageBreakBefore w:val="0"/>
              <w:widowControl/>
              <w:kinsoku/>
              <w:wordWrap/>
              <w:overflowPunct/>
              <w:topLinePunct w:val="0"/>
              <w:bidi w:val="0"/>
              <w:adjustRightInd w:val="0"/>
              <w:snapToGrid w:val="0"/>
              <w:spacing w:before="29" w:line="213" w:lineRule="auto"/>
              <w:ind w:left="113"/>
              <w:textAlignment w:val="baseline"/>
              <w:rPr>
                <w:rFonts w:hint="eastAsia"/>
                <w:color w:val="auto"/>
                <w:sz w:val="22"/>
                <w:szCs w:val="22"/>
                <w:highlight w:val="none"/>
              </w:rPr>
            </w:pPr>
            <w:r>
              <w:rPr>
                <w:rFonts w:hint="eastAsia"/>
                <w:color w:val="auto"/>
                <w:sz w:val="22"/>
                <w:szCs w:val="22"/>
                <w:highlight w:val="none"/>
                <w:lang w:eastAsia="zh-CN"/>
              </w:rPr>
              <w:t>☑</w:t>
            </w:r>
            <w:r>
              <w:rPr>
                <w:rFonts w:hint="eastAsia"/>
                <w:color w:val="auto"/>
                <w:sz w:val="22"/>
                <w:szCs w:val="22"/>
                <w:highlight w:val="none"/>
              </w:rPr>
              <w:t>1.投标文件未按招标文件要求上传或未按规定进行加密。</w:t>
            </w:r>
          </w:p>
          <w:p w14:paraId="6C80FD31">
            <w:pPr>
              <w:pStyle w:val="33"/>
              <w:keepNext w:val="0"/>
              <w:keepLines w:val="0"/>
              <w:pageBreakBefore w:val="0"/>
              <w:widowControl/>
              <w:kinsoku/>
              <w:wordWrap/>
              <w:overflowPunct/>
              <w:topLinePunct w:val="0"/>
              <w:bidi w:val="0"/>
              <w:adjustRightInd w:val="0"/>
              <w:snapToGrid w:val="0"/>
              <w:spacing w:before="29" w:line="213" w:lineRule="auto"/>
              <w:ind w:left="113"/>
              <w:textAlignment w:val="baseline"/>
              <w:rPr>
                <w:rFonts w:hint="eastAsia"/>
                <w:color w:val="auto"/>
                <w:sz w:val="22"/>
                <w:szCs w:val="22"/>
                <w:highlight w:val="none"/>
              </w:rPr>
            </w:pPr>
            <w:r>
              <w:rPr>
                <w:rFonts w:hint="eastAsia"/>
                <w:color w:val="auto"/>
                <w:sz w:val="22"/>
                <w:szCs w:val="22"/>
                <w:highlight w:val="none"/>
                <w:lang w:eastAsia="zh-CN"/>
              </w:rPr>
              <w:t>□</w:t>
            </w:r>
            <w:r>
              <w:rPr>
                <w:rFonts w:hint="eastAsia"/>
                <w:color w:val="auto"/>
                <w:sz w:val="22"/>
                <w:szCs w:val="22"/>
                <w:highlight w:val="none"/>
              </w:rPr>
              <w:t>2.未通过资格预审的申请人提交投标文件的（资格预审方式招标的选用）。</w:t>
            </w:r>
          </w:p>
          <w:p w14:paraId="66AED797">
            <w:pPr>
              <w:pStyle w:val="33"/>
              <w:keepNext w:val="0"/>
              <w:keepLines w:val="0"/>
              <w:pageBreakBefore w:val="0"/>
              <w:widowControl/>
              <w:kinsoku/>
              <w:wordWrap/>
              <w:overflowPunct/>
              <w:topLinePunct w:val="0"/>
              <w:bidi w:val="0"/>
              <w:adjustRightInd w:val="0"/>
              <w:snapToGrid w:val="0"/>
              <w:spacing w:before="29" w:line="213" w:lineRule="auto"/>
              <w:ind w:left="113"/>
              <w:textAlignment w:val="baseline"/>
              <w:rPr>
                <w:color w:val="auto"/>
                <w:sz w:val="22"/>
                <w:szCs w:val="22"/>
                <w:highlight w:val="none"/>
              </w:rPr>
            </w:pPr>
            <w:r>
              <w:rPr>
                <w:rFonts w:hint="eastAsia"/>
                <w:color w:val="auto"/>
                <w:sz w:val="22"/>
                <w:szCs w:val="22"/>
                <w:highlight w:val="none"/>
              </w:rPr>
              <w:t>……</w:t>
            </w:r>
            <w:r>
              <w:rPr>
                <w:i/>
                <w:iCs/>
                <w:spacing w:val="-13"/>
                <w:sz w:val="22"/>
                <w:szCs w:val="22"/>
              </w:rPr>
              <w:t>（招标人规定的其他情形）</w:t>
            </w:r>
          </w:p>
        </w:tc>
      </w:tr>
      <w:tr w14:paraId="71E4EE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953" w:type="dxa"/>
            <w:tcBorders>
              <w:left w:val="single" w:color="000000" w:sz="6" w:space="0"/>
            </w:tcBorders>
            <w:vAlign w:val="center"/>
          </w:tcPr>
          <w:p w14:paraId="6AFC2911">
            <w:pPr>
              <w:keepNext w:val="0"/>
              <w:keepLines w:val="0"/>
              <w:pageBreakBefore w:val="0"/>
              <w:widowControl/>
              <w:kinsoku/>
              <w:wordWrap/>
              <w:overflowPunct/>
              <w:topLinePunct w:val="0"/>
              <w:bidi w:val="0"/>
              <w:adjustRightInd w:val="0"/>
              <w:snapToGrid w:val="0"/>
              <w:spacing w:line="292" w:lineRule="auto"/>
              <w:jc w:val="center"/>
              <w:textAlignment w:val="baseline"/>
              <w:rPr>
                <w:rFonts w:ascii="Arial"/>
                <w:color w:val="auto"/>
                <w:sz w:val="21"/>
                <w:highlight w:val="none"/>
              </w:rPr>
            </w:pPr>
          </w:p>
          <w:p w14:paraId="609DBFBA">
            <w:pPr>
              <w:keepNext w:val="0"/>
              <w:keepLines w:val="0"/>
              <w:pageBreakBefore w:val="0"/>
              <w:widowControl/>
              <w:kinsoku/>
              <w:wordWrap/>
              <w:overflowPunct/>
              <w:topLinePunct w:val="0"/>
              <w:bidi w:val="0"/>
              <w:adjustRightInd w:val="0"/>
              <w:snapToGrid w:val="0"/>
              <w:spacing w:line="292" w:lineRule="auto"/>
              <w:jc w:val="center"/>
              <w:textAlignment w:val="baseline"/>
              <w:rPr>
                <w:rFonts w:ascii="Arial"/>
                <w:color w:val="auto"/>
                <w:sz w:val="21"/>
                <w:highlight w:val="none"/>
              </w:rPr>
            </w:pPr>
          </w:p>
          <w:p w14:paraId="499EDD97">
            <w:pPr>
              <w:keepNext w:val="0"/>
              <w:keepLines w:val="0"/>
              <w:pageBreakBefore w:val="0"/>
              <w:widowControl/>
              <w:kinsoku/>
              <w:wordWrap/>
              <w:overflowPunct/>
              <w:topLinePunct w:val="0"/>
              <w:bidi w:val="0"/>
              <w:adjustRightInd w:val="0"/>
              <w:snapToGrid w:val="0"/>
              <w:spacing w:before="60" w:line="187" w:lineRule="auto"/>
              <w:jc w:val="center"/>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2"/>
                <w:sz w:val="21"/>
                <w:szCs w:val="21"/>
                <w:highlight w:val="none"/>
              </w:rPr>
              <w:t>5.1</w:t>
            </w:r>
          </w:p>
        </w:tc>
        <w:tc>
          <w:tcPr>
            <w:tcW w:w="2444" w:type="dxa"/>
            <w:vAlign w:val="center"/>
          </w:tcPr>
          <w:p w14:paraId="7201E6E2">
            <w:pPr>
              <w:keepNext w:val="0"/>
              <w:keepLines w:val="0"/>
              <w:pageBreakBefore w:val="0"/>
              <w:widowControl/>
              <w:kinsoku/>
              <w:wordWrap/>
              <w:overflowPunct/>
              <w:topLinePunct w:val="0"/>
              <w:bidi w:val="0"/>
              <w:adjustRightInd w:val="0"/>
              <w:snapToGrid w:val="0"/>
              <w:spacing w:line="280" w:lineRule="auto"/>
              <w:jc w:val="center"/>
              <w:textAlignment w:val="baseline"/>
              <w:rPr>
                <w:rFonts w:ascii="Arial"/>
                <w:color w:val="auto"/>
                <w:sz w:val="21"/>
                <w:highlight w:val="none"/>
              </w:rPr>
            </w:pPr>
          </w:p>
          <w:p w14:paraId="477D56B4">
            <w:pPr>
              <w:keepNext w:val="0"/>
              <w:keepLines w:val="0"/>
              <w:pageBreakBefore w:val="0"/>
              <w:widowControl/>
              <w:kinsoku/>
              <w:wordWrap/>
              <w:overflowPunct/>
              <w:topLinePunct w:val="0"/>
              <w:bidi w:val="0"/>
              <w:adjustRightInd w:val="0"/>
              <w:snapToGrid w:val="0"/>
              <w:spacing w:line="281" w:lineRule="auto"/>
              <w:jc w:val="center"/>
              <w:textAlignment w:val="baseline"/>
              <w:rPr>
                <w:rFonts w:ascii="Arial"/>
                <w:color w:val="auto"/>
                <w:sz w:val="21"/>
                <w:highlight w:val="none"/>
              </w:rPr>
            </w:pPr>
          </w:p>
          <w:p w14:paraId="0D515466">
            <w:pPr>
              <w:pStyle w:val="33"/>
              <w:keepNext w:val="0"/>
              <w:keepLines w:val="0"/>
              <w:pageBreakBefore w:val="0"/>
              <w:widowControl/>
              <w:kinsoku/>
              <w:wordWrap/>
              <w:overflowPunct/>
              <w:topLinePunct w:val="0"/>
              <w:bidi w:val="0"/>
              <w:adjustRightInd w:val="0"/>
              <w:snapToGrid w:val="0"/>
              <w:spacing w:before="68" w:line="221" w:lineRule="auto"/>
              <w:ind w:firstLine="208" w:firstLineChars="100"/>
              <w:jc w:val="center"/>
              <w:textAlignment w:val="baseline"/>
              <w:rPr>
                <w:rFonts w:hint="eastAsia" w:eastAsia="宋体"/>
                <w:color w:val="auto"/>
                <w:sz w:val="21"/>
                <w:szCs w:val="21"/>
                <w:highlight w:val="none"/>
                <w:lang w:eastAsia="zh-CN"/>
              </w:rPr>
            </w:pPr>
            <w:r>
              <w:rPr>
                <w:color w:val="auto"/>
                <w:spacing w:val="-1"/>
                <w:sz w:val="21"/>
                <w:szCs w:val="21"/>
                <w:highlight w:val="none"/>
              </w:rPr>
              <w:t>开标时间和地点</w:t>
            </w:r>
            <w:r>
              <w:rPr>
                <w:rFonts w:hint="eastAsia"/>
                <w:color w:val="auto"/>
                <w:spacing w:val="-1"/>
                <w:sz w:val="21"/>
                <w:szCs w:val="21"/>
                <w:highlight w:val="none"/>
                <w:lang w:eastAsia="zh-CN"/>
              </w:rPr>
              <w:t>、参加开标会议的要求</w:t>
            </w:r>
          </w:p>
        </w:tc>
        <w:tc>
          <w:tcPr>
            <w:tcW w:w="5503" w:type="dxa"/>
            <w:tcBorders>
              <w:right w:val="single" w:color="000000" w:sz="6" w:space="0"/>
            </w:tcBorders>
            <w:vAlign w:val="top"/>
          </w:tcPr>
          <w:p w14:paraId="35B23FB2">
            <w:pPr>
              <w:pStyle w:val="33"/>
              <w:keepNext w:val="0"/>
              <w:keepLines w:val="0"/>
              <w:pageBreakBefore w:val="0"/>
              <w:widowControl/>
              <w:numPr>
                <w:ilvl w:val="0"/>
                <w:numId w:val="0"/>
              </w:numPr>
              <w:kinsoku/>
              <w:wordWrap/>
              <w:overflowPunct/>
              <w:topLinePunct w:val="0"/>
              <w:bidi w:val="0"/>
              <w:adjustRightInd w:val="0"/>
              <w:snapToGrid w:val="0"/>
              <w:spacing w:before="108" w:line="284" w:lineRule="auto"/>
              <w:ind w:left="114" w:leftChars="0" w:right="135" w:rightChars="0" w:firstLine="15" w:firstLineChars="0"/>
              <w:textAlignment w:val="baseline"/>
              <w:rPr>
                <w:rFonts w:hint="eastAsia" w:eastAsia="宋体"/>
                <w:color w:val="auto"/>
                <w:sz w:val="21"/>
                <w:szCs w:val="21"/>
                <w:highlight w:val="none"/>
                <w:lang w:val="en-US" w:eastAsia="zh-CN"/>
              </w:rPr>
            </w:pPr>
            <w:r>
              <w:rPr>
                <w:rFonts w:hint="eastAsia" w:ascii="宋体" w:hAnsi="宋体" w:eastAsia="宋体" w:cs="宋体"/>
                <w:snapToGrid w:val="0"/>
                <w:color w:val="auto"/>
                <w:kern w:val="0"/>
                <w:sz w:val="21"/>
                <w:szCs w:val="21"/>
                <w:lang w:val="en-US" w:eastAsia="en-US" w:bidi="ar-SA"/>
              </w:rPr>
              <w:t>一、</w:t>
            </w:r>
            <w:r>
              <w:rPr>
                <w:rFonts w:hint="eastAsia"/>
                <w:color w:val="auto"/>
                <w:sz w:val="21"/>
                <w:szCs w:val="21"/>
                <w:highlight w:val="none"/>
              </w:rPr>
              <w:t>开标时间：</w:t>
            </w:r>
            <w:r>
              <w:rPr>
                <w:rFonts w:hint="eastAsia"/>
                <w:color w:val="auto"/>
                <w:sz w:val="21"/>
                <w:szCs w:val="21"/>
                <w:highlight w:val="none"/>
                <w:lang w:eastAsia="zh-CN"/>
              </w:rPr>
              <w:t>同投标截止时间。</w:t>
            </w:r>
          </w:p>
          <w:p w14:paraId="75D370E1">
            <w:pPr>
              <w:pStyle w:val="33"/>
              <w:keepNext w:val="0"/>
              <w:keepLines w:val="0"/>
              <w:pageBreakBefore w:val="0"/>
              <w:widowControl/>
              <w:kinsoku/>
              <w:wordWrap/>
              <w:overflowPunct/>
              <w:topLinePunct w:val="0"/>
              <w:bidi w:val="0"/>
              <w:adjustRightInd w:val="0"/>
              <w:snapToGrid w:val="0"/>
              <w:spacing w:before="108" w:line="284" w:lineRule="auto"/>
              <w:ind w:left="114" w:right="135" w:firstLine="15"/>
              <w:textAlignment w:val="baseline"/>
              <w:rPr>
                <w:rFonts w:hint="eastAsia"/>
                <w:color w:val="auto"/>
                <w:sz w:val="21"/>
                <w:szCs w:val="21"/>
                <w:highlight w:val="none"/>
              </w:rPr>
            </w:pPr>
            <w:r>
              <w:rPr>
                <w:rFonts w:hint="eastAsia"/>
                <w:color w:val="auto"/>
                <w:sz w:val="21"/>
                <w:szCs w:val="21"/>
                <w:highlight w:val="none"/>
              </w:rPr>
              <w:t>二、本项目采用网上远程开标方式，开标网址：</w:t>
            </w:r>
            <w:r>
              <w:rPr>
                <w:rFonts w:hint="eastAsia"/>
                <w:color w:val="auto"/>
                <w:sz w:val="21"/>
                <w:szCs w:val="21"/>
                <w:highlight w:val="none"/>
                <w:u w:val="single"/>
              </w:rPr>
              <w:t>http://220.187.225.202:18088/BidOpening/bidopeninghallaction/hall/login</w:t>
            </w:r>
            <w:r>
              <w:rPr>
                <w:rFonts w:hint="eastAsia"/>
                <w:color w:val="auto"/>
                <w:sz w:val="21"/>
                <w:szCs w:val="21"/>
                <w:highlight w:val="none"/>
              </w:rPr>
              <w:t xml:space="preserve">   </w:t>
            </w:r>
          </w:p>
          <w:p w14:paraId="08322695">
            <w:pPr>
              <w:pStyle w:val="33"/>
              <w:keepNext w:val="0"/>
              <w:keepLines w:val="0"/>
              <w:pageBreakBefore w:val="0"/>
              <w:widowControl/>
              <w:kinsoku/>
              <w:wordWrap/>
              <w:overflowPunct/>
              <w:topLinePunct w:val="0"/>
              <w:bidi w:val="0"/>
              <w:adjustRightInd w:val="0"/>
              <w:snapToGrid w:val="0"/>
              <w:spacing w:before="108" w:line="284" w:lineRule="auto"/>
              <w:ind w:left="114" w:right="135" w:firstLine="15"/>
              <w:textAlignment w:val="baseline"/>
              <w:rPr>
                <w:rFonts w:hint="eastAsia"/>
                <w:color w:val="auto"/>
                <w:sz w:val="21"/>
                <w:szCs w:val="21"/>
                <w:highlight w:val="none"/>
              </w:rPr>
            </w:pPr>
            <w:r>
              <w:rPr>
                <w:rFonts w:hint="eastAsia"/>
                <w:color w:val="auto"/>
                <w:sz w:val="21"/>
                <w:szCs w:val="21"/>
                <w:highlight w:val="none"/>
              </w:rPr>
              <w:t>开标地点：</w:t>
            </w:r>
            <w:r>
              <w:rPr>
                <w:rFonts w:hint="eastAsia"/>
                <w:color w:val="auto"/>
                <w:sz w:val="21"/>
                <w:szCs w:val="21"/>
                <w:highlight w:val="none"/>
                <w:u w:val="single"/>
                <w:lang w:eastAsia="zh-CN"/>
              </w:rPr>
              <w:t>绍兴市公共资源交易中心指定开标室</w:t>
            </w:r>
            <w:r>
              <w:rPr>
                <w:rFonts w:hint="eastAsia"/>
                <w:color w:val="auto"/>
                <w:sz w:val="21"/>
                <w:szCs w:val="21"/>
                <w:highlight w:val="none"/>
              </w:rPr>
              <w:t xml:space="preserve">           </w:t>
            </w:r>
          </w:p>
          <w:p w14:paraId="55DD0F17">
            <w:pPr>
              <w:pStyle w:val="33"/>
              <w:keepNext w:val="0"/>
              <w:keepLines w:val="0"/>
              <w:pageBreakBefore w:val="0"/>
              <w:widowControl/>
              <w:numPr>
                <w:ilvl w:val="0"/>
                <w:numId w:val="0"/>
              </w:numPr>
              <w:kinsoku/>
              <w:wordWrap/>
              <w:overflowPunct/>
              <w:topLinePunct w:val="0"/>
              <w:bidi w:val="0"/>
              <w:adjustRightInd w:val="0"/>
              <w:snapToGrid w:val="0"/>
              <w:spacing w:before="108" w:line="284" w:lineRule="auto"/>
              <w:ind w:left="114" w:leftChars="0" w:right="135" w:rightChars="0" w:firstLine="15" w:firstLineChars="0"/>
              <w:textAlignment w:val="baseline"/>
              <w:rPr>
                <w:rFonts w:hint="eastAsia"/>
                <w:color w:val="auto"/>
                <w:sz w:val="21"/>
                <w:szCs w:val="21"/>
                <w:highlight w:val="none"/>
              </w:rPr>
            </w:pPr>
            <w:r>
              <w:rPr>
                <w:rFonts w:hint="eastAsia" w:ascii="宋体" w:hAnsi="宋体" w:eastAsia="宋体" w:cs="宋体"/>
                <w:snapToGrid w:val="0"/>
                <w:color w:val="auto"/>
                <w:kern w:val="0"/>
                <w:sz w:val="21"/>
                <w:szCs w:val="21"/>
                <w:lang w:val="en-US" w:eastAsia="en-US" w:bidi="ar-SA"/>
              </w:rPr>
              <w:t>三、</w:t>
            </w:r>
            <w:r>
              <w:rPr>
                <w:rFonts w:hint="eastAsia"/>
                <w:color w:val="auto"/>
                <w:sz w:val="21"/>
                <w:szCs w:val="21"/>
                <w:highlight w:val="none"/>
              </w:rPr>
              <w:t>参加开标会议的要求：</w:t>
            </w:r>
          </w:p>
          <w:p w14:paraId="1C8FB9EC">
            <w:pPr>
              <w:pStyle w:val="33"/>
              <w:keepNext w:val="0"/>
              <w:keepLines w:val="0"/>
              <w:pageBreakBefore w:val="0"/>
              <w:widowControl/>
              <w:numPr>
                <w:ilvl w:val="0"/>
                <w:numId w:val="0"/>
              </w:numPr>
              <w:kinsoku/>
              <w:wordWrap/>
              <w:overflowPunct/>
              <w:topLinePunct w:val="0"/>
              <w:bidi w:val="0"/>
              <w:adjustRightInd w:val="0"/>
              <w:snapToGrid w:val="0"/>
              <w:spacing w:before="108" w:line="284" w:lineRule="auto"/>
              <w:ind w:left="114" w:leftChars="0" w:right="135" w:rightChars="0" w:firstLine="15" w:firstLineChars="0"/>
              <w:textAlignment w:val="baseline"/>
              <w:rPr>
                <w:rFonts w:hint="eastAsia"/>
                <w:color w:val="auto"/>
                <w:sz w:val="21"/>
                <w:szCs w:val="21"/>
                <w:highlight w:val="none"/>
                <w:lang w:eastAsia="zh-CN"/>
              </w:rPr>
            </w:pPr>
            <w:r>
              <w:rPr>
                <w:rFonts w:hint="eastAsia"/>
                <w:color w:val="auto"/>
                <w:sz w:val="21"/>
                <w:szCs w:val="21"/>
                <w:highlight w:val="none"/>
              </w:rPr>
              <w:t>1、投标人的法定代表人或授权代表等均可不参加开标会议，招标文件中相关要求作相应调整。若投标人法定代表人或授权代表不在现场参加开标会议的，投标人需向招标代理机构工作人员告知其联系方式，以备询标等事宜</w:t>
            </w:r>
            <w:r>
              <w:rPr>
                <w:rFonts w:hint="eastAsia"/>
                <w:color w:val="auto"/>
                <w:sz w:val="21"/>
                <w:szCs w:val="21"/>
                <w:highlight w:val="none"/>
                <w:lang w:eastAsia="zh-CN"/>
              </w:rPr>
              <w:t>；</w:t>
            </w:r>
          </w:p>
          <w:p w14:paraId="6111EE18">
            <w:pPr>
              <w:pStyle w:val="33"/>
              <w:keepNext w:val="0"/>
              <w:keepLines w:val="0"/>
              <w:pageBreakBefore w:val="0"/>
              <w:widowControl/>
              <w:numPr>
                <w:ilvl w:val="0"/>
                <w:numId w:val="0"/>
              </w:numPr>
              <w:kinsoku/>
              <w:wordWrap/>
              <w:overflowPunct/>
              <w:topLinePunct w:val="0"/>
              <w:bidi w:val="0"/>
              <w:adjustRightInd w:val="0"/>
              <w:snapToGrid w:val="0"/>
              <w:spacing w:before="108" w:line="284" w:lineRule="auto"/>
              <w:ind w:left="114" w:leftChars="0" w:right="135" w:rightChars="0" w:firstLine="15" w:firstLineChars="0"/>
              <w:textAlignment w:val="baseline"/>
              <w:rPr>
                <w:rFonts w:hint="eastAsia"/>
                <w:color w:val="auto"/>
                <w:sz w:val="21"/>
                <w:szCs w:val="21"/>
                <w:highlight w:val="none"/>
                <w:lang w:eastAsia="zh-CN"/>
              </w:rPr>
            </w:pPr>
            <w:r>
              <w:rPr>
                <w:rFonts w:hint="eastAsia"/>
                <w:color w:val="auto"/>
                <w:sz w:val="21"/>
                <w:szCs w:val="21"/>
                <w:highlight w:val="none"/>
              </w:rPr>
              <w:t>2、开标过程中要求投标人进行澄清、说明或者补正的，须通过指定的电子邮箱</w:t>
            </w:r>
            <w:r>
              <w:rPr>
                <w:rFonts w:hint="eastAsia"/>
                <w:b/>
                <w:bCs/>
                <w:color w:val="auto"/>
                <w:sz w:val="21"/>
                <w:szCs w:val="21"/>
                <w:highlight w:val="none"/>
                <w:u w:val="single"/>
                <w:lang w:val="en-US" w:eastAsia="zh-CN"/>
              </w:rPr>
              <w:t>294148036@q</w:t>
            </w:r>
            <w:r>
              <w:rPr>
                <w:rFonts w:hint="eastAsia"/>
                <w:b/>
                <w:bCs/>
                <w:color w:val="auto"/>
                <w:sz w:val="21"/>
                <w:szCs w:val="21"/>
                <w:highlight w:val="none"/>
                <w:u w:val="single"/>
              </w:rPr>
              <w:t>q.com</w:t>
            </w:r>
            <w:r>
              <w:rPr>
                <w:rFonts w:hint="eastAsia"/>
                <w:color w:val="auto"/>
                <w:sz w:val="21"/>
                <w:szCs w:val="21"/>
                <w:highlight w:val="none"/>
              </w:rPr>
              <w:t>作出澄清、说明或者补正，提交澄清、说明或补正的时间为接到工作人员电话通知后半小时内。请投标单位期间电话保持畅通，如未及时接听电话，视为放弃澄清、说明或补正的权利</w:t>
            </w:r>
            <w:r>
              <w:rPr>
                <w:rFonts w:hint="eastAsia"/>
                <w:color w:val="auto"/>
                <w:sz w:val="21"/>
                <w:szCs w:val="21"/>
                <w:highlight w:val="none"/>
                <w:lang w:eastAsia="zh-CN"/>
              </w:rPr>
              <w:t>；</w:t>
            </w:r>
          </w:p>
          <w:p w14:paraId="0249C06E">
            <w:pPr>
              <w:pStyle w:val="33"/>
              <w:keepNext w:val="0"/>
              <w:keepLines w:val="0"/>
              <w:pageBreakBefore w:val="0"/>
              <w:widowControl/>
              <w:numPr>
                <w:ilvl w:val="0"/>
                <w:numId w:val="0"/>
              </w:numPr>
              <w:kinsoku/>
              <w:wordWrap/>
              <w:overflowPunct/>
              <w:topLinePunct w:val="0"/>
              <w:bidi w:val="0"/>
              <w:adjustRightInd w:val="0"/>
              <w:snapToGrid w:val="0"/>
              <w:spacing w:before="108" w:line="284" w:lineRule="auto"/>
              <w:ind w:left="114" w:leftChars="0" w:right="135" w:rightChars="0" w:firstLine="15" w:firstLineChars="0"/>
              <w:textAlignment w:val="baseline"/>
              <w:rPr>
                <w:rFonts w:hint="eastAsia" w:eastAsia="宋体"/>
                <w:color w:val="auto"/>
                <w:sz w:val="21"/>
                <w:szCs w:val="21"/>
                <w:highlight w:val="none"/>
                <w:lang w:eastAsia="zh-CN"/>
              </w:rPr>
            </w:pPr>
            <w:r>
              <w:rPr>
                <w:rFonts w:hint="eastAsia"/>
                <w:color w:val="auto"/>
                <w:sz w:val="21"/>
                <w:szCs w:val="21"/>
                <w:highlight w:val="none"/>
              </w:rPr>
              <w:t>3、取消投标人法定代表人或授权委托人到场签字要求，取消开标记录表签字要求</w:t>
            </w:r>
            <w:r>
              <w:rPr>
                <w:rFonts w:hint="eastAsia"/>
                <w:color w:val="auto"/>
                <w:sz w:val="21"/>
                <w:szCs w:val="21"/>
                <w:highlight w:val="none"/>
                <w:lang w:eastAsia="zh-CN"/>
              </w:rPr>
              <w:t>；</w:t>
            </w:r>
          </w:p>
          <w:p w14:paraId="583D5236">
            <w:pPr>
              <w:pStyle w:val="33"/>
              <w:keepNext w:val="0"/>
              <w:keepLines w:val="0"/>
              <w:pageBreakBefore w:val="0"/>
              <w:widowControl/>
              <w:kinsoku/>
              <w:wordWrap/>
              <w:overflowPunct/>
              <w:topLinePunct w:val="0"/>
              <w:bidi w:val="0"/>
              <w:adjustRightInd w:val="0"/>
              <w:snapToGrid w:val="0"/>
              <w:spacing w:before="108" w:line="284" w:lineRule="auto"/>
              <w:ind w:left="114" w:right="135" w:firstLine="15"/>
              <w:textAlignment w:val="baseline"/>
              <w:rPr>
                <w:rFonts w:hint="eastAsia"/>
                <w:color w:val="auto"/>
                <w:sz w:val="21"/>
                <w:szCs w:val="21"/>
                <w:highlight w:val="none"/>
              </w:rPr>
            </w:pPr>
            <w:r>
              <w:rPr>
                <w:rFonts w:hint="eastAsia"/>
                <w:color w:val="auto"/>
                <w:sz w:val="21"/>
                <w:szCs w:val="21"/>
                <w:highlight w:val="none"/>
              </w:rPr>
              <w:t>4、由代理机构工作人员现场在监督部门、公证处监督下</w:t>
            </w:r>
            <w:r>
              <w:rPr>
                <w:rFonts w:hint="eastAsia"/>
                <w:strike/>
                <w:dstrike w:val="0"/>
                <w:color w:val="auto"/>
                <w:sz w:val="21"/>
                <w:szCs w:val="21"/>
                <w:highlight w:val="none"/>
              </w:rPr>
              <w:t>核验投标文件密封性并开启投标文件，</w:t>
            </w:r>
            <w:r>
              <w:rPr>
                <w:rFonts w:hint="eastAsia"/>
                <w:color w:val="auto"/>
                <w:sz w:val="21"/>
                <w:szCs w:val="21"/>
                <w:highlight w:val="none"/>
              </w:rPr>
              <w:t>组织评审，并对开评标活动进行全程录音录像。</w:t>
            </w:r>
          </w:p>
          <w:p w14:paraId="30574CFE">
            <w:pPr>
              <w:pStyle w:val="33"/>
              <w:keepNext w:val="0"/>
              <w:keepLines w:val="0"/>
              <w:pageBreakBefore w:val="0"/>
              <w:widowControl/>
              <w:kinsoku/>
              <w:wordWrap/>
              <w:overflowPunct/>
              <w:topLinePunct w:val="0"/>
              <w:bidi w:val="0"/>
              <w:adjustRightInd w:val="0"/>
              <w:snapToGrid w:val="0"/>
              <w:spacing w:before="108" w:line="284" w:lineRule="auto"/>
              <w:ind w:left="114" w:right="135" w:firstLine="15"/>
              <w:textAlignment w:val="baseline"/>
              <w:rPr>
                <w:color w:val="auto"/>
                <w:sz w:val="21"/>
                <w:szCs w:val="21"/>
                <w:highlight w:val="none"/>
              </w:rPr>
            </w:pPr>
            <w:r>
              <w:rPr>
                <w:rFonts w:hint="eastAsia"/>
                <w:color w:val="auto"/>
                <w:sz w:val="21"/>
                <w:szCs w:val="21"/>
                <w:highlight w:val="none"/>
              </w:rPr>
              <w:t>四、开标期间，各交易主体使用数字证书（CA）在各自的电脑终端上的所有操作、音视频及文字交互均被视为各交易主体的行为，并承担相应的法律责任。</w:t>
            </w:r>
          </w:p>
        </w:tc>
      </w:tr>
      <w:tr w14:paraId="35CEE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89" w:hRule="atLeast"/>
        </w:trPr>
        <w:tc>
          <w:tcPr>
            <w:tcW w:w="953" w:type="dxa"/>
            <w:tcBorders>
              <w:left w:val="single" w:color="000000" w:sz="6" w:space="0"/>
            </w:tcBorders>
            <w:shd w:val="clear" w:color="auto" w:fill="auto"/>
            <w:vAlign w:val="center"/>
          </w:tcPr>
          <w:p w14:paraId="6EFE0C1B">
            <w:pPr>
              <w:keepNext w:val="0"/>
              <w:keepLines w:val="0"/>
              <w:pageBreakBefore w:val="0"/>
              <w:widowControl/>
              <w:kinsoku/>
              <w:wordWrap/>
              <w:overflowPunct/>
              <w:topLinePunct w:val="0"/>
              <w:bidi w:val="0"/>
              <w:adjustRightInd w:val="0"/>
              <w:snapToGrid w:val="0"/>
              <w:spacing w:before="61" w:line="187" w:lineRule="auto"/>
              <w:jc w:val="center"/>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5.2</w:t>
            </w:r>
          </w:p>
        </w:tc>
        <w:tc>
          <w:tcPr>
            <w:tcW w:w="2444" w:type="dxa"/>
            <w:shd w:val="clear" w:color="auto" w:fill="auto"/>
            <w:vAlign w:val="center"/>
          </w:tcPr>
          <w:p w14:paraId="2D2ED83E">
            <w:pPr>
              <w:pStyle w:val="33"/>
              <w:keepNext w:val="0"/>
              <w:keepLines w:val="0"/>
              <w:pageBreakBefore w:val="0"/>
              <w:widowControl/>
              <w:kinsoku/>
              <w:wordWrap/>
              <w:overflowPunct/>
              <w:topLinePunct w:val="0"/>
              <w:bidi w:val="0"/>
              <w:adjustRightInd w:val="0"/>
              <w:snapToGrid w:val="0"/>
              <w:spacing w:before="68" w:line="221" w:lineRule="auto"/>
              <w:jc w:val="center"/>
              <w:textAlignment w:val="baseline"/>
              <w:rPr>
                <w:rFonts w:ascii="宋体" w:hAnsi="宋体" w:eastAsia="宋体" w:cs="宋体"/>
                <w:snapToGrid w:val="0"/>
                <w:color w:val="auto"/>
                <w:kern w:val="0"/>
                <w:sz w:val="21"/>
                <w:szCs w:val="21"/>
                <w:highlight w:val="none"/>
                <w:lang w:val="en-US" w:eastAsia="en-US" w:bidi="ar-SA"/>
              </w:rPr>
            </w:pPr>
            <w:r>
              <w:rPr>
                <w:color w:val="auto"/>
                <w:spacing w:val="-2"/>
                <w:sz w:val="21"/>
                <w:szCs w:val="21"/>
                <w:highlight w:val="none"/>
              </w:rPr>
              <w:t>开标程序</w:t>
            </w:r>
          </w:p>
        </w:tc>
        <w:tc>
          <w:tcPr>
            <w:tcW w:w="5503" w:type="dxa"/>
            <w:tcBorders>
              <w:right w:val="single" w:color="000000" w:sz="6" w:space="0"/>
            </w:tcBorders>
            <w:vAlign w:val="top"/>
          </w:tcPr>
          <w:p w14:paraId="516CEF94">
            <w:pPr>
              <w:pStyle w:val="33"/>
              <w:keepNext w:val="0"/>
              <w:keepLines w:val="0"/>
              <w:pageBreakBefore w:val="0"/>
              <w:widowControl/>
              <w:kinsoku/>
              <w:wordWrap/>
              <w:overflowPunct/>
              <w:topLinePunct w:val="0"/>
              <w:bidi w:val="0"/>
              <w:adjustRightInd w:val="0"/>
              <w:snapToGrid w:val="0"/>
              <w:spacing w:before="108" w:line="284" w:lineRule="auto"/>
              <w:ind w:left="114" w:right="135" w:firstLine="15"/>
              <w:textAlignment w:val="baseline"/>
              <w:rPr>
                <w:rFonts w:hint="eastAsia"/>
                <w:color w:val="auto"/>
                <w:sz w:val="21"/>
                <w:szCs w:val="21"/>
                <w:highlight w:val="none"/>
              </w:rPr>
            </w:pPr>
            <w:r>
              <w:rPr>
                <w:rFonts w:hint="eastAsia"/>
                <w:color w:val="auto"/>
                <w:sz w:val="21"/>
                <w:szCs w:val="21"/>
                <w:highlight w:val="none"/>
              </w:rPr>
              <w:t>1.开标程序</w:t>
            </w:r>
          </w:p>
          <w:p w14:paraId="66D7C7CC">
            <w:pPr>
              <w:pStyle w:val="33"/>
              <w:keepNext w:val="0"/>
              <w:keepLines w:val="0"/>
              <w:pageBreakBefore w:val="0"/>
              <w:widowControl/>
              <w:kinsoku/>
              <w:wordWrap/>
              <w:overflowPunct/>
              <w:topLinePunct w:val="0"/>
              <w:bidi w:val="0"/>
              <w:adjustRightInd w:val="0"/>
              <w:snapToGrid w:val="0"/>
              <w:spacing w:before="108" w:line="284" w:lineRule="auto"/>
              <w:ind w:right="135"/>
              <w:textAlignment w:val="baseline"/>
              <w:rPr>
                <w:rFonts w:hint="eastAsia"/>
                <w:color w:val="auto"/>
                <w:sz w:val="21"/>
                <w:szCs w:val="21"/>
                <w:highlight w:val="none"/>
              </w:rPr>
            </w:pPr>
            <w:r>
              <w:rPr>
                <w:rFonts w:hint="eastAsia"/>
                <w:color w:val="auto"/>
                <w:sz w:val="21"/>
                <w:szCs w:val="21"/>
                <w:highlight w:val="none"/>
              </w:rPr>
              <w:t>（一）宣布开始</w:t>
            </w:r>
          </w:p>
          <w:p w14:paraId="3F95C5BC">
            <w:pPr>
              <w:pStyle w:val="33"/>
              <w:keepNext w:val="0"/>
              <w:keepLines w:val="0"/>
              <w:pageBreakBefore w:val="0"/>
              <w:widowControl/>
              <w:kinsoku/>
              <w:wordWrap/>
              <w:overflowPunct/>
              <w:topLinePunct w:val="0"/>
              <w:autoSpaceDE w:val="0"/>
              <w:autoSpaceDN w:val="0"/>
              <w:bidi w:val="0"/>
              <w:adjustRightInd w:val="0"/>
              <w:snapToGrid w:val="0"/>
              <w:spacing w:line="284" w:lineRule="auto"/>
              <w:ind w:left="114" w:right="0" w:firstLine="434" w:firstLineChars="207"/>
              <w:textAlignment w:val="baseline"/>
              <w:rPr>
                <w:rFonts w:hint="eastAsia"/>
                <w:color w:val="auto"/>
                <w:sz w:val="21"/>
                <w:szCs w:val="21"/>
                <w:highlight w:val="none"/>
              </w:rPr>
            </w:pPr>
            <w:r>
              <w:rPr>
                <w:rFonts w:hint="eastAsia"/>
                <w:color w:val="auto"/>
                <w:sz w:val="21"/>
                <w:szCs w:val="21"/>
                <w:highlight w:val="none"/>
              </w:rPr>
              <w:t>至投标截止时间，招标人宣布开始开标，宣布开标项目名称、招标人代表、交易中心见证代表、监标人等有关人员姓名。</w:t>
            </w:r>
          </w:p>
          <w:p w14:paraId="17E37AD5">
            <w:pPr>
              <w:pStyle w:val="33"/>
              <w:keepNext w:val="0"/>
              <w:keepLines w:val="0"/>
              <w:pageBreakBefore w:val="0"/>
              <w:widowControl/>
              <w:kinsoku/>
              <w:wordWrap/>
              <w:overflowPunct/>
              <w:topLinePunct w:val="0"/>
              <w:autoSpaceDE w:val="0"/>
              <w:autoSpaceDN w:val="0"/>
              <w:bidi w:val="0"/>
              <w:adjustRightInd w:val="0"/>
              <w:snapToGrid w:val="0"/>
              <w:spacing w:line="284" w:lineRule="auto"/>
              <w:ind w:right="0"/>
              <w:textAlignment w:val="baseline"/>
              <w:rPr>
                <w:rFonts w:hint="eastAsia"/>
                <w:color w:val="auto"/>
                <w:sz w:val="21"/>
                <w:szCs w:val="21"/>
                <w:highlight w:val="none"/>
              </w:rPr>
            </w:pPr>
            <w:r>
              <w:rPr>
                <w:rFonts w:hint="eastAsia"/>
                <w:color w:val="auto"/>
                <w:sz w:val="21"/>
                <w:szCs w:val="21"/>
                <w:highlight w:val="none"/>
              </w:rPr>
              <w:t>（二）公布投标人数量</w:t>
            </w:r>
          </w:p>
          <w:p w14:paraId="4AA4D142">
            <w:pPr>
              <w:pStyle w:val="33"/>
              <w:keepNext w:val="0"/>
              <w:keepLines w:val="0"/>
              <w:pageBreakBefore w:val="0"/>
              <w:widowControl/>
              <w:kinsoku/>
              <w:wordWrap/>
              <w:overflowPunct/>
              <w:topLinePunct w:val="0"/>
              <w:autoSpaceDE w:val="0"/>
              <w:autoSpaceDN w:val="0"/>
              <w:bidi w:val="0"/>
              <w:adjustRightInd w:val="0"/>
              <w:snapToGrid w:val="0"/>
              <w:spacing w:line="284" w:lineRule="auto"/>
              <w:ind w:left="114" w:right="0" w:firstLine="434" w:firstLineChars="207"/>
              <w:textAlignment w:val="baseline"/>
              <w:rPr>
                <w:rFonts w:hint="eastAsia"/>
                <w:color w:val="auto"/>
                <w:sz w:val="21"/>
                <w:szCs w:val="21"/>
                <w:highlight w:val="none"/>
              </w:rPr>
            </w:pPr>
            <w:r>
              <w:rPr>
                <w:rFonts w:hint="eastAsia"/>
                <w:color w:val="auto"/>
                <w:sz w:val="21"/>
                <w:szCs w:val="21"/>
                <w:highlight w:val="none"/>
              </w:rPr>
              <w:t>招标人公布投标人数量及投标保证金缴纳情况。若开标系统显示已递交投标文件的单位数量少于3家，招标人公布已递交投标文件单位名称，当场宣布招标失败，结束开标。</w:t>
            </w:r>
          </w:p>
          <w:p w14:paraId="3907AA3E">
            <w:pPr>
              <w:pStyle w:val="33"/>
              <w:keepNext w:val="0"/>
              <w:keepLines w:val="0"/>
              <w:pageBreakBefore w:val="0"/>
              <w:widowControl/>
              <w:kinsoku/>
              <w:wordWrap/>
              <w:overflowPunct/>
              <w:topLinePunct w:val="0"/>
              <w:autoSpaceDE w:val="0"/>
              <w:autoSpaceDN w:val="0"/>
              <w:bidi w:val="0"/>
              <w:adjustRightInd w:val="0"/>
              <w:snapToGrid w:val="0"/>
              <w:spacing w:line="284" w:lineRule="auto"/>
              <w:ind w:right="0"/>
              <w:textAlignment w:val="baseline"/>
              <w:rPr>
                <w:rFonts w:hint="eastAsia"/>
                <w:color w:val="auto"/>
                <w:sz w:val="21"/>
                <w:szCs w:val="21"/>
                <w:highlight w:val="none"/>
              </w:rPr>
            </w:pPr>
            <w:r>
              <w:rPr>
                <w:rFonts w:hint="eastAsia"/>
                <w:color w:val="auto"/>
                <w:sz w:val="21"/>
                <w:szCs w:val="21"/>
                <w:highlight w:val="none"/>
              </w:rPr>
              <w:t>（三）投标人解密(投标文件解密在60分钟内完成，具体以电子招投标交易平台系统时间为准)</w:t>
            </w:r>
          </w:p>
          <w:p w14:paraId="5A949409">
            <w:pPr>
              <w:pStyle w:val="33"/>
              <w:keepNext w:val="0"/>
              <w:keepLines w:val="0"/>
              <w:pageBreakBefore w:val="0"/>
              <w:widowControl/>
              <w:kinsoku/>
              <w:wordWrap/>
              <w:overflowPunct/>
              <w:topLinePunct w:val="0"/>
              <w:autoSpaceDE w:val="0"/>
              <w:autoSpaceDN w:val="0"/>
              <w:bidi w:val="0"/>
              <w:adjustRightInd w:val="0"/>
              <w:snapToGrid w:val="0"/>
              <w:spacing w:line="284" w:lineRule="auto"/>
              <w:ind w:left="114" w:right="0" w:firstLine="434" w:firstLineChars="207"/>
              <w:textAlignment w:val="baseline"/>
              <w:rPr>
                <w:rFonts w:hint="eastAsia"/>
                <w:color w:val="auto"/>
                <w:sz w:val="21"/>
                <w:szCs w:val="21"/>
                <w:highlight w:val="none"/>
              </w:rPr>
            </w:pPr>
            <w:r>
              <w:rPr>
                <w:rFonts w:hint="eastAsia"/>
                <w:color w:val="auto"/>
                <w:sz w:val="21"/>
                <w:szCs w:val="21"/>
                <w:highlight w:val="none"/>
              </w:rPr>
              <w:t>投标人数量大于等于3家，进入投标人解密环节。</w:t>
            </w:r>
          </w:p>
          <w:p w14:paraId="5DB221CA">
            <w:pPr>
              <w:pStyle w:val="33"/>
              <w:keepNext w:val="0"/>
              <w:keepLines w:val="0"/>
              <w:pageBreakBefore w:val="0"/>
              <w:widowControl/>
              <w:kinsoku/>
              <w:wordWrap/>
              <w:overflowPunct/>
              <w:topLinePunct w:val="0"/>
              <w:autoSpaceDE w:val="0"/>
              <w:autoSpaceDN w:val="0"/>
              <w:bidi w:val="0"/>
              <w:adjustRightInd w:val="0"/>
              <w:snapToGrid w:val="0"/>
              <w:spacing w:line="284" w:lineRule="auto"/>
              <w:ind w:left="114" w:right="0" w:firstLine="434" w:firstLineChars="207"/>
              <w:textAlignment w:val="baseline"/>
              <w:rPr>
                <w:rFonts w:hint="eastAsia"/>
                <w:color w:val="auto"/>
                <w:sz w:val="21"/>
                <w:szCs w:val="21"/>
                <w:highlight w:val="none"/>
              </w:rPr>
            </w:pPr>
            <w:r>
              <w:rPr>
                <w:rFonts w:hint="eastAsia"/>
                <w:color w:val="auto"/>
                <w:sz w:val="21"/>
                <w:szCs w:val="21"/>
                <w:highlight w:val="none"/>
              </w:rPr>
              <w:t>若成功解密的投标人少于3家，招标人宣布本次招标失败。</w:t>
            </w:r>
          </w:p>
          <w:p w14:paraId="437B9255">
            <w:pPr>
              <w:pStyle w:val="33"/>
              <w:keepNext w:val="0"/>
              <w:keepLines w:val="0"/>
              <w:pageBreakBefore w:val="0"/>
              <w:widowControl/>
              <w:wordWrap/>
              <w:overflowPunct/>
              <w:topLinePunct w:val="0"/>
              <w:autoSpaceDE w:val="0"/>
              <w:autoSpaceDN w:val="0"/>
              <w:bidi w:val="0"/>
              <w:adjustRightInd w:val="0"/>
              <w:snapToGrid w:val="0"/>
              <w:spacing w:line="284" w:lineRule="auto"/>
              <w:ind w:left="114" w:right="0" w:firstLine="15"/>
              <w:textAlignment w:val="baseline"/>
              <w:rPr>
                <w:rFonts w:hint="eastAsia" w:ascii="宋体" w:hAnsi="宋体" w:eastAsia="宋体" w:cs="宋体"/>
                <w:snapToGrid w:val="0"/>
                <w:color w:val="auto"/>
                <w:kern w:val="0"/>
                <w:sz w:val="21"/>
                <w:szCs w:val="21"/>
                <w:lang w:val="en-US" w:eastAsia="en-US" w:bidi="ar-SA"/>
              </w:rPr>
            </w:pPr>
            <w:r>
              <w:rPr>
                <w:rFonts w:hint="eastAsia"/>
                <w:color w:val="auto"/>
                <w:sz w:val="21"/>
                <w:szCs w:val="21"/>
                <w:highlight w:val="none"/>
              </w:rPr>
              <w:t>(四)参数录入</w:t>
            </w:r>
            <w:r>
              <w:rPr>
                <w:rFonts w:hint="eastAsia"/>
                <w:color w:val="auto"/>
                <w:sz w:val="21"/>
                <w:szCs w:val="21"/>
                <w:highlight w:val="none"/>
                <w:lang w:eastAsia="zh-CN"/>
              </w:rPr>
              <w:t>（若有）</w:t>
            </w:r>
          </w:p>
          <w:p w14:paraId="48CC93F1">
            <w:pPr>
              <w:pStyle w:val="33"/>
              <w:keepNext w:val="0"/>
              <w:keepLines w:val="0"/>
              <w:pageBreakBefore w:val="0"/>
              <w:widowControl/>
              <w:numPr>
                <w:ilvl w:val="0"/>
                <w:numId w:val="0"/>
              </w:numPr>
              <w:kinsoku/>
              <w:wordWrap/>
              <w:overflowPunct/>
              <w:topLinePunct w:val="0"/>
              <w:autoSpaceDE w:val="0"/>
              <w:autoSpaceDN w:val="0"/>
              <w:bidi w:val="0"/>
              <w:adjustRightInd w:val="0"/>
              <w:snapToGrid w:val="0"/>
              <w:spacing w:line="284" w:lineRule="auto"/>
              <w:ind w:left="114" w:leftChars="0" w:right="0" w:rightChars="0" w:firstLine="15" w:firstLineChars="0"/>
              <w:textAlignment w:val="baseline"/>
              <w:rPr>
                <w:rFonts w:hint="eastAsia"/>
                <w:color w:val="auto"/>
                <w:sz w:val="21"/>
                <w:szCs w:val="21"/>
                <w:highlight w:val="none"/>
              </w:rPr>
            </w:pPr>
            <w:r>
              <w:rPr>
                <w:rFonts w:hint="eastAsia" w:ascii="宋体" w:hAnsi="宋体" w:eastAsia="宋体" w:cs="宋体"/>
                <w:snapToGrid w:val="0"/>
                <w:color w:val="auto"/>
                <w:kern w:val="0"/>
                <w:sz w:val="21"/>
                <w:szCs w:val="21"/>
                <w:lang w:val="en-US" w:eastAsia="en-US" w:bidi="ar-SA"/>
              </w:rPr>
              <w:t>(</w:t>
            </w:r>
            <w:r>
              <w:rPr>
                <w:rFonts w:hint="eastAsia" w:cs="宋体"/>
                <w:snapToGrid w:val="0"/>
                <w:color w:val="auto"/>
                <w:kern w:val="0"/>
                <w:sz w:val="21"/>
                <w:szCs w:val="21"/>
                <w:lang w:val="en-US" w:eastAsia="zh-CN" w:bidi="ar-SA"/>
              </w:rPr>
              <w:t>五</w:t>
            </w:r>
            <w:r>
              <w:rPr>
                <w:rFonts w:hint="eastAsia" w:ascii="宋体" w:hAnsi="宋体" w:eastAsia="宋体" w:cs="宋体"/>
                <w:snapToGrid w:val="0"/>
                <w:color w:val="auto"/>
                <w:kern w:val="0"/>
                <w:sz w:val="21"/>
                <w:szCs w:val="21"/>
                <w:lang w:val="en-US" w:eastAsia="en-US" w:bidi="ar-SA"/>
              </w:rPr>
              <w:t>)</w:t>
            </w:r>
            <w:r>
              <w:rPr>
                <w:rFonts w:hint="eastAsia"/>
                <w:color w:val="auto"/>
                <w:sz w:val="21"/>
                <w:szCs w:val="21"/>
                <w:highlight w:val="none"/>
              </w:rPr>
              <w:t>公布开标结果</w:t>
            </w:r>
          </w:p>
          <w:p w14:paraId="0D20AB91">
            <w:pPr>
              <w:pStyle w:val="33"/>
              <w:keepNext w:val="0"/>
              <w:keepLines w:val="0"/>
              <w:pageBreakBefore w:val="0"/>
              <w:widowControl/>
              <w:numPr>
                <w:ilvl w:val="0"/>
                <w:numId w:val="0"/>
              </w:numPr>
              <w:kinsoku/>
              <w:wordWrap/>
              <w:overflowPunct/>
              <w:topLinePunct w:val="0"/>
              <w:autoSpaceDE w:val="0"/>
              <w:autoSpaceDN w:val="0"/>
              <w:bidi w:val="0"/>
              <w:adjustRightInd w:val="0"/>
              <w:snapToGrid w:val="0"/>
              <w:spacing w:line="284" w:lineRule="auto"/>
              <w:ind w:left="129" w:leftChars="0" w:right="0" w:rightChars="0" w:firstLine="420" w:firstLineChars="200"/>
              <w:textAlignment w:val="baseline"/>
              <w:rPr>
                <w:rFonts w:hint="eastAsia"/>
                <w:color w:val="auto"/>
                <w:sz w:val="21"/>
                <w:szCs w:val="21"/>
                <w:highlight w:val="none"/>
              </w:rPr>
            </w:pPr>
            <w:r>
              <w:rPr>
                <w:rFonts w:hint="eastAsia"/>
                <w:color w:val="auto"/>
                <w:sz w:val="21"/>
                <w:szCs w:val="21"/>
                <w:highlight w:val="none"/>
              </w:rPr>
              <w:t>招标解密完成后，开标系统公布投标单位</w:t>
            </w:r>
            <w:r>
              <w:rPr>
                <w:rFonts w:hint="eastAsia"/>
                <w:color w:val="auto"/>
                <w:sz w:val="21"/>
                <w:szCs w:val="21"/>
                <w:highlight w:val="none"/>
                <w:lang w:eastAsia="zh-CN"/>
              </w:rPr>
              <w:t>、</w:t>
            </w:r>
            <w:r>
              <w:rPr>
                <w:rFonts w:hint="eastAsia"/>
                <w:color w:val="auto"/>
                <w:sz w:val="21"/>
                <w:szCs w:val="21"/>
                <w:highlight w:val="none"/>
              </w:rPr>
              <w:t>投标报价、工期、质量目标等内容。</w:t>
            </w:r>
          </w:p>
          <w:p w14:paraId="10D8D77E">
            <w:pPr>
              <w:pStyle w:val="33"/>
              <w:keepNext w:val="0"/>
              <w:keepLines w:val="0"/>
              <w:pageBreakBefore w:val="0"/>
              <w:widowControl/>
              <w:kinsoku/>
              <w:wordWrap/>
              <w:overflowPunct/>
              <w:topLinePunct w:val="0"/>
              <w:autoSpaceDE w:val="0"/>
              <w:autoSpaceDN w:val="0"/>
              <w:bidi w:val="0"/>
              <w:adjustRightInd w:val="0"/>
              <w:snapToGrid w:val="0"/>
              <w:spacing w:line="284" w:lineRule="auto"/>
              <w:ind w:right="0"/>
              <w:textAlignment w:val="baseline"/>
              <w:rPr>
                <w:rFonts w:hint="eastAsia"/>
                <w:color w:val="auto"/>
                <w:sz w:val="21"/>
                <w:szCs w:val="21"/>
                <w:highlight w:val="none"/>
              </w:rPr>
            </w:pPr>
            <w:r>
              <w:rPr>
                <w:rFonts w:hint="eastAsia"/>
                <w:color w:val="auto"/>
                <w:sz w:val="21"/>
                <w:szCs w:val="21"/>
                <w:highlight w:val="none"/>
              </w:rPr>
              <w:t>（</w:t>
            </w:r>
            <w:r>
              <w:rPr>
                <w:rFonts w:hint="eastAsia"/>
                <w:color w:val="auto"/>
                <w:sz w:val="21"/>
                <w:szCs w:val="21"/>
                <w:highlight w:val="none"/>
                <w:lang w:eastAsia="zh-CN"/>
              </w:rPr>
              <w:t>六</w:t>
            </w:r>
            <w:r>
              <w:rPr>
                <w:rFonts w:hint="eastAsia"/>
                <w:color w:val="auto"/>
                <w:sz w:val="21"/>
                <w:szCs w:val="21"/>
                <w:highlight w:val="none"/>
              </w:rPr>
              <w:t>）投标人确认</w:t>
            </w:r>
          </w:p>
          <w:p w14:paraId="3B54CA80">
            <w:pPr>
              <w:pStyle w:val="33"/>
              <w:keepNext w:val="0"/>
              <w:keepLines w:val="0"/>
              <w:pageBreakBefore w:val="0"/>
              <w:widowControl/>
              <w:kinsoku/>
              <w:wordWrap/>
              <w:overflowPunct/>
              <w:topLinePunct w:val="0"/>
              <w:autoSpaceDE w:val="0"/>
              <w:autoSpaceDN w:val="0"/>
              <w:bidi w:val="0"/>
              <w:adjustRightInd w:val="0"/>
              <w:snapToGrid w:val="0"/>
              <w:spacing w:line="284" w:lineRule="auto"/>
              <w:ind w:left="114" w:right="0" w:firstLine="434" w:firstLineChars="207"/>
              <w:textAlignment w:val="baseline"/>
              <w:rPr>
                <w:rFonts w:hint="eastAsia"/>
                <w:color w:val="auto"/>
                <w:sz w:val="21"/>
                <w:szCs w:val="21"/>
                <w:highlight w:val="none"/>
              </w:rPr>
            </w:pPr>
            <w:r>
              <w:rPr>
                <w:rFonts w:hint="eastAsia"/>
                <w:color w:val="auto"/>
                <w:sz w:val="21"/>
                <w:szCs w:val="21"/>
                <w:highlight w:val="none"/>
              </w:rPr>
              <w:t>开标结果公布后，投标人应在5分钟内对开标结果进行确认，未在规定时间内完成在线确认的视为自动确认。</w:t>
            </w:r>
          </w:p>
          <w:p w14:paraId="257DBA4F">
            <w:pPr>
              <w:pStyle w:val="33"/>
              <w:keepNext w:val="0"/>
              <w:keepLines w:val="0"/>
              <w:pageBreakBefore w:val="0"/>
              <w:widowControl/>
              <w:kinsoku/>
              <w:wordWrap/>
              <w:overflowPunct/>
              <w:topLinePunct w:val="0"/>
              <w:autoSpaceDE w:val="0"/>
              <w:autoSpaceDN w:val="0"/>
              <w:bidi w:val="0"/>
              <w:adjustRightInd w:val="0"/>
              <w:snapToGrid w:val="0"/>
              <w:spacing w:line="284" w:lineRule="auto"/>
              <w:ind w:right="0"/>
              <w:textAlignment w:val="baseline"/>
              <w:rPr>
                <w:rFonts w:hint="eastAsia"/>
                <w:color w:val="auto"/>
                <w:sz w:val="21"/>
                <w:szCs w:val="21"/>
                <w:highlight w:val="none"/>
              </w:rPr>
            </w:pPr>
            <w:r>
              <w:rPr>
                <w:rFonts w:hint="eastAsia"/>
                <w:color w:val="auto"/>
                <w:sz w:val="21"/>
                <w:szCs w:val="21"/>
                <w:highlight w:val="none"/>
              </w:rPr>
              <w:t>（</w:t>
            </w:r>
            <w:r>
              <w:rPr>
                <w:rFonts w:hint="eastAsia"/>
                <w:color w:val="auto"/>
                <w:sz w:val="21"/>
                <w:szCs w:val="21"/>
                <w:highlight w:val="none"/>
                <w:lang w:eastAsia="zh-CN"/>
              </w:rPr>
              <w:t>七</w:t>
            </w:r>
            <w:r>
              <w:rPr>
                <w:rFonts w:hint="eastAsia"/>
                <w:color w:val="auto"/>
                <w:sz w:val="21"/>
                <w:szCs w:val="21"/>
                <w:highlight w:val="none"/>
              </w:rPr>
              <w:t>）异议及回复</w:t>
            </w:r>
          </w:p>
          <w:p w14:paraId="55B8DF04">
            <w:pPr>
              <w:pStyle w:val="33"/>
              <w:keepNext w:val="0"/>
              <w:keepLines w:val="0"/>
              <w:pageBreakBefore w:val="0"/>
              <w:widowControl/>
              <w:kinsoku/>
              <w:wordWrap/>
              <w:overflowPunct/>
              <w:topLinePunct w:val="0"/>
              <w:autoSpaceDE w:val="0"/>
              <w:autoSpaceDN w:val="0"/>
              <w:bidi w:val="0"/>
              <w:adjustRightInd w:val="0"/>
              <w:snapToGrid w:val="0"/>
              <w:spacing w:line="284" w:lineRule="auto"/>
              <w:ind w:left="114" w:right="0" w:firstLine="434" w:firstLineChars="207"/>
              <w:textAlignment w:val="baseline"/>
              <w:rPr>
                <w:rFonts w:hint="eastAsia" w:eastAsia="宋体"/>
                <w:color w:val="auto"/>
                <w:sz w:val="21"/>
                <w:szCs w:val="21"/>
                <w:highlight w:val="none"/>
                <w:lang w:eastAsia="zh-CN"/>
              </w:rPr>
            </w:pPr>
            <w:r>
              <w:rPr>
                <w:rFonts w:hint="eastAsia"/>
                <w:color w:val="auto"/>
                <w:sz w:val="21"/>
                <w:szCs w:val="21"/>
                <w:highlight w:val="none"/>
              </w:rPr>
              <w:t>投标人对开标有异议的，应在开标结果公布后5分钟内</w:t>
            </w:r>
            <w:r>
              <w:rPr>
                <w:rFonts w:hint="eastAsia"/>
                <w:color w:val="auto"/>
                <w:sz w:val="21"/>
                <w:szCs w:val="21"/>
                <w:highlight w:val="none"/>
                <w:lang w:eastAsia="zh-CN"/>
              </w:rPr>
              <w:t>提出</w:t>
            </w:r>
            <w:r>
              <w:rPr>
                <w:rFonts w:hint="eastAsia"/>
                <w:color w:val="auto"/>
                <w:sz w:val="21"/>
                <w:szCs w:val="21"/>
                <w:highlight w:val="none"/>
              </w:rPr>
              <w:t>异议，</w:t>
            </w:r>
            <w:r>
              <w:rPr>
                <w:rFonts w:hint="eastAsia"/>
                <w:color w:val="auto"/>
                <w:sz w:val="21"/>
                <w:szCs w:val="21"/>
                <w:highlight w:val="none"/>
                <w:lang w:eastAsia="zh-CN"/>
              </w:rPr>
              <w:t>未在规定时间内完成在线确认的视为自动确认。</w:t>
            </w:r>
          </w:p>
          <w:p w14:paraId="6E89632C">
            <w:pPr>
              <w:pStyle w:val="33"/>
              <w:keepNext w:val="0"/>
              <w:keepLines w:val="0"/>
              <w:pageBreakBefore w:val="0"/>
              <w:widowControl/>
              <w:kinsoku/>
              <w:wordWrap/>
              <w:overflowPunct/>
              <w:topLinePunct w:val="0"/>
              <w:autoSpaceDE w:val="0"/>
              <w:autoSpaceDN w:val="0"/>
              <w:bidi w:val="0"/>
              <w:adjustRightInd w:val="0"/>
              <w:snapToGrid w:val="0"/>
              <w:spacing w:line="284" w:lineRule="auto"/>
              <w:ind w:right="0"/>
              <w:textAlignment w:val="baseline"/>
              <w:rPr>
                <w:rFonts w:hint="eastAsia"/>
                <w:color w:val="auto"/>
                <w:sz w:val="21"/>
                <w:szCs w:val="21"/>
                <w:highlight w:val="none"/>
              </w:rPr>
            </w:pPr>
            <w:r>
              <w:rPr>
                <w:rFonts w:hint="eastAsia"/>
                <w:color w:val="auto"/>
                <w:sz w:val="21"/>
                <w:szCs w:val="21"/>
                <w:highlight w:val="none"/>
              </w:rPr>
              <w:t>（</w:t>
            </w:r>
            <w:r>
              <w:rPr>
                <w:rFonts w:hint="eastAsia"/>
                <w:color w:val="auto"/>
                <w:sz w:val="21"/>
                <w:szCs w:val="21"/>
                <w:highlight w:val="none"/>
                <w:lang w:eastAsia="zh-CN"/>
              </w:rPr>
              <w:t>八</w:t>
            </w:r>
            <w:r>
              <w:rPr>
                <w:rFonts w:hint="eastAsia"/>
                <w:color w:val="auto"/>
                <w:sz w:val="21"/>
                <w:szCs w:val="21"/>
                <w:highlight w:val="none"/>
              </w:rPr>
              <w:t>）开标结束</w:t>
            </w:r>
          </w:p>
          <w:p w14:paraId="53FD6A5D">
            <w:pPr>
              <w:pStyle w:val="33"/>
              <w:keepNext w:val="0"/>
              <w:keepLines w:val="0"/>
              <w:pageBreakBefore w:val="0"/>
              <w:widowControl/>
              <w:kinsoku/>
              <w:wordWrap/>
              <w:overflowPunct/>
              <w:topLinePunct w:val="0"/>
              <w:autoSpaceDE w:val="0"/>
              <w:autoSpaceDN w:val="0"/>
              <w:bidi w:val="0"/>
              <w:adjustRightInd w:val="0"/>
              <w:snapToGrid w:val="0"/>
              <w:spacing w:line="284" w:lineRule="auto"/>
              <w:ind w:left="114" w:right="0" w:firstLine="434" w:firstLineChars="207"/>
              <w:textAlignment w:val="baseline"/>
              <w:rPr>
                <w:rFonts w:hint="eastAsia"/>
                <w:color w:val="auto"/>
                <w:sz w:val="21"/>
                <w:szCs w:val="21"/>
                <w:highlight w:val="none"/>
              </w:rPr>
            </w:pPr>
            <w:r>
              <w:rPr>
                <w:rFonts w:hint="eastAsia"/>
                <w:color w:val="auto"/>
                <w:sz w:val="21"/>
                <w:szCs w:val="21"/>
                <w:highlight w:val="none"/>
              </w:rPr>
              <w:t>招标人宣布本次开标结束。</w:t>
            </w:r>
          </w:p>
        </w:tc>
      </w:tr>
      <w:tr w14:paraId="58DF71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01D3274A">
            <w:pPr>
              <w:pStyle w:val="33"/>
              <w:keepNext w:val="0"/>
              <w:keepLines w:val="0"/>
              <w:pageBreakBefore w:val="0"/>
              <w:widowControl/>
              <w:kinsoku/>
              <w:wordWrap/>
              <w:overflowPunct/>
              <w:topLinePunct w:val="0"/>
              <w:bidi w:val="0"/>
              <w:adjustRightInd w:val="0"/>
              <w:snapToGrid w:val="0"/>
              <w:spacing w:before="213" w:line="221" w:lineRule="auto"/>
              <w:ind w:left="158" w:leftChars="0"/>
              <w:textAlignment w:val="baseline"/>
              <w:rPr>
                <w:rFonts w:ascii="宋体" w:hAnsi="宋体" w:eastAsia="宋体" w:cs="宋体"/>
                <w:snapToGrid w:val="0"/>
                <w:color w:val="auto"/>
                <w:kern w:val="0"/>
                <w:sz w:val="21"/>
                <w:szCs w:val="21"/>
                <w:highlight w:val="none"/>
                <w:lang w:val="en-US" w:eastAsia="en-US" w:bidi="ar-SA"/>
              </w:rPr>
            </w:pPr>
            <w:r>
              <w:rPr>
                <w:b/>
                <w:bCs/>
                <w:color w:val="auto"/>
                <w:spacing w:val="-4"/>
                <w:sz w:val="21"/>
                <w:szCs w:val="21"/>
                <w:highlight w:val="none"/>
              </w:rPr>
              <w:t>条款号</w:t>
            </w:r>
          </w:p>
        </w:tc>
        <w:tc>
          <w:tcPr>
            <w:tcW w:w="2444" w:type="dxa"/>
            <w:shd w:val="clear" w:color="auto" w:fill="auto"/>
            <w:vAlign w:val="top"/>
          </w:tcPr>
          <w:p w14:paraId="08A1F710">
            <w:pPr>
              <w:pStyle w:val="33"/>
              <w:keepNext w:val="0"/>
              <w:keepLines w:val="0"/>
              <w:pageBreakBefore w:val="0"/>
              <w:widowControl/>
              <w:kinsoku/>
              <w:wordWrap/>
              <w:overflowPunct/>
              <w:topLinePunct w:val="0"/>
              <w:bidi w:val="0"/>
              <w:adjustRightInd w:val="0"/>
              <w:snapToGrid w:val="0"/>
              <w:spacing w:before="213" w:line="221" w:lineRule="auto"/>
              <w:ind w:left="642" w:leftChars="0"/>
              <w:textAlignment w:val="baseline"/>
              <w:rPr>
                <w:rFonts w:ascii="宋体" w:hAnsi="宋体" w:eastAsia="宋体" w:cs="宋体"/>
                <w:snapToGrid w:val="0"/>
                <w:color w:val="auto"/>
                <w:kern w:val="0"/>
                <w:sz w:val="21"/>
                <w:szCs w:val="21"/>
                <w:highlight w:val="none"/>
                <w:lang w:val="en-US" w:eastAsia="en-US" w:bidi="ar-SA"/>
              </w:rPr>
            </w:pPr>
            <w:r>
              <w:rPr>
                <w:b/>
                <w:bCs/>
                <w:color w:val="auto"/>
                <w:spacing w:val="-9"/>
                <w:sz w:val="21"/>
                <w:szCs w:val="21"/>
                <w:highlight w:val="none"/>
              </w:rPr>
              <w:t>条</w:t>
            </w:r>
            <w:r>
              <w:rPr>
                <w:color w:val="auto"/>
                <w:spacing w:val="9"/>
                <w:sz w:val="21"/>
                <w:szCs w:val="21"/>
                <w:highlight w:val="none"/>
              </w:rPr>
              <w:t xml:space="preserve"> </w:t>
            </w:r>
            <w:r>
              <w:rPr>
                <w:b/>
                <w:bCs/>
                <w:color w:val="auto"/>
                <w:spacing w:val="-9"/>
                <w:sz w:val="21"/>
                <w:szCs w:val="21"/>
                <w:highlight w:val="none"/>
              </w:rPr>
              <w:t>款</w:t>
            </w:r>
            <w:r>
              <w:rPr>
                <w:color w:val="auto"/>
                <w:spacing w:val="12"/>
                <w:sz w:val="21"/>
                <w:szCs w:val="21"/>
                <w:highlight w:val="none"/>
              </w:rPr>
              <w:t xml:space="preserve"> </w:t>
            </w:r>
            <w:r>
              <w:rPr>
                <w:b/>
                <w:bCs/>
                <w:color w:val="auto"/>
                <w:spacing w:val="-9"/>
                <w:sz w:val="21"/>
                <w:szCs w:val="21"/>
                <w:highlight w:val="none"/>
              </w:rPr>
              <w:t>名</w:t>
            </w:r>
            <w:r>
              <w:rPr>
                <w:color w:val="auto"/>
                <w:spacing w:val="5"/>
                <w:sz w:val="21"/>
                <w:szCs w:val="21"/>
                <w:highlight w:val="none"/>
              </w:rPr>
              <w:t xml:space="preserve"> </w:t>
            </w:r>
            <w:r>
              <w:rPr>
                <w:b/>
                <w:bCs/>
                <w:color w:val="auto"/>
                <w:spacing w:val="-9"/>
                <w:sz w:val="21"/>
                <w:szCs w:val="21"/>
                <w:highlight w:val="none"/>
              </w:rPr>
              <w:t>称</w:t>
            </w:r>
          </w:p>
        </w:tc>
        <w:tc>
          <w:tcPr>
            <w:tcW w:w="5503" w:type="dxa"/>
            <w:tcBorders>
              <w:right w:val="single" w:color="000000" w:sz="6" w:space="0"/>
            </w:tcBorders>
            <w:shd w:val="clear" w:color="auto" w:fill="auto"/>
            <w:vAlign w:val="top"/>
          </w:tcPr>
          <w:p w14:paraId="371EBCC1">
            <w:pPr>
              <w:pStyle w:val="33"/>
              <w:keepNext w:val="0"/>
              <w:keepLines w:val="0"/>
              <w:pageBreakBefore w:val="0"/>
              <w:widowControl/>
              <w:kinsoku/>
              <w:wordWrap/>
              <w:overflowPunct/>
              <w:topLinePunct w:val="0"/>
              <w:bidi w:val="0"/>
              <w:adjustRightInd w:val="0"/>
              <w:snapToGrid w:val="0"/>
              <w:spacing w:before="213" w:line="221" w:lineRule="auto"/>
              <w:ind w:left="1702" w:leftChars="0"/>
              <w:textAlignment w:val="baseline"/>
              <w:rPr>
                <w:rFonts w:hint="eastAsia" w:ascii="宋体" w:hAnsi="宋体" w:eastAsia="宋体" w:cs="宋体"/>
                <w:snapToGrid w:val="0"/>
                <w:color w:val="auto"/>
                <w:kern w:val="0"/>
                <w:sz w:val="21"/>
                <w:szCs w:val="21"/>
                <w:highlight w:val="none"/>
                <w:lang w:val="en-US" w:eastAsia="en-US" w:bidi="ar-SA"/>
              </w:rPr>
            </w:pPr>
            <w:r>
              <w:rPr>
                <w:b/>
                <w:bCs/>
                <w:color w:val="auto"/>
                <w:spacing w:val="-16"/>
                <w:sz w:val="21"/>
                <w:szCs w:val="21"/>
                <w:highlight w:val="none"/>
              </w:rPr>
              <w:t>编</w:t>
            </w:r>
            <w:r>
              <w:rPr>
                <w:color w:val="auto"/>
                <w:spacing w:val="4"/>
                <w:sz w:val="21"/>
                <w:szCs w:val="21"/>
                <w:highlight w:val="none"/>
              </w:rPr>
              <w:t xml:space="preserve">    </w:t>
            </w:r>
            <w:r>
              <w:rPr>
                <w:b/>
                <w:bCs/>
                <w:color w:val="auto"/>
                <w:spacing w:val="-16"/>
                <w:sz w:val="21"/>
                <w:szCs w:val="21"/>
                <w:highlight w:val="none"/>
              </w:rPr>
              <w:t>列</w:t>
            </w:r>
            <w:r>
              <w:rPr>
                <w:color w:val="auto"/>
                <w:spacing w:val="8"/>
                <w:sz w:val="21"/>
                <w:szCs w:val="21"/>
                <w:highlight w:val="none"/>
              </w:rPr>
              <w:t xml:space="preserve">    </w:t>
            </w:r>
            <w:r>
              <w:rPr>
                <w:b/>
                <w:bCs/>
                <w:color w:val="auto"/>
                <w:spacing w:val="-16"/>
                <w:sz w:val="21"/>
                <w:szCs w:val="21"/>
                <w:highlight w:val="none"/>
              </w:rPr>
              <w:t>内</w:t>
            </w:r>
            <w:r>
              <w:rPr>
                <w:color w:val="auto"/>
                <w:spacing w:val="3"/>
                <w:sz w:val="21"/>
                <w:szCs w:val="21"/>
                <w:highlight w:val="none"/>
              </w:rPr>
              <w:t xml:space="preserve">    </w:t>
            </w:r>
            <w:r>
              <w:rPr>
                <w:b/>
                <w:bCs/>
                <w:color w:val="auto"/>
                <w:spacing w:val="-16"/>
                <w:sz w:val="21"/>
                <w:szCs w:val="21"/>
                <w:highlight w:val="none"/>
              </w:rPr>
              <w:t>容</w:t>
            </w:r>
          </w:p>
        </w:tc>
      </w:tr>
      <w:tr w14:paraId="58B50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126AED03">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2F94DA2E">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0B890ED4">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747CEE6D">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3CBD1BBB">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0AE7AC4E">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3EE732C0">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49AE77C4">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4D17ED4B">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3D5C01B7">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695004F9">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624DCF90">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2D7254FF">
            <w:pPr>
              <w:keepNext w:val="0"/>
              <w:keepLines w:val="0"/>
              <w:pageBreakBefore w:val="0"/>
              <w:widowControl/>
              <w:kinsoku/>
              <w:wordWrap/>
              <w:overflowPunct/>
              <w:topLinePunct w:val="0"/>
              <w:bidi w:val="0"/>
              <w:adjustRightInd w:val="0"/>
              <w:snapToGrid w:val="0"/>
              <w:spacing w:line="244" w:lineRule="auto"/>
              <w:textAlignment w:val="baseline"/>
              <w:rPr>
                <w:rFonts w:ascii="宋体" w:hAnsi="宋体" w:eastAsia="宋体" w:cs="宋体"/>
                <w:snapToGrid w:val="0"/>
                <w:color w:val="auto"/>
                <w:spacing w:val="-1"/>
                <w:kern w:val="0"/>
                <w:sz w:val="21"/>
                <w:szCs w:val="21"/>
                <w:highlight w:val="none"/>
                <w:lang w:val="en-US" w:eastAsia="en-US" w:bidi="ar-SA"/>
              </w:rPr>
            </w:pPr>
          </w:p>
          <w:p w14:paraId="64D4A207">
            <w:pPr>
              <w:keepNext w:val="0"/>
              <w:keepLines w:val="0"/>
              <w:pageBreakBefore w:val="0"/>
              <w:widowControl/>
              <w:kinsoku/>
              <w:wordWrap/>
              <w:overflowPunct/>
              <w:topLinePunct w:val="0"/>
              <w:bidi w:val="0"/>
              <w:adjustRightInd w:val="0"/>
              <w:snapToGrid w:val="0"/>
              <w:spacing w:line="245" w:lineRule="auto"/>
              <w:textAlignment w:val="baseline"/>
              <w:rPr>
                <w:rFonts w:ascii="宋体" w:hAnsi="宋体" w:eastAsia="宋体" w:cs="宋体"/>
                <w:snapToGrid w:val="0"/>
                <w:color w:val="auto"/>
                <w:spacing w:val="-1"/>
                <w:kern w:val="0"/>
                <w:sz w:val="21"/>
                <w:szCs w:val="21"/>
                <w:highlight w:val="none"/>
                <w:lang w:val="en-US" w:eastAsia="en-US" w:bidi="ar-SA"/>
              </w:rPr>
            </w:pPr>
          </w:p>
          <w:p w14:paraId="205FB314">
            <w:pPr>
              <w:keepNext w:val="0"/>
              <w:keepLines w:val="0"/>
              <w:pageBreakBefore w:val="0"/>
              <w:widowControl/>
              <w:kinsoku/>
              <w:wordWrap/>
              <w:overflowPunct/>
              <w:topLinePunct w:val="0"/>
              <w:bidi w:val="0"/>
              <w:adjustRightInd w:val="0"/>
              <w:snapToGrid w:val="0"/>
              <w:spacing w:line="245" w:lineRule="auto"/>
              <w:textAlignment w:val="baseline"/>
              <w:rPr>
                <w:rFonts w:ascii="宋体" w:hAnsi="宋体" w:eastAsia="宋体" w:cs="宋体"/>
                <w:snapToGrid w:val="0"/>
                <w:color w:val="auto"/>
                <w:spacing w:val="-1"/>
                <w:kern w:val="0"/>
                <w:sz w:val="21"/>
                <w:szCs w:val="21"/>
                <w:highlight w:val="none"/>
                <w:lang w:val="en-US" w:eastAsia="en-US" w:bidi="ar-SA"/>
              </w:rPr>
            </w:pPr>
          </w:p>
          <w:p w14:paraId="0F34D0AD">
            <w:pPr>
              <w:keepNext w:val="0"/>
              <w:keepLines w:val="0"/>
              <w:pageBreakBefore w:val="0"/>
              <w:widowControl/>
              <w:kinsoku/>
              <w:wordWrap/>
              <w:overflowPunct/>
              <w:topLinePunct w:val="0"/>
              <w:bidi w:val="0"/>
              <w:adjustRightInd w:val="0"/>
              <w:snapToGrid w:val="0"/>
              <w:spacing w:before="60" w:line="230" w:lineRule="auto"/>
              <w:ind w:left="342" w:leftChars="0"/>
              <w:textAlignment w:val="baseline"/>
              <w:rPr>
                <w:rFonts w:ascii="宋体" w:hAnsi="宋体" w:eastAsia="宋体" w:cs="宋体"/>
                <w:snapToGrid w:val="0"/>
                <w:color w:val="auto"/>
                <w:spacing w:val="-1"/>
                <w:kern w:val="0"/>
                <w:sz w:val="21"/>
                <w:szCs w:val="21"/>
                <w:highlight w:val="none"/>
                <w:lang w:val="en-US" w:eastAsia="en-US" w:bidi="ar-SA"/>
              </w:rPr>
            </w:pPr>
            <w:r>
              <w:rPr>
                <w:rFonts w:ascii="宋体" w:hAnsi="宋体" w:eastAsia="宋体" w:cs="宋体"/>
                <w:snapToGrid w:val="0"/>
                <w:color w:val="auto"/>
                <w:spacing w:val="-1"/>
                <w:kern w:val="0"/>
                <w:sz w:val="21"/>
                <w:szCs w:val="21"/>
                <w:highlight w:val="none"/>
                <w:lang w:val="en-US" w:eastAsia="en-US" w:bidi="ar-SA"/>
              </w:rPr>
              <w:t>5.3</w:t>
            </w:r>
          </w:p>
        </w:tc>
        <w:tc>
          <w:tcPr>
            <w:tcW w:w="2444" w:type="dxa"/>
            <w:shd w:val="clear" w:color="auto" w:fill="auto"/>
            <w:vAlign w:val="top"/>
          </w:tcPr>
          <w:p w14:paraId="149A57B9">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5624A466">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3B28E75E">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6BFE780F">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4D2E8EA4">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4F94B669">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555B35E6">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01010A57">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20D74C1C">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1FC2ADE3">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17A4D11C">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082719FF">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5D0901C9">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72E8B1EB">
            <w:pPr>
              <w:keepNext w:val="0"/>
              <w:keepLines w:val="0"/>
              <w:pageBreakBefore w:val="0"/>
              <w:widowControl/>
              <w:kinsoku/>
              <w:wordWrap/>
              <w:overflowPunct/>
              <w:topLinePunct w:val="0"/>
              <w:bidi w:val="0"/>
              <w:adjustRightInd w:val="0"/>
              <w:snapToGrid w:val="0"/>
              <w:spacing w:line="241" w:lineRule="auto"/>
              <w:textAlignment w:val="baseline"/>
              <w:rPr>
                <w:rFonts w:ascii="宋体" w:hAnsi="宋体" w:eastAsia="宋体" w:cs="宋体"/>
                <w:snapToGrid w:val="0"/>
                <w:color w:val="auto"/>
                <w:spacing w:val="-1"/>
                <w:kern w:val="0"/>
                <w:sz w:val="21"/>
                <w:szCs w:val="21"/>
                <w:highlight w:val="none"/>
                <w:lang w:val="en-US" w:eastAsia="en-US" w:bidi="ar-SA"/>
              </w:rPr>
            </w:pPr>
          </w:p>
          <w:p w14:paraId="5F033F93">
            <w:pPr>
              <w:keepNext w:val="0"/>
              <w:keepLines w:val="0"/>
              <w:pageBreakBefore w:val="0"/>
              <w:widowControl/>
              <w:kinsoku/>
              <w:wordWrap/>
              <w:overflowPunct/>
              <w:topLinePunct w:val="0"/>
              <w:bidi w:val="0"/>
              <w:adjustRightInd w:val="0"/>
              <w:snapToGrid w:val="0"/>
              <w:spacing w:line="242" w:lineRule="auto"/>
              <w:textAlignment w:val="baseline"/>
              <w:rPr>
                <w:rFonts w:ascii="宋体" w:hAnsi="宋体" w:eastAsia="宋体" w:cs="宋体"/>
                <w:snapToGrid w:val="0"/>
                <w:color w:val="auto"/>
                <w:spacing w:val="-1"/>
                <w:kern w:val="0"/>
                <w:sz w:val="21"/>
                <w:szCs w:val="21"/>
                <w:highlight w:val="none"/>
                <w:lang w:val="en-US" w:eastAsia="en-US" w:bidi="ar-SA"/>
              </w:rPr>
            </w:pPr>
          </w:p>
          <w:p w14:paraId="7C633ABA">
            <w:pPr>
              <w:pStyle w:val="33"/>
              <w:keepNext w:val="0"/>
              <w:keepLines w:val="0"/>
              <w:pageBreakBefore w:val="0"/>
              <w:widowControl/>
              <w:kinsoku/>
              <w:wordWrap/>
              <w:overflowPunct/>
              <w:topLinePunct w:val="0"/>
              <w:bidi w:val="0"/>
              <w:adjustRightInd w:val="0"/>
              <w:snapToGrid w:val="0"/>
              <w:spacing w:before="68" w:line="221" w:lineRule="auto"/>
              <w:ind w:left="105" w:leftChars="0"/>
              <w:jc w:val="center"/>
              <w:textAlignment w:val="baseline"/>
              <w:rPr>
                <w:rFonts w:hint="eastAsia" w:ascii="宋体" w:hAnsi="宋体" w:eastAsia="宋体" w:cs="宋体"/>
                <w:snapToGrid w:val="0"/>
                <w:color w:val="auto"/>
                <w:spacing w:val="-1"/>
                <w:kern w:val="0"/>
                <w:sz w:val="21"/>
                <w:szCs w:val="21"/>
                <w:highlight w:val="none"/>
                <w:lang w:val="en-US" w:eastAsia="zh-CN" w:bidi="ar-SA"/>
              </w:rPr>
            </w:pPr>
            <w:r>
              <w:rPr>
                <w:rFonts w:ascii="宋体" w:hAnsi="宋体" w:eastAsia="宋体" w:cs="宋体"/>
                <w:snapToGrid w:val="0"/>
                <w:color w:val="auto"/>
                <w:spacing w:val="-1"/>
                <w:kern w:val="0"/>
                <w:sz w:val="21"/>
                <w:szCs w:val="21"/>
                <w:highlight w:val="none"/>
                <w:lang w:val="en-US" w:eastAsia="en-US" w:bidi="ar-SA"/>
              </w:rPr>
              <w:t>特殊情况处置</w:t>
            </w:r>
          </w:p>
        </w:tc>
        <w:tc>
          <w:tcPr>
            <w:tcW w:w="5503" w:type="dxa"/>
            <w:tcBorders>
              <w:right w:val="single" w:color="000000" w:sz="6" w:space="0"/>
            </w:tcBorders>
            <w:shd w:val="clear" w:color="auto" w:fill="auto"/>
            <w:vAlign w:val="top"/>
          </w:tcPr>
          <w:p w14:paraId="452176D1">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1.  特殊情况的处置</w:t>
            </w:r>
          </w:p>
          <w:p w14:paraId="48A23E82">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（一）如遇网络故障、网络安全问题等意外情况，所有投标人均无法解密，或因招标人 CA锁原因导致招标人解密环节出现问题，招标人应向监管部门申请并征得同意后可延长开标时间或推迟时间重新开标，具体安排另行通知。</w:t>
            </w:r>
          </w:p>
          <w:p w14:paraId="7A0A3A90">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（二）因电子交易系统故障、投标人数量过多等非投标人原因，导致投标文件不能在规定时间内完成解密的，招标人可向监管部门申请并征得同意后延长解密时间，并告知在线的投标人。</w:t>
            </w:r>
          </w:p>
          <w:p w14:paraId="67E15CF3">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2.  开标特别说明</w:t>
            </w:r>
          </w:p>
          <w:p w14:paraId="597E8A21">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（一）开标解密使用投标人上传的电子投标文件。</w:t>
            </w:r>
          </w:p>
          <w:p w14:paraId="3FF41FD9">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（二）因投标人原因造成其电子投标文件未解密的，视为撤销其投标文件；因投标人之外的原因造成电子投标文件未解密的，视为撤回其投标文件。</w:t>
            </w:r>
          </w:p>
          <w:p w14:paraId="09590600">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（三）部分投标人的电子投标文件无法解密的，其他投标文件的开标可以继续进行。</w:t>
            </w:r>
          </w:p>
          <w:p w14:paraId="31B0B106">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（四）投标人必须使用生成电子投标文件的CA数字证书解密电子投标文件。</w:t>
            </w:r>
          </w:p>
          <w:p w14:paraId="29ABDC8C">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lang w:eastAsia="zh-CN"/>
              </w:rPr>
              <w:t>（五）其他：</w:t>
            </w:r>
            <w:r>
              <w:rPr>
                <w:rFonts w:hint="eastAsia" w:cs="宋体"/>
                <w:color w:val="auto"/>
                <w:sz w:val="21"/>
                <w:szCs w:val="21"/>
                <w:highlight w:val="none"/>
                <w:u w:val="single"/>
                <w:lang w:val="en-US" w:eastAsia="zh-CN"/>
              </w:rPr>
              <w:t>/</w:t>
            </w:r>
            <w:r>
              <w:rPr>
                <w:rFonts w:hint="eastAsia" w:ascii="宋体" w:hAnsi="宋体" w:eastAsia="宋体" w:cs="宋体"/>
                <w:color w:val="auto"/>
                <w:sz w:val="21"/>
                <w:szCs w:val="21"/>
                <w:highlight w:val="none"/>
                <w:lang w:eastAsia="zh-CN"/>
              </w:rPr>
              <w:t>。</w:t>
            </w:r>
          </w:p>
        </w:tc>
      </w:tr>
      <w:tr w14:paraId="7E12B9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0D6CCCB9">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1F55A4B4">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300C03E2">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20D87D7C">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19154D84">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63C0CB95">
            <w:pPr>
              <w:keepNext w:val="0"/>
              <w:keepLines w:val="0"/>
              <w:pageBreakBefore w:val="0"/>
              <w:widowControl/>
              <w:kinsoku/>
              <w:wordWrap/>
              <w:overflowPunct/>
              <w:topLinePunct w:val="0"/>
              <w:bidi w:val="0"/>
              <w:adjustRightInd w:val="0"/>
              <w:snapToGrid w:val="0"/>
              <w:spacing w:before="61" w:line="187" w:lineRule="auto"/>
              <w:ind w:left="265"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6.1.1</w:t>
            </w:r>
          </w:p>
        </w:tc>
        <w:tc>
          <w:tcPr>
            <w:tcW w:w="2444" w:type="dxa"/>
            <w:shd w:val="clear" w:color="auto" w:fill="auto"/>
            <w:vAlign w:val="top"/>
          </w:tcPr>
          <w:p w14:paraId="53B78545">
            <w:pPr>
              <w:keepNext w:val="0"/>
              <w:keepLines w:val="0"/>
              <w:pageBreakBefore w:val="0"/>
              <w:widowControl/>
              <w:kinsoku/>
              <w:wordWrap/>
              <w:overflowPunct/>
              <w:topLinePunct w:val="0"/>
              <w:bidi w:val="0"/>
              <w:adjustRightInd w:val="0"/>
              <w:snapToGrid w:val="0"/>
              <w:spacing w:line="259" w:lineRule="auto"/>
              <w:textAlignment w:val="baseline"/>
              <w:rPr>
                <w:rFonts w:ascii="Arial"/>
                <w:color w:val="auto"/>
                <w:sz w:val="21"/>
                <w:highlight w:val="none"/>
              </w:rPr>
            </w:pPr>
          </w:p>
          <w:p w14:paraId="2C9A0942">
            <w:pPr>
              <w:keepNext w:val="0"/>
              <w:keepLines w:val="0"/>
              <w:pageBreakBefore w:val="0"/>
              <w:widowControl/>
              <w:kinsoku/>
              <w:wordWrap/>
              <w:overflowPunct/>
              <w:topLinePunct w:val="0"/>
              <w:bidi w:val="0"/>
              <w:adjustRightInd w:val="0"/>
              <w:snapToGrid w:val="0"/>
              <w:spacing w:line="260" w:lineRule="auto"/>
              <w:textAlignment w:val="baseline"/>
              <w:rPr>
                <w:rFonts w:ascii="Arial"/>
                <w:color w:val="auto"/>
                <w:sz w:val="21"/>
                <w:highlight w:val="none"/>
              </w:rPr>
            </w:pPr>
          </w:p>
          <w:p w14:paraId="40CC4691">
            <w:pPr>
              <w:keepNext w:val="0"/>
              <w:keepLines w:val="0"/>
              <w:pageBreakBefore w:val="0"/>
              <w:widowControl/>
              <w:kinsoku/>
              <w:wordWrap/>
              <w:overflowPunct/>
              <w:topLinePunct w:val="0"/>
              <w:bidi w:val="0"/>
              <w:adjustRightInd w:val="0"/>
              <w:snapToGrid w:val="0"/>
              <w:spacing w:line="260" w:lineRule="auto"/>
              <w:textAlignment w:val="baseline"/>
              <w:rPr>
                <w:rFonts w:ascii="Arial"/>
                <w:color w:val="auto"/>
                <w:sz w:val="21"/>
                <w:highlight w:val="none"/>
              </w:rPr>
            </w:pPr>
          </w:p>
          <w:p w14:paraId="0D21F441">
            <w:pPr>
              <w:keepNext w:val="0"/>
              <w:keepLines w:val="0"/>
              <w:pageBreakBefore w:val="0"/>
              <w:widowControl/>
              <w:kinsoku/>
              <w:wordWrap/>
              <w:overflowPunct/>
              <w:topLinePunct w:val="0"/>
              <w:bidi w:val="0"/>
              <w:adjustRightInd w:val="0"/>
              <w:snapToGrid w:val="0"/>
              <w:spacing w:line="260" w:lineRule="auto"/>
              <w:textAlignment w:val="baseline"/>
              <w:rPr>
                <w:rFonts w:ascii="Arial"/>
                <w:color w:val="auto"/>
                <w:sz w:val="21"/>
                <w:highlight w:val="none"/>
              </w:rPr>
            </w:pPr>
          </w:p>
          <w:p w14:paraId="60F394B4">
            <w:pPr>
              <w:keepNext w:val="0"/>
              <w:keepLines w:val="0"/>
              <w:pageBreakBefore w:val="0"/>
              <w:widowControl/>
              <w:kinsoku/>
              <w:wordWrap/>
              <w:overflowPunct/>
              <w:topLinePunct w:val="0"/>
              <w:bidi w:val="0"/>
              <w:adjustRightInd w:val="0"/>
              <w:snapToGrid w:val="0"/>
              <w:spacing w:line="260" w:lineRule="auto"/>
              <w:textAlignment w:val="baseline"/>
              <w:rPr>
                <w:rFonts w:ascii="Arial"/>
                <w:color w:val="auto"/>
                <w:sz w:val="21"/>
                <w:highlight w:val="none"/>
              </w:rPr>
            </w:pPr>
          </w:p>
          <w:p w14:paraId="4B8B293F">
            <w:pPr>
              <w:pStyle w:val="33"/>
              <w:keepNext w:val="0"/>
              <w:keepLines w:val="0"/>
              <w:pageBreakBefore w:val="0"/>
              <w:widowControl/>
              <w:kinsoku/>
              <w:wordWrap/>
              <w:overflowPunct/>
              <w:topLinePunct w:val="0"/>
              <w:bidi w:val="0"/>
              <w:adjustRightInd w:val="0"/>
              <w:snapToGrid w:val="0"/>
              <w:spacing w:before="68" w:line="220" w:lineRule="auto"/>
              <w:ind w:left="105"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1"/>
                <w:sz w:val="21"/>
                <w:szCs w:val="21"/>
                <w:highlight w:val="none"/>
              </w:rPr>
              <w:t>评标委员会的组建</w:t>
            </w:r>
          </w:p>
        </w:tc>
        <w:tc>
          <w:tcPr>
            <w:tcW w:w="5503" w:type="dxa"/>
            <w:tcBorders>
              <w:right w:val="single" w:color="000000" w:sz="6" w:space="0"/>
            </w:tcBorders>
            <w:shd w:val="clear" w:color="auto" w:fill="auto"/>
            <w:vAlign w:val="top"/>
          </w:tcPr>
          <w:p w14:paraId="132542E9">
            <w:pPr>
              <w:pStyle w:val="33"/>
              <w:keepNext w:val="0"/>
              <w:keepLines w:val="0"/>
              <w:pageBreakBefore w:val="0"/>
              <w:widowControl/>
              <w:kinsoku/>
              <w:wordWrap/>
              <w:overflowPunct/>
              <w:topLinePunct w:val="0"/>
              <w:bidi w:val="0"/>
              <w:adjustRightInd w:val="0"/>
              <w:snapToGrid w:val="0"/>
              <w:spacing w:before="30" w:line="288" w:lineRule="auto"/>
              <w:ind w:right="96"/>
              <w:textAlignment w:val="baseline"/>
              <w:rPr>
                <w:rFonts w:hint="eastAsia"/>
                <w:color w:val="auto"/>
                <w:sz w:val="21"/>
                <w:szCs w:val="21"/>
                <w:highlight w:val="none"/>
              </w:rPr>
            </w:pPr>
            <w:r>
              <w:rPr>
                <w:rFonts w:hint="eastAsia"/>
                <w:color w:val="auto"/>
                <w:sz w:val="21"/>
                <w:szCs w:val="21"/>
                <w:highlight w:val="none"/>
              </w:rPr>
              <w:t>评标委员会成员构成：共</w:t>
            </w:r>
            <w:r>
              <w:rPr>
                <w:rFonts w:hint="eastAsia"/>
                <w:color w:val="auto"/>
                <w:sz w:val="21"/>
                <w:szCs w:val="21"/>
                <w:highlight w:val="none"/>
                <w:u w:val="single"/>
                <w:lang w:val="en-US" w:eastAsia="zh-CN"/>
              </w:rPr>
              <w:t xml:space="preserve"> 5 </w:t>
            </w:r>
            <w:r>
              <w:rPr>
                <w:rFonts w:hint="eastAsia"/>
                <w:color w:val="auto"/>
                <w:sz w:val="21"/>
                <w:szCs w:val="21"/>
                <w:highlight w:val="none"/>
              </w:rPr>
              <w:t>人，其中招标人代表</w:t>
            </w:r>
            <w:r>
              <w:rPr>
                <w:rFonts w:hint="eastAsia"/>
                <w:color w:val="auto"/>
                <w:sz w:val="21"/>
                <w:szCs w:val="21"/>
                <w:highlight w:val="none"/>
                <w:u w:val="single"/>
                <w:lang w:val="en-US" w:eastAsia="zh-CN"/>
              </w:rPr>
              <w:t xml:space="preserve"> 1 </w:t>
            </w:r>
            <w:r>
              <w:rPr>
                <w:rFonts w:hint="eastAsia"/>
                <w:color w:val="auto"/>
                <w:sz w:val="21"/>
                <w:szCs w:val="21"/>
                <w:highlight w:val="none"/>
              </w:rPr>
              <w:t>人，库选经济、 技术专家</w:t>
            </w:r>
            <w:r>
              <w:rPr>
                <w:rFonts w:hint="eastAsia"/>
                <w:color w:val="auto"/>
                <w:sz w:val="21"/>
                <w:szCs w:val="21"/>
                <w:highlight w:val="none"/>
                <w:u w:val="single"/>
                <w:lang w:val="en-US" w:eastAsia="zh-CN"/>
              </w:rPr>
              <w:t xml:space="preserve"> 4  </w:t>
            </w:r>
            <w:r>
              <w:rPr>
                <w:rFonts w:hint="eastAsia"/>
                <w:color w:val="auto"/>
                <w:sz w:val="21"/>
                <w:szCs w:val="21"/>
                <w:highlight w:val="none"/>
              </w:rPr>
              <w:t>人（库选经济、技术专家不得少于专家人数的2/3）；</w:t>
            </w:r>
          </w:p>
          <w:p w14:paraId="02F4F09A">
            <w:pPr>
              <w:pStyle w:val="33"/>
              <w:keepNext w:val="0"/>
              <w:keepLines w:val="0"/>
              <w:pageBreakBefore w:val="0"/>
              <w:widowControl/>
              <w:kinsoku/>
              <w:wordWrap/>
              <w:overflowPunct/>
              <w:topLinePunct w:val="0"/>
              <w:bidi w:val="0"/>
              <w:adjustRightInd w:val="0"/>
              <w:snapToGrid w:val="0"/>
              <w:spacing w:before="30" w:line="288" w:lineRule="auto"/>
              <w:ind w:right="96"/>
              <w:textAlignment w:val="baseline"/>
              <w:rPr>
                <w:rFonts w:hint="eastAsia"/>
                <w:color w:val="auto"/>
                <w:sz w:val="21"/>
                <w:szCs w:val="21"/>
                <w:highlight w:val="none"/>
              </w:rPr>
            </w:pPr>
            <w:r>
              <w:rPr>
                <w:rFonts w:hint="eastAsia"/>
                <w:color w:val="auto"/>
                <w:sz w:val="21"/>
                <w:szCs w:val="21"/>
                <w:highlight w:val="none"/>
              </w:rPr>
              <w:t>库选经济、技术专家确定方式：执行《浙江省综合评标专家库和评标专家管理办法实施细则》相关规定。</w:t>
            </w:r>
          </w:p>
          <w:p w14:paraId="7312ACFA">
            <w:pPr>
              <w:pStyle w:val="33"/>
              <w:keepNext w:val="0"/>
              <w:keepLines w:val="0"/>
              <w:pageBreakBefore w:val="0"/>
              <w:widowControl/>
              <w:kinsoku/>
              <w:wordWrap/>
              <w:overflowPunct/>
              <w:topLinePunct w:val="0"/>
              <w:bidi w:val="0"/>
              <w:adjustRightInd w:val="0"/>
              <w:snapToGrid w:val="0"/>
              <w:spacing w:before="30" w:line="288" w:lineRule="auto"/>
              <w:ind w:right="96" w:rightChars="0"/>
              <w:textAlignment w:val="baseline"/>
              <w:rPr>
                <w:rFonts w:hint="eastAsia" w:ascii="宋体" w:hAnsi="宋体" w:eastAsia="宋体" w:cs="宋体"/>
                <w:snapToGrid w:val="0"/>
                <w:color w:val="auto"/>
                <w:kern w:val="0"/>
                <w:sz w:val="21"/>
                <w:szCs w:val="21"/>
                <w:highlight w:val="none"/>
                <w:lang w:val="en-US" w:eastAsia="zh-CN" w:bidi="ar-SA"/>
              </w:rPr>
            </w:pPr>
            <w:r>
              <w:rPr>
                <w:rFonts w:hint="eastAsia"/>
                <w:color w:val="auto"/>
                <w:sz w:val="21"/>
                <w:szCs w:val="21"/>
                <w:highlight w:val="none"/>
              </w:rPr>
              <w:t>□评标过程中，评标专家被发现有回避事由、擅离职守或因健康等原因不能继续评标的，1位专家不能参与评标的，自动从评标委员会中取消1名招标人代表；2位专家不能参与评标的，不再补抽由其余人员组成评标委员会进行评标；最终的评标专家不得少于5人，并符合《中华人民共和国招标投标法》第三十七条的规定。</w:t>
            </w:r>
          </w:p>
        </w:tc>
      </w:tr>
      <w:tr w14:paraId="4388F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28227921">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4E444341">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05547C4B">
            <w:pPr>
              <w:keepNext w:val="0"/>
              <w:keepLines w:val="0"/>
              <w:pageBreakBefore w:val="0"/>
              <w:widowControl/>
              <w:kinsoku/>
              <w:wordWrap/>
              <w:overflowPunct/>
              <w:topLinePunct w:val="0"/>
              <w:bidi w:val="0"/>
              <w:adjustRightInd w:val="0"/>
              <w:snapToGrid w:val="0"/>
              <w:spacing w:line="270" w:lineRule="auto"/>
              <w:textAlignment w:val="baseline"/>
              <w:rPr>
                <w:rFonts w:ascii="Arial"/>
                <w:color w:val="auto"/>
                <w:sz w:val="21"/>
                <w:highlight w:val="none"/>
              </w:rPr>
            </w:pPr>
          </w:p>
          <w:p w14:paraId="3C567F0F">
            <w:pPr>
              <w:keepNext w:val="0"/>
              <w:keepLines w:val="0"/>
              <w:pageBreakBefore w:val="0"/>
              <w:widowControl/>
              <w:kinsoku/>
              <w:wordWrap/>
              <w:overflowPunct/>
              <w:topLinePunct w:val="0"/>
              <w:bidi w:val="0"/>
              <w:adjustRightInd w:val="0"/>
              <w:snapToGrid w:val="0"/>
              <w:spacing w:line="270" w:lineRule="auto"/>
              <w:textAlignment w:val="baseline"/>
              <w:rPr>
                <w:rFonts w:ascii="Arial"/>
                <w:color w:val="auto"/>
                <w:sz w:val="21"/>
                <w:highlight w:val="none"/>
              </w:rPr>
            </w:pPr>
          </w:p>
          <w:p w14:paraId="4DF0F7C2">
            <w:pPr>
              <w:keepNext w:val="0"/>
              <w:keepLines w:val="0"/>
              <w:pageBreakBefore w:val="0"/>
              <w:widowControl/>
              <w:kinsoku/>
              <w:wordWrap/>
              <w:overflowPunct/>
              <w:topLinePunct w:val="0"/>
              <w:bidi w:val="0"/>
              <w:adjustRightInd w:val="0"/>
              <w:snapToGrid w:val="0"/>
              <w:spacing w:line="270" w:lineRule="auto"/>
              <w:textAlignment w:val="baseline"/>
              <w:rPr>
                <w:rFonts w:ascii="Arial"/>
                <w:color w:val="auto"/>
                <w:sz w:val="21"/>
                <w:highlight w:val="none"/>
              </w:rPr>
            </w:pPr>
          </w:p>
          <w:p w14:paraId="67FBBD09">
            <w:pPr>
              <w:keepNext w:val="0"/>
              <w:keepLines w:val="0"/>
              <w:pageBreakBefore w:val="0"/>
              <w:widowControl/>
              <w:kinsoku/>
              <w:wordWrap/>
              <w:overflowPunct/>
              <w:topLinePunct w:val="0"/>
              <w:bidi w:val="0"/>
              <w:adjustRightInd w:val="0"/>
              <w:snapToGrid w:val="0"/>
              <w:spacing w:before="60" w:line="187" w:lineRule="auto"/>
              <w:ind w:left="344"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6.3</w:t>
            </w:r>
          </w:p>
        </w:tc>
        <w:tc>
          <w:tcPr>
            <w:tcW w:w="2444" w:type="dxa"/>
            <w:shd w:val="clear" w:color="auto" w:fill="auto"/>
            <w:vAlign w:val="top"/>
          </w:tcPr>
          <w:p w14:paraId="3DC34702">
            <w:pPr>
              <w:keepNext w:val="0"/>
              <w:keepLines w:val="0"/>
              <w:pageBreakBefore w:val="0"/>
              <w:widowControl/>
              <w:kinsoku/>
              <w:wordWrap/>
              <w:overflowPunct/>
              <w:topLinePunct w:val="0"/>
              <w:bidi w:val="0"/>
              <w:adjustRightInd w:val="0"/>
              <w:snapToGrid w:val="0"/>
              <w:spacing w:line="280" w:lineRule="auto"/>
              <w:textAlignment w:val="baseline"/>
              <w:rPr>
                <w:rFonts w:ascii="Arial"/>
                <w:color w:val="auto"/>
                <w:sz w:val="21"/>
                <w:highlight w:val="none"/>
              </w:rPr>
            </w:pPr>
          </w:p>
          <w:p w14:paraId="04822C9E">
            <w:pPr>
              <w:keepNext w:val="0"/>
              <w:keepLines w:val="0"/>
              <w:pageBreakBefore w:val="0"/>
              <w:widowControl/>
              <w:kinsoku/>
              <w:wordWrap/>
              <w:overflowPunct/>
              <w:topLinePunct w:val="0"/>
              <w:bidi w:val="0"/>
              <w:adjustRightInd w:val="0"/>
              <w:snapToGrid w:val="0"/>
              <w:spacing w:line="280" w:lineRule="auto"/>
              <w:textAlignment w:val="baseline"/>
              <w:rPr>
                <w:rFonts w:ascii="Arial"/>
                <w:color w:val="auto"/>
                <w:sz w:val="21"/>
                <w:highlight w:val="none"/>
              </w:rPr>
            </w:pPr>
          </w:p>
          <w:p w14:paraId="2072FA29">
            <w:pPr>
              <w:keepNext w:val="0"/>
              <w:keepLines w:val="0"/>
              <w:pageBreakBefore w:val="0"/>
              <w:widowControl/>
              <w:kinsoku/>
              <w:wordWrap/>
              <w:overflowPunct/>
              <w:topLinePunct w:val="0"/>
              <w:bidi w:val="0"/>
              <w:adjustRightInd w:val="0"/>
              <w:snapToGrid w:val="0"/>
              <w:spacing w:line="281" w:lineRule="auto"/>
              <w:textAlignment w:val="baseline"/>
              <w:rPr>
                <w:rFonts w:ascii="Arial"/>
                <w:color w:val="auto"/>
                <w:sz w:val="21"/>
                <w:highlight w:val="none"/>
              </w:rPr>
            </w:pPr>
          </w:p>
          <w:p w14:paraId="4BC508DB">
            <w:pPr>
              <w:keepNext w:val="0"/>
              <w:keepLines w:val="0"/>
              <w:pageBreakBefore w:val="0"/>
              <w:widowControl/>
              <w:kinsoku/>
              <w:wordWrap/>
              <w:overflowPunct/>
              <w:topLinePunct w:val="0"/>
              <w:bidi w:val="0"/>
              <w:adjustRightInd w:val="0"/>
              <w:snapToGrid w:val="0"/>
              <w:spacing w:line="281" w:lineRule="auto"/>
              <w:textAlignment w:val="baseline"/>
              <w:rPr>
                <w:rFonts w:ascii="Arial"/>
                <w:color w:val="auto"/>
                <w:sz w:val="21"/>
                <w:highlight w:val="none"/>
              </w:rPr>
            </w:pPr>
          </w:p>
          <w:p w14:paraId="2296CC24">
            <w:pPr>
              <w:pStyle w:val="33"/>
              <w:keepNext w:val="0"/>
              <w:keepLines w:val="0"/>
              <w:pageBreakBefore w:val="0"/>
              <w:widowControl/>
              <w:kinsoku/>
              <w:wordWrap/>
              <w:overflowPunct/>
              <w:topLinePunct w:val="0"/>
              <w:bidi w:val="0"/>
              <w:adjustRightInd w:val="0"/>
              <w:snapToGrid w:val="0"/>
              <w:spacing w:before="68" w:line="303" w:lineRule="auto"/>
              <w:ind w:left="105" w:leftChars="0" w:right="106" w:rightChars="0"/>
              <w:textAlignment w:val="baseline"/>
              <w:rPr>
                <w:rFonts w:ascii="宋体" w:hAnsi="宋体" w:eastAsia="宋体" w:cs="宋体"/>
                <w:snapToGrid w:val="0"/>
                <w:color w:val="auto"/>
                <w:kern w:val="0"/>
                <w:sz w:val="21"/>
                <w:szCs w:val="21"/>
                <w:highlight w:val="none"/>
                <w:lang w:val="en-US" w:eastAsia="en-US" w:bidi="ar-SA"/>
              </w:rPr>
            </w:pPr>
            <w:r>
              <w:rPr>
                <w:color w:val="auto"/>
                <w:spacing w:val="12"/>
                <w:sz w:val="21"/>
                <w:szCs w:val="21"/>
                <w:highlight w:val="none"/>
              </w:rPr>
              <w:t>评标办法与中标候选人</w:t>
            </w:r>
            <w:r>
              <w:rPr>
                <w:color w:val="auto"/>
                <w:spacing w:val="5"/>
                <w:sz w:val="21"/>
                <w:szCs w:val="21"/>
                <w:highlight w:val="none"/>
              </w:rPr>
              <w:t xml:space="preserve"> </w:t>
            </w:r>
            <w:r>
              <w:rPr>
                <w:color w:val="auto"/>
                <w:spacing w:val="-2"/>
                <w:sz w:val="21"/>
                <w:szCs w:val="21"/>
                <w:highlight w:val="none"/>
              </w:rPr>
              <w:t>推荐</w:t>
            </w:r>
          </w:p>
        </w:tc>
        <w:tc>
          <w:tcPr>
            <w:tcW w:w="5503" w:type="dxa"/>
            <w:tcBorders>
              <w:right w:val="single" w:color="000000" w:sz="6" w:space="0"/>
            </w:tcBorders>
            <w:shd w:val="clear" w:color="auto" w:fill="auto"/>
            <w:vAlign w:val="top"/>
          </w:tcPr>
          <w:p w14:paraId="7DB5AA54">
            <w:pPr>
              <w:pStyle w:val="33"/>
              <w:keepNext w:val="0"/>
              <w:keepLines w:val="0"/>
              <w:pageBreakBefore w:val="0"/>
              <w:widowControl/>
              <w:kinsoku/>
              <w:wordWrap/>
              <w:overflowPunct/>
              <w:topLinePunct w:val="0"/>
              <w:bidi w:val="0"/>
              <w:adjustRightInd w:val="0"/>
              <w:snapToGrid w:val="0"/>
              <w:spacing w:before="118" w:line="219" w:lineRule="auto"/>
              <w:ind w:left="126"/>
              <w:textAlignment w:val="baseline"/>
              <w:rPr>
                <w:color w:val="auto"/>
                <w:sz w:val="21"/>
                <w:szCs w:val="21"/>
                <w:highlight w:val="none"/>
              </w:rPr>
            </w:pPr>
            <w:r>
              <w:rPr>
                <w:rFonts w:ascii="Times New Roman" w:hAnsi="Times New Roman" w:eastAsia="Times New Roman" w:cs="Times New Roman"/>
                <w:color w:val="auto"/>
                <w:spacing w:val="-5"/>
                <w:sz w:val="21"/>
                <w:szCs w:val="21"/>
                <w:highlight w:val="none"/>
              </w:rPr>
              <w:t>1.</w:t>
            </w:r>
            <w:r>
              <w:rPr>
                <w:rFonts w:ascii="Times New Roman" w:hAnsi="Times New Roman" w:eastAsia="Times New Roman" w:cs="Times New Roman"/>
                <w:color w:val="auto"/>
                <w:spacing w:val="6"/>
                <w:sz w:val="21"/>
                <w:szCs w:val="21"/>
                <w:highlight w:val="none"/>
              </w:rPr>
              <w:t xml:space="preserve">  </w:t>
            </w:r>
            <w:r>
              <w:rPr>
                <w:color w:val="auto"/>
                <w:spacing w:val="-5"/>
                <w:sz w:val="21"/>
                <w:szCs w:val="21"/>
                <w:highlight w:val="none"/>
              </w:rPr>
              <w:t>综合评估法</w:t>
            </w:r>
          </w:p>
          <w:p w14:paraId="125CB53D">
            <w:pPr>
              <w:pStyle w:val="33"/>
              <w:keepNext w:val="0"/>
              <w:keepLines w:val="0"/>
              <w:pageBreakBefore w:val="0"/>
              <w:widowControl/>
              <w:kinsoku/>
              <w:wordWrap/>
              <w:overflowPunct/>
              <w:topLinePunct w:val="0"/>
              <w:bidi w:val="0"/>
              <w:adjustRightInd w:val="0"/>
              <w:snapToGrid w:val="0"/>
              <w:spacing w:before="110" w:line="219" w:lineRule="auto"/>
              <w:ind w:left="131"/>
              <w:textAlignment w:val="baseline"/>
              <w:rPr>
                <w:color w:val="auto"/>
                <w:sz w:val="21"/>
                <w:szCs w:val="21"/>
                <w:highlight w:val="none"/>
              </w:rPr>
            </w:pPr>
            <w:r>
              <w:rPr>
                <w:rFonts w:hint="eastAsia"/>
                <w:color w:val="auto"/>
                <w:spacing w:val="-3"/>
                <w:sz w:val="21"/>
                <w:szCs w:val="21"/>
                <w:highlight w:val="none"/>
                <w:lang w:eastAsia="zh-CN"/>
              </w:rPr>
              <w:t>☑</w:t>
            </w:r>
            <w:r>
              <w:rPr>
                <w:color w:val="auto"/>
                <w:spacing w:val="-3"/>
                <w:sz w:val="21"/>
                <w:szCs w:val="21"/>
                <w:highlight w:val="none"/>
              </w:rPr>
              <w:t>技术通过制的综合评估法</w:t>
            </w:r>
          </w:p>
          <w:p w14:paraId="1930CA28">
            <w:pPr>
              <w:pStyle w:val="33"/>
              <w:keepNext w:val="0"/>
              <w:keepLines w:val="0"/>
              <w:pageBreakBefore w:val="0"/>
              <w:widowControl/>
              <w:kinsoku/>
              <w:wordWrap/>
              <w:overflowPunct/>
              <w:topLinePunct w:val="0"/>
              <w:bidi w:val="0"/>
              <w:adjustRightInd w:val="0"/>
              <w:snapToGrid w:val="0"/>
              <w:spacing w:before="111" w:line="303" w:lineRule="auto"/>
              <w:ind w:left="566" w:right="132" w:hanging="1"/>
              <w:textAlignment w:val="baseline"/>
              <w:rPr>
                <w:color w:val="auto"/>
                <w:sz w:val="21"/>
                <w:szCs w:val="21"/>
                <w:highlight w:val="none"/>
              </w:rPr>
            </w:pPr>
            <w:r>
              <w:rPr>
                <w:color w:val="auto"/>
                <w:spacing w:val="-6"/>
                <w:sz w:val="21"/>
                <w:szCs w:val="21"/>
                <w:highlight w:val="none"/>
              </w:rPr>
              <w:t>评分基准价的确定：□方法</w:t>
            </w:r>
            <w:r>
              <w:rPr>
                <w:rFonts w:ascii="Times New Roman" w:hAnsi="Times New Roman" w:eastAsia="Times New Roman" w:cs="Times New Roman"/>
                <w:color w:val="auto"/>
                <w:spacing w:val="-6"/>
                <w:sz w:val="21"/>
                <w:szCs w:val="21"/>
                <w:highlight w:val="none"/>
              </w:rPr>
              <w:t>1</w:t>
            </w:r>
            <w:r>
              <w:rPr>
                <w:color w:val="auto"/>
                <w:spacing w:val="-6"/>
                <w:sz w:val="21"/>
                <w:szCs w:val="21"/>
                <w:highlight w:val="none"/>
              </w:rPr>
              <w:t>；</w:t>
            </w:r>
            <w:r>
              <w:rPr>
                <w:rFonts w:hint="eastAsia"/>
                <w:color w:val="auto"/>
                <w:spacing w:val="-6"/>
                <w:sz w:val="21"/>
                <w:szCs w:val="21"/>
                <w:highlight w:val="none"/>
                <w:lang w:eastAsia="zh-CN"/>
              </w:rPr>
              <w:t>☑</w:t>
            </w:r>
            <w:r>
              <w:rPr>
                <w:color w:val="auto"/>
                <w:spacing w:val="-6"/>
                <w:sz w:val="21"/>
                <w:szCs w:val="21"/>
                <w:highlight w:val="none"/>
              </w:rPr>
              <w:t>方法</w:t>
            </w:r>
            <w:r>
              <w:rPr>
                <w:rFonts w:ascii="Times New Roman" w:hAnsi="Times New Roman" w:eastAsia="Times New Roman" w:cs="Times New Roman"/>
                <w:color w:val="auto"/>
                <w:spacing w:val="-6"/>
                <w:sz w:val="21"/>
                <w:szCs w:val="21"/>
                <w:highlight w:val="none"/>
              </w:rPr>
              <w:t>2</w:t>
            </w:r>
            <w:r>
              <w:rPr>
                <w:color w:val="auto"/>
                <w:spacing w:val="-6"/>
                <w:sz w:val="21"/>
                <w:szCs w:val="21"/>
                <w:highlight w:val="none"/>
              </w:rPr>
              <w:t>；□方法</w:t>
            </w:r>
            <w:r>
              <w:rPr>
                <w:rFonts w:ascii="Times New Roman" w:hAnsi="Times New Roman" w:eastAsia="Times New Roman" w:cs="Times New Roman"/>
                <w:color w:val="auto"/>
                <w:spacing w:val="-6"/>
                <w:sz w:val="21"/>
                <w:szCs w:val="21"/>
                <w:highlight w:val="none"/>
              </w:rPr>
              <w:t>3</w:t>
            </w:r>
            <w:r>
              <w:rPr>
                <w:color w:val="auto"/>
                <w:spacing w:val="-6"/>
                <w:sz w:val="21"/>
                <w:szCs w:val="21"/>
                <w:highlight w:val="none"/>
              </w:rPr>
              <w:t>；□</w:t>
            </w:r>
            <w:r>
              <w:rPr>
                <w:color w:val="auto"/>
                <w:spacing w:val="9"/>
                <w:sz w:val="21"/>
                <w:szCs w:val="21"/>
                <w:highlight w:val="none"/>
              </w:rPr>
              <w:t xml:space="preserve"> </w:t>
            </w:r>
            <w:r>
              <w:rPr>
                <w:color w:val="auto"/>
                <w:spacing w:val="-1"/>
                <w:sz w:val="21"/>
                <w:szCs w:val="21"/>
                <w:highlight w:val="none"/>
              </w:rPr>
              <w:t>方法</w:t>
            </w:r>
            <w:r>
              <w:rPr>
                <w:rFonts w:ascii="Times New Roman" w:hAnsi="Times New Roman" w:eastAsia="Times New Roman" w:cs="Times New Roman"/>
                <w:color w:val="auto"/>
                <w:spacing w:val="-1"/>
                <w:sz w:val="21"/>
                <w:szCs w:val="21"/>
                <w:highlight w:val="none"/>
              </w:rPr>
              <w:t>4</w:t>
            </w:r>
            <w:r>
              <w:rPr>
                <w:color w:val="auto"/>
                <w:spacing w:val="-1"/>
                <w:sz w:val="21"/>
                <w:szCs w:val="21"/>
                <w:highlight w:val="none"/>
              </w:rPr>
              <w:t>：□方法</w:t>
            </w:r>
            <w:r>
              <w:rPr>
                <w:rFonts w:ascii="Times New Roman" w:hAnsi="Times New Roman" w:eastAsia="Times New Roman" w:cs="Times New Roman"/>
                <w:color w:val="auto"/>
                <w:spacing w:val="-1"/>
                <w:sz w:val="21"/>
                <w:szCs w:val="21"/>
                <w:highlight w:val="none"/>
              </w:rPr>
              <w:t>5</w:t>
            </w:r>
            <w:r>
              <w:rPr>
                <w:color w:val="auto"/>
                <w:spacing w:val="-1"/>
                <w:sz w:val="21"/>
                <w:szCs w:val="21"/>
                <w:highlight w:val="none"/>
              </w:rPr>
              <w:t>；□方法</w:t>
            </w:r>
            <w:r>
              <w:rPr>
                <w:rFonts w:ascii="Times New Roman" w:hAnsi="Times New Roman" w:eastAsia="Times New Roman" w:cs="Times New Roman"/>
                <w:color w:val="auto"/>
                <w:spacing w:val="-1"/>
                <w:sz w:val="21"/>
                <w:szCs w:val="21"/>
                <w:highlight w:val="none"/>
              </w:rPr>
              <w:t>6</w:t>
            </w:r>
            <w:r>
              <w:rPr>
                <w:color w:val="auto"/>
                <w:spacing w:val="-1"/>
                <w:sz w:val="21"/>
                <w:szCs w:val="21"/>
                <w:highlight w:val="none"/>
              </w:rPr>
              <w:t>；□其他：</w:t>
            </w:r>
            <w:r>
              <w:rPr>
                <w:color w:val="auto"/>
                <w:sz w:val="21"/>
                <w:szCs w:val="21"/>
                <w:highlight w:val="none"/>
                <w:u w:val="single" w:color="auto"/>
              </w:rPr>
              <w:t xml:space="preserve">          </w:t>
            </w:r>
          </w:p>
          <w:p w14:paraId="2BEDA9AB">
            <w:pPr>
              <w:pStyle w:val="33"/>
              <w:keepNext w:val="0"/>
              <w:keepLines w:val="0"/>
              <w:pageBreakBefore w:val="0"/>
              <w:widowControl/>
              <w:kinsoku/>
              <w:wordWrap/>
              <w:overflowPunct/>
              <w:topLinePunct w:val="0"/>
              <w:bidi w:val="0"/>
              <w:adjustRightInd w:val="0"/>
              <w:snapToGrid w:val="0"/>
              <w:spacing w:before="29" w:line="219" w:lineRule="auto"/>
              <w:ind w:left="131"/>
              <w:textAlignment w:val="baseline"/>
              <w:rPr>
                <w:color w:val="auto"/>
                <w:sz w:val="21"/>
                <w:szCs w:val="21"/>
                <w:highlight w:val="none"/>
              </w:rPr>
            </w:pPr>
            <w:r>
              <w:rPr>
                <w:rFonts w:hint="eastAsia"/>
                <w:color w:val="auto"/>
                <w:spacing w:val="-3"/>
                <w:sz w:val="21"/>
                <w:szCs w:val="21"/>
                <w:highlight w:val="none"/>
                <w:lang w:eastAsia="zh-CN"/>
              </w:rPr>
              <w:t>□</w:t>
            </w:r>
            <w:r>
              <w:rPr>
                <w:color w:val="auto"/>
                <w:spacing w:val="-3"/>
                <w:sz w:val="21"/>
                <w:szCs w:val="21"/>
                <w:highlight w:val="none"/>
              </w:rPr>
              <w:t>技术打分制的综合评估法</w:t>
            </w:r>
          </w:p>
          <w:p w14:paraId="2845B5FE">
            <w:pPr>
              <w:pStyle w:val="33"/>
              <w:keepNext w:val="0"/>
              <w:keepLines w:val="0"/>
              <w:pageBreakBefore w:val="0"/>
              <w:widowControl/>
              <w:kinsoku/>
              <w:wordWrap/>
              <w:overflowPunct/>
              <w:topLinePunct w:val="0"/>
              <w:bidi w:val="0"/>
              <w:adjustRightInd w:val="0"/>
              <w:snapToGrid w:val="0"/>
              <w:spacing w:before="112" w:line="303" w:lineRule="auto"/>
              <w:ind w:left="566" w:right="106" w:hanging="1"/>
              <w:textAlignment w:val="baseline"/>
              <w:rPr>
                <w:color w:val="auto"/>
                <w:sz w:val="21"/>
                <w:szCs w:val="21"/>
                <w:highlight w:val="none"/>
              </w:rPr>
            </w:pPr>
            <w:r>
              <w:rPr>
                <w:color w:val="auto"/>
                <w:spacing w:val="-6"/>
                <w:sz w:val="21"/>
                <w:szCs w:val="21"/>
                <w:highlight w:val="none"/>
              </w:rPr>
              <w:t>评分基准价的确定：□方法</w:t>
            </w:r>
            <w:r>
              <w:rPr>
                <w:rFonts w:ascii="Times New Roman" w:hAnsi="Times New Roman" w:eastAsia="Times New Roman" w:cs="Times New Roman"/>
                <w:color w:val="auto"/>
                <w:spacing w:val="-6"/>
                <w:sz w:val="21"/>
                <w:szCs w:val="21"/>
                <w:highlight w:val="none"/>
              </w:rPr>
              <w:t>1</w:t>
            </w:r>
            <w:r>
              <w:rPr>
                <w:color w:val="auto"/>
                <w:spacing w:val="-6"/>
                <w:sz w:val="21"/>
                <w:szCs w:val="21"/>
                <w:highlight w:val="none"/>
              </w:rPr>
              <w:t>；□方法</w:t>
            </w:r>
            <w:r>
              <w:rPr>
                <w:rFonts w:ascii="Times New Roman" w:hAnsi="Times New Roman" w:eastAsia="Times New Roman" w:cs="Times New Roman"/>
                <w:color w:val="auto"/>
                <w:spacing w:val="-6"/>
                <w:sz w:val="21"/>
                <w:szCs w:val="21"/>
                <w:highlight w:val="none"/>
              </w:rPr>
              <w:t>2</w:t>
            </w:r>
            <w:r>
              <w:rPr>
                <w:color w:val="auto"/>
                <w:spacing w:val="-6"/>
                <w:sz w:val="21"/>
                <w:szCs w:val="21"/>
                <w:highlight w:val="none"/>
              </w:rPr>
              <w:t>；□方法</w:t>
            </w:r>
            <w:r>
              <w:rPr>
                <w:rFonts w:ascii="Times New Roman" w:hAnsi="Times New Roman" w:eastAsia="Times New Roman" w:cs="Times New Roman"/>
                <w:color w:val="auto"/>
                <w:spacing w:val="-6"/>
                <w:sz w:val="21"/>
                <w:szCs w:val="21"/>
                <w:highlight w:val="none"/>
              </w:rPr>
              <w:t>3</w:t>
            </w:r>
            <w:r>
              <w:rPr>
                <w:color w:val="auto"/>
                <w:spacing w:val="-6"/>
                <w:sz w:val="21"/>
                <w:szCs w:val="21"/>
                <w:highlight w:val="none"/>
              </w:rPr>
              <w:t>；□</w:t>
            </w:r>
            <w:r>
              <w:rPr>
                <w:color w:val="auto"/>
                <w:spacing w:val="9"/>
                <w:sz w:val="21"/>
                <w:szCs w:val="21"/>
                <w:highlight w:val="none"/>
              </w:rPr>
              <w:t xml:space="preserve"> </w:t>
            </w:r>
            <w:r>
              <w:rPr>
                <w:color w:val="auto"/>
                <w:spacing w:val="-2"/>
                <w:sz w:val="21"/>
                <w:szCs w:val="21"/>
                <w:highlight w:val="none"/>
              </w:rPr>
              <w:t>方法</w:t>
            </w:r>
            <w:r>
              <w:rPr>
                <w:rFonts w:ascii="Times New Roman" w:hAnsi="Times New Roman" w:eastAsia="Times New Roman" w:cs="Times New Roman"/>
                <w:color w:val="auto"/>
                <w:spacing w:val="-2"/>
                <w:sz w:val="21"/>
                <w:szCs w:val="21"/>
                <w:highlight w:val="none"/>
              </w:rPr>
              <w:t>4</w:t>
            </w:r>
            <w:r>
              <w:rPr>
                <w:color w:val="auto"/>
                <w:spacing w:val="-2"/>
                <w:sz w:val="21"/>
                <w:szCs w:val="21"/>
                <w:highlight w:val="none"/>
              </w:rPr>
              <w:t>：□方法</w:t>
            </w:r>
            <w:r>
              <w:rPr>
                <w:rFonts w:ascii="Times New Roman" w:hAnsi="Times New Roman" w:eastAsia="Times New Roman" w:cs="Times New Roman"/>
                <w:color w:val="auto"/>
                <w:spacing w:val="-2"/>
                <w:sz w:val="21"/>
                <w:szCs w:val="21"/>
                <w:highlight w:val="none"/>
              </w:rPr>
              <w:t>5</w:t>
            </w:r>
            <w:r>
              <w:rPr>
                <w:color w:val="auto"/>
                <w:spacing w:val="-2"/>
                <w:sz w:val="21"/>
                <w:szCs w:val="21"/>
                <w:highlight w:val="none"/>
              </w:rPr>
              <w:t>；□方法</w:t>
            </w:r>
            <w:r>
              <w:rPr>
                <w:rFonts w:ascii="Times New Roman" w:hAnsi="Times New Roman" w:eastAsia="Times New Roman" w:cs="Times New Roman"/>
                <w:color w:val="auto"/>
                <w:spacing w:val="-2"/>
                <w:sz w:val="21"/>
                <w:szCs w:val="21"/>
                <w:highlight w:val="none"/>
              </w:rPr>
              <w:t>6</w:t>
            </w:r>
            <w:r>
              <w:rPr>
                <w:color w:val="auto"/>
                <w:spacing w:val="-2"/>
                <w:sz w:val="21"/>
                <w:szCs w:val="21"/>
                <w:highlight w:val="none"/>
              </w:rPr>
              <w:t>；</w:t>
            </w:r>
            <w:r>
              <w:rPr>
                <w:rFonts w:hint="eastAsia"/>
                <w:color w:val="auto"/>
                <w:spacing w:val="-2"/>
                <w:sz w:val="21"/>
                <w:szCs w:val="21"/>
                <w:highlight w:val="none"/>
                <w:lang w:eastAsia="zh-CN"/>
              </w:rPr>
              <w:t>□</w:t>
            </w:r>
            <w:r>
              <w:rPr>
                <w:color w:val="auto"/>
                <w:spacing w:val="-2"/>
                <w:sz w:val="21"/>
                <w:szCs w:val="21"/>
                <w:highlight w:val="none"/>
              </w:rPr>
              <w:t>方法</w:t>
            </w:r>
            <w:r>
              <w:rPr>
                <w:rFonts w:ascii="Times New Roman" w:hAnsi="Times New Roman" w:eastAsia="Times New Roman" w:cs="Times New Roman"/>
                <w:color w:val="auto"/>
                <w:spacing w:val="-2"/>
                <w:sz w:val="21"/>
                <w:szCs w:val="21"/>
                <w:highlight w:val="none"/>
              </w:rPr>
              <w:t>7</w:t>
            </w:r>
            <w:r>
              <w:rPr>
                <w:color w:val="auto"/>
                <w:spacing w:val="-2"/>
                <w:sz w:val="21"/>
                <w:szCs w:val="21"/>
                <w:highlight w:val="none"/>
              </w:rPr>
              <w:t>；</w:t>
            </w:r>
            <w:r>
              <w:rPr>
                <w:color w:val="auto"/>
                <w:spacing w:val="-68"/>
                <w:sz w:val="21"/>
                <w:szCs w:val="21"/>
                <w:highlight w:val="none"/>
              </w:rPr>
              <w:t xml:space="preserve"> </w:t>
            </w:r>
            <w:r>
              <w:rPr>
                <w:color w:val="auto"/>
                <w:spacing w:val="-2"/>
                <w:sz w:val="21"/>
                <w:szCs w:val="21"/>
                <w:highlight w:val="none"/>
              </w:rPr>
              <w:t>□其他：</w:t>
            </w:r>
            <w:r>
              <w:rPr>
                <w:color w:val="auto"/>
                <w:sz w:val="21"/>
                <w:szCs w:val="21"/>
                <w:highlight w:val="none"/>
                <w:u w:val="single" w:color="auto"/>
              </w:rPr>
              <w:t xml:space="preserve">    </w:t>
            </w:r>
          </w:p>
          <w:p w14:paraId="280DCEEC">
            <w:pPr>
              <w:pStyle w:val="33"/>
              <w:keepNext w:val="0"/>
              <w:keepLines w:val="0"/>
              <w:pageBreakBefore w:val="0"/>
              <w:widowControl/>
              <w:numPr>
                <w:ilvl w:val="0"/>
                <w:numId w:val="0"/>
              </w:numPr>
              <w:kinsoku/>
              <w:wordWrap/>
              <w:overflowPunct/>
              <w:topLinePunct w:val="0"/>
              <w:bidi w:val="0"/>
              <w:adjustRightInd w:val="0"/>
              <w:snapToGrid w:val="0"/>
              <w:spacing w:before="30" w:line="218" w:lineRule="auto"/>
              <w:ind w:left="106" w:leftChars="0"/>
              <w:textAlignment w:val="baseline"/>
              <w:rPr>
                <w:color w:val="auto"/>
                <w:spacing w:val="-3"/>
                <w:sz w:val="21"/>
                <w:szCs w:val="21"/>
                <w:highlight w:val="none"/>
              </w:rPr>
            </w:pPr>
            <w:r>
              <w:rPr>
                <w:rFonts w:ascii="宋体" w:hAnsi="宋体" w:eastAsia="宋体" w:cs="宋体"/>
                <w:snapToGrid w:val="0"/>
                <w:color w:val="auto"/>
                <w:spacing w:val="-3"/>
                <w:kern w:val="0"/>
                <w:sz w:val="21"/>
                <w:szCs w:val="21"/>
                <w:highlight w:val="none"/>
                <w:lang w:val="en-US" w:eastAsia="en-US" w:bidi="ar-SA"/>
              </w:rPr>
              <w:t>2.</w:t>
            </w:r>
            <w:r>
              <w:rPr>
                <w:rFonts w:ascii="Times New Roman" w:hAnsi="Times New Roman" w:eastAsia="Times New Roman" w:cs="Times New Roman"/>
                <w:color w:val="auto"/>
                <w:spacing w:val="17"/>
                <w:sz w:val="21"/>
                <w:szCs w:val="21"/>
                <w:highlight w:val="none"/>
              </w:rPr>
              <w:t xml:space="preserve"> </w:t>
            </w:r>
            <w:r>
              <w:rPr>
                <w:color w:val="auto"/>
                <w:spacing w:val="-3"/>
                <w:sz w:val="21"/>
                <w:szCs w:val="21"/>
                <w:highlight w:val="none"/>
              </w:rPr>
              <w:t>□经评审的最低投标价法</w:t>
            </w:r>
          </w:p>
          <w:p w14:paraId="7D6FAEAC">
            <w:pPr>
              <w:pStyle w:val="33"/>
              <w:keepNext w:val="0"/>
              <w:keepLines w:val="0"/>
              <w:pageBreakBefore w:val="0"/>
              <w:widowControl/>
              <w:kinsoku/>
              <w:wordWrap/>
              <w:overflowPunct/>
              <w:topLinePunct w:val="0"/>
              <w:bidi w:val="0"/>
              <w:adjustRightInd w:val="0"/>
              <w:snapToGrid w:val="0"/>
              <w:spacing w:before="116" w:line="220" w:lineRule="auto"/>
              <w:ind w:left="110"/>
              <w:textAlignment w:val="baseline"/>
              <w:rPr>
                <w:color w:val="auto"/>
                <w:sz w:val="21"/>
                <w:szCs w:val="21"/>
                <w:highlight w:val="none"/>
              </w:rPr>
            </w:pPr>
            <w:r>
              <w:rPr>
                <w:rFonts w:ascii="Times New Roman" w:hAnsi="Times New Roman" w:eastAsia="Times New Roman" w:cs="Times New Roman"/>
                <w:color w:val="auto"/>
                <w:spacing w:val="-2"/>
                <w:sz w:val="21"/>
                <w:szCs w:val="21"/>
                <w:highlight w:val="none"/>
              </w:rPr>
              <w:t xml:space="preserve">3.  </w:t>
            </w:r>
            <w:r>
              <w:rPr>
                <w:color w:val="auto"/>
                <w:spacing w:val="-2"/>
                <w:sz w:val="21"/>
                <w:szCs w:val="21"/>
                <w:highlight w:val="none"/>
              </w:rPr>
              <w:t>评标委员会推荐的中标候选人数量：</w:t>
            </w:r>
          </w:p>
          <w:p w14:paraId="7E7E30C3">
            <w:pPr>
              <w:pStyle w:val="33"/>
              <w:keepNext w:val="0"/>
              <w:keepLines w:val="0"/>
              <w:pageBreakBefore w:val="0"/>
              <w:widowControl/>
              <w:numPr>
                <w:ilvl w:val="0"/>
                <w:numId w:val="0"/>
              </w:numPr>
              <w:kinsoku/>
              <w:wordWrap/>
              <w:overflowPunct/>
              <w:topLinePunct w:val="0"/>
              <w:bidi w:val="0"/>
              <w:adjustRightInd w:val="0"/>
              <w:snapToGrid w:val="0"/>
              <w:spacing w:before="30" w:line="218" w:lineRule="auto"/>
              <w:ind w:left="0" w:leftChars="0" w:firstLine="400" w:firstLineChars="200"/>
              <w:textAlignment w:val="baseline"/>
              <w:rPr>
                <w:rFonts w:hint="eastAsia" w:ascii="宋体" w:hAnsi="宋体" w:eastAsia="宋体" w:cs="宋体"/>
                <w:snapToGrid w:val="0"/>
                <w:color w:val="auto"/>
                <w:spacing w:val="-3"/>
                <w:kern w:val="0"/>
                <w:sz w:val="21"/>
                <w:szCs w:val="21"/>
                <w:highlight w:val="none"/>
                <w:lang w:val="en-US" w:eastAsia="en-US" w:bidi="ar-SA"/>
              </w:rPr>
            </w:pPr>
            <w:r>
              <w:rPr>
                <w:color w:val="auto"/>
                <w:spacing w:val="-5"/>
                <w:sz w:val="21"/>
                <w:szCs w:val="21"/>
                <w:highlight w:val="none"/>
              </w:rPr>
              <w:t>评标委员会推荐</w:t>
            </w:r>
            <w:r>
              <w:rPr>
                <w:rFonts w:hint="eastAsia"/>
                <w:color w:val="auto"/>
                <w:spacing w:val="-5"/>
                <w:sz w:val="21"/>
                <w:szCs w:val="21"/>
                <w:highlight w:val="none"/>
                <w:lang w:val="en-US" w:eastAsia="zh-CN"/>
              </w:rPr>
              <w:t xml:space="preserve"> </w:t>
            </w:r>
            <w:r>
              <w:rPr>
                <w:rFonts w:hint="eastAsia" w:cs="宋体"/>
                <w:color w:val="auto"/>
                <w:sz w:val="21"/>
                <w:szCs w:val="21"/>
                <w:highlight w:val="none"/>
                <w:u w:val="single"/>
                <w:lang w:val="en-US" w:eastAsia="zh-CN"/>
              </w:rPr>
              <w:t xml:space="preserve">3-5 </w:t>
            </w:r>
            <w:r>
              <w:rPr>
                <w:color w:val="auto"/>
                <w:spacing w:val="-5"/>
                <w:sz w:val="21"/>
                <w:szCs w:val="21"/>
                <w:highlight w:val="none"/>
                <w:u w:val="single"/>
              </w:rPr>
              <w:t>名</w:t>
            </w:r>
            <w:r>
              <w:rPr>
                <w:color w:val="auto"/>
                <w:spacing w:val="-5"/>
                <w:sz w:val="21"/>
                <w:szCs w:val="21"/>
                <w:highlight w:val="none"/>
              </w:rPr>
              <w:t>中标候选人。</w:t>
            </w:r>
            <w:r>
              <w:rPr>
                <w:rFonts w:hint="eastAsia"/>
                <w:color w:val="auto"/>
                <w:spacing w:val="-5"/>
                <w:sz w:val="21"/>
                <w:szCs w:val="21"/>
                <w:highlight w:val="none"/>
                <w:lang w:eastAsia="zh-CN"/>
              </w:rPr>
              <w:t>不排序的方式向招标人推荐3-5名中标候选人（当有效投标人数量3家（含）以上且</w:t>
            </w:r>
            <w:r>
              <w:rPr>
                <w:rFonts w:hint="eastAsia"/>
                <w:color w:val="auto"/>
                <w:spacing w:val="-5"/>
                <w:sz w:val="21"/>
                <w:szCs w:val="21"/>
                <w:highlight w:val="none"/>
                <w:lang w:val="en-US" w:eastAsia="zh-CN"/>
              </w:rPr>
              <w:t>5</w:t>
            </w:r>
            <w:r>
              <w:rPr>
                <w:rFonts w:hint="eastAsia"/>
                <w:color w:val="auto"/>
                <w:spacing w:val="-5"/>
                <w:sz w:val="21"/>
                <w:szCs w:val="21"/>
                <w:highlight w:val="none"/>
                <w:lang w:eastAsia="zh-CN"/>
              </w:rPr>
              <w:t>家（</w:t>
            </w:r>
            <w:r>
              <w:rPr>
                <w:rFonts w:hint="eastAsia"/>
                <w:color w:val="auto"/>
                <w:spacing w:val="-5"/>
                <w:sz w:val="21"/>
                <w:szCs w:val="21"/>
                <w:highlight w:val="none"/>
                <w:lang w:val="en-US" w:eastAsia="zh-CN"/>
              </w:rPr>
              <w:t>不</w:t>
            </w:r>
            <w:r>
              <w:rPr>
                <w:rFonts w:hint="eastAsia"/>
                <w:color w:val="auto"/>
                <w:spacing w:val="-5"/>
                <w:sz w:val="21"/>
                <w:szCs w:val="21"/>
                <w:highlight w:val="none"/>
                <w:lang w:eastAsia="zh-CN"/>
              </w:rPr>
              <w:t>含）以下时，全部为定标入围单位；当有效投标人数量为</w:t>
            </w:r>
            <w:r>
              <w:rPr>
                <w:rFonts w:hint="eastAsia"/>
                <w:color w:val="auto"/>
                <w:spacing w:val="-5"/>
                <w:sz w:val="21"/>
                <w:szCs w:val="21"/>
                <w:highlight w:val="none"/>
                <w:lang w:val="en-US" w:eastAsia="zh-CN"/>
              </w:rPr>
              <w:t>5</w:t>
            </w:r>
            <w:r>
              <w:rPr>
                <w:rFonts w:hint="eastAsia"/>
                <w:color w:val="auto"/>
                <w:spacing w:val="-5"/>
                <w:sz w:val="21"/>
                <w:szCs w:val="21"/>
                <w:highlight w:val="none"/>
                <w:lang w:eastAsia="zh-CN"/>
              </w:rPr>
              <w:t>家（含）以上时，由评标委员会推荐总得分前五名为定标入围单位。</w:t>
            </w:r>
          </w:p>
        </w:tc>
      </w:tr>
      <w:tr w14:paraId="611E180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2A1F2C5A">
            <w:pPr>
              <w:keepNext w:val="0"/>
              <w:keepLines w:val="0"/>
              <w:pageBreakBefore w:val="0"/>
              <w:widowControl/>
              <w:kinsoku/>
              <w:wordWrap/>
              <w:overflowPunct/>
              <w:topLinePunct w:val="0"/>
              <w:bidi w:val="0"/>
              <w:adjustRightInd w:val="0"/>
              <w:snapToGrid w:val="0"/>
              <w:spacing w:line="311" w:lineRule="auto"/>
              <w:textAlignment w:val="baseline"/>
              <w:rPr>
                <w:rFonts w:ascii="Arial"/>
                <w:color w:val="auto"/>
                <w:sz w:val="21"/>
                <w:highlight w:val="none"/>
              </w:rPr>
            </w:pPr>
          </w:p>
          <w:p w14:paraId="7D5F4F04">
            <w:pPr>
              <w:keepNext w:val="0"/>
              <w:keepLines w:val="0"/>
              <w:pageBreakBefore w:val="0"/>
              <w:widowControl/>
              <w:kinsoku/>
              <w:wordWrap/>
              <w:overflowPunct/>
              <w:topLinePunct w:val="0"/>
              <w:bidi w:val="0"/>
              <w:adjustRightInd w:val="0"/>
              <w:snapToGrid w:val="0"/>
              <w:spacing w:line="311" w:lineRule="auto"/>
              <w:textAlignment w:val="baseline"/>
              <w:rPr>
                <w:rFonts w:ascii="Arial"/>
                <w:color w:val="auto"/>
                <w:sz w:val="21"/>
                <w:highlight w:val="none"/>
              </w:rPr>
            </w:pPr>
          </w:p>
          <w:p w14:paraId="730F880F">
            <w:pPr>
              <w:keepNext w:val="0"/>
              <w:keepLines w:val="0"/>
              <w:pageBreakBefore w:val="0"/>
              <w:widowControl/>
              <w:kinsoku/>
              <w:wordWrap/>
              <w:overflowPunct/>
              <w:topLinePunct w:val="0"/>
              <w:bidi w:val="0"/>
              <w:adjustRightInd w:val="0"/>
              <w:snapToGrid w:val="0"/>
              <w:spacing w:before="61" w:line="187" w:lineRule="auto"/>
              <w:ind w:left="344"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6.4</w:t>
            </w:r>
          </w:p>
        </w:tc>
        <w:tc>
          <w:tcPr>
            <w:tcW w:w="2444" w:type="dxa"/>
            <w:shd w:val="clear" w:color="auto" w:fill="auto"/>
            <w:vAlign w:val="top"/>
          </w:tcPr>
          <w:p w14:paraId="447D48D7">
            <w:pPr>
              <w:keepNext w:val="0"/>
              <w:keepLines w:val="0"/>
              <w:pageBreakBefore w:val="0"/>
              <w:widowControl/>
              <w:kinsoku/>
              <w:wordWrap/>
              <w:overflowPunct/>
              <w:topLinePunct w:val="0"/>
              <w:bidi w:val="0"/>
              <w:adjustRightInd w:val="0"/>
              <w:snapToGrid w:val="0"/>
              <w:spacing w:line="288" w:lineRule="auto"/>
              <w:textAlignment w:val="baseline"/>
              <w:rPr>
                <w:rFonts w:ascii="Arial"/>
                <w:color w:val="auto"/>
                <w:sz w:val="21"/>
                <w:highlight w:val="none"/>
              </w:rPr>
            </w:pPr>
          </w:p>
          <w:p w14:paraId="56475653">
            <w:pPr>
              <w:keepNext w:val="0"/>
              <w:keepLines w:val="0"/>
              <w:pageBreakBefore w:val="0"/>
              <w:widowControl/>
              <w:kinsoku/>
              <w:wordWrap/>
              <w:overflowPunct/>
              <w:topLinePunct w:val="0"/>
              <w:bidi w:val="0"/>
              <w:adjustRightInd w:val="0"/>
              <w:snapToGrid w:val="0"/>
              <w:spacing w:line="288" w:lineRule="auto"/>
              <w:textAlignment w:val="baseline"/>
              <w:rPr>
                <w:rFonts w:ascii="Arial"/>
                <w:color w:val="auto"/>
                <w:sz w:val="21"/>
                <w:highlight w:val="none"/>
              </w:rPr>
            </w:pPr>
          </w:p>
          <w:p w14:paraId="33A8C0E7">
            <w:pPr>
              <w:pStyle w:val="33"/>
              <w:keepNext w:val="0"/>
              <w:keepLines w:val="0"/>
              <w:pageBreakBefore w:val="0"/>
              <w:widowControl/>
              <w:kinsoku/>
              <w:wordWrap/>
              <w:overflowPunct/>
              <w:topLinePunct w:val="0"/>
              <w:bidi w:val="0"/>
              <w:adjustRightInd w:val="0"/>
              <w:snapToGrid w:val="0"/>
              <w:spacing w:before="68" w:line="220" w:lineRule="auto"/>
              <w:ind w:left="125"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3"/>
                <w:sz w:val="21"/>
                <w:szCs w:val="21"/>
                <w:highlight w:val="none"/>
              </w:rPr>
              <w:t>中标候选人公示媒介</w:t>
            </w:r>
          </w:p>
        </w:tc>
        <w:tc>
          <w:tcPr>
            <w:tcW w:w="5503" w:type="dxa"/>
            <w:tcBorders>
              <w:right w:val="single" w:color="000000" w:sz="6" w:space="0"/>
            </w:tcBorders>
            <w:shd w:val="clear" w:color="auto" w:fill="auto"/>
            <w:vAlign w:val="top"/>
          </w:tcPr>
          <w:p w14:paraId="4D339F1A">
            <w:pPr>
              <w:pStyle w:val="33"/>
              <w:keepNext w:val="0"/>
              <w:keepLines w:val="0"/>
              <w:pageBreakBefore w:val="0"/>
              <w:widowControl/>
              <w:kinsoku/>
              <w:wordWrap/>
              <w:overflowPunct/>
              <w:topLinePunct w:val="0"/>
              <w:bidi w:val="0"/>
              <w:adjustRightInd w:val="0"/>
              <w:snapToGrid w:val="0"/>
              <w:spacing w:before="108" w:line="303" w:lineRule="auto"/>
              <w:ind w:left="110" w:right="221" w:firstLine="5"/>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u w:val="single"/>
                <w:lang w:eastAsia="zh-CN"/>
              </w:rPr>
              <w:t>绍兴</w:t>
            </w:r>
            <w:r>
              <w:rPr>
                <w:rFonts w:hint="eastAsia" w:ascii="Times New Roman" w:hAnsi="Times New Roman" w:cs="Times New Roman"/>
                <w:color w:val="auto"/>
                <w:sz w:val="21"/>
                <w:szCs w:val="21"/>
                <w:highlight w:val="none"/>
                <w:u w:val="single"/>
                <w:lang w:eastAsia="zh-CN"/>
              </w:rPr>
              <w:t>公共资源交易中心</w:t>
            </w:r>
            <w:r>
              <w:rPr>
                <w:rFonts w:ascii="Times New Roman" w:hAnsi="Times New Roman" w:cs="Times New Roman"/>
                <w:color w:val="auto"/>
                <w:sz w:val="21"/>
                <w:szCs w:val="21"/>
                <w:highlight w:val="none"/>
                <w:lang w:eastAsia="zh-CN"/>
              </w:rPr>
              <w:t>（发布公告的媒介名称）</w:t>
            </w:r>
          </w:p>
          <w:p w14:paraId="29E3DDD2">
            <w:pPr>
              <w:pStyle w:val="33"/>
              <w:keepNext w:val="0"/>
              <w:keepLines w:val="0"/>
              <w:pageBreakBefore w:val="0"/>
              <w:widowControl/>
              <w:kinsoku/>
              <w:wordWrap/>
              <w:overflowPunct/>
              <w:topLinePunct w:val="0"/>
              <w:bidi w:val="0"/>
              <w:adjustRightInd w:val="0"/>
              <w:snapToGrid w:val="0"/>
              <w:spacing w:before="108" w:line="303" w:lineRule="auto"/>
              <w:ind w:left="110" w:right="221" w:firstLine="5"/>
              <w:textAlignment w:val="baseline"/>
              <w:rPr>
                <w:color w:val="auto"/>
                <w:sz w:val="21"/>
                <w:szCs w:val="21"/>
                <w:highlight w:val="none"/>
              </w:rPr>
            </w:pPr>
            <w:r>
              <w:rPr>
                <w:color w:val="auto"/>
                <w:sz w:val="21"/>
                <w:szCs w:val="21"/>
                <w:highlight w:val="none"/>
              </w:rPr>
              <w:t>公示期限：不少于</w:t>
            </w:r>
            <w:r>
              <w:rPr>
                <w:rFonts w:ascii="Times New Roman" w:hAnsi="Times New Roman" w:eastAsia="Times New Roman" w:cs="Times New Roman"/>
                <w:b/>
                <w:bCs/>
                <w:color w:val="auto"/>
                <w:sz w:val="21"/>
                <w:szCs w:val="21"/>
                <w:highlight w:val="none"/>
              </w:rPr>
              <w:t>3</w:t>
            </w:r>
            <w:r>
              <w:rPr>
                <w:color w:val="auto"/>
                <w:sz w:val="21"/>
                <w:szCs w:val="21"/>
                <w:highlight w:val="none"/>
              </w:rPr>
              <w:t>日。如遇国家法定休假日，应顺延至</w:t>
            </w:r>
            <w:r>
              <w:rPr>
                <w:color w:val="auto"/>
                <w:spacing w:val="8"/>
                <w:sz w:val="21"/>
                <w:szCs w:val="21"/>
                <w:highlight w:val="none"/>
              </w:rPr>
              <w:t xml:space="preserve"> </w:t>
            </w:r>
            <w:r>
              <w:rPr>
                <w:color w:val="auto"/>
                <w:spacing w:val="-2"/>
                <w:sz w:val="21"/>
                <w:szCs w:val="21"/>
                <w:highlight w:val="none"/>
              </w:rPr>
              <w:t>法定休假日后第一个工作日。</w:t>
            </w:r>
          </w:p>
          <w:p w14:paraId="0FA2DFF2">
            <w:pPr>
              <w:pStyle w:val="33"/>
              <w:keepNext w:val="0"/>
              <w:keepLines w:val="0"/>
              <w:pageBreakBefore w:val="0"/>
              <w:widowControl/>
              <w:kinsoku/>
              <w:wordWrap/>
              <w:overflowPunct/>
              <w:topLinePunct w:val="0"/>
              <w:bidi w:val="0"/>
              <w:adjustRightInd w:val="0"/>
              <w:snapToGrid w:val="0"/>
              <w:spacing w:before="31" w:line="215" w:lineRule="auto"/>
              <w:ind w:left="110"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1"/>
                <w:sz w:val="21"/>
                <w:szCs w:val="21"/>
                <w:highlight w:val="none"/>
              </w:rPr>
              <w:t>注：项目有业绩要求的应公示中标候选人业绩。</w:t>
            </w:r>
          </w:p>
        </w:tc>
      </w:tr>
      <w:tr w14:paraId="326DCB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1C1D4CEF">
            <w:pPr>
              <w:keepNext w:val="0"/>
              <w:keepLines w:val="0"/>
              <w:pageBreakBefore w:val="0"/>
              <w:widowControl/>
              <w:kinsoku/>
              <w:wordWrap/>
              <w:overflowPunct/>
              <w:topLinePunct w:val="0"/>
              <w:bidi w:val="0"/>
              <w:adjustRightInd w:val="0"/>
              <w:snapToGrid w:val="0"/>
              <w:spacing w:line="269" w:lineRule="auto"/>
              <w:textAlignment w:val="baseline"/>
              <w:rPr>
                <w:rFonts w:ascii="Arial"/>
                <w:color w:val="auto"/>
                <w:sz w:val="21"/>
                <w:highlight w:val="none"/>
              </w:rPr>
            </w:pPr>
          </w:p>
          <w:p w14:paraId="57086307">
            <w:pPr>
              <w:keepNext w:val="0"/>
              <w:keepLines w:val="0"/>
              <w:pageBreakBefore w:val="0"/>
              <w:widowControl/>
              <w:kinsoku/>
              <w:wordWrap/>
              <w:overflowPunct/>
              <w:topLinePunct w:val="0"/>
              <w:bidi w:val="0"/>
              <w:adjustRightInd w:val="0"/>
              <w:snapToGrid w:val="0"/>
              <w:spacing w:before="60" w:line="187" w:lineRule="auto"/>
              <w:ind w:left="264"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1"/>
                <w:sz w:val="21"/>
                <w:szCs w:val="21"/>
                <w:highlight w:val="none"/>
              </w:rPr>
              <w:t>7.1.1</w:t>
            </w:r>
          </w:p>
        </w:tc>
        <w:tc>
          <w:tcPr>
            <w:tcW w:w="2444" w:type="dxa"/>
            <w:shd w:val="clear" w:color="auto" w:fill="auto"/>
            <w:vAlign w:val="top"/>
          </w:tcPr>
          <w:p w14:paraId="3BA38682">
            <w:pPr>
              <w:pStyle w:val="33"/>
              <w:keepNext w:val="0"/>
              <w:keepLines w:val="0"/>
              <w:pageBreakBefore w:val="0"/>
              <w:widowControl/>
              <w:kinsoku/>
              <w:wordWrap/>
              <w:overflowPunct/>
              <w:topLinePunct w:val="0"/>
              <w:bidi w:val="0"/>
              <w:adjustRightInd w:val="0"/>
              <w:snapToGrid w:val="0"/>
              <w:spacing w:before="292" w:line="221" w:lineRule="auto"/>
              <w:ind w:left="125"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5"/>
                <w:sz w:val="21"/>
                <w:szCs w:val="21"/>
                <w:highlight w:val="none"/>
              </w:rPr>
              <w:t>中标人确定</w:t>
            </w:r>
          </w:p>
        </w:tc>
        <w:tc>
          <w:tcPr>
            <w:tcW w:w="5503" w:type="dxa"/>
            <w:tcBorders>
              <w:right w:val="single" w:color="000000" w:sz="6" w:space="0"/>
            </w:tcBorders>
            <w:shd w:val="clear" w:color="auto" w:fill="auto"/>
            <w:vAlign w:val="top"/>
          </w:tcPr>
          <w:p w14:paraId="5A5833A4">
            <w:pPr>
              <w:pStyle w:val="33"/>
              <w:keepNext w:val="0"/>
              <w:keepLines w:val="0"/>
              <w:pageBreakBefore w:val="0"/>
              <w:widowControl/>
              <w:kinsoku/>
              <w:wordWrap/>
              <w:overflowPunct/>
              <w:topLinePunct w:val="0"/>
              <w:bidi w:val="0"/>
              <w:adjustRightInd w:val="0"/>
              <w:snapToGrid w:val="0"/>
              <w:spacing w:before="112" w:line="220" w:lineRule="auto"/>
              <w:ind w:left="113"/>
              <w:textAlignment w:val="baseline"/>
              <w:rPr>
                <w:color w:val="auto"/>
                <w:sz w:val="21"/>
                <w:szCs w:val="21"/>
                <w:highlight w:val="none"/>
              </w:rPr>
            </w:pPr>
            <w:r>
              <w:rPr>
                <w:color w:val="auto"/>
                <w:spacing w:val="-2"/>
                <w:sz w:val="21"/>
                <w:szCs w:val="21"/>
                <w:highlight w:val="none"/>
              </w:rPr>
              <w:t>是否授权评标委员会确定中标人  □是</w:t>
            </w:r>
            <w:r>
              <w:rPr>
                <w:color w:val="auto"/>
                <w:spacing w:val="31"/>
                <w:sz w:val="21"/>
                <w:szCs w:val="21"/>
                <w:highlight w:val="none"/>
              </w:rPr>
              <w:t xml:space="preserve"> </w:t>
            </w:r>
            <w:r>
              <w:rPr>
                <w:rFonts w:hint="eastAsia"/>
                <w:color w:val="auto"/>
                <w:spacing w:val="-2"/>
                <w:sz w:val="21"/>
                <w:szCs w:val="21"/>
                <w:highlight w:val="none"/>
                <w:lang w:eastAsia="zh-CN"/>
              </w:rPr>
              <w:t>☑</w:t>
            </w:r>
            <w:r>
              <w:rPr>
                <w:color w:val="auto"/>
                <w:spacing w:val="-2"/>
                <w:sz w:val="21"/>
                <w:szCs w:val="21"/>
                <w:highlight w:val="none"/>
              </w:rPr>
              <w:t>否</w:t>
            </w:r>
          </w:p>
          <w:p w14:paraId="72770FF4">
            <w:pPr>
              <w:pStyle w:val="33"/>
              <w:keepNext w:val="0"/>
              <w:keepLines w:val="0"/>
              <w:pageBreakBefore w:val="0"/>
              <w:widowControl/>
              <w:kinsoku/>
              <w:wordWrap/>
              <w:overflowPunct/>
              <w:topLinePunct w:val="0"/>
              <w:bidi w:val="0"/>
              <w:adjustRightInd w:val="0"/>
              <w:snapToGrid w:val="0"/>
              <w:spacing w:before="109" w:line="214" w:lineRule="auto"/>
              <w:ind w:left="113"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6"/>
                <w:sz w:val="21"/>
                <w:szCs w:val="21"/>
                <w:highlight w:val="none"/>
              </w:rPr>
              <w:t>是否评定分离</w:t>
            </w:r>
            <w:r>
              <w:rPr>
                <w:color w:val="auto"/>
                <w:spacing w:val="36"/>
                <w:sz w:val="21"/>
                <w:szCs w:val="21"/>
                <w:highlight w:val="none"/>
              </w:rPr>
              <w:t xml:space="preserve"> </w:t>
            </w:r>
            <w:r>
              <w:rPr>
                <w:rFonts w:hint="eastAsia"/>
                <w:color w:val="auto"/>
                <w:spacing w:val="-6"/>
                <w:sz w:val="21"/>
                <w:szCs w:val="21"/>
                <w:highlight w:val="none"/>
                <w:lang w:eastAsia="zh-CN"/>
              </w:rPr>
              <w:t>☑</w:t>
            </w:r>
            <w:r>
              <w:rPr>
                <w:color w:val="auto"/>
                <w:spacing w:val="-6"/>
                <w:sz w:val="21"/>
                <w:szCs w:val="21"/>
                <w:highlight w:val="none"/>
              </w:rPr>
              <w:t>是</w:t>
            </w:r>
            <w:r>
              <w:rPr>
                <w:color w:val="auto"/>
                <w:spacing w:val="28"/>
                <w:sz w:val="21"/>
                <w:szCs w:val="21"/>
                <w:highlight w:val="none"/>
              </w:rPr>
              <w:t xml:space="preserve"> </w:t>
            </w:r>
            <w:r>
              <w:rPr>
                <w:color w:val="auto"/>
                <w:spacing w:val="-6"/>
                <w:sz w:val="21"/>
                <w:szCs w:val="21"/>
                <w:highlight w:val="none"/>
              </w:rPr>
              <w:t>□否</w:t>
            </w:r>
          </w:p>
        </w:tc>
      </w:tr>
      <w:tr w14:paraId="23B1AB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06F20AA1">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2A0BFCEF">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04143711">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6AC46C04">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4C56DDB8">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363EE5F3">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64496F7C">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7E2DD6D2">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7CD40DA2">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48673F63">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02A0192D">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37E6DB17">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4D70297D">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52A25427">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4775730F">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562EBCD2">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2D7001BF">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5C813241">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394ADE7C">
            <w:pPr>
              <w:keepNext w:val="0"/>
              <w:keepLines w:val="0"/>
              <w:pageBreakBefore w:val="0"/>
              <w:widowControl/>
              <w:kinsoku/>
              <w:wordWrap/>
              <w:overflowPunct/>
              <w:topLinePunct w:val="0"/>
              <w:bidi w:val="0"/>
              <w:adjustRightInd w:val="0"/>
              <w:snapToGrid w:val="0"/>
              <w:spacing w:line="247" w:lineRule="auto"/>
              <w:textAlignment w:val="baseline"/>
              <w:rPr>
                <w:rFonts w:ascii="Arial"/>
                <w:color w:val="auto"/>
                <w:sz w:val="21"/>
                <w:highlight w:val="none"/>
              </w:rPr>
            </w:pPr>
          </w:p>
          <w:p w14:paraId="1F865DF2">
            <w:pPr>
              <w:pStyle w:val="33"/>
              <w:keepNext w:val="0"/>
              <w:keepLines w:val="0"/>
              <w:pageBreakBefore w:val="0"/>
              <w:widowControl/>
              <w:kinsoku/>
              <w:wordWrap/>
              <w:overflowPunct/>
              <w:topLinePunct w:val="0"/>
              <w:bidi w:val="0"/>
              <w:adjustRightInd w:val="0"/>
              <w:snapToGrid w:val="0"/>
              <w:spacing w:before="69" w:line="237" w:lineRule="auto"/>
              <w:ind w:left="180"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hint="eastAsia"/>
                <w:color w:val="auto"/>
                <w:spacing w:val="-5"/>
                <w:sz w:val="21"/>
                <w:szCs w:val="21"/>
                <w:highlight w:val="none"/>
                <w:lang w:eastAsia="zh-CN"/>
              </w:rPr>
              <w:t>☑</w:t>
            </w:r>
            <w:r>
              <w:rPr>
                <w:rFonts w:ascii="Times New Roman" w:hAnsi="Times New Roman" w:eastAsia="Times New Roman" w:cs="Times New Roman"/>
                <w:color w:val="auto"/>
                <w:spacing w:val="-5"/>
                <w:sz w:val="21"/>
                <w:szCs w:val="21"/>
                <w:highlight w:val="none"/>
              </w:rPr>
              <w:t>7.1.7</w:t>
            </w:r>
          </w:p>
        </w:tc>
        <w:tc>
          <w:tcPr>
            <w:tcW w:w="2444" w:type="dxa"/>
            <w:shd w:val="clear" w:color="auto" w:fill="auto"/>
            <w:vAlign w:val="top"/>
          </w:tcPr>
          <w:p w14:paraId="6284196D">
            <w:pPr>
              <w:keepNext w:val="0"/>
              <w:keepLines w:val="0"/>
              <w:pageBreakBefore w:val="0"/>
              <w:widowControl/>
              <w:kinsoku/>
              <w:wordWrap/>
              <w:overflowPunct/>
              <w:topLinePunct w:val="0"/>
              <w:bidi w:val="0"/>
              <w:adjustRightInd w:val="0"/>
              <w:snapToGrid w:val="0"/>
              <w:spacing w:line="400" w:lineRule="auto"/>
              <w:textAlignment w:val="baseline"/>
              <w:rPr>
                <w:rFonts w:ascii="Arial"/>
                <w:color w:val="auto"/>
                <w:sz w:val="21"/>
                <w:highlight w:val="none"/>
              </w:rPr>
            </w:pPr>
          </w:p>
          <w:p w14:paraId="42BA03E4">
            <w:pPr>
              <w:pStyle w:val="33"/>
              <w:keepNext w:val="0"/>
              <w:keepLines w:val="0"/>
              <w:pageBreakBefore w:val="0"/>
              <w:widowControl/>
              <w:kinsoku/>
              <w:wordWrap/>
              <w:overflowPunct/>
              <w:topLinePunct w:val="0"/>
              <w:bidi w:val="0"/>
              <w:adjustRightInd w:val="0"/>
              <w:snapToGrid w:val="0"/>
              <w:spacing w:before="68" w:line="220" w:lineRule="auto"/>
              <w:ind w:left="111"/>
              <w:textAlignment w:val="baseline"/>
              <w:rPr>
                <w:color w:val="auto"/>
                <w:sz w:val="21"/>
                <w:szCs w:val="21"/>
                <w:highlight w:val="none"/>
              </w:rPr>
            </w:pPr>
            <w:r>
              <w:rPr>
                <w:color w:val="auto"/>
                <w:spacing w:val="-2"/>
                <w:sz w:val="21"/>
                <w:szCs w:val="21"/>
                <w:highlight w:val="none"/>
              </w:rPr>
              <w:t>定标委员会组建</w:t>
            </w:r>
          </w:p>
          <w:p w14:paraId="108FC546">
            <w:pPr>
              <w:keepNext w:val="0"/>
              <w:keepLines w:val="0"/>
              <w:pageBreakBefore w:val="0"/>
              <w:widowControl/>
              <w:kinsoku/>
              <w:wordWrap/>
              <w:overflowPunct/>
              <w:topLinePunct w:val="0"/>
              <w:bidi w:val="0"/>
              <w:adjustRightInd w:val="0"/>
              <w:snapToGrid w:val="0"/>
              <w:spacing w:line="399" w:lineRule="auto"/>
              <w:textAlignment w:val="baseline"/>
              <w:rPr>
                <w:rFonts w:ascii="Arial"/>
                <w:color w:val="auto"/>
                <w:sz w:val="21"/>
                <w:highlight w:val="none"/>
              </w:rPr>
            </w:pPr>
          </w:p>
          <w:p w14:paraId="7C6274FC">
            <w:pPr>
              <w:pStyle w:val="33"/>
              <w:keepNext w:val="0"/>
              <w:keepLines w:val="0"/>
              <w:pageBreakBefore w:val="0"/>
              <w:widowControl/>
              <w:kinsoku/>
              <w:wordWrap/>
              <w:overflowPunct/>
              <w:topLinePunct w:val="0"/>
              <w:bidi w:val="0"/>
              <w:adjustRightInd w:val="0"/>
              <w:snapToGrid w:val="0"/>
              <w:spacing w:before="68" w:line="220" w:lineRule="auto"/>
              <w:ind w:left="111"/>
              <w:textAlignment w:val="baseline"/>
              <w:rPr>
                <w:color w:val="auto"/>
                <w:sz w:val="21"/>
                <w:szCs w:val="21"/>
                <w:highlight w:val="none"/>
              </w:rPr>
            </w:pPr>
            <w:r>
              <w:rPr>
                <w:color w:val="auto"/>
                <w:spacing w:val="-2"/>
                <w:sz w:val="21"/>
                <w:szCs w:val="21"/>
                <w:highlight w:val="none"/>
              </w:rPr>
              <w:t>定标会议地点和时间</w:t>
            </w:r>
          </w:p>
          <w:p w14:paraId="2DE35B3D">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204B9B9B">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089B99F7">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7E4DFA54">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7B76EF5D">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39998F00">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259594A9">
            <w:pPr>
              <w:pStyle w:val="33"/>
              <w:keepNext w:val="0"/>
              <w:keepLines w:val="0"/>
              <w:pageBreakBefore w:val="0"/>
              <w:widowControl/>
              <w:kinsoku/>
              <w:wordWrap/>
              <w:overflowPunct/>
              <w:topLinePunct w:val="0"/>
              <w:bidi w:val="0"/>
              <w:adjustRightInd w:val="0"/>
              <w:snapToGrid w:val="0"/>
              <w:spacing w:before="68" w:line="221" w:lineRule="auto"/>
              <w:ind w:left="106"/>
              <w:textAlignment w:val="baseline"/>
              <w:rPr>
                <w:color w:val="auto"/>
                <w:sz w:val="21"/>
                <w:szCs w:val="21"/>
                <w:highlight w:val="none"/>
              </w:rPr>
            </w:pPr>
            <w:r>
              <w:rPr>
                <w:color w:val="auto"/>
                <w:spacing w:val="-1"/>
                <w:sz w:val="21"/>
                <w:szCs w:val="21"/>
                <w:highlight w:val="none"/>
              </w:rPr>
              <w:t>考察、质询</w:t>
            </w:r>
          </w:p>
          <w:p w14:paraId="4286D9AA">
            <w:pPr>
              <w:keepNext w:val="0"/>
              <w:keepLines w:val="0"/>
              <w:pageBreakBefore w:val="0"/>
              <w:widowControl/>
              <w:kinsoku/>
              <w:wordWrap/>
              <w:overflowPunct/>
              <w:topLinePunct w:val="0"/>
              <w:bidi w:val="0"/>
              <w:adjustRightInd w:val="0"/>
              <w:snapToGrid w:val="0"/>
              <w:spacing w:line="278" w:lineRule="auto"/>
              <w:textAlignment w:val="baseline"/>
              <w:rPr>
                <w:rFonts w:ascii="Arial"/>
                <w:color w:val="auto"/>
                <w:sz w:val="21"/>
                <w:highlight w:val="none"/>
              </w:rPr>
            </w:pPr>
          </w:p>
          <w:p w14:paraId="0F390354">
            <w:pPr>
              <w:keepNext w:val="0"/>
              <w:keepLines w:val="0"/>
              <w:pageBreakBefore w:val="0"/>
              <w:widowControl/>
              <w:kinsoku/>
              <w:wordWrap/>
              <w:overflowPunct/>
              <w:topLinePunct w:val="0"/>
              <w:bidi w:val="0"/>
              <w:adjustRightInd w:val="0"/>
              <w:snapToGrid w:val="0"/>
              <w:spacing w:line="278" w:lineRule="auto"/>
              <w:textAlignment w:val="baseline"/>
              <w:rPr>
                <w:rFonts w:ascii="Arial"/>
                <w:color w:val="auto"/>
                <w:sz w:val="21"/>
                <w:highlight w:val="none"/>
              </w:rPr>
            </w:pPr>
          </w:p>
          <w:p w14:paraId="71F1D741">
            <w:pPr>
              <w:keepNext w:val="0"/>
              <w:keepLines w:val="0"/>
              <w:pageBreakBefore w:val="0"/>
              <w:widowControl/>
              <w:kinsoku/>
              <w:wordWrap/>
              <w:overflowPunct/>
              <w:topLinePunct w:val="0"/>
              <w:bidi w:val="0"/>
              <w:adjustRightInd w:val="0"/>
              <w:snapToGrid w:val="0"/>
              <w:spacing w:line="279" w:lineRule="auto"/>
              <w:textAlignment w:val="baseline"/>
              <w:rPr>
                <w:rFonts w:ascii="Arial"/>
                <w:color w:val="auto"/>
                <w:sz w:val="21"/>
                <w:highlight w:val="none"/>
              </w:rPr>
            </w:pPr>
          </w:p>
          <w:p w14:paraId="78915877">
            <w:pPr>
              <w:keepNext w:val="0"/>
              <w:keepLines w:val="0"/>
              <w:pageBreakBefore w:val="0"/>
              <w:widowControl/>
              <w:kinsoku/>
              <w:wordWrap/>
              <w:overflowPunct/>
              <w:topLinePunct w:val="0"/>
              <w:bidi w:val="0"/>
              <w:adjustRightInd w:val="0"/>
              <w:snapToGrid w:val="0"/>
              <w:spacing w:line="279" w:lineRule="auto"/>
              <w:textAlignment w:val="baseline"/>
              <w:rPr>
                <w:rFonts w:ascii="Arial"/>
                <w:color w:val="auto"/>
                <w:sz w:val="21"/>
                <w:highlight w:val="none"/>
              </w:rPr>
            </w:pPr>
          </w:p>
          <w:p w14:paraId="4B4CC5D5">
            <w:pPr>
              <w:pStyle w:val="33"/>
              <w:keepNext w:val="0"/>
              <w:keepLines w:val="0"/>
              <w:pageBreakBefore w:val="0"/>
              <w:widowControl/>
              <w:kinsoku/>
              <w:wordWrap/>
              <w:overflowPunct/>
              <w:topLinePunct w:val="0"/>
              <w:bidi w:val="0"/>
              <w:adjustRightInd w:val="0"/>
              <w:snapToGrid w:val="0"/>
              <w:spacing w:before="68" w:line="221" w:lineRule="auto"/>
              <w:ind w:left="111"/>
              <w:textAlignment w:val="baseline"/>
              <w:rPr>
                <w:color w:val="auto"/>
                <w:sz w:val="21"/>
                <w:szCs w:val="21"/>
                <w:highlight w:val="none"/>
              </w:rPr>
            </w:pPr>
            <w:r>
              <w:rPr>
                <w:color w:val="auto"/>
                <w:spacing w:val="-2"/>
                <w:sz w:val="21"/>
                <w:szCs w:val="21"/>
                <w:highlight w:val="none"/>
              </w:rPr>
              <w:t>定标现场面试</w:t>
            </w:r>
          </w:p>
          <w:p w14:paraId="732E26B1">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34A9A693">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1D313BE6">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260EA78B">
            <w:pPr>
              <w:pStyle w:val="33"/>
              <w:keepNext w:val="0"/>
              <w:keepLines w:val="0"/>
              <w:pageBreakBefore w:val="0"/>
              <w:widowControl/>
              <w:kinsoku/>
              <w:wordWrap/>
              <w:overflowPunct/>
              <w:topLinePunct w:val="0"/>
              <w:bidi w:val="0"/>
              <w:adjustRightInd w:val="0"/>
              <w:snapToGrid w:val="0"/>
              <w:spacing w:before="69" w:line="221" w:lineRule="auto"/>
              <w:ind w:left="111"/>
              <w:textAlignment w:val="baseline"/>
              <w:rPr>
                <w:color w:val="auto"/>
                <w:sz w:val="21"/>
                <w:szCs w:val="21"/>
                <w:highlight w:val="none"/>
              </w:rPr>
            </w:pPr>
            <w:r>
              <w:rPr>
                <w:color w:val="auto"/>
                <w:spacing w:val="-2"/>
                <w:sz w:val="21"/>
                <w:szCs w:val="21"/>
                <w:highlight w:val="none"/>
              </w:rPr>
              <w:t>定标要素及具体内容</w:t>
            </w:r>
          </w:p>
          <w:p w14:paraId="2ECE06D5">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472E0284">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7F2882DF">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06B3BFEB">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4DD71946">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0B38905F">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4CD25E96">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4AB3ECC0">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2F161975">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0FD2E524">
            <w:pPr>
              <w:pStyle w:val="33"/>
              <w:keepNext w:val="0"/>
              <w:keepLines w:val="0"/>
              <w:pageBreakBefore w:val="0"/>
              <w:widowControl/>
              <w:kinsoku/>
              <w:wordWrap/>
              <w:overflowPunct/>
              <w:topLinePunct w:val="0"/>
              <w:bidi w:val="0"/>
              <w:adjustRightInd w:val="0"/>
              <w:snapToGrid w:val="0"/>
              <w:spacing w:before="68" w:line="221" w:lineRule="auto"/>
              <w:ind w:left="111"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3"/>
                <w:sz w:val="21"/>
                <w:szCs w:val="21"/>
                <w:highlight w:val="none"/>
              </w:rPr>
              <w:t>定标方法</w:t>
            </w:r>
          </w:p>
        </w:tc>
        <w:tc>
          <w:tcPr>
            <w:tcW w:w="5503" w:type="dxa"/>
            <w:tcBorders>
              <w:right w:val="single" w:color="000000" w:sz="6" w:space="0"/>
            </w:tcBorders>
            <w:shd w:val="clear" w:color="auto" w:fill="auto"/>
            <w:vAlign w:val="top"/>
          </w:tcPr>
          <w:p w14:paraId="57064441">
            <w:pPr>
              <w:keepNext w:val="0"/>
              <w:keepLines w:val="0"/>
              <w:pageBreakBefore w:val="0"/>
              <w:widowControl/>
              <w:kinsoku/>
              <w:wordWrap/>
              <w:overflowPunct/>
              <w:topLinePunct w:val="0"/>
              <w:bidi w:val="0"/>
              <w:adjustRightInd w:val="0"/>
              <w:snapToGrid w:val="0"/>
              <w:spacing w:line="288" w:lineRule="auto"/>
              <w:textAlignment w:val="baseline"/>
              <w:rPr>
                <w:rFonts w:ascii="Arial"/>
                <w:color w:val="auto"/>
                <w:sz w:val="21"/>
                <w:highlight w:val="none"/>
              </w:rPr>
            </w:pPr>
          </w:p>
          <w:p w14:paraId="2A93B1F1">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ascii="Times New Roman" w:hAnsi="Times New Roman" w:cs="Times New Roman"/>
                <w:strike w:val="0"/>
                <w:dstrike w:val="0"/>
                <w:color w:val="auto"/>
                <w:sz w:val="21"/>
                <w:szCs w:val="21"/>
                <w:highlight w:val="none"/>
                <w:lang w:eastAsia="zh-CN"/>
              </w:rPr>
              <w:t>定标委员会由</w:t>
            </w:r>
            <w:r>
              <w:rPr>
                <w:rFonts w:hint="eastAsia" w:ascii="Times New Roman" w:hAnsi="Times New Roman" w:cs="Times New Roman"/>
                <w:strike w:val="0"/>
                <w:dstrike w:val="0"/>
                <w:color w:val="auto"/>
                <w:sz w:val="21"/>
                <w:szCs w:val="21"/>
                <w:highlight w:val="none"/>
                <w:u w:val="single"/>
                <w:lang w:val="en-US" w:eastAsia="zh-CN"/>
              </w:rPr>
              <w:t>5</w:t>
            </w:r>
            <w:r>
              <w:rPr>
                <w:rFonts w:ascii="Times New Roman" w:hAnsi="Times New Roman" w:cs="Times New Roman"/>
                <w:strike w:val="0"/>
                <w:dstrike w:val="0"/>
                <w:color w:val="auto"/>
                <w:sz w:val="21"/>
                <w:szCs w:val="21"/>
                <w:highlight w:val="none"/>
                <w:lang w:eastAsia="zh-CN"/>
              </w:rPr>
              <w:t>人</w:t>
            </w:r>
            <w:r>
              <w:rPr>
                <w:rFonts w:ascii="Times New Roman" w:hAnsi="Times New Roman" w:cs="Times New Roman"/>
                <w:i/>
                <w:iCs/>
                <w:strike w:val="0"/>
                <w:dstrike w:val="0"/>
                <w:color w:val="auto"/>
                <w:sz w:val="22"/>
                <w:szCs w:val="22"/>
                <w:highlight w:val="none"/>
                <w:lang w:eastAsia="zh-CN"/>
              </w:rPr>
              <w:t>（</w:t>
            </w:r>
            <w:r>
              <w:rPr>
                <w:rFonts w:ascii="Times New Roman" w:hAnsi="Times New Roman" w:cs="Times New Roman"/>
                <w:strike w:val="0"/>
                <w:dstrike w:val="0"/>
                <w:color w:val="auto"/>
                <w:sz w:val="21"/>
                <w:szCs w:val="21"/>
                <w:highlight w:val="none"/>
                <w:lang w:eastAsia="zh-CN"/>
              </w:rPr>
              <w:t>不少于</w:t>
            </w:r>
            <w:r>
              <w:rPr>
                <w:rFonts w:ascii="Times New Roman" w:hAnsi="Times New Roman" w:eastAsia="Times New Roman" w:cs="Times New Roman"/>
                <w:strike w:val="0"/>
                <w:dstrike w:val="0"/>
                <w:color w:val="auto"/>
                <w:sz w:val="21"/>
                <w:szCs w:val="21"/>
                <w:highlight w:val="none"/>
                <w:lang w:eastAsia="zh-CN"/>
              </w:rPr>
              <w:t>5</w:t>
            </w:r>
            <w:r>
              <w:rPr>
                <w:rFonts w:ascii="Times New Roman" w:hAnsi="Times New Roman" w:cs="Times New Roman"/>
                <w:strike w:val="0"/>
                <w:dstrike w:val="0"/>
                <w:color w:val="auto"/>
                <w:sz w:val="21"/>
                <w:szCs w:val="21"/>
                <w:highlight w:val="none"/>
                <w:lang w:eastAsia="zh-CN"/>
              </w:rPr>
              <w:t>人）组成。</w:t>
            </w:r>
          </w:p>
          <w:p w14:paraId="2542947C">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Times New Roman" w:cs="Times New Roman"/>
                <w:strike w:val="0"/>
                <w:dstrike w:val="0"/>
                <w:color w:val="auto"/>
                <w:sz w:val="21"/>
                <w:szCs w:val="21"/>
                <w:highlight w:val="none"/>
                <w:lang w:eastAsia="zh-CN"/>
              </w:rPr>
            </w:pPr>
          </w:p>
          <w:p w14:paraId="473966CF">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Times New Roman" w:cs="Times New Roman"/>
                <w:strike w:val="0"/>
                <w:dstrike w:val="0"/>
                <w:color w:val="auto"/>
                <w:sz w:val="21"/>
                <w:szCs w:val="21"/>
                <w:highlight w:val="none"/>
                <w:lang w:eastAsia="zh-CN"/>
              </w:rPr>
            </w:pPr>
          </w:p>
          <w:p w14:paraId="7022ED51">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ascii="Times New Roman" w:hAnsi="Times New Roman" w:eastAsia="Times New Roman" w:cs="Times New Roman"/>
                <w:strike w:val="0"/>
                <w:dstrike w:val="0"/>
                <w:color w:val="auto"/>
                <w:sz w:val="21"/>
                <w:szCs w:val="21"/>
                <w:highlight w:val="none"/>
                <w:lang w:eastAsia="zh-CN"/>
              </w:rPr>
              <w:t>1.</w:t>
            </w:r>
            <w:r>
              <w:rPr>
                <w:rFonts w:ascii="Times New Roman" w:hAnsi="Times New Roman" w:cs="Times New Roman"/>
                <w:strike w:val="0"/>
                <w:dstrike w:val="0"/>
                <w:color w:val="auto"/>
                <w:sz w:val="21"/>
                <w:szCs w:val="21"/>
                <w:highlight w:val="none"/>
                <w:lang w:eastAsia="zh-CN"/>
              </w:rPr>
              <w:t>定标时间：</w:t>
            </w:r>
            <w:r>
              <w:rPr>
                <w:rFonts w:hint="eastAsia"/>
                <w:strike w:val="0"/>
                <w:dstrike w:val="0"/>
                <w:color w:val="auto"/>
                <w:sz w:val="21"/>
                <w:szCs w:val="21"/>
                <w:highlight w:val="none"/>
                <w:u w:val="single"/>
                <w:lang w:eastAsia="zh-CN"/>
              </w:rPr>
              <w:t>在中标候选人公示结束后确定</w:t>
            </w:r>
            <w:r>
              <w:rPr>
                <w:strike w:val="0"/>
                <w:dstrike w:val="0"/>
                <w:color w:val="auto"/>
                <w:sz w:val="21"/>
                <w:szCs w:val="21"/>
                <w:highlight w:val="none"/>
                <w:u w:val="single"/>
                <w:lang w:eastAsia="zh-CN"/>
              </w:rPr>
              <w:t xml:space="preserve"> </w:t>
            </w:r>
            <w:r>
              <w:rPr>
                <w:rFonts w:ascii="Times New Roman" w:hAnsi="Times New Roman" w:cs="Times New Roman"/>
                <w:strike w:val="0"/>
                <w:dstrike w:val="0"/>
                <w:color w:val="auto"/>
                <w:sz w:val="21"/>
                <w:szCs w:val="21"/>
                <w:highlight w:val="none"/>
                <w:lang w:eastAsia="zh-CN"/>
              </w:rPr>
              <w:t>。</w:t>
            </w:r>
          </w:p>
          <w:p w14:paraId="714DF310">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ascii="Times New Roman" w:hAnsi="Times New Roman" w:eastAsia="Times New Roman" w:cs="Times New Roman"/>
                <w:strike w:val="0"/>
                <w:dstrike w:val="0"/>
                <w:color w:val="auto"/>
                <w:sz w:val="21"/>
                <w:szCs w:val="21"/>
                <w:highlight w:val="none"/>
                <w:lang w:eastAsia="zh-CN"/>
              </w:rPr>
              <w:t>2.</w:t>
            </w:r>
            <w:r>
              <w:rPr>
                <w:rFonts w:ascii="Times New Roman" w:hAnsi="Times New Roman" w:cs="Times New Roman"/>
                <w:strike w:val="0"/>
                <w:dstrike w:val="0"/>
                <w:color w:val="auto"/>
                <w:sz w:val="21"/>
                <w:szCs w:val="21"/>
                <w:highlight w:val="none"/>
                <w:lang w:eastAsia="zh-CN"/>
              </w:rPr>
              <w:t>定标地点：</w:t>
            </w:r>
            <w:r>
              <w:rPr>
                <w:rFonts w:hint="eastAsia"/>
                <w:strike w:val="0"/>
                <w:dstrike w:val="0"/>
                <w:color w:val="auto"/>
                <w:sz w:val="21"/>
                <w:szCs w:val="21"/>
                <w:highlight w:val="none"/>
                <w:u w:val="single"/>
                <w:lang w:eastAsia="zh-CN"/>
              </w:rPr>
              <w:t>在中标候选人公示结束后确定</w:t>
            </w:r>
            <w:r>
              <w:rPr>
                <w:strike w:val="0"/>
                <w:dstrike w:val="0"/>
                <w:color w:val="auto"/>
                <w:sz w:val="21"/>
                <w:szCs w:val="21"/>
                <w:highlight w:val="none"/>
                <w:u w:val="single"/>
                <w:lang w:eastAsia="zh-CN"/>
              </w:rPr>
              <w:t xml:space="preserve"> </w:t>
            </w:r>
            <w:r>
              <w:rPr>
                <w:rFonts w:ascii="Times New Roman" w:hAnsi="Times New Roman" w:cs="Times New Roman"/>
                <w:strike w:val="0"/>
                <w:dstrike w:val="0"/>
                <w:color w:val="auto"/>
                <w:sz w:val="21"/>
                <w:szCs w:val="21"/>
                <w:highlight w:val="none"/>
                <w:lang w:eastAsia="zh-CN"/>
              </w:rPr>
              <w:t>。</w:t>
            </w:r>
          </w:p>
          <w:p w14:paraId="1527BAB4">
            <w:pPr>
              <w:pStyle w:val="33"/>
              <w:keepNext w:val="0"/>
              <w:keepLines w:val="0"/>
              <w:pageBreakBefore w:val="0"/>
              <w:widowControl/>
              <w:kinsoku/>
              <w:wordWrap/>
              <w:overflowPunct/>
              <w:topLinePunct w:val="0"/>
              <w:autoSpaceDE/>
              <w:autoSpaceDN/>
              <w:bidi w:val="0"/>
              <w:adjustRightInd w:val="0"/>
              <w:snapToGrid w:val="0"/>
              <w:spacing w:line="288" w:lineRule="auto"/>
              <w:ind w:firstLine="400" w:firstLineChars="200"/>
              <w:textAlignment w:val="baseline"/>
              <w:rPr>
                <w:rFonts w:ascii="Times New Roman" w:hAnsi="Times New Roman" w:cs="Times New Roman"/>
                <w:i w:val="0"/>
                <w:iCs w:val="0"/>
                <w:strike w:val="0"/>
                <w:dstrike w:val="0"/>
                <w:color w:val="auto"/>
                <w:sz w:val="20"/>
                <w:szCs w:val="20"/>
                <w:highlight w:val="none"/>
                <w:lang w:eastAsia="zh-CN"/>
              </w:rPr>
            </w:pPr>
            <w:r>
              <w:rPr>
                <w:rFonts w:ascii="Times New Roman" w:hAnsi="Times New Roman" w:cs="Times New Roman"/>
                <w:i w:val="0"/>
                <w:iCs w:val="0"/>
                <w:strike w:val="0"/>
                <w:dstrike w:val="0"/>
                <w:color w:val="auto"/>
                <w:sz w:val="20"/>
                <w:szCs w:val="20"/>
                <w:highlight w:val="none"/>
                <w:lang w:eastAsia="zh-CN"/>
              </w:rPr>
              <w:t>（</w:t>
            </w:r>
            <w:r>
              <w:rPr>
                <w:rFonts w:ascii="Times New Roman" w:hAnsi="Times New Roman" w:cs="Times New Roman"/>
                <w:i w:val="0"/>
                <w:iCs w:val="0"/>
                <w:strike w:val="0"/>
                <w:dstrike w:val="0"/>
                <w:color w:val="auto"/>
                <w:sz w:val="21"/>
                <w:szCs w:val="21"/>
                <w:highlight w:val="none"/>
                <w:lang w:eastAsia="zh-CN"/>
              </w:rPr>
              <w:t>招标人根据相关规定在评标结果公示结束后</w:t>
            </w:r>
            <w:r>
              <w:rPr>
                <w:rFonts w:ascii="Times New Roman" w:hAnsi="Times New Roman" w:eastAsia="Times New Roman" w:cs="Times New Roman"/>
                <w:i w:val="0"/>
                <w:iCs w:val="0"/>
                <w:strike w:val="0"/>
                <w:dstrike w:val="0"/>
                <w:color w:val="auto"/>
                <w:sz w:val="20"/>
                <w:szCs w:val="20"/>
                <w:highlight w:val="none"/>
                <w:lang w:eastAsia="zh-CN"/>
              </w:rPr>
              <w:t>10</w:t>
            </w:r>
            <w:r>
              <w:rPr>
                <w:rFonts w:ascii="Times New Roman" w:hAnsi="Times New Roman" w:cs="Times New Roman"/>
                <w:i w:val="0"/>
                <w:iCs w:val="0"/>
                <w:strike w:val="0"/>
                <w:dstrike w:val="0"/>
                <w:color w:val="auto"/>
                <w:sz w:val="21"/>
                <w:szCs w:val="21"/>
                <w:highlight w:val="none"/>
                <w:lang w:eastAsia="zh-CN"/>
              </w:rPr>
              <w:t>日内召开定标会议</w:t>
            </w:r>
            <w:r>
              <w:rPr>
                <w:rFonts w:ascii="Times New Roman" w:hAnsi="Times New Roman" w:cs="Times New Roman"/>
                <w:i w:val="0"/>
                <w:iCs w:val="0"/>
                <w:strike w:val="0"/>
                <w:dstrike w:val="0"/>
                <w:color w:val="auto"/>
                <w:sz w:val="20"/>
                <w:szCs w:val="20"/>
                <w:highlight w:val="none"/>
                <w:lang w:eastAsia="zh-CN"/>
              </w:rPr>
              <w:t>）</w:t>
            </w:r>
          </w:p>
          <w:p w14:paraId="0DB82A0A">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p>
          <w:p w14:paraId="007AEAF3">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ascii="Times New Roman" w:hAnsi="Times New Roman" w:cs="Times New Roman"/>
                <w:strike w:val="0"/>
                <w:dstrike w:val="0"/>
                <w:color w:val="auto"/>
                <w:sz w:val="21"/>
                <w:szCs w:val="21"/>
                <w:highlight w:val="none"/>
                <w:lang w:eastAsia="zh-CN"/>
              </w:rPr>
              <w:t>是否组织考察</w:t>
            </w: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是</w:t>
            </w: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否</w:t>
            </w:r>
          </w:p>
          <w:p w14:paraId="290B774A">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ascii="Times New Roman" w:hAnsi="Times New Roman" w:cs="Times New Roman"/>
                <w:strike w:val="0"/>
                <w:dstrike w:val="0"/>
                <w:color w:val="auto"/>
                <w:sz w:val="21"/>
                <w:szCs w:val="21"/>
                <w:highlight w:val="none"/>
                <w:lang w:eastAsia="zh-CN"/>
              </w:rPr>
              <w:t>是否组织质询</w:t>
            </w: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是</w:t>
            </w: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否</w:t>
            </w:r>
          </w:p>
          <w:p w14:paraId="22DFF7A3">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ascii="Times New Roman" w:hAnsi="Times New Roman" w:cs="Times New Roman"/>
                <w:strike w:val="0"/>
                <w:dstrike w:val="0"/>
                <w:color w:val="auto"/>
                <w:sz w:val="21"/>
                <w:szCs w:val="21"/>
                <w:highlight w:val="none"/>
                <w:lang w:eastAsia="zh-CN"/>
              </w:rPr>
              <w:t>考察、质询小组由</w:t>
            </w:r>
            <w:r>
              <w:rPr>
                <w:rFonts w:hint="eastAsia" w:ascii="Times New Roman" w:hAnsi="Times New Roman" w:cs="Times New Roman"/>
                <w:strike w:val="0"/>
                <w:dstrike w:val="0"/>
                <w:color w:val="auto"/>
                <w:sz w:val="21"/>
                <w:szCs w:val="21"/>
                <w:highlight w:val="none"/>
                <w:u w:val="single"/>
                <w:lang w:val="en-US" w:eastAsia="zh-CN"/>
              </w:rPr>
              <w:t xml:space="preserve">     /    </w:t>
            </w:r>
            <w:r>
              <w:rPr>
                <w:rFonts w:ascii="Times New Roman" w:hAnsi="Times New Roman" w:cs="Times New Roman"/>
                <w:strike w:val="0"/>
                <w:dstrike w:val="0"/>
                <w:color w:val="auto"/>
                <w:sz w:val="21"/>
                <w:szCs w:val="21"/>
                <w:highlight w:val="none"/>
                <w:lang w:eastAsia="zh-CN"/>
              </w:rPr>
              <w:t>人（</w:t>
            </w:r>
            <w:r>
              <w:rPr>
                <w:rFonts w:ascii="Times New Roman" w:hAnsi="Times New Roman" w:eastAsia="Times New Roman" w:cs="Times New Roman"/>
                <w:strike w:val="0"/>
                <w:dstrike w:val="0"/>
                <w:color w:val="auto"/>
                <w:sz w:val="21"/>
                <w:szCs w:val="21"/>
                <w:highlight w:val="none"/>
                <w:lang w:eastAsia="zh-CN"/>
              </w:rPr>
              <w:t>3</w:t>
            </w:r>
            <w:r>
              <w:rPr>
                <w:rFonts w:ascii="Times New Roman" w:hAnsi="Times New Roman" w:cs="Times New Roman"/>
                <w:strike w:val="0"/>
                <w:dstrike w:val="0"/>
                <w:color w:val="auto"/>
                <w:sz w:val="21"/>
                <w:szCs w:val="21"/>
                <w:highlight w:val="none"/>
                <w:lang w:eastAsia="zh-CN"/>
              </w:rPr>
              <w:t>人及以上单数）组成。</w:t>
            </w:r>
          </w:p>
          <w:p w14:paraId="073BA81F">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p>
          <w:p w14:paraId="2E9F8DB7">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p>
          <w:p w14:paraId="68406472">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ascii="Times New Roman" w:hAnsi="Times New Roman" w:cs="Times New Roman"/>
                <w:strike w:val="0"/>
                <w:dstrike w:val="0"/>
                <w:color w:val="auto"/>
                <w:sz w:val="21"/>
                <w:szCs w:val="21"/>
                <w:highlight w:val="none"/>
                <w:lang w:eastAsia="zh-CN"/>
              </w:rPr>
              <w:t>是否定标现场面试</w:t>
            </w: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是</w:t>
            </w: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否</w:t>
            </w:r>
          </w:p>
          <w:p w14:paraId="10F73863">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等线" w:cs="Times New Roman"/>
                <w:strike w:val="0"/>
                <w:dstrike w:val="0"/>
                <w:color w:val="auto"/>
                <w:sz w:val="21"/>
                <w:szCs w:val="21"/>
                <w:highlight w:val="none"/>
                <w:lang w:eastAsia="zh-CN"/>
              </w:rPr>
            </w:pPr>
            <w:r>
              <w:rPr>
                <w:rFonts w:ascii="Times New Roman" w:hAnsi="Times New Roman" w:cs="Times New Roman"/>
                <w:strike w:val="0"/>
                <w:dstrike w:val="0"/>
                <w:color w:val="auto"/>
                <w:sz w:val="21"/>
                <w:szCs w:val="21"/>
                <w:highlight w:val="none"/>
                <w:lang w:eastAsia="zh-CN"/>
              </w:rPr>
              <w:t>面试人员</w:t>
            </w:r>
            <w:r>
              <w:rPr>
                <w:rFonts w:hint="eastAsia" w:ascii="Times New Roman" w:hAnsi="Times New Roman" w:cs="Times New Roman"/>
                <w:strike w:val="0"/>
                <w:dstrike w:val="0"/>
                <w:color w:val="auto"/>
                <w:sz w:val="21"/>
                <w:szCs w:val="21"/>
                <w:highlight w:val="none"/>
                <w:u w:val="single"/>
                <w:lang w:val="en-US" w:eastAsia="zh-CN"/>
              </w:rPr>
              <w:t xml:space="preserve">    /  </w:t>
            </w:r>
            <w:r>
              <w:rPr>
                <w:rFonts w:ascii="Times New Roman" w:hAnsi="Times New Roman" w:eastAsia="等线" w:cs="Times New Roman"/>
                <w:strike w:val="0"/>
                <w:dstrike w:val="0"/>
                <w:color w:val="auto"/>
                <w:sz w:val="21"/>
                <w:szCs w:val="21"/>
                <w:highlight w:val="none"/>
                <w:lang w:eastAsia="zh-CN"/>
              </w:rPr>
              <w:t>。</w:t>
            </w:r>
          </w:p>
          <w:p w14:paraId="0D710FBB">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Times New Roman" w:hAnsi="Times New Roman" w:cs="Times New Roman"/>
                <w:strike w:val="0"/>
                <w:dstrike w:val="0"/>
                <w:color w:val="auto"/>
                <w:sz w:val="21"/>
                <w:szCs w:val="21"/>
                <w:highlight w:val="none"/>
                <w:lang w:eastAsia="zh-CN"/>
              </w:rPr>
            </w:pPr>
          </w:p>
          <w:p w14:paraId="07232E18">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Times New Roman" w:hAnsi="Times New Roman" w:cs="Times New Roman"/>
                <w:strike w:val="0"/>
                <w:dstrike w:val="0"/>
                <w:color w:val="auto"/>
                <w:sz w:val="21"/>
                <w:szCs w:val="21"/>
                <w:highlight w:val="none"/>
                <w:lang w:eastAsia="zh-CN"/>
              </w:rPr>
            </w:pPr>
          </w:p>
          <w:p w14:paraId="0991FE35">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等线"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eastAsia="Times New Roman" w:cs="Times New Roman"/>
                <w:strike w:val="0"/>
                <w:dstrike w:val="0"/>
                <w:color w:val="auto"/>
                <w:sz w:val="21"/>
                <w:szCs w:val="21"/>
                <w:highlight w:val="none"/>
                <w:lang w:eastAsia="zh-CN"/>
              </w:rPr>
              <w:t>1.</w:t>
            </w:r>
            <w:r>
              <w:rPr>
                <w:rFonts w:ascii="Times New Roman" w:hAnsi="Times New Roman" w:cs="Times New Roman"/>
                <w:strike w:val="0"/>
                <w:dstrike w:val="0"/>
                <w:color w:val="auto"/>
                <w:sz w:val="21"/>
                <w:szCs w:val="21"/>
                <w:highlight w:val="none"/>
                <w:lang w:eastAsia="zh-CN"/>
              </w:rPr>
              <w:t>价格因素</w:t>
            </w:r>
            <w:r>
              <w:rPr>
                <w:rFonts w:hint="eastAsia" w:ascii="Times New Roman" w:hAnsi="Times New Roman" w:cs="Times New Roman"/>
                <w:strike w:val="0"/>
                <w:dstrike w:val="0"/>
                <w:color w:val="auto"/>
                <w:sz w:val="21"/>
                <w:szCs w:val="21"/>
                <w:highlight w:val="none"/>
                <w:lang w:eastAsia="zh-CN"/>
              </w:rPr>
              <w:t>：</w:t>
            </w:r>
            <w:r>
              <w:rPr>
                <w:rFonts w:hint="eastAsia" w:ascii="Times New Roman" w:hAnsi="Times New Roman" w:cs="Times New Roman"/>
                <w:strike w:val="0"/>
                <w:dstrike w:val="0"/>
                <w:color w:val="auto"/>
                <w:sz w:val="21"/>
                <w:szCs w:val="21"/>
                <w:highlight w:val="none"/>
                <w:u w:val="single"/>
                <w:lang w:eastAsia="zh-CN"/>
              </w:rPr>
              <w:t>主要包括商务报价高低、主要材料品牌、报价的合理性、不平衡报价情况等</w:t>
            </w:r>
            <w:r>
              <w:rPr>
                <w:rFonts w:ascii="Times New Roman" w:hAnsi="Times New Roman" w:cs="Times New Roman"/>
                <w:strike w:val="0"/>
                <w:dstrike w:val="0"/>
                <w:color w:val="auto"/>
                <w:sz w:val="21"/>
                <w:szCs w:val="21"/>
                <w:highlight w:val="none"/>
                <w:lang w:eastAsia="zh-CN"/>
              </w:rPr>
              <w:t>；</w:t>
            </w:r>
          </w:p>
          <w:p w14:paraId="6CB51673">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等线"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eastAsia="Times New Roman" w:cs="Times New Roman"/>
                <w:strike w:val="0"/>
                <w:dstrike w:val="0"/>
                <w:color w:val="auto"/>
                <w:sz w:val="21"/>
                <w:szCs w:val="21"/>
                <w:highlight w:val="none"/>
                <w:lang w:eastAsia="zh-CN"/>
              </w:rPr>
              <w:t>2.</w:t>
            </w:r>
            <w:r>
              <w:rPr>
                <w:rFonts w:ascii="Times New Roman" w:hAnsi="Times New Roman" w:cs="Times New Roman"/>
                <w:strike w:val="0"/>
                <w:dstrike w:val="0"/>
                <w:color w:val="auto"/>
                <w:sz w:val="21"/>
                <w:szCs w:val="21"/>
                <w:highlight w:val="none"/>
                <w:lang w:eastAsia="zh-CN"/>
              </w:rPr>
              <w:t>企业实力</w:t>
            </w:r>
            <w:r>
              <w:rPr>
                <w:rFonts w:hint="eastAsia" w:ascii="Times New Roman" w:hAnsi="Times New Roman" w:cs="Times New Roman"/>
                <w:strike w:val="0"/>
                <w:dstrike w:val="0"/>
                <w:color w:val="auto"/>
                <w:sz w:val="21"/>
                <w:szCs w:val="21"/>
                <w:highlight w:val="none"/>
                <w:lang w:eastAsia="zh-CN"/>
              </w:rPr>
              <w:t>：</w:t>
            </w:r>
            <w:r>
              <w:rPr>
                <w:rFonts w:hint="eastAsia" w:ascii="Times New Roman" w:hAnsi="Times New Roman" w:cs="Times New Roman"/>
                <w:strike w:val="0"/>
                <w:dstrike w:val="0"/>
                <w:color w:val="auto"/>
                <w:sz w:val="21"/>
                <w:szCs w:val="21"/>
                <w:highlight w:val="none"/>
                <w:u w:val="single"/>
                <w:lang w:eastAsia="zh-CN"/>
              </w:rPr>
              <w:t>主要包括企业规模、资质等级、专业技术人员规模、近年的财务状况、过往业绩（含业绩影响力，难易程度）等</w:t>
            </w:r>
            <w:r>
              <w:rPr>
                <w:rFonts w:ascii="Times New Roman" w:hAnsi="Times New Roman" w:cs="Times New Roman"/>
                <w:strike w:val="0"/>
                <w:dstrike w:val="0"/>
                <w:color w:val="auto"/>
                <w:sz w:val="21"/>
                <w:szCs w:val="21"/>
                <w:highlight w:val="none"/>
                <w:lang w:eastAsia="zh-CN"/>
              </w:rPr>
              <w:t>；</w:t>
            </w:r>
          </w:p>
          <w:p w14:paraId="4E3181FE">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等线"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eastAsia="Times New Roman" w:cs="Times New Roman"/>
                <w:strike w:val="0"/>
                <w:dstrike w:val="0"/>
                <w:color w:val="auto"/>
                <w:sz w:val="21"/>
                <w:szCs w:val="21"/>
                <w:highlight w:val="none"/>
                <w:lang w:eastAsia="zh-CN"/>
              </w:rPr>
              <w:t>3.</w:t>
            </w:r>
            <w:r>
              <w:rPr>
                <w:rFonts w:ascii="Times New Roman" w:hAnsi="Times New Roman" w:cs="Times New Roman"/>
                <w:strike w:val="0"/>
                <w:dstrike w:val="0"/>
                <w:color w:val="auto"/>
                <w:sz w:val="21"/>
                <w:szCs w:val="21"/>
                <w:highlight w:val="none"/>
                <w:lang w:eastAsia="zh-CN"/>
              </w:rPr>
              <w:t>企业信誉</w:t>
            </w:r>
            <w:r>
              <w:rPr>
                <w:rFonts w:hint="eastAsia" w:ascii="Times New Roman" w:hAnsi="Times New Roman" w:cs="Times New Roman"/>
                <w:strike w:val="0"/>
                <w:dstrike w:val="0"/>
                <w:color w:val="auto"/>
                <w:sz w:val="21"/>
                <w:szCs w:val="21"/>
                <w:highlight w:val="none"/>
                <w:lang w:eastAsia="zh-CN"/>
              </w:rPr>
              <w:t>：</w:t>
            </w:r>
            <w:r>
              <w:rPr>
                <w:rFonts w:hint="eastAsia" w:ascii="Times New Roman" w:hAnsi="Times New Roman" w:cs="Times New Roman"/>
                <w:strike w:val="0"/>
                <w:dstrike w:val="0"/>
                <w:color w:val="auto"/>
                <w:sz w:val="21"/>
                <w:szCs w:val="21"/>
                <w:highlight w:val="none"/>
                <w:u w:val="single"/>
                <w:lang w:eastAsia="zh-CN"/>
              </w:rPr>
              <w:t>主要包括企业信用情况、过往业绩履约情况、建设单位履约评价等</w:t>
            </w:r>
            <w:r>
              <w:rPr>
                <w:rFonts w:ascii="Times New Roman" w:hAnsi="Times New Roman" w:cs="Times New Roman"/>
                <w:strike w:val="0"/>
                <w:dstrike w:val="0"/>
                <w:color w:val="auto"/>
                <w:sz w:val="21"/>
                <w:szCs w:val="21"/>
                <w:highlight w:val="none"/>
                <w:lang w:eastAsia="zh-CN"/>
              </w:rPr>
              <w:t>；</w:t>
            </w:r>
          </w:p>
          <w:p w14:paraId="0BAD1E3B">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等线"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eastAsia="Times New Roman" w:cs="Times New Roman"/>
                <w:strike w:val="0"/>
                <w:dstrike w:val="0"/>
                <w:color w:val="auto"/>
                <w:sz w:val="21"/>
                <w:szCs w:val="21"/>
                <w:highlight w:val="none"/>
                <w:lang w:eastAsia="zh-CN"/>
              </w:rPr>
              <w:t>4.</w:t>
            </w:r>
            <w:r>
              <w:rPr>
                <w:rFonts w:ascii="Times New Roman" w:hAnsi="Times New Roman" w:cs="Times New Roman"/>
                <w:strike w:val="0"/>
                <w:dstrike w:val="0"/>
                <w:color w:val="auto"/>
                <w:sz w:val="21"/>
                <w:szCs w:val="21"/>
                <w:highlight w:val="none"/>
                <w:lang w:eastAsia="zh-CN"/>
              </w:rPr>
              <w:t>投标方案</w:t>
            </w:r>
            <w:r>
              <w:rPr>
                <w:rFonts w:hint="eastAsia" w:ascii="Times New Roman" w:hAnsi="Times New Roman" w:cs="Times New Roman"/>
                <w:strike w:val="0"/>
                <w:dstrike w:val="0"/>
                <w:color w:val="auto"/>
                <w:sz w:val="21"/>
                <w:szCs w:val="21"/>
                <w:highlight w:val="none"/>
                <w:lang w:eastAsia="zh-CN"/>
              </w:rPr>
              <w:t>：</w:t>
            </w:r>
            <w:r>
              <w:rPr>
                <w:rFonts w:hint="eastAsia" w:ascii="Times New Roman" w:hAnsi="Times New Roman" w:cs="Times New Roman"/>
                <w:strike w:val="0"/>
                <w:dstrike w:val="0"/>
                <w:color w:val="auto"/>
                <w:sz w:val="21"/>
                <w:szCs w:val="21"/>
                <w:highlight w:val="none"/>
                <w:u w:val="single"/>
                <w:lang w:eastAsia="zh-CN"/>
              </w:rPr>
              <w:t>主要包括技术标情况、工程建设时重难点问题的解决方案等</w:t>
            </w:r>
            <w:r>
              <w:rPr>
                <w:rFonts w:ascii="Times New Roman" w:hAnsi="Times New Roman" w:cs="Times New Roman"/>
                <w:strike w:val="0"/>
                <w:dstrike w:val="0"/>
                <w:color w:val="auto"/>
                <w:sz w:val="21"/>
                <w:szCs w:val="21"/>
                <w:highlight w:val="none"/>
                <w:lang w:eastAsia="zh-CN"/>
              </w:rPr>
              <w:t>；</w:t>
            </w:r>
          </w:p>
          <w:p w14:paraId="6670FA14">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等线"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eastAsia="Times New Roman" w:cs="Times New Roman"/>
                <w:strike w:val="0"/>
                <w:dstrike w:val="0"/>
                <w:color w:val="auto"/>
                <w:sz w:val="21"/>
                <w:szCs w:val="21"/>
                <w:highlight w:val="none"/>
                <w:lang w:eastAsia="zh-CN"/>
              </w:rPr>
              <w:t>5.</w:t>
            </w:r>
            <w:r>
              <w:rPr>
                <w:rFonts w:ascii="Times New Roman" w:hAnsi="Times New Roman" w:cs="Times New Roman"/>
                <w:strike w:val="0"/>
                <w:dstrike w:val="0"/>
                <w:color w:val="auto"/>
                <w:sz w:val="21"/>
                <w:szCs w:val="21"/>
                <w:highlight w:val="none"/>
                <w:lang w:eastAsia="zh-CN"/>
              </w:rPr>
              <w:t>拟派团队能力与水平</w:t>
            </w:r>
            <w:r>
              <w:rPr>
                <w:rFonts w:hint="eastAsia" w:ascii="Times New Roman" w:hAnsi="Times New Roman" w:cs="Times New Roman"/>
                <w:strike w:val="0"/>
                <w:dstrike w:val="0"/>
                <w:color w:val="auto"/>
                <w:sz w:val="21"/>
                <w:szCs w:val="21"/>
                <w:highlight w:val="none"/>
                <w:lang w:eastAsia="zh-CN"/>
              </w:rPr>
              <w:t>：</w:t>
            </w:r>
            <w:r>
              <w:rPr>
                <w:rFonts w:hint="eastAsia" w:ascii="Times New Roman" w:hAnsi="Times New Roman" w:cs="Times New Roman"/>
                <w:strike w:val="0"/>
                <w:dstrike w:val="0"/>
                <w:color w:val="auto"/>
                <w:sz w:val="21"/>
                <w:szCs w:val="21"/>
                <w:highlight w:val="none"/>
                <w:u w:val="single"/>
                <w:lang w:eastAsia="zh-CN"/>
              </w:rPr>
              <w:t>主要包括团队主要负责人类似工程业绩、拟派项目团队人员的资信实力等</w:t>
            </w:r>
            <w:r>
              <w:rPr>
                <w:rFonts w:ascii="Times New Roman" w:hAnsi="Times New Roman" w:cs="Times New Roman"/>
                <w:strike w:val="0"/>
                <w:dstrike w:val="0"/>
                <w:color w:val="auto"/>
                <w:sz w:val="21"/>
                <w:szCs w:val="21"/>
                <w:highlight w:val="none"/>
                <w:lang w:eastAsia="zh-CN"/>
              </w:rPr>
              <w:t>；</w:t>
            </w:r>
          </w:p>
          <w:p w14:paraId="7B9ACB7F">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hint="eastAsia" w:ascii="Times New Roman" w:hAnsi="Times New Roman"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eastAsia="Times New Roman" w:cs="Times New Roman"/>
                <w:strike w:val="0"/>
                <w:dstrike w:val="0"/>
                <w:color w:val="auto"/>
                <w:sz w:val="21"/>
                <w:szCs w:val="21"/>
                <w:highlight w:val="none"/>
                <w:lang w:eastAsia="zh-CN"/>
              </w:rPr>
              <w:t>6.</w:t>
            </w:r>
            <w:r>
              <w:rPr>
                <w:rFonts w:ascii="Times New Roman" w:hAnsi="Times New Roman" w:cs="Times New Roman"/>
                <w:strike w:val="0"/>
                <w:dstrike w:val="0"/>
                <w:color w:val="auto"/>
                <w:sz w:val="21"/>
                <w:szCs w:val="21"/>
                <w:highlight w:val="none"/>
                <w:lang w:eastAsia="zh-CN"/>
              </w:rPr>
              <w:t>招标人认为需要考量的其他因素：</w:t>
            </w:r>
            <w:r>
              <w:rPr>
                <w:rFonts w:hint="eastAsia" w:ascii="Times New Roman" w:hAnsi="Times New Roman" w:cs="Times New Roman"/>
                <w:strike w:val="0"/>
                <w:dstrike w:val="0"/>
                <w:color w:val="auto"/>
                <w:sz w:val="21"/>
                <w:szCs w:val="21"/>
                <w:highlight w:val="none"/>
                <w:u w:val="single"/>
                <w:lang w:val="en-US" w:eastAsia="zh-CN"/>
              </w:rPr>
              <w:t xml:space="preserve">  </w:t>
            </w:r>
            <w:r>
              <w:rPr>
                <w:rFonts w:hint="eastAsia"/>
                <w:color w:val="auto"/>
                <w:spacing w:val="-1"/>
                <w:sz w:val="21"/>
                <w:szCs w:val="21"/>
                <w:highlight w:val="none"/>
                <w:u w:val="single" w:color="auto"/>
                <w:lang w:val="en-US" w:eastAsia="zh-CN"/>
              </w:rPr>
              <w:t xml:space="preserve">/    </w:t>
            </w:r>
            <w:r>
              <w:rPr>
                <w:rFonts w:ascii="等线" w:hAnsi="等线" w:eastAsia="等线" w:cs="等线"/>
                <w:color w:val="auto"/>
                <w:spacing w:val="-2"/>
                <w:sz w:val="21"/>
                <w:szCs w:val="21"/>
                <w:highlight w:val="none"/>
              </w:rPr>
              <w:t>。</w:t>
            </w:r>
          </w:p>
          <w:p w14:paraId="7125E5A0">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票决法：</w:t>
            </w:r>
          </w:p>
          <w:p w14:paraId="7363470E">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集体议事法：</w:t>
            </w:r>
          </w:p>
          <w:p w14:paraId="7D61937C">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□摇号定标法；</w:t>
            </w:r>
          </w:p>
          <w:p w14:paraId="47905A5A">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eastAsia="等线" w:cs="Times New Roman"/>
                <w:strike w:val="0"/>
                <w:dstrike w:val="0"/>
                <w:color w:val="auto"/>
                <w:sz w:val="21"/>
                <w:szCs w:val="21"/>
                <w:highlight w:val="none"/>
                <w:lang w:eastAsia="zh-CN"/>
              </w:rPr>
            </w:pPr>
            <w:r>
              <w:rPr>
                <w:rFonts w:hint="eastAsia" w:ascii="Times New Roman" w:hAnsi="Times New Roman" w:cs="Times New Roman"/>
                <w:strike w:val="0"/>
                <w:dstrike w:val="0"/>
                <w:color w:val="auto"/>
                <w:sz w:val="21"/>
                <w:szCs w:val="21"/>
                <w:highlight w:val="none"/>
                <w:lang w:eastAsia="zh-CN"/>
              </w:rPr>
              <w:t>□</w:t>
            </w:r>
            <w:r>
              <w:rPr>
                <w:rFonts w:ascii="Times New Roman" w:hAnsi="Times New Roman" w:cs="Times New Roman"/>
                <w:strike w:val="0"/>
                <w:dstrike w:val="0"/>
                <w:color w:val="auto"/>
                <w:sz w:val="21"/>
                <w:szCs w:val="21"/>
                <w:highlight w:val="none"/>
                <w:lang w:eastAsia="zh-CN"/>
              </w:rPr>
              <w:t>其他定标办法：</w:t>
            </w:r>
            <w:r>
              <w:rPr>
                <w:rFonts w:hint="eastAsia" w:ascii="Times New Roman" w:hAnsi="Times New Roman" w:cs="Times New Roman"/>
                <w:strike w:val="0"/>
                <w:dstrike w:val="0"/>
                <w:color w:val="auto"/>
                <w:sz w:val="21"/>
                <w:szCs w:val="21"/>
                <w:highlight w:val="none"/>
                <w:u w:val="single"/>
                <w:lang w:val="en-US" w:eastAsia="zh-CN"/>
              </w:rPr>
              <w:t xml:space="preserve">             </w:t>
            </w:r>
            <w:r>
              <w:rPr>
                <w:rFonts w:hint="eastAsia" w:ascii="Times New Roman" w:hAnsi="Times New Roman" w:cs="Times New Roman"/>
                <w:strike w:val="0"/>
                <w:dstrike w:val="0"/>
                <w:color w:val="auto"/>
                <w:sz w:val="21"/>
                <w:szCs w:val="21"/>
                <w:highlight w:val="none"/>
                <w:lang w:val="en-US" w:eastAsia="zh-CN"/>
              </w:rPr>
              <w:t xml:space="preserve"> </w:t>
            </w:r>
            <w:r>
              <w:rPr>
                <w:rFonts w:ascii="Times New Roman" w:hAnsi="Times New Roman" w:eastAsia="等线" w:cs="Times New Roman"/>
                <w:strike w:val="0"/>
                <w:dstrike w:val="0"/>
                <w:color w:val="auto"/>
                <w:sz w:val="21"/>
                <w:szCs w:val="21"/>
                <w:highlight w:val="none"/>
                <w:lang w:eastAsia="zh-CN"/>
              </w:rPr>
              <w:t>。</w:t>
            </w:r>
          </w:p>
          <w:p w14:paraId="7F985FFF">
            <w:pPr>
              <w:pStyle w:val="33"/>
              <w:keepNext w:val="0"/>
              <w:keepLines w:val="0"/>
              <w:pageBreakBefore w:val="0"/>
              <w:widowControl/>
              <w:kinsoku/>
              <w:wordWrap/>
              <w:overflowPunct/>
              <w:topLinePunct w:val="0"/>
              <w:bidi w:val="0"/>
              <w:adjustRightInd w:val="0"/>
              <w:snapToGrid w:val="0"/>
              <w:spacing w:before="117" w:line="301" w:lineRule="auto"/>
              <w:ind w:left="110" w:right="2792"/>
              <w:textAlignment w:val="baseline"/>
              <w:rPr>
                <w:rFonts w:ascii="等线" w:hAnsi="等线" w:eastAsia="等线" w:cs="等线"/>
                <w:color w:val="auto"/>
                <w:sz w:val="21"/>
                <w:szCs w:val="21"/>
                <w:highlight w:val="none"/>
              </w:rPr>
            </w:pPr>
            <w:r>
              <w:rPr>
                <w:color w:val="auto"/>
                <w:spacing w:val="-1"/>
                <w:sz w:val="21"/>
                <w:szCs w:val="21"/>
                <w:highlight w:val="none"/>
              </w:rPr>
              <w:t>按原定标方法确定中标人</w:t>
            </w:r>
            <w:r>
              <w:rPr>
                <w:color w:val="auto"/>
                <w:spacing w:val="1"/>
                <w:sz w:val="21"/>
                <w:szCs w:val="21"/>
                <w:highlight w:val="none"/>
              </w:rPr>
              <w:t xml:space="preserve">   </w:t>
            </w:r>
            <w:r>
              <w:rPr>
                <w:color w:val="auto"/>
                <w:spacing w:val="-6"/>
                <w:sz w:val="21"/>
                <w:szCs w:val="21"/>
                <w:highlight w:val="none"/>
              </w:rPr>
              <w:t>其他情形：</w:t>
            </w:r>
            <w:r>
              <w:rPr>
                <w:color w:val="auto"/>
                <w:spacing w:val="8"/>
                <w:sz w:val="21"/>
                <w:szCs w:val="21"/>
                <w:highlight w:val="none"/>
                <w:u w:val="single" w:color="auto"/>
              </w:rPr>
              <w:t xml:space="preserve">    </w:t>
            </w:r>
            <w:r>
              <w:rPr>
                <w:rFonts w:hint="eastAsia"/>
                <w:color w:val="auto"/>
                <w:spacing w:val="8"/>
                <w:sz w:val="21"/>
                <w:szCs w:val="21"/>
                <w:highlight w:val="none"/>
                <w:u w:val="single" w:color="auto"/>
                <w:lang w:val="en-US" w:eastAsia="zh-CN"/>
              </w:rPr>
              <w:t>/</w:t>
            </w:r>
            <w:r>
              <w:rPr>
                <w:color w:val="auto"/>
                <w:spacing w:val="8"/>
                <w:sz w:val="21"/>
                <w:szCs w:val="21"/>
                <w:highlight w:val="none"/>
                <w:u w:val="single" w:color="auto"/>
              </w:rPr>
              <w:t xml:space="preserve">     </w:t>
            </w:r>
            <w:r>
              <w:rPr>
                <w:rFonts w:ascii="等线" w:hAnsi="等线" w:eastAsia="等线" w:cs="等线"/>
                <w:color w:val="auto"/>
                <w:spacing w:val="-6"/>
                <w:sz w:val="21"/>
                <w:szCs w:val="21"/>
                <w:highlight w:val="none"/>
              </w:rPr>
              <w:t>。</w:t>
            </w:r>
          </w:p>
          <w:p w14:paraId="0DB5D635">
            <w:pPr>
              <w:keepNext w:val="0"/>
              <w:keepLines w:val="0"/>
              <w:pageBreakBefore w:val="0"/>
              <w:widowControl/>
              <w:kinsoku/>
              <w:wordWrap/>
              <w:overflowPunct/>
              <w:topLinePunct w:val="0"/>
              <w:bidi w:val="0"/>
              <w:adjustRightInd w:val="0"/>
              <w:snapToGrid w:val="0"/>
              <w:spacing w:line="301" w:lineRule="auto"/>
              <w:textAlignment w:val="baseline"/>
              <w:rPr>
                <w:rFonts w:ascii="Arial"/>
                <w:color w:val="auto"/>
                <w:sz w:val="21"/>
                <w:highlight w:val="none"/>
              </w:rPr>
            </w:pPr>
          </w:p>
          <w:p w14:paraId="3549745B">
            <w:pPr>
              <w:pStyle w:val="33"/>
              <w:keepNext w:val="0"/>
              <w:keepLines w:val="0"/>
              <w:pageBreakBefore w:val="0"/>
              <w:widowControl/>
              <w:kinsoku/>
              <w:wordWrap/>
              <w:overflowPunct/>
              <w:topLinePunct w:val="0"/>
              <w:bidi w:val="0"/>
              <w:adjustRightInd w:val="0"/>
              <w:snapToGrid w:val="0"/>
              <w:spacing w:before="68" w:line="221" w:lineRule="auto"/>
              <w:ind w:left="110"/>
              <w:textAlignment w:val="baseline"/>
              <w:rPr>
                <w:color w:val="auto"/>
                <w:sz w:val="21"/>
                <w:szCs w:val="21"/>
                <w:highlight w:val="none"/>
              </w:rPr>
            </w:pPr>
            <w:r>
              <w:rPr>
                <w:color w:val="auto"/>
                <w:spacing w:val="-2"/>
                <w:sz w:val="21"/>
                <w:szCs w:val="21"/>
                <w:highlight w:val="none"/>
              </w:rPr>
              <w:t>重新定标</w:t>
            </w:r>
          </w:p>
          <w:p w14:paraId="158D3D19">
            <w:pPr>
              <w:pStyle w:val="33"/>
              <w:keepNext w:val="0"/>
              <w:keepLines w:val="0"/>
              <w:pageBreakBefore w:val="0"/>
              <w:widowControl/>
              <w:kinsoku/>
              <w:wordWrap/>
              <w:overflowPunct/>
              <w:topLinePunct w:val="0"/>
              <w:bidi w:val="0"/>
              <w:adjustRightInd w:val="0"/>
              <w:snapToGrid w:val="0"/>
              <w:spacing w:before="108" w:line="220" w:lineRule="auto"/>
              <w:ind w:left="110"/>
              <w:textAlignment w:val="baseline"/>
              <w:rPr>
                <w:rFonts w:ascii="等线" w:hAnsi="等线" w:eastAsia="等线" w:cs="等线"/>
                <w:color w:val="auto"/>
                <w:sz w:val="21"/>
                <w:szCs w:val="21"/>
                <w:highlight w:val="none"/>
              </w:rPr>
            </w:pPr>
            <w:r>
              <w:rPr>
                <w:color w:val="auto"/>
                <w:spacing w:val="-1"/>
                <w:sz w:val="21"/>
                <w:szCs w:val="21"/>
                <w:highlight w:val="none"/>
              </w:rPr>
              <w:t>其他情形：</w:t>
            </w:r>
            <w:r>
              <w:rPr>
                <w:color w:val="auto"/>
                <w:spacing w:val="-1"/>
                <w:sz w:val="21"/>
                <w:szCs w:val="21"/>
                <w:highlight w:val="none"/>
                <w:u w:val="single" w:color="auto"/>
              </w:rPr>
              <w:t xml:space="preserve">   </w:t>
            </w:r>
            <w:r>
              <w:rPr>
                <w:rFonts w:hint="eastAsia"/>
                <w:color w:val="auto"/>
                <w:spacing w:val="-1"/>
                <w:sz w:val="21"/>
                <w:szCs w:val="21"/>
                <w:highlight w:val="none"/>
                <w:u w:val="single" w:color="auto"/>
                <w:lang w:val="en-US" w:eastAsia="zh-CN"/>
              </w:rPr>
              <w:t>/</w:t>
            </w:r>
            <w:r>
              <w:rPr>
                <w:color w:val="auto"/>
                <w:spacing w:val="-1"/>
                <w:sz w:val="21"/>
                <w:szCs w:val="21"/>
                <w:highlight w:val="none"/>
                <w:u w:val="single" w:color="auto"/>
              </w:rPr>
              <w:t xml:space="preserve">      </w:t>
            </w:r>
            <w:r>
              <w:rPr>
                <w:rFonts w:ascii="等线" w:hAnsi="等线" w:eastAsia="等线" w:cs="等线"/>
                <w:color w:val="auto"/>
                <w:spacing w:val="-1"/>
                <w:sz w:val="21"/>
                <w:szCs w:val="21"/>
                <w:highlight w:val="none"/>
              </w:rPr>
              <w:t>。</w:t>
            </w:r>
          </w:p>
          <w:p w14:paraId="117129DC">
            <w:pPr>
              <w:pStyle w:val="33"/>
              <w:keepNext w:val="0"/>
              <w:keepLines w:val="0"/>
              <w:pageBreakBefore w:val="0"/>
              <w:widowControl/>
              <w:kinsoku/>
              <w:wordWrap/>
              <w:overflowPunct/>
              <w:topLinePunct w:val="0"/>
              <w:autoSpaceDE/>
              <w:autoSpaceDN/>
              <w:bidi w:val="0"/>
              <w:adjustRightInd w:val="0"/>
              <w:snapToGrid w:val="0"/>
              <w:spacing w:line="288" w:lineRule="auto"/>
              <w:ind w:firstLine="384" w:firstLineChars="200"/>
              <w:textAlignment w:val="baseline"/>
              <w:rPr>
                <w:rFonts w:ascii="Times New Roman" w:hAnsi="Times New Roman" w:eastAsia="等线" w:cs="Times New Roman"/>
                <w:strike w:val="0"/>
                <w:dstrike w:val="0"/>
                <w:snapToGrid w:val="0"/>
                <w:color w:val="auto"/>
                <w:kern w:val="0"/>
                <w:sz w:val="21"/>
                <w:szCs w:val="21"/>
                <w:highlight w:val="none"/>
                <w:lang w:val="en-US" w:eastAsia="zh-CN" w:bidi="ar-SA"/>
              </w:rPr>
            </w:pPr>
            <w:r>
              <w:rPr>
                <w:i/>
                <w:iCs/>
                <w:color w:val="auto"/>
                <w:spacing w:val="-14"/>
                <w:sz w:val="22"/>
                <w:szCs w:val="22"/>
                <w:highlight w:val="none"/>
              </w:rPr>
              <w:t>注：采用“评定分离”的招标人应勾选该条款，且应根据项</w:t>
            </w:r>
            <w:r>
              <w:rPr>
                <w:i/>
                <w:iCs/>
                <w:color w:val="auto"/>
                <w:spacing w:val="-9"/>
                <w:sz w:val="22"/>
                <w:szCs w:val="22"/>
                <w:highlight w:val="none"/>
              </w:rPr>
              <w:t>目实际和“评定分离”工作方法完善该条款。</w:t>
            </w:r>
          </w:p>
        </w:tc>
      </w:tr>
      <w:tr w14:paraId="060D0C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3E3FF471">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6F9B9FBA">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43082D67">
            <w:pPr>
              <w:keepNext w:val="0"/>
              <w:keepLines w:val="0"/>
              <w:pageBreakBefore w:val="0"/>
              <w:widowControl/>
              <w:kinsoku/>
              <w:wordWrap/>
              <w:overflowPunct/>
              <w:topLinePunct w:val="0"/>
              <w:bidi w:val="0"/>
              <w:adjustRightInd w:val="0"/>
              <w:snapToGrid w:val="0"/>
              <w:spacing w:line="245" w:lineRule="auto"/>
              <w:textAlignment w:val="baseline"/>
              <w:rPr>
                <w:rFonts w:ascii="Arial"/>
                <w:color w:val="auto"/>
                <w:sz w:val="21"/>
                <w:highlight w:val="none"/>
              </w:rPr>
            </w:pPr>
          </w:p>
          <w:p w14:paraId="7C355691">
            <w:pPr>
              <w:keepNext w:val="0"/>
              <w:keepLines w:val="0"/>
              <w:pageBreakBefore w:val="0"/>
              <w:widowControl/>
              <w:kinsoku/>
              <w:wordWrap/>
              <w:overflowPunct/>
              <w:topLinePunct w:val="0"/>
              <w:bidi w:val="0"/>
              <w:adjustRightInd w:val="0"/>
              <w:snapToGrid w:val="0"/>
              <w:spacing w:line="246" w:lineRule="auto"/>
              <w:textAlignment w:val="baseline"/>
              <w:rPr>
                <w:rFonts w:ascii="Arial"/>
                <w:color w:val="auto"/>
                <w:sz w:val="21"/>
                <w:highlight w:val="none"/>
              </w:rPr>
            </w:pPr>
          </w:p>
          <w:p w14:paraId="04F3BE1D">
            <w:pPr>
              <w:keepNext w:val="0"/>
              <w:keepLines w:val="0"/>
              <w:pageBreakBefore w:val="0"/>
              <w:widowControl/>
              <w:kinsoku/>
              <w:wordWrap/>
              <w:overflowPunct/>
              <w:topLinePunct w:val="0"/>
              <w:bidi w:val="0"/>
              <w:adjustRightInd w:val="0"/>
              <w:snapToGrid w:val="0"/>
              <w:spacing w:before="60" w:line="187" w:lineRule="auto"/>
              <w:ind w:left="264" w:leftChars="0"/>
              <w:textAlignment w:val="baseline"/>
              <w:rPr>
                <w:rFonts w:hint="eastAsia" w:ascii="Times New Roman" w:hAnsi="Times New Roman" w:eastAsia="Times New Roman" w:cs="Times New Roman"/>
                <w:snapToGrid w:val="0"/>
                <w:color w:val="auto"/>
                <w:kern w:val="0"/>
                <w:sz w:val="21"/>
                <w:szCs w:val="21"/>
                <w:highlight w:val="none"/>
                <w:lang w:val="en-US" w:eastAsia="zh-CN" w:bidi="ar-SA"/>
              </w:rPr>
            </w:pPr>
            <w:r>
              <w:rPr>
                <w:rFonts w:ascii="Times New Roman" w:hAnsi="Times New Roman" w:eastAsia="Times New Roman" w:cs="Times New Roman"/>
                <w:color w:val="auto"/>
                <w:spacing w:val="-1"/>
                <w:sz w:val="21"/>
                <w:szCs w:val="21"/>
                <w:highlight w:val="none"/>
              </w:rPr>
              <w:t>7.3.1</w:t>
            </w:r>
          </w:p>
        </w:tc>
        <w:tc>
          <w:tcPr>
            <w:tcW w:w="2444" w:type="dxa"/>
            <w:shd w:val="clear" w:color="auto" w:fill="auto"/>
            <w:vAlign w:val="top"/>
          </w:tcPr>
          <w:p w14:paraId="3FDD6D43">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18BD252A">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7E3813F4">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13CA9AEE">
            <w:pPr>
              <w:pStyle w:val="33"/>
              <w:keepNext w:val="0"/>
              <w:keepLines w:val="0"/>
              <w:pageBreakBefore w:val="0"/>
              <w:widowControl/>
              <w:kinsoku/>
              <w:wordWrap/>
              <w:overflowPunct/>
              <w:topLinePunct w:val="0"/>
              <w:bidi w:val="0"/>
              <w:adjustRightInd w:val="0"/>
              <w:snapToGrid w:val="0"/>
              <w:spacing w:before="68" w:line="303" w:lineRule="auto"/>
              <w:ind w:left="106" w:leftChars="0" w:right="106" w:rightChars="0" w:firstLine="3" w:firstLineChars="0"/>
              <w:textAlignment w:val="baseline"/>
              <w:rPr>
                <w:rFonts w:ascii="宋体" w:hAnsi="宋体" w:eastAsia="宋体" w:cs="宋体"/>
                <w:snapToGrid w:val="0"/>
                <w:color w:val="auto"/>
                <w:kern w:val="0"/>
                <w:sz w:val="21"/>
                <w:szCs w:val="21"/>
                <w:highlight w:val="none"/>
                <w:lang w:val="en-US" w:eastAsia="en-US" w:bidi="ar-SA"/>
              </w:rPr>
            </w:pPr>
            <w:r>
              <w:rPr>
                <w:color w:val="auto"/>
                <w:spacing w:val="12"/>
                <w:sz w:val="21"/>
                <w:szCs w:val="21"/>
                <w:highlight w:val="none"/>
              </w:rPr>
              <w:t>履约担保及民工工资支</w:t>
            </w:r>
            <w:r>
              <w:rPr>
                <w:color w:val="auto"/>
                <w:spacing w:val="1"/>
                <w:sz w:val="21"/>
                <w:szCs w:val="21"/>
                <w:highlight w:val="none"/>
              </w:rPr>
              <w:t xml:space="preserve"> </w:t>
            </w:r>
            <w:r>
              <w:rPr>
                <w:color w:val="auto"/>
                <w:spacing w:val="-2"/>
                <w:sz w:val="21"/>
                <w:szCs w:val="21"/>
                <w:highlight w:val="none"/>
              </w:rPr>
              <w:t>付担保</w:t>
            </w:r>
          </w:p>
        </w:tc>
        <w:tc>
          <w:tcPr>
            <w:tcW w:w="5503" w:type="dxa"/>
            <w:tcBorders>
              <w:right w:val="single" w:color="000000" w:sz="6" w:space="0"/>
            </w:tcBorders>
            <w:shd w:val="clear" w:color="auto" w:fill="auto"/>
            <w:vAlign w:val="top"/>
          </w:tcPr>
          <w:p w14:paraId="7F502B6B">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担保的形式：现金或银行保函或保险机构保证保险保单或融资担保公司保函。</w:t>
            </w:r>
          </w:p>
          <w:p w14:paraId="53B57144">
            <w:pPr>
              <w:pStyle w:val="33"/>
              <w:keepNext w:val="0"/>
              <w:keepLines w:val="0"/>
              <w:pageBreakBefore w:val="0"/>
              <w:widowControl/>
              <w:kinsoku/>
              <w:wordWrap/>
              <w:overflowPunct/>
              <w:topLinePunct w:val="0"/>
              <w:autoSpaceDE/>
              <w:autoSpaceDN/>
              <w:bidi w:val="0"/>
              <w:adjustRightInd w:val="0"/>
              <w:snapToGrid w:val="0"/>
              <w:spacing w:line="288" w:lineRule="auto"/>
              <w:ind w:firstLine="420" w:firstLineChars="200"/>
              <w:textAlignment w:val="baseline"/>
              <w:rPr>
                <w:rFonts w:ascii="Times New Roman" w:hAnsi="Times New Roman" w:cs="Times New Roman"/>
                <w:color w:val="auto"/>
                <w:sz w:val="21"/>
                <w:szCs w:val="21"/>
                <w:highlight w:val="none"/>
                <w:lang w:eastAsia="zh-CN"/>
              </w:rPr>
            </w:pPr>
            <w:r>
              <w:rPr>
                <w:rFonts w:ascii="Times New Roman" w:hAnsi="Times New Roman" w:cs="Times New Roman"/>
                <w:color w:val="auto"/>
                <w:sz w:val="21"/>
                <w:szCs w:val="21"/>
                <w:highlight w:val="none"/>
                <w:lang w:eastAsia="zh-CN"/>
              </w:rPr>
              <w:t>履约担保的金额（不含民工工资支付担保）：合同价格（扣除预留金后）的</w:t>
            </w:r>
            <w:r>
              <w:rPr>
                <w:rFonts w:ascii="Times New Roman" w:hAnsi="Times New Roman" w:cs="Times New Roman"/>
                <w:color w:val="auto"/>
                <w:sz w:val="21"/>
                <w:szCs w:val="21"/>
                <w:highlight w:val="none"/>
                <w:u w:val="single"/>
                <w:lang w:eastAsia="zh-CN"/>
              </w:rPr>
              <w:t xml:space="preserve">  2 </w:t>
            </w:r>
            <w:r>
              <w:rPr>
                <w:rFonts w:ascii="Times New Roman" w:hAnsi="Times New Roman" w:eastAsia="Times New Roman" w:cs="Times New Roman"/>
                <w:color w:val="auto"/>
                <w:sz w:val="21"/>
                <w:szCs w:val="21"/>
                <w:highlight w:val="none"/>
                <w:lang w:eastAsia="zh-CN"/>
              </w:rPr>
              <w:t>%</w:t>
            </w:r>
            <w:r>
              <w:rPr>
                <w:rFonts w:ascii="Times New Roman" w:hAnsi="Times New Roman" w:cs="Times New Roman"/>
                <w:i/>
                <w:iCs/>
                <w:color w:val="auto"/>
                <w:sz w:val="22"/>
                <w:szCs w:val="22"/>
                <w:highlight w:val="none"/>
                <w:lang w:eastAsia="zh-CN"/>
              </w:rPr>
              <w:t>（不得大于</w:t>
            </w:r>
            <w:r>
              <w:rPr>
                <w:rFonts w:ascii="Times New Roman" w:hAnsi="Times New Roman" w:eastAsia="Times New Roman" w:cs="Times New Roman"/>
                <w:i/>
                <w:iCs/>
                <w:color w:val="auto"/>
                <w:sz w:val="21"/>
                <w:szCs w:val="21"/>
                <w:highlight w:val="none"/>
                <w:lang w:eastAsia="zh-CN"/>
              </w:rPr>
              <w:t>2%</w:t>
            </w:r>
            <w:r>
              <w:rPr>
                <w:rFonts w:ascii="Times New Roman" w:hAnsi="Times New Roman" w:cs="Times New Roman"/>
                <w:i/>
                <w:iCs/>
                <w:color w:val="auto"/>
                <w:sz w:val="22"/>
                <w:szCs w:val="22"/>
                <w:highlight w:val="none"/>
                <w:lang w:eastAsia="zh-CN"/>
              </w:rPr>
              <w:t>）</w:t>
            </w:r>
            <w:r>
              <w:rPr>
                <w:rFonts w:ascii="Times New Roman" w:hAnsi="Times New Roman" w:cs="Times New Roman"/>
                <w:color w:val="auto"/>
                <w:sz w:val="21"/>
                <w:szCs w:val="21"/>
                <w:highlight w:val="none"/>
                <w:lang w:eastAsia="zh-CN"/>
              </w:rPr>
              <w:t>，招标人将提供相同金额的工程款支付担保。</w:t>
            </w:r>
          </w:p>
          <w:p w14:paraId="2B5FE9DF">
            <w:pPr>
              <w:pStyle w:val="33"/>
              <w:keepNext w:val="0"/>
              <w:keepLines w:val="0"/>
              <w:pageBreakBefore w:val="0"/>
              <w:widowControl/>
              <w:kinsoku/>
              <w:wordWrap/>
              <w:overflowPunct/>
              <w:topLinePunct w:val="0"/>
              <w:bidi w:val="0"/>
              <w:adjustRightInd w:val="0"/>
              <w:snapToGrid w:val="0"/>
              <w:spacing w:before="31" w:line="288" w:lineRule="auto"/>
              <w:ind w:left="130" w:leftChars="0"/>
              <w:textAlignment w:val="baseline"/>
              <w:rPr>
                <w:rFonts w:ascii="宋体" w:hAnsi="宋体" w:eastAsia="宋体" w:cs="宋体"/>
                <w:snapToGrid w:val="0"/>
                <w:color w:val="auto"/>
                <w:kern w:val="0"/>
                <w:sz w:val="21"/>
                <w:szCs w:val="21"/>
                <w:highlight w:val="none"/>
                <w:lang w:val="en-US" w:eastAsia="en-US" w:bidi="ar-SA"/>
              </w:rPr>
            </w:pPr>
            <w:r>
              <w:rPr>
                <w:rFonts w:ascii="Times New Roman" w:hAnsi="Times New Roman" w:cs="Times New Roman"/>
                <w:color w:val="auto"/>
                <w:sz w:val="21"/>
                <w:szCs w:val="21"/>
                <w:highlight w:val="none"/>
                <w:lang w:eastAsia="zh-CN"/>
              </w:rPr>
              <w:t>民工工资支付担保的相关约定：</w:t>
            </w:r>
            <w:r>
              <w:rPr>
                <w:rFonts w:ascii="Times New Roman" w:hAnsi="Times New Roman" w:cs="Times New Roman"/>
                <w:color w:val="auto"/>
                <w:sz w:val="21"/>
                <w:szCs w:val="21"/>
                <w:highlight w:val="none"/>
                <w:u w:val="single"/>
                <w:lang w:eastAsia="zh-CN"/>
              </w:rPr>
              <w:t>必须符合绍兴市最新文件要求</w:t>
            </w:r>
            <w:r>
              <w:rPr>
                <w:rFonts w:ascii="Times New Roman" w:hAnsi="Times New Roman" w:cs="Times New Roman"/>
                <w:color w:val="auto"/>
                <w:sz w:val="21"/>
                <w:szCs w:val="21"/>
                <w:highlight w:val="none"/>
                <w:lang w:eastAsia="zh-CN"/>
              </w:rPr>
              <w:t>。</w:t>
            </w:r>
          </w:p>
        </w:tc>
      </w:tr>
      <w:tr w14:paraId="1683AD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tcBorders>
            <w:shd w:val="clear" w:color="auto" w:fill="auto"/>
            <w:vAlign w:val="top"/>
          </w:tcPr>
          <w:p w14:paraId="6F7B62C1">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7BD3D8C6">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74F0303E">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3124FAAA">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4B9AFFE7">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1E2E11F9">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3BC75710">
            <w:pPr>
              <w:keepNext w:val="0"/>
              <w:keepLines w:val="0"/>
              <w:pageBreakBefore w:val="0"/>
              <w:widowControl/>
              <w:kinsoku/>
              <w:wordWrap/>
              <w:overflowPunct/>
              <w:topLinePunct w:val="0"/>
              <w:bidi w:val="0"/>
              <w:adjustRightInd w:val="0"/>
              <w:snapToGrid w:val="0"/>
              <w:spacing w:line="251" w:lineRule="auto"/>
              <w:textAlignment w:val="baseline"/>
              <w:rPr>
                <w:rFonts w:ascii="Arial"/>
                <w:color w:val="auto"/>
                <w:sz w:val="21"/>
                <w:highlight w:val="none"/>
              </w:rPr>
            </w:pPr>
          </w:p>
          <w:p w14:paraId="65AADA48">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277377D7">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63A6F5B2">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01E852AD">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2314C3F1">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32E2C1D1">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73755A57">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6F76DCB7">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486970C2">
            <w:pPr>
              <w:keepNext w:val="0"/>
              <w:keepLines w:val="0"/>
              <w:pageBreakBefore w:val="0"/>
              <w:widowControl/>
              <w:kinsoku/>
              <w:wordWrap/>
              <w:overflowPunct/>
              <w:topLinePunct w:val="0"/>
              <w:bidi w:val="0"/>
              <w:adjustRightInd w:val="0"/>
              <w:snapToGrid w:val="0"/>
              <w:spacing w:line="252" w:lineRule="auto"/>
              <w:textAlignment w:val="baseline"/>
              <w:rPr>
                <w:rFonts w:ascii="Arial"/>
                <w:color w:val="auto"/>
                <w:sz w:val="21"/>
                <w:highlight w:val="none"/>
              </w:rPr>
            </w:pPr>
          </w:p>
          <w:p w14:paraId="016808F4">
            <w:pPr>
              <w:keepNext w:val="0"/>
              <w:keepLines w:val="0"/>
              <w:pageBreakBefore w:val="0"/>
              <w:widowControl/>
              <w:kinsoku/>
              <w:wordWrap/>
              <w:overflowPunct/>
              <w:topLinePunct w:val="0"/>
              <w:bidi w:val="0"/>
              <w:adjustRightInd w:val="0"/>
              <w:snapToGrid w:val="0"/>
              <w:spacing w:before="60" w:line="187" w:lineRule="auto"/>
              <w:ind w:left="343"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9.2</w:t>
            </w:r>
          </w:p>
        </w:tc>
        <w:tc>
          <w:tcPr>
            <w:tcW w:w="2444" w:type="dxa"/>
            <w:shd w:val="clear" w:color="auto" w:fill="auto"/>
            <w:vAlign w:val="top"/>
          </w:tcPr>
          <w:p w14:paraId="5CF299A6">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0BBB98EC">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066CDF07">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4747FE89">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52B0FCD2">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764ECB5B">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7457DF16">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46BA2AB9">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48AAC9CE">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5D6C2580">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0FC02E1A">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619D8944">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6420C0D5">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3A3F49BC">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296FE069">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1F9E7A9E">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7CC0EF3D">
            <w:pPr>
              <w:pStyle w:val="33"/>
              <w:keepNext w:val="0"/>
              <w:keepLines w:val="0"/>
              <w:pageBreakBefore w:val="0"/>
              <w:widowControl/>
              <w:kinsoku/>
              <w:wordWrap/>
              <w:overflowPunct/>
              <w:topLinePunct w:val="0"/>
              <w:bidi w:val="0"/>
              <w:adjustRightInd w:val="0"/>
              <w:snapToGrid w:val="0"/>
              <w:spacing w:before="68" w:line="221" w:lineRule="auto"/>
              <w:ind w:left="105"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1"/>
                <w:sz w:val="21"/>
                <w:szCs w:val="21"/>
                <w:highlight w:val="none"/>
              </w:rPr>
              <w:t>对投标人的纪律要求</w:t>
            </w:r>
          </w:p>
        </w:tc>
        <w:tc>
          <w:tcPr>
            <w:tcW w:w="5503" w:type="dxa"/>
            <w:tcBorders>
              <w:right w:val="single" w:color="000000" w:sz="6" w:space="0"/>
            </w:tcBorders>
            <w:shd w:val="clear" w:color="auto" w:fill="auto"/>
            <w:vAlign w:val="top"/>
          </w:tcPr>
          <w:p w14:paraId="4CA59112">
            <w:pPr>
              <w:pStyle w:val="33"/>
              <w:keepNext w:val="0"/>
              <w:keepLines w:val="0"/>
              <w:pageBreakBefore w:val="0"/>
              <w:widowControl/>
              <w:kinsoku/>
              <w:wordWrap/>
              <w:overflowPunct/>
              <w:topLinePunct w:val="0"/>
              <w:bidi w:val="0"/>
              <w:adjustRightInd w:val="0"/>
              <w:snapToGrid w:val="0"/>
              <w:spacing w:before="113" w:line="313" w:lineRule="auto"/>
              <w:ind w:left="110" w:right="99" w:firstLine="209"/>
              <w:textAlignment w:val="baseline"/>
              <w:rPr>
                <w:color w:val="auto"/>
                <w:sz w:val="21"/>
                <w:szCs w:val="21"/>
                <w:highlight w:val="none"/>
              </w:rPr>
            </w:pPr>
            <w:r>
              <w:rPr>
                <w:color w:val="auto"/>
                <w:spacing w:val="10"/>
                <w:sz w:val="21"/>
                <w:szCs w:val="21"/>
                <w:highlight w:val="none"/>
              </w:rPr>
              <w:t>评标委员会在评标过程中发现投标人有下列情形之一</w:t>
            </w:r>
            <w:r>
              <w:rPr>
                <w:color w:val="auto"/>
                <w:spacing w:val="9"/>
                <w:sz w:val="21"/>
                <w:szCs w:val="21"/>
                <w:highlight w:val="none"/>
              </w:rPr>
              <w:t xml:space="preserve"> </w:t>
            </w:r>
            <w:r>
              <w:rPr>
                <w:color w:val="auto"/>
                <w:spacing w:val="1"/>
                <w:sz w:val="21"/>
                <w:szCs w:val="21"/>
                <w:highlight w:val="none"/>
              </w:rPr>
              <w:t>的，且经询标澄清投标人无令人信服的理由和可靠证据证</w:t>
            </w:r>
            <w:r>
              <w:rPr>
                <w:color w:val="auto"/>
                <w:spacing w:val="6"/>
                <w:sz w:val="21"/>
                <w:szCs w:val="21"/>
                <w:highlight w:val="none"/>
              </w:rPr>
              <w:t xml:space="preserve"> </w:t>
            </w:r>
            <w:r>
              <w:rPr>
                <w:color w:val="auto"/>
                <w:spacing w:val="1"/>
                <w:sz w:val="21"/>
                <w:szCs w:val="21"/>
                <w:highlight w:val="none"/>
              </w:rPr>
              <w:t>明其合理性的，经半数以上成员确认，其投标文件按否决</w:t>
            </w:r>
            <w:r>
              <w:rPr>
                <w:color w:val="auto"/>
                <w:spacing w:val="6"/>
                <w:sz w:val="21"/>
                <w:szCs w:val="21"/>
                <w:highlight w:val="none"/>
              </w:rPr>
              <w:t xml:space="preserve"> </w:t>
            </w:r>
            <w:r>
              <w:rPr>
                <w:color w:val="auto"/>
                <w:spacing w:val="1"/>
                <w:sz w:val="21"/>
                <w:szCs w:val="21"/>
                <w:highlight w:val="none"/>
              </w:rPr>
              <w:t>投标处理，不再对其进行评审，也不影响招标工程继续评</w:t>
            </w:r>
            <w:r>
              <w:rPr>
                <w:color w:val="auto"/>
                <w:spacing w:val="6"/>
                <w:sz w:val="21"/>
                <w:szCs w:val="21"/>
                <w:highlight w:val="none"/>
              </w:rPr>
              <w:t xml:space="preserve"> </w:t>
            </w:r>
            <w:r>
              <w:rPr>
                <w:color w:val="auto"/>
                <w:spacing w:val="-5"/>
                <w:sz w:val="21"/>
                <w:szCs w:val="21"/>
                <w:highlight w:val="none"/>
              </w:rPr>
              <w:t>标。评标结束后，评标委员会应将有上述违</w:t>
            </w:r>
            <w:r>
              <w:rPr>
                <w:color w:val="auto"/>
                <w:spacing w:val="-6"/>
                <w:sz w:val="21"/>
                <w:szCs w:val="21"/>
                <w:highlight w:val="none"/>
              </w:rPr>
              <w:t>法嫌疑的投标</w:t>
            </w:r>
            <w:r>
              <w:rPr>
                <w:color w:val="auto"/>
                <w:sz w:val="21"/>
                <w:szCs w:val="21"/>
                <w:highlight w:val="none"/>
              </w:rPr>
              <w:t xml:space="preserve"> </w:t>
            </w:r>
            <w:r>
              <w:rPr>
                <w:color w:val="auto"/>
                <w:spacing w:val="1"/>
                <w:sz w:val="21"/>
                <w:szCs w:val="21"/>
                <w:highlight w:val="none"/>
              </w:rPr>
              <w:t>文件以及相关评标分析材料及时移交招标投标行政监督部</w:t>
            </w:r>
            <w:r>
              <w:rPr>
                <w:color w:val="auto"/>
                <w:spacing w:val="6"/>
                <w:sz w:val="21"/>
                <w:szCs w:val="21"/>
                <w:highlight w:val="none"/>
              </w:rPr>
              <w:t xml:space="preserve"> </w:t>
            </w:r>
            <w:r>
              <w:rPr>
                <w:color w:val="auto"/>
                <w:spacing w:val="1"/>
                <w:sz w:val="21"/>
                <w:szCs w:val="21"/>
                <w:highlight w:val="none"/>
              </w:rPr>
              <w:t>门作进一步调查处理，即使最终无法认定违法行为成立，</w:t>
            </w:r>
            <w:r>
              <w:rPr>
                <w:color w:val="auto"/>
                <w:spacing w:val="3"/>
                <w:sz w:val="21"/>
                <w:szCs w:val="21"/>
                <w:highlight w:val="none"/>
              </w:rPr>
              <w:t xml:space="preserve"> </w:t>
            </w:r>
            <w:r>
              <w:rPr>
                <w:color w:val="auto"/>
                <w:spacing w:val="-2"/>
                <w:sz w:val="21"/>
                <w:szCs w:val="21"/>
                <w:highlight w:val="none"/>
              </w:rPr>
              <w:t>也不影响其按否决投标处理的结果。</w:t>
            </w:r>
          </w:p>
          <w:p w14:paraId="1494FDD5">
            <w:pPr>
              <w:pStyle w:val="33"/>
              <w:keepNext w:val="0"/>
              <w:keepLines w:val="0"/>
              <w:pageBreakBefore w:val="0"/>
              <w:widowControl/>
              <w:kinsoku/>
              <w:wordWrap/>
              <w:overflowPunct/>
              <w:topLinePunct w:val="0"/>
              <w:bidi w:val="0"/>
              <w:adjustRightInd w:val="0"/>
              <w:snapToGrid w:val="0"/>
              <w:spacing w:before="31" w:line="221" w:lineRule="auto"/>
              <w:ind w:left="116"/>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w:t>
            </w:r>
            <w:r>
              <w:rPr>
                <w:color w:val="auto"/>
                <w:spacing w:val="-1"/>
                <w:sz w:val="21"/>
                <w:szCs w:val="21"/>
                <w:highlight w:val="none"/>
              </w:rPr>
              <w:t>）投标人挂靠其他施工单位。</w:t>
            </w:r>
          </w:p>
          <w:p w14:paraId="25F1BF50">
            <w:pPr>
              <w:pStyle w:val="33"/>
              <w:keepNext w:val="0"/>
              <w:keepLines w:val="0"/>
              <w:pageBreakBefore w:val="0"/>
              <w:widowControl/>
              <w:kinsoku/>
              <w:wordWrap/>
              <w:overflowPunct/>
              <w:topLinePunct w:val="0"/>
              <w:bidi w:val="0"/>
              <w:adjustRightInd w:val="0"/>
              <w:snapToGrid w:val="0"/>
              <w:spacing w:before="108" w:line="268" w:lineRule="auto"/>
              <w:ind w:left="110" w:right="96" w:firstLine="6"/>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2</w:t>
            </w:r>
            <w:r>
              <w:rPr>
                <w:color w:val="auto"/>
                <w:spacing w:val="-3"/>
                <w:sz w:val="21"/>
                <w:szCs w:val="21"/>
                <w:highlight w:val="none"/>
              </w:rPr>
              <w:t>）投标人从其他施工单位通过受让或租借的方式获取资</w:t>
            </w:r>
            <w:r>
              <w:rPr>
                <w:color w:val="auto"/>
                <w:spacing w:val="2"/>
                <w:sz w:val="21"/>
                <w:szCs w:val="21"/>
                <w:highlight w:val="none"/>
              </w:rPr>
              <w:t xml:space="preserve"> </w:t>
            </w:r>
            <w:r>
              <w:rPr>
                <w:color w:val="auto"/>
                <w:spacing w:val="-3"/>
                <w:sz w:val="21"/>
                <w:szCs w:val="21"/>
                <w:highlight w:val="none"/>
              </w:rPr>
              <w:t>格或资质证书。</w:t>
            </w:r>
          </w:p>
          <w:p w14:paraId="254F1B81">
            <w:pPr>
              <w:pStyle w:val="33"/>
              <w:keepNext w:val="0"/>
              <w:keepLines w:val="0"/>
              <w:pageBreakBefore w:val="0"/>
              <w:widowControl/>
              <w:kinsoku/>
              <w:wordWrap/>
              <w:overflowPunct/>
              <w:topLinePunct w:val="0"/>
              <w:bidi w:val="0"/>
              <w:adjustRightInd w:val="0"/>
              <w:snapToGrid w:val="0"/>
              <w:spacing w:before="110" w:line="268" w:lineRule="auto"/>
              <w:ind w:left="110" w:right="96" w:firstLine="6"/>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3</w:t>
            </w:r>
            <w:r>
              <w:rPr>
                <w:color w:val="auto"/>
                <w:spacing w:val="-3"/>
                <w:sz w:val="21"/>
                <w:szCs w:val="21"/>
                <w:highlight w:val="none"/>
              </w:rPr>
              <w:t>）由其他单位及其法定代表人在自己编制的投标文件上</w:t>
            </w:r>
            <w:r>
              <w:rPr>
                <w:color w:val="auto"/>
                <w:spacing w:val="1"/>
                <w:sz w:val="21"/>
                <w:szCs w:val="21"/>
                <w:highlight w:val="none"/>
              </w:rPr>
              <w:t xml:space="preserve"> </w:t>
            </w:r>
            <w:r>
              <w:rPr>
                <w:color w:val="auto"/>
                <w:spacing w:val="-2"/>
                <w:sz w:val="21"/>
                <w:szCs w:val="21"/>
                <w:highlight w:val="none"/>
              </w:rPr>
              <w:t>加盖印章或签字的行为。</w:t>
            </w:r>
          </w:p>
          <w:p w14:paraId="3176A01A">
            <w:pPr>
              <w:pStyle w:val="33"/>
              <w:keepNext w:val="0"/>
              <w:keepLines w:val="0"/>
              <w:pageBreakBefore w:val="0"/>
              <w:widowControl/>
              <w:kinsoku/>
              <w:wordWrap/>
              <w:overflowPunct/>
              <w:topLinePunct w:val="0"/>
              <w:bidi w:val="0"/>
              <w:adjustRightInd w:val="0"/>
              <w:snapToGrid w:val="0"/>
              <w:spacing w:before="110" w:line="269" w:lineRule="auto"/>
              <w:ind w:left="111" w:right="104" w:firstLine="4"/>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4</w:t>
            </w:r>
            <w:r>
              <w:rPr>
                <w:color w:val="auto"/>
                <w:spacing w:val="-3"/>
                <w:sz w:val="21"/>
                <w:szCs w:val="21"/>
                <w:highlight w:val="none"/>
              </w:rPr>
              <w:t>）投标人的法定代表人的委托代理人不</w:t>
            </w:r>
            <w:r>
              <w:rPr>
                <w:color w:val="auto"/>
                <w:spacing w:val="-4"/>
                <w:sz w:val="21"/>
                <w:szCs w:val="21"/>
                <w:highlight w:val="none"/>
              </w:rPr>
              <w:t>是投标人本单位</w:t>
            </w:r>
            <w:r>
              <w:rPr>
                <w:color w:val="auto"/>
                <w:sz w:val="21"/>
                <w:szCs w:val="21"/>
                <w:highlight w:val="none"/>
              </w:rPr>
              <w:t xml:space="preserve"> </w:t>
            </w:r>
            <w:r>
              <w:rPr>
                <w:color w:val="auto"/>
                <w:spacing w:val="-9"/>
                <w:sz w:val="21"/>
                <w:szCs w:val="21"/>
                <w:highlight w:val="none"/>
              </w:rPr>
              <w:t>人员。</w:t>
            </w:r>
          </w:p>
          <w:p w14:paraId="31963F12">
            <w:pPr>
              <w:pStyle w:val="33"/>
              <w:keepNext w:val="0"/>
              <w:keepLines w:val="0"/>
              <w:pageBreakBefore w:val="0"/>
              <w:widowControl/>
              <w:kinsoku/>
              <w:wordWrap/>
              <w:overflowPunct/>
              <w:topLinePunct w:val="0"/>
              <w:bidi w:val="0"/>
              <w:adjustRightInd w:val="0"/>
              <w:snapToGrid w:val="0"/>
              <w:spacing w:before="106" w:line="298" w:lineRule="auto"/>
              <w:ind w:left="112" w:right="98" w:firstLine="4"/>
              <w:textAlignment w:val="baseline"/>
              <w:rPr>
                <w:color w:val="auto"/>
                <w:sz w:val="21"/>
                <w:szCs w:val="21"/>
                <w:highlight w:val="none"/>
              </w:rPr>
            </w:pPr>
            <w:r>
              <w:rPr>
                <w:color w:val="auto"/>
                <w:spacing w:val="5"/>
                <w:sz w:val="21"/>
                <w:szCs w:val="21"/>
                <w:highlight w:val="none"/>
              </w:rPr>
              <w:t>（</w:t>
            </w:r>
            <w:r>
              <w:rPr>
                <w:rFonts w:ascii="Times New Roman" w:hAnsi="Times New Roman" w:eastAsia="Times New Roman" w:cs="Times New Roman"/>
                <w:color w:val="auto"/>
                <w:spacing w:val="5"/>
                <w:sz w:val="21"/>
                <w:szCs w:val="21"/>
                <w:highlight w:val="none"/>
              </w:rPr>
              <w:t>5</w:t>
            </w:r>
            <w:r>
              <w:rPr>
                <w:color w:val="auto"/>
                <w:spacing w:val="5"/>
                <w:sz w:val="21"/>
                <w:szCs w:val="21"/>
                <w:highlight w:val="none"/>
              </w:rPr>
              <w:t>）投标人拟在施工现场所设项目管理机构的项目负责</w:t>
            </w:r>
            <w:r>
              <w:rPr>
                <w:color w:val="auto"/>
                <w:spacing w:val="6"/>
                <w:sz w:val="21"/>
                <w:szCs w:val="21"/>
                <w:highlight w:val="none"/>
              </w:rPr>
              <w:t xml:space="preserve"> </w:t>
            </w:r>
            <w:r>
              <w:rPr>
                <w:color w:val="auto"/>
                <w:spacing w:val="-7"/>
                <w:sz w:val="21"/>
                <w:szCs w:val="21"/>
                <w:highlight w:val="none"/>
              </w:rPr>
              <w:t>人、技术负责人、</w:t>
            </w:r>
            <w:r>
              <w:rPr>
                <w:strike/>
                <w:dstrike w:val="0"/>
                <w:color w:val="auto"/>
                <w:spacing w:val="-7"/>
                <w:sz w:val="21"/>
                <w:szCs w:val="21"/>
                <w:highlight w:val="none"/>
              </w:rPr>
              <w:t>副项目负责人（若有）</w:t>
            </w:r>
            <w:r>
              <w:rPr>
                <w:color w:val="auto"/>
                <w:spacing w:val="-7"/>
                <w:sz w:val="21"/>
                <w:szCs w:val="21"/>
                <w:highlight w:val="none"/>
              </w:rPr>
              <w:t>、专职安全生产管</w:t>
            </w:r>
            <w:r>
              <w:rPr>
                <w:color w:val="auto"/>
                <w:spacing w:val="3"/>
                <w:sz w:val="21"/>
                <w:szCs w:val="21"/>
                <w:highlight w:val="none"/>
              </w:rPr>
              <w:t xml:space="preserve"> </w:t>
            </w:r>
            <w:r>
              <w:rPr>
                <w:color w:val="auto"/>
                <w:spacing w:val="1"/>
                <w:sz w:val="21"/>
                <w:szCs w:val="21"/>
                <w:highlight w:val="none"/>
              </w:rPr>
              <w:t>理人员之一不是本单位人员。（上述人员社保信息或注册</w:t>
            </w:r>
            <w:r>
              <w:rPr>
                <w:color w:val="auto"/>
                <w:spacing w:val="6"/>
                <w:sz w:val="21"/>
                <w:szCs w:val="21"/>
                <w:highlight w:val="none"/>
              </w:rPr>
              <w:t xml:space="preserve"> </w:t>
            </w:r>
            <w:r>
              <w:rPr>
                <w:color w:val="auto"/>
                <w:spacing w:val="1"/>
                <w:sz w:val="21"/>
                <w:szCs w:val="21"/>
                <w:highlight w:val="none"/>
              </w:rPr>
              <w:t>单位信息与投标单位不一致或同时存在多个单位的社保缴</w:t>
            </w:r>
            <w:r>
              <w:rPr>
                <w:color w:val="auto"/>
                <w:spacing w:val="6"/>
                <w:sz w:val="21"/>
                <w:szCs w:val="21"/>
                <w:highlight w:val="none"/>
              </w:rPr>
              <w:t xml:space="preserve"> </w:t>
            </w:r>
            <w:r>
              <w:rPr>
                <w:color w:val="auto"/>
                <w:spacing w:val="-5"/>
                <w:sz w:val="21"/>
                <w:szCs w:val="21"/>
                <w:highlight w:val="none"/>
              </w:rPr>
              <w:t>纳记录）。</w:t>
            </w:r>
          </w:p>
          <w:p w14:paraId="2C5A4393">
            <w:pPr>
              <w:pStyle w:val="33"/>
              <w:keepNext w:val="0"/>
              <w:keepLines w:val="0"/>
              <w:pageBreakBefore w:val="0"/>
              <w:widowControl/>
              <w:kinsoku/>
              <w:wordWrap/>
              <w:overflowPunct/>
              <w:topLinePunct w:val="0"/>
              <w:bidi w:val="0"/>
              <w:adjustRightInd w:val="0"/>
              <w:snapToGrid w:val="0"/>
              <w:spacing w:before="108" w:line="219" w:lineRule="auto"/>
              <w:ind w:left="116"/>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6</w:t>
            </w:r>
            <w:r>
              <w:rPr>
                <w:color w:val="auto"/>
                <w:spacing w:val="-1"/>
                <w:sz w:val="21"/>
                <w:szCs w:val="21"/>
                <w:highlight w:val="none"/>
              </w:rPr>
              <w:t>）投标人之间协商投标报价等投标文件</w:t>
            </w:r>
            <w:r>
              <w:rPr>
                <w:color w:val="auto"/>
                <w:spacing w:val="-2"/>
                <w:sz w:val="21"/>
                <w:szCs w:val="21"/>
                <w:highlight w:val="none"/>
              </w:rPr>
              <w:t>的实质性内容。</w:t>
            </w:r>
          </w:p>
          <w:p w14:paraId="533018A0">
            <w:pPr>
              <w:pStyle w:val="33"/>
              <w:keepNext w:val="0"/>
              <w:keepLines w:val="0"/>
              <w:pageBreakBefore w:val="0"/>
              <w:widowControl/>
              <w:kinsoku/>
              <w:wordWrap/>
              <w:overflowPunct/>
              <w:topLinePunct w:val="0"/>
              <w:bidi w:val="0"/>
              <w:adjustRightInd w:val="0"/>
              <w:snapToGrid w:val="0"/>
              <w:spacing w:before="111" w:line="221" w:lineRule="auto"/>
              <w:ind w:left="116"/>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7</w:t>
            </w:r>
            <w:r>
              <w:rPr>
                <w:color w:val="auto"/>
                <w:spacing w:val="-1"/>
                <w:sz w:val="21"/>
                <w:szCs w:val="21"/>
                <w:highlight w:val="none"/>
              </w:rPr>
              <w:t>）投标人之间约定中标人。</w:t>
            </w:r>
          </w:p>
          <w:p w14:paraId="65EEE6B5">
            <w:pPr>
              <w:pStyle w:val="33"/>
              <w:keepNext w:val="0"/>
              <w:keepLines w:val="0"/>
              <w:pageBreakBefore w:val="0"/>
              <w:widowControl/>
              <w:kinsoku/>
              <w:wordWrap/>
              <w:overflowPunct/>
              <w:topLinePunct w:val="0"/>
              <w:bidi w:val="0"/>
              <w:adjustRightInd w:val="0"/>
              <w:snapToGrid w:val="0"/>
              <w:spacing w:before="108" w:line="218" w:lineRule="auto"/>
              <w:ind w:left="116"/>
              <w:textAlignment w:val="baseline"/>
              <w:rPr>
                <w:color w:val="auto"/>
                <w:spacing w:val="-2"/>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8</w:t>
            </w:r>
            <w:r>
              <w:rPr>
                <w:color w:val="auto"/>
                <w:spacing w:val="-1"/>
                <w:sz w:val="21"/>
                <w:szCs w:val="21"/>
                <w:highlight w:val="none"/>
              </w:rPr>
              <w:t>）投标人之间约定部分投标人放弃投标</w:t>
            </w:r>
            <w:r>
              <w:rPr>
                <w:color w:val="auto"/>
                <w:spacing w:val="-2"/>
                <w:sz w:val="21"/>
                <w:szCs w:val="21"/>
                <w:highlight w:val="none"/>
              </w:rPr>
              <w:t>或者中标。</w:t>
            </w:r>
          </w:p>
          <w:p w14:paraId="61074146">
            <w:pPr>
              <w:pStyle w:val="33"/>
              <w:keepNext w:val="0"/>
              <w:keepLines w:val="0"/>
              <w:pageBreakBefore w:val="0"/>
              <w:widowControl/>
              <w:kinsoku/>
              <w:wordWrap/>
              <w:overflowPunct/>
              <w:topLinePunct w:val="0"/>
              <w:bidi w:val="0"/>
              <w:adjustRightInd w:val="0"/>
              <w:snapToGrid w:val="0"/>
              <w:spacing w:before="116" w:line="269" w:lineRule="auto"/>
              <w:ind w:left="113" w:right="98" w:firstLine="2"/>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9</w:t>
            </w:r>
            <w:r>
              <w:rPr>
                <w:color w:val="auto"/>
                <w:spacing w:val="-3"/>
                <w:sz w:val="21"/>
                <w:szCs w:val="21"/>
                <w:highlight w:val="none"/>
              </w:rPr>
              <w:t>）属于同一集团、协会、商会等组织成员的投标人按照</w:t>
            </w:r>
            <w:r>
              <w:rPr>
                <w:color w:val="auto"/>
                <w:sz w:val="21"/>
                <w:szCs w:val="21"/>
                <w:highlight w:val="none"/>
              </w:rPr>
              <w:t xml:space="preserve"> </w:t>
            </w:r>
            <w:r>
              <w:rPr>
                <w:color w:val="auto"/>
                <w:spacing w:val="-1"/>
                <w:sz w:val="21"/>
                <w:szCs w:val="21"/>
                <w:highlight w:val="none"/>
              </w:rPr>
              <w:t>该组织要求协同投标。</w:t>
            </w:r>
          </w:p>
          <w:p w14:paraId="6A5A804A">
            <w:pPr>
              <w:pStyle w:val="33"/>
              <w:keepNext w:val="0"/>
              <w:keepLines w:val="0"/>
              <w:pageBreakBefore w:val="0"/>
              <w:widowControl/>
              <w:kinsoku/>
              <w:wordWrap/>
              <w:overflowPunct/>
              <w:topLinePunct w:val="0"/>
              <w:bidi w:val="0"/>
              <w:adjustRightInd w:val="0"/>
              <w:snapToGrid w:val="0"/>
              <w:spacing w:before="108" w:line="269" w:lineRule="auto"/>
              <w:ind w:left="127" w:right="109" w:hanging="11"/>
              <w:textAlignment w:val="baseline"/>
              <w:rPr>
                <w:color w:val="auto"/>
                <w:sz w:val="21"/>
                <w:szCs w:val="21"/>
                <w:highlight w:val="none"/>
              </w:rPr>
            </w:pPr>
            <w:r>
              <w:rPr>
                <w:color w:val="auto"/>
                <w:sz w:val="21"/>
                <w:szCs w:val="21"/>
                <w:highlight w:val="none"/>
              </w:rPr>
              <w:t>（</w:t>
            </w:r>
            <w:r>
              <w:rPr>
                <w:rFonts w:ascii="Times New Roman" w:hAnsi="Times New Roman" w:eastAsia="Times New Roman" w:cs="Times New Roman"/>
                <w:color w:val="auto"/>
                <w:sz w:val="21"/>
                <w:szCs w:val="21"/>
                <w:highlight w:val="none"/>
              </w:rPr>
              <w:t>10</w:t>
            </w:r>
            <w:r>
              <w:rPr>
                <w:color w:val="auto"/>
                <w:sz w:val="21"/>
                <w:szCs w:val="21"/>
                <w:highlight w:val="none"/>
              </w:rPr>
              <w:t>）投标人之间为谋取中标或者排斥特定投标人而采取</w:t>
            </w:r>
            <w:r>
              <w:rPr>
                <w:color w:val="auto"/>
                <w:spacing w:val="16"/>
                <w:sz w:val="21"/>
                <w:szCs w:val="21"/>
                <w:highlight w:val="none"/>
              </w:rPr>
              <w:t xml:space="preserve"> </w:t>
            </w:r>
            <w:r>
              <w:rPr>
                <w:color w:val="auto"/>
                <w:spacing w:val="-3"/>
                <w:sz w:val="21"/>
                <w:szCs w:val="21"/>
                <w:highlight w:val="none"/>
              </w:rPr>
              <w:t>的其他联合行动。</w:t>
            </w:r>
          </w:p>
          <w:p w14:paraId="0C5157D5">
            <w:pPr>
              <w:pStyle w:val="33"/>
              <w:keepNext w:val="0"/>
              <w:keepLines w:val="0"/>
              <w:pageBreakBefore w:val="0"/>
              <w:widowControl/>
              <w:kinsoku/>
              <w:wordWrap/>
              <w:overflowPunct/>
              <w:topLinePunct w:val="0"/>
              <w:bidi w:val="0"/>
              <w:adjustRightInd w:val="0"/>
              <w:snapToGrid w:val="0"/>
              <w:spacing w:before="109" w:line="293" w:lineRule="auto"/>
              <w:ind w:left="112" w:right="99" w:firstLine="3"/>
              <w:textAlignment w:val="baseline"/>
              <w:rPr>
                <w:strike/>
                <w:dstrike w:val="0"/>
                <w:color w:val="auto"/>
                <w:spacing w:val="-10"/>
                <w:sz w:val="21"/>
                <w:szCs w:val="21"/>
                <w:highlight w:val="none"/>
              </w:rPr>
            </w:pPr>
            <w:r>
              <w:rPr>
                <w:color w:val="auto"/>
                <w:sz w:val="21"/>
                <w:szCs w:val="21"/>
                <w:highlight w:val="none"/>
              </w:rPr>
              <w:t>（</w:t>
            </w:r>
            <w:r>
              <w:rPr>
                <w:rFonts w:ascii="Times New Roman" w:hAnsi="Times New Roman" w:eastAsia="Times New Roman" w:cs="Times New Roman"/>
                <w:color w:val="auto"/>
                <w:sz w:val="21"/>
                <w:szCs w:val="21"/>
                <w:highlight w:val="none"/>
              </w:rPr>
              <w:t>11</w:t>
            </w:r>
            <w:r>
              <w:rPr>
                <w:color w:val="auto"/>
                <w:sz w:val="21"/>
                <w:szCs w:val="21"/>
                <w:highlight w:val="none"/>
              </w:rPr>
              <w:t>）不同投标人的投标文件由同一单位或者</w:t>
            </w:r>
            <w:r>
              <w:rPr>
                <w:color w:val="auto"/>
                <w:spacing w:val="-1"/>
                <w:sz w:val="21"/>
                <w:szCs w:val="21"/>
                <w:highlight w:val="none"/>
              </w:rPr>
              <w:t>个人编制。</w:t>
            </w:r>
            <w:r>
              <w:rPr>
                <w:color w:val="auto"/>
                <w:sz w:val="21"/>
                <w:szCs w:val="21"/>
                <w:highlight w:val="none"/>
              </w:rPr>
              <w:t xml:space="preserve"> </w:t>
            </w:r>
            <w:r>
              <w:rPr>
                <w:strike w:val="0"/>
                <w:dstrike w:val="0"/>
                <w:color w:val="auto"/>
                <w:spacing w:val="1"/>
                <w:sz w:val="21"/>
                <w:szCs w:val="21"/>
                <w:highlight w:val="none"/>
              </w:rPr>
              <w:t>电子招投标过程中不同投标人的投标文件制作机器码一致</w:t>
            </w:r>
            <w:r>
              <w:rPr>
                <w:strike w:val="0"/>
                <w:dstrike w:val="0"/>
                <w:color w:val="auto"/>
                <w:spacing w:val="5"/>
                <w:sz w:val="21"/>
                <w:szCs w:val="21"/>
                <w:highlight w:val="none"/>
              </w:rPr>
              <w:t xml:space="preserve"> </w:t>
            </w:r>
            <w:r>
              <w:rPr>
                <w:strike w:val="0"/>
                <w:dstrike w:val="0"/>
                <w:color w:val="auto"/>
                <w:spacing w:val="1"/>
                <w:sz w:val="21"/>
                <w:szCs w:val="21"/>
                <w:highlight w:val="none"/>
              </w:rPr>
              <w:t>或文件创建标识码（或制作码、检测码）或造价锁号相同</w:t>
            </w:r>
            <w:r>
              <w:rPr>
                <w:strike w:val="0"/>
                <w:dstrike w:val="0"/>
                <w:color w:val="auto"/>
                <w:spacing w:val="5"/>
                <w:sz w:val="21"/>
                <w:szCs w:val="21"/>
                <w:highlight w:val="none"/>
              </w:rPr>
              <w:t xml:space="preserve"> </w:t>
            </w:r>
            <w:r>
              <w:rPr>
                <w:strike w:val="0"/>
                <w:dstrike w:val="0"/>
                <w:color w:val="auto"/>
                <w:spacing w:val="-10"/>
                <w:sz w:val="21"/>
                <w:szCs w:val="21"/>
                <w:highlight w:val="none"/>
              </w:rPr>
              <w:t>的。</w:t>
            </w:r>
          </w:p>
          <w:p w14:paraId="61ACB750">
            <w:pPr>
              <w:pStyle w:val="33"/>
              <w:keepNext w:val="0"/>
              <w:keepLines w:val="0"/>
              <w:pageBreakBefore w:val="0"/>
              <w:widowControl/>
              <w:kinsoku/>
              <w:wordWrap/>
              <w:overflowPunct/>
              <w:topLinePunct w:val="0"/>
              <w:bidi w:val="0"/>
              <w:adjustRightInd w:val="0"/>
              <w:snapToGrid w:val="0"/>
              <w:spacing w:before="104" w:line="298" w:lineRule="auto"/>
              <w:ind w:left="111" w:right="99" w:firstLine="4"/>
              <w:textAlignment w:val="baseline"/>
              <w:rPr>
                <w:color w:val="auto"/>
                <w:sz w:val="21"/>
                <w:szCs w:val="21"/>
                <w:highlight w:val="none"/>
              </w:rPr>
            </w:pPr>
            <w:r>
              <w:rPr>
                <w:color w:val="auto"/>
                <w:sz w:val="21"/>
                <w:szCs w:val="21"/>
                <w:highlight w:val="none"/>
              </w:rPr>
              <w:t>（</w:t>
            </w:r>
            <w:r>
              <w:rPr>
                <w:rFonts w:ascii="Times New Roman" w:hAnsi="Times New Roman" w:eastAsia="Times New Roman" w:cs="Times New Roman"/>
                <w:color w:val="auto"/>
                <w:sz w:val="21"/>
                <w:szCs w:val="21"/>
                <w:highlight w:val="none"/>
              </w:rPr>
              <w:t>12</w:t>
            </w:r>
            <w:r>
              <w:rPr>
                <w:color w:val="auto"/>
                <w:sz w:val="21"/>
                <w:szCs w:val="21"/>
                <w:highlight w:val="none"/>
              </w:rPr>
              <w:t>）不同投标人委托同一单位或者个人办理</w:t>
            </w:r>
            <w:r>
              <w:rPr>
                <w:color w:val="auto"/>
                <w:spacing w:val="-1"/>
                <w:sz w:val="21"/>
                <w:szCs w:val="21"/>
                <w:highlight w:val="none"/>
              </w:rPr>
              <w:t>投标事宜。</w:t>
            </w:r>
            <w:r>
              <w:rPr>
                <w:color w:val="auto"/>
                <w:sz w:val="21"/>
                <w:szCs w:val="21"/>
                <w:highlight w:val="none"/>
              </w:rPr>
              <w:t xml:space="preserve"> </w:t>
            </w:r>
            <w:r>
              <w:rPr>
                <w:strike w:val="0"/>
                <w:dstrike w:val="0"/>
                <w:color w:val="auto"/>
                <w:spacing w:val="1"/>
                <w:sz w:val="21"/>
                <w:szCs w:val="21"/>
                <w:highlight w:val="none"/>
              </w:rPr>
              <w:t>电子招投标过程中不同投标人从同一投标单位或同一自然</w:t>
            </w:r>
            <w:r>
              <w:rPr>
                <w:strike w:val="0"/>
                <w:dstrike w:val="0"/>
                <w:color w:val="auto"/>
                <w:spacing w:val="6"/>
                <w:sz w:val="21"/>
                <w:szCs w:val="21"/>
                <w:highlight w:val="none"/>
              </w:rPr>
              <w:t xml:space="preserve"> </w:t>
            </w:r>
            <w:r>
              <w:rPr>
                <w:strike w:val="0"/>
                <w:dstrike w:val="0"/>
                <w:color w:val="auto"/>
                <w:spacing w:val="-6"/>
                <w:sz w:val="21"/>
                <w:szCs w:val="21"/>
                <w:highlight w:val="none"/>
              </w:rPr>
              <w:t>人的</w:t>
            </w:r>
            <w:r>
              <w:rPr>
                <w:rFonts w:ascii="Times New Roman" w:hAnsi="Times New Roman" w:eastAsia="Times New Roman" w:cs="Times New Roman"/>
                <w:strike w:val="0"/>
                <w:dstrike w:val="0"/>
                <w:color w:val="auto"/>
                <w:spacing w:val="-6"/>
                <w:sz w:val="21"/>
                <w:szCs w:val="21"/>
                <w:highlight w:val="none"/>
              </w:rPr>
              <w:t>IP</w:t>
            </w:r>
            <w:r>
              <w:rPr>
                <w:strike w:val="0"/>
                <w:dstrike w:val="0"/>
                <w:color w:val="auto"/>
                <w:spacing w:val="-6"/>
                <w:sz w:val="21"/>
                <w:szCs w:val="21"/>
                <w:highlight w:val="none"/>
              </w:rPr>
              <w:t>地址下载招标文件、上传</w:t>
            </w:r>
            <w:r>
              <w:rPr>
                <w:rFonts w:hint="eastAsia"/>
                <w:strike w:val="0"/>
                <w:dstrike w:val="0"/>
                <w:color w:val="auto"/>
                <w:spacing w:val="-6"/>
                <w:sz w:val="21"/>
                <w:szCs w:val="21"/>
                <w:highlight w:val="none"/>
                <w:lang w:eastAsia="zh-CN"/>
              </w:rPr>
              <w:t>递交</w:t>
            </w:r>
            <w:r>
              <w:rPr>
                <w:color w:val="auto"/>
                <w:spacing w:val="-6"/>
                <w:sz w:val="21"/>
                <w:szCs w:val="21"/>
                <w:highlight w:val="none"/>
              </w:rPr>
              <w:t>投标文件、购买电子保函或</w:t>
            </w:r>
            <w:r>
              <w:rPr>
                <w:color w:val="auto"/>
                <w:spacing w:val="10"/>
                <w:sz w:val="21"/>
                <w:szCs w:val="21"/>
                <w:highlight w:val="none"/>
              </w:rPr>
              <w:t>参加投标活动的人员为同一标段其他投标人的在职人员</w:t>
            </w:r>
            <w:r>
              <w:rPr>
                <w:color w:val="auto"/>
                <w:spacing w:val="-10"/>
                <w:sz w:val="21"/>
                <w:szCs w:val="21"/>
                <w:highlight w:val="none"/>
              </w:rPr>
              <w:t>的。</w:t>
            </w:r>
          </w:p>
          <w:p w14:paraId="2E63A2EC">
            <w:pPr>
              <w:pStyle w:val="33"/>
              <w:keepNext w:val="0"/>
              <w:keepLines w:val="0"/>
              <w:pageBreakBefore w:val="0"/>
              <w:widowControl/>
              <w:kinsoku/>
              <w:wordWrap/>
              <w:overflowPunct/>
              <w:topLinePunct w:val="0"/>
              <w:bidi w:val="0"/>
              <w:adjustRightInd w:val="0"/>
              <w:snapToGrid w:val="0"/>
              <w:spacing w:before="105" w:line="270" w:lineRule="auto"/>
              <w:ind w:left="111" w:right="135" w:firstLine="4"/>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13</w:t>
            </w:r>
            <w:r>
              <w:rPr>
                <w:color w:val="auto"/>
                <w:spacing w:val="-1"/>
                <w:sz w:val="21"/>
                <w:szCs w:val="21"/>
                <w:highlight w:val="none"/>
              </w:rPr>
              <w:t>）不同投标人的投标文件载明的项目管理成员为同一</w:t>
            </w:r>
            <w:r>
              <w:rPr>
                <w:color w:val="auto"/>
                <w:spacing w:val="16"/>
                <w:sz w:val="21"/>
                <w:szCs w:val="21"/>
                <w:highlight w:val="none"/>
              </w:rPr>
              <w:t xml:space="preserve"> </w:t>
            </w:r>
            <w:r>
              <w:rPr>
                <w:color w:val="auto"/>
                <w:spacing w:val="-10"/>
                <w:sz w:val="21"/>
                <w:szCs w:val="21"/>
                <w:highlight w:val="none"/>
              </w:rPr>
              <w:t>人。</w:t>
            </w:r>
          </w:p>
          <w:p w14:paraId="7EC52758">
            <w:pPr>
              <w:pStyle w:val="33"/>
              <w:keepNext w:val="0"/>
              <w:keepLines w:val="0"/>
              <w:pageBreakBefore w:val="0"/>
              <w:widowControl/>
              <w:kinsoku/>
              <w:wordWrap/>
              <w:overflowPunct/>
              <w:topLinePunct w:val="0"/>
              <w:bidi w:val="0"/>
              <w:adjustRightInd w:val="0"/>
              <w:snapToGrid w:val="0"/>
              <w:spacing w:before="105" w:line="269" w:lineRule="auto"/>
              <w:ind w:left="109" w:right="99" w:firstLine="6"/>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14</w:t>
            </w:r>
            <w:r>
              <w:rPr>
                <w:color w:val="auto"/>
                <w:spacing w:val="1"/>
                <w:sz w:val="21"/>
                <w:szCs w:val="21"/>
                <w:highlight w:val="none"/>
              </w:rPr>
              <w:t>）不同投标人的投标文件异常一致或者投标报价呈规</w:t>
            </w:r>
            <w:r>
              <w:rPr>
                <w:color w:val="auto"/>
                <w:sz w:val="21"/>
                <w:szCs w:val="21"/>
                <w:highlight w:val="none"/>
              </w:rPr>
              <w:t xml:space="preserve"> </w:t>
            </w:r>
            <w:r>
              <w:rPr>
                <w:color w:val="auto"/>
                <w:spacing w:val="-5"/>
                <w:sz w:val="21"/>
                <w:szCs w:val="21"/>
                <w:highlight w:val="none"/>
              </w:rPr>
              <w:t>律性差异。</w:t>
            </w:r>
          </w:p>
          <w:p w14:paraId="52F093A9">
            <w:pPr>
              <w:pStyle w:val="33"/>
              <w:keepNext w:val="0"/>
              <w:keepLines w:val="0"/>
              <w:pageBreakBefore w:val="0"/>
              <w:widowControl/>
              <w:kinsoku/>
              <w:wordWrap/>
              <w:overflowPunct/>
              <w:topLinePunct w:val="0"/>
              <w:bidi w:val="0"/>
              <w:adjustRightInd w:val="0"/>
              <w:snapToGrid w:val="0"/>
              <w:spacing w:before="109" w:line="221" w:lineRule="auto"/>
              <w:ind w:left="116"/>
              <w:textAlignment w:val="baseline"/>
              <w:rPr>
                <w:color w:val="auto"/>
                <w:sz w:val="21"/>
                <w:szCs w:val="21"/>
                <w:highlight w:val="none"/>
              </w:rPr>
            </w:pPr>
            <w:r>
              <w:rPr>
                <w:color w:val="auto"/>
                <w:spacing w:val="-2"/>
                <w:sz w:val="21"/>
                <w:szCs w:val="21"/>
                <w:highlight w:val="none"/>
              </w:rPr>
              <w:t>（</w:t>
            </w:r>
            <w:r>
              <w:rPr>
                <w:rFonts w:ascii="Times New Roman" w:hAnsi="Times New Roman" w:eastAsia="Times New Roman" w:cs="Times New Roman"/>
                <w:color w:val="auto"/>
                <w:spacing w:val="-2"/>
                <w:sz w:val="21"/>
                <w:szCs w:val="21"/>
                <w:highlight w:val="none"/>
              </w:rPr>
              <w:t>15</w:t>
            </w:r>
            <w:r>
              <w:rPr>
                <w:color w:val="auto"/>
                <w:spacing w:val="-2"/>
                <w:sz w:val="21"/>
                <w:szCs w:val="21"/>
                <w:highlight w:val="none"/>
              </w:rPr>
              <w:t>）不同投标人的投标文件相互混装。</w:t>
            </w:r>
          </w:p>
          <w:p w14:paraId="7C6FE5DA">
            <w:pPr>
              <w:pStyle w:val="33"/>
              <w:keepNext w:val="0"/>
              <w:keepLines w:val="0"/>
              <w:pageBreakBefore w:val="0"/>
              <w:widowControl/>
              <w:kinsoku/>
              <w:wordWrap/>
              <w:overflowPunct/>
              <w:topLinePunct w:val="0"/>
              <w:bidi w:val="0"/>
              <w:adjustRightInd w:val="0"/>
              <w:snapToGrid w:val="0"/>
              <w:spacing w:before="109" w:line="269" w:lineRule="auto"/>
              <w:ind w:left="110" w:right="99" w:firstLine="5"/>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16</w:t>
            </w:r>
            <w:r>
              <w:rPr>
                <w:color w:val="auto"/>
                <w:spacing w:val="1"/>
                <w:sz w:val="21"/>
                <w:szCs w:val="21"/>
                <w:highlight w:val="none"/>
              </w:rPr>
              <w:t>）不同投标人的投标保证金从同一单位或者个人的账</w:t>
            </w:r>
            <w:r>
              <w:rPr>
                <w:color w:val="auto"/>
                <w:sz w:val="21"/>
                <w:szCs w:val="21"/>
                <w:highlight w:val="none"/>
              </w:rPr>
              <w:t xml:space="preserve"> </w:t>
            </w:r>
            <w:r>
              <w:rPr>
                <w:color w:val="auto"/>
                <w:spacing w:val="-2"/>
                <w:sz w:val="21"/>
                <w:szCs w:val="21"/>
                <w:highlight w:val="none"/>
              </w:rPr>
              <w:t>户转出。</w:t>
            </w:r>
          </w:p>
          <w:p w14:paraId="300044E9">
            <w:pPr>
              <w:pStyle w:val="33"/>
              <w:keepNext w:val="0"/>
              <w:keepLines w:val="0"/>
              <w:pageBreakBefore w:val="0"/>
              <w:widowControl/>
              <w:kinsoku/>
              <w:wordWrap/>
              <w:overflowPunct/>
              <w:topLinePunct w:val="0"/>
              <w:bidi w:val="0"/>
              <w:adjustRightInd w:val="0"/>
              <w:snapToGrid w:val="0"/>
              <w:spacing w:before="110" w:line="284" w:lineRule="auto"/>
              <w:ind w:left="111" w:right="99" w:firstLine="4"/>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17</w:t>
            </w:r>
            <w:r>
              <w:rPr>
                <w:color w:val="auto"/>
                <w:spacing w:val="1"/>
                <w:sz w:val="21"/>
                <w:szCs w:val="21"/>
                <w:highlight w:val="none"/>
              </w:rPr>
              <w:t>）使用伪造、变造的许可证件；或提供虚假的财务状</w:t>
            </w:r>
            <w:r>
              <w:rPr>
                <w:color w:val="auto"/>
                <w:sz w:val="21"/>
                <w:szCs w:val="21"/>
                <w:highlight w:val="none"/>
              </w:rPr>
              <w:t xml:space="preserve"> </w:t>
            </w:r>
            <w:r>
              <w:rPr>
                <w:color w:val="auto"/>
                <w:spacing w:val="1"/>
                <w:sz w:val="21"/>
                <w:szCs w:val="21"/>
                <w:highlight w:val="none"/>
              </w:rPr>
              <w:t>况或者业绩；或提供虚假的项目负责人或者主要技术人员</w:t>
            </w:r>
            <w:r>
              <w:rPr>
                <w:color w:val="auto"/>
                <w:spacing w:val="6"/>
                <w:sz w:val="21"/>
                <w:szCs w:val="21"/>
                <w:highlight w:val="none"/>
              </w:rPr>
              <w:t xml:space="preserve"> </w:t>
            </w:r>
            <w:r>
              <w:rPr>
                <w:color w:val="auto"/>
                <w:spacing w:val="-1"/>
                <w:sz w:val="21"/>
                <w:szCs w:val="21"/>
                <w:highlight w:val="none"/>
              </w:rPr>
              <w:t>简历、劳动关系证明；或提供虚假的信用状况。</w:t>
            </w:r>
          </w:p>
          <w:p w14:paraId="26C94D56">
            <w:pPr>
              <w:pStyle w:val="33"/>
              <w:keepNext w:val="0"/>
              <w:keepLines w:val="0"/>
              <w:pageBreakBefore w:val="0"/>
              <w:widowControl/>
              <w:kinsoku/>
              <w:wordWrap/>
              <w:overflowPunct/>
              <w:topLinePunct w:val="0"/>
              <w:bidi w:val="0"/>
              <w:adjustRightInd w:val="0"/>
              <w:snapToGrid w:val="0"/>
              <w:spacing w:before="109" w:line="293" w:lineRule="auto"/>
              <w:ind w:left="112" w:leftChars="0" w:right="99" w:rightChars="0" w:firstLine="3" w:firstLineChars="0"/>
              <w:textAlignment w:val="baseline"/>
              <w:rPr>
                <w:rFonts w:ascii="宋体" w:hAnsi="宋体" w:eastAsia="宋体" w:cs="宋体"/>
                <w:snapToGrid w:val="0"/>
                <w:color w:val="auto"/>
                <w:spacing w:val="-2"/>
                <w:kern w:val="0"/>
                <w:sz w:val="21"/>
                <w:szCs w:val="21"/>
                <w:highlight w:val="none"/>
                <w:lang w:val="en-US" w:eastAsia="zh-CN" w:bidi="ar-SA"/>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18</w:t>
            </w:r>
            <w:r>
              <w:rPr>
                <w:color w:val="auto"/>
                <w:spacing w:val="-1"/>
                <w:sz w:val="21"/>
                <w:szCs w:val="21"/>
                <w:highlight w:val="none"/>
              </w:rPr>
              <w:t>）同一标段不同投标人之间出现控股、管</w:t>
            </w:r>
            <w:r>
              <w:rPr>
                <w:color w:val="auto"/>
                <w:spacing w:val="-2"/>
                <w:sz w:val="21"/>
                <w:szCs w:val="21"/>
                <w:highlight w:val="none"/>
              </w:rPr>
              <w:t>理关系的。</w:t>
            </w:r>
          </w:p>
        </w:tc>
      </w:tr>
      <w:tr w14:paraId="2C8825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5" w:hRule="atLeast"/>
        </w:trPr>
        <w:tc>
          <w:tcPr>
            <w:tcW w:w="953" w:type="dxa"/>
            <w:tcBorders>
              <w:left w:val="single" w:color="000000" w:sz="6" w:space="0"/>
              <w:bottom w:val="single" w:color="000000" w:sz="6" w:space="0"/>
            </w:tcBorders>
            <w:shd w:val="clear" w:color="auto" w:fill="auto"/>
            <w:vAlign w:val="top"/>
          </w:tcPr>
          <w:p w14:paraId="395EA9C3">
            <w:pPr>
              <w:keepNext w:val="0"/>
              <w:keepLines w:val="0"/>
              <w:pageBreakBefore w:val="0"/>
              <w:widowControl/>
              <w:kinsoku/>
              <w:wordWrap/>
              <w:overflowPunct/>
              <w:topLinePunct w:val="0"/>
              <w:bidi w:val="0"/>
              <w:adjustRightInd w:val="0"/>
              <w:snapToGrid w:val="0"/>
              <w:spacing w:line="248" w:lineRule="auto"/>
              <w:textAlignment w:val="baseline"/>
              <w:rPr>
                <w:rFonts w:ascii="Arial"/>
                <w:color w:val="auto"/>
                <w:sz w:val="21"/>
                <w:highlight w:val="none"/>
              </w:rPr>
            </w:pPr>
          </w:p>
          <w:p w14:paraId="205ED330">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71FBEED8">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29277226">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35772909">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235C5A08">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3F1DB63A">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74FA5478">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1A39D13B">
            <w:pPr>
              <w:keepNext w:val="0"/>
              <w:keepLines w:val="0"/>
              <w:pageBreakBefore w:val="0"/>
              <w:widowControl/>
              <w:kinsoku/>
              <w:wordWrap/>
              <w:overflowPunct/>
              <w:topLinePunct w:val="0"/>
              <w:bidi w:val="0"/>
              <w:adjustRightInd w:val="0"/>
              <w:snapToGrid w:val="0"/>
              <w:spacing w:line="249" w:lineRule="auto"/>
              <w:textAlignment w:val="baseline"/>
              <w:rPr>
                <w:rFonts w:ascii="Arial"/>
                <w:color w:val="auto"/>
                <w:sz w:val="21"/>
                <w:highlight w:val="none"/>
              </w:rPr>
            </w:pPr>
          </w:p>
          <w:p w14:paraId="56F4E5E7">
            <w:pPr>
              <w:keepNext w:val="0"/>
              <w:keepLines w:val="0"/>
              <w:pageBreakBefore w:val="0"/>
              <w:widowControl/>
              <w:kinsoku/>
              <w:wordWrap/>
              <w:overflowPunct/>
              <w:topLinePunct w:val="0"/>
              <w:bidi w:val="0"/>
              <w:adjustRightInd w:val="0"/>
              <w:snapToGrid w:val="0"/>
              <w:spacing w:before="61" w:line="187" w:lineRule="auto"/>
              <w:ind w:left="343" w:leftChars="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9.5</w:t>
            </w:r>
          </w:p>
        </w:tc>
        <w:tc>
          <w:tcPr>
            <w:tcW w:w="2444" w:type="dxa"/>
            <w:tcBorders>
              <w:bottom w:val="single" w:color="000000" w:sz="6" w:space="0"/>
            </w:tcBorders>
            <w:shd w:val="clear" w:color="auto" w:fill="auto"/>
            <w:vAlign w:val="top"/>
          </w:tcPr>
          <w:p w14:paraId="284A44FF">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5A76B424">
            <w:pPr>
              <w:keepNext w:val="0"/>
              <w:keepLines w:val="0"/>
              <w:pageBreakBefore w:val="0"/>
              <w:widowControl/>
              <w:kinsoku/>
              <w:wordWrap/>
              <w:overflowPunct/>
              <w:topLinePunct w:val="0"/>
              <w:bidi w:val="0"/>
              <w:adjustRightInd w:val="0"/>
              <w:snapToGrid w:val="0"/>
              <w:spacing w:line="243" w:lineRule="auto"/>
              <w:textAlignment w:val="baseline"/>
              <w:rPr>
                <w:rFonts w:ascii="Arial"/>
                <w:color w:val="auto"/>
                <w:sz w:val="21"/>
                <w:highlight w:val="none"/>
              </w:rPr>
            </w:pPr>
          </w:p>
          <w:p w14:paraId="6492C412">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62360E2F">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27F3C5E5">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7C06373F">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1F9A7BB9">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2E10EFA1">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68B198BB">
            <w:pPr>
              <w:keepNext w:val="0"/>
              <w:keepLines w:val="0"/>
              <w:pageBreakBefore w:val="0"/>
              <w:widowControl/>
              <w:kinsoku/>
              <w:wordWrap/>
              <w:overflowPunct/>
              <w:topLinePunct w:val="0"/>
              <w:bidi w:val="0"/>
              <w:adjustRightInd w:val="0"/>
              <w:snapToGrid w:val="0"/>
              <w:spacing w:line="244" w:lineRule="auto"/>
              <w:textAlignment w:val="baseline"/>
              <w:rPr>
                <w:rFonts w:ascii="Arial"/>
                <w:color w:val="auto"/>
                <w:sz w:val="21"/>
                <w:highlight w:val="none"/>
              </w:rPr>
            </w:pPr>
          </w:p>
          <w:p w14:paraId="20F2BB82">
            <w:pPr>
              <w:pStyle w:val="33"/>
              <w:keepNext w:val="0"/>
              <w:keepLines w:val="0"/>
              <w:pageBreakBefore w:val="0"/>
              <w:widowControl/>
              <w:kinsoku/>
              <w:wordWrap/>
              <w:overflowPunct/>
              <w:topLinePunct w:val="0"/>
              <w:bidi w:val="0"/>
              <w:adjustRightInd w:val="0"/>
              <w:snapToGrid w:val="0"/>
              <w:spacing w:before="68" w:line="221" w:lineRule="auto"/>
              <w:ind w:left="108" w:leftChars="0"/>
              <w:textAlignment w:val="baseline"/>
              <w:rPr>
                <w:rFonts w:ascii="宋体" w:hAnsi="宋体" w:eastAsia="宋体" w:cs="宋体"/>
                <w:snapToGrid w:val="0"/>
                <w:color w:val="auto"/>
                <w:kern w:val="0"/>
                <w:sz w:val="21"/>
                <w:szCs w:val="21"/>
                <w:highlight w:val="none"/>
                <w:lang w:val="en-US" w:eastAsia="en-US" w:bidi="ar-SA"/>
              </w:rPr>
            </w:pPr>
            <w:r>
              <w:rPr>
                <w:color w:val="auto"/>
                <w:spacing w:val="-2"/>
                <w:sz w:val="21"/>
                <w:szCs w:val="21"/>
                <w:highlight w:val="none"/>
              </w:rPr>
              <w:t>异议与投诉</w:t>
            </w:r>
          </w:p>
        </w:tc>
        <w:tc>
          <w:tcPr>
            <w:tcW w:w="5503" w:type="dxa"/>
            <w:tcBorders>
              <w:bottom w:val="single" w:color="000000" w:sz="6" w:space="0"/>
              <w:right w:val="single" w:color="000000" w:sz="6" w:space="0"/>
            </w:tcBorders>
            <w:shd w:val="clear" w:color="auto" w:fill="auto"/>
            <w:vAlign w:val="top"/>
          </w:tcPr>
          <w:p w14:paraId="369A4132">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1．异议</w:t>
            </w:r>
          </w:p>
          <w:p w14:paraId="3FFF6B68">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（一）潜在投标人或者其他利害关系人对招标文件有异议的，应当在投标截止时间10日前以书面形式向招标人提出。招标人应在收到异议之日起3日内作出书面答复；作出答复前，暂停招标投标活动。</w:t>
            </w:r>
          </w:p>
          <w:p w14:paraId="47ECA3D8">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（二）投标人认为开标不符合有关规定的，应当在开标现场</w:t>
            </w:r>
            <w:r>
              <w:rPr>
                <w:rFonts w:hint="eastAsia" w:cs="宋体"/>
                <w:snapToGrid w:val="0"/>
                <w:color w:val="auto"/>
                <w:kern w:val="0"/>
                <w:sz w:val="21"/>
                <w:szCs w:val="21"/>
                <w:highlight w:val="none"/>
                <w:lang w:val="en-US" w:eastAsia="zh-CN" w:bidi="ar-SA"/>
              </w:rPr>
              <w:t>通过电子招投标交易平台</w:t>
            </w:r>
            <w:r>
              <w:rPr>
                <w:rFonts w:hint="eastAsia" w:ascii="宋体" w:hAnsi="宋体" w:eastAsia="宋体" w:cs="宋体"/>
                <w:snapToGrid w:val="0"/>
                <w:color w:val="auto"/>
                <w:kern w:val="0"/>
                <w:sz w:val="21"/>
                <w:szCs w:val="21"/>
                <w:highlight w:val="none"/>
                <w:lang w:val="en-US" w:eastAsia="en-US" w:bidi="ar-SA"/>
              </w:rPr>
              <w:t>向招标人提出异议。招标人将当场对异议给予处理或者告知处理的办法。异议和答复应记入开标记录或者制作专门记录以存档备查。</w:t>
            </w:r>
          </w:p>
          <w:p w14:paraId="57014D55">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（三）投标人及其他利害关系人对评标结果有异议的，应当在中标候选人公示期内以书面形式向招标人提出。招标人应在收到异议之日起3日内作出书面答复；作出答复前，暂停招标投标活动。</w:t>
            </w:r>
          </w:p>
          <w:p w14:paraId="4A241308">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trike w:val="0"/>
                <w:dstrike w:val="0"/>
                <w:snapToGrid w:val="0"/>
                <w:color w:val="auto"/>
                <w:kern w:val="0"/>
                <w:sz w:val="21"/>
                <w:szCs w:val="21"/>
                <w:highlight w:val="none"/>
                <w:lang w:val="en-US" w:eastAsia="en-US" w:bidi="ar-SA"/>
              </w:rPr>
            </w:pPr>
            <w:r>
              <w:rPr>
                <w:rFonts w:hint="eastAsia" w:ascii="宋体" w:hAnsi="宋体" w:eastAsia="宋体" w:cs="宋体"/>
                <w:strike w:val="0"/>
                <w:dstrike w:val="0"/>
                <w:snapToGrid w:val="0"/>
                <w:color w:val="auto"/>
                <w:kern w:val="0"/>
                <w:sz w:val="21"/>
                <w:szCs w:val="21"/>
                <w:highlight w:val="none"/>
                <w:lang w:val="en-US" w:eastAsia="en-US" w:bidi="ar-SA"/>
              </w:rPr>
              <w:t>（四）对招标文件、开标结果和评标结果的异议，提出和答复均应通过</w:t>
            </w:r>
            <w:r>
              <w:rPr>
                <w:rFonts w:hint="eastAsia" w:cs="宋体"/>
                <w:strike w:val="0"/>
                <w:dstrike w:val="0"/>
                <w:snapToGrid w:val="0"/>
                <w:color w:val="auto"/>
                <w:kern w:val="0"/>
                <w:sz w:val="21"/>
                <w:szCs w:val="21"/>
                <w:highlight w:val="none"/>
                <w:lang w:val="en-US" w:eastAsia="zh-CN" w:bidi="ar-SA"/>
              </w:rPr>
              <w:t>电子招投标交易平台或书面形式提出（均需加盖投标单位公章，电子扫描件可加盖电子公章发送至邮箱294148036@qq.com）</w:t>
            </w:r>
            <w:r>
              <w:rPr>
                <w:rFonts w:hint="eastAsia" w:ascii="宋体" w:hAnsi="宋体" w:eastAsia="宋体" w:cs="宋体"/>
                <w:strike w:val="0"/>
                <w:dstrike w:val="0"/>
                <w:snapToGrid w:val="0"/>
                <w:color w:val="auto"/>
                <w:kern w:val="0"/>
                <w:sz w:val="21"/>
                <w:szCs w:val="21"/>
                <w:highlight w:val="none"/>
                <w:lang w:val="en-US" w:eastAsia="en-US" w:bidi="ar-SA"/>
              </w:rPr>
              <w:t>。</w:t>
            </w:r>
          </w:p>
          <w:p w14:paraId="29A8F7A6">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2．投诉</w:t>
            </w:r>
          </w:p>
          <w:p w14:paraId="2C12ED4C">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投标人或者其他利害关系人认为招标投标活动不符合法律、行政法规和招标文件规定的，可以自知道或者应当知道之日起10日内向有关行政监督部门投诉。投诉应当有明确的请求和必要的证明资料，具体要求应符合《工程建设项目招标投标活动投诉处理办法》（国家发改委等七部委2004年第11号令）规定。</w:t>
            </w:r>
          </w:p>
          <w:p w14:paraId="6BA53DC0">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就招标文件、开标和评标结果投诉的，应当先向招标人提出异议，异议答复期不计算在前款规定的期限内。</w:t>
            </w:r>
          </w:p>
          <w:p w14:paraId="5B64E334">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3．上述时限最后一日如遇国家法定休假日的，顺延至法定休假日后的第一个工作日。</w:t>
            </w:r>
          </w:p>
          <w:p w14:paraId="31EEED38">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前款所提的应当知道起始时间界定为：1.对招标文件公告资格条件的投诉以</w:t>
            </w:r>
            <w:r>
              <w:rPr>
                <w:color w:val="auto"/>
                <w:sz w:val="21"/>
                <w:szCs w:val="21"/>
                <w:highlight w:val="none"/>
              </w:rPr>
              <w:t>交易平台可供下载招标文</w:t>
            </w:r>
            <w:r>
              <w:rPr>
                <w:color w:val="auto"/>
                <w:spacing w:val="-1"/>
                <w:sz w:val="21"/>
                <w:szCs w:val="21"/>
                <w:highlight w:val="none"/>
              </w:rPr>
              <w:t>件的</w:t>
            </w:r>
            <w:r>
              <w:rPr>
                <w:rFonts w:hint="eastAsia" w:ascii="宋体" w:hAnsi="宋体" w:eastAsia="宋体" w:cs="宋体"/>
                <w:snapToGrid w:val="0"/>
                <w:color w:val="auto"/>
                <w:kern w:val="0"/>
                <w:sz w:val="21"/>
                <w:szCs w:val="21"/>
                <w:highlight w:val="none"/>
                <w:lang w:val="en-US" w:eastAsia="en-US" w:bidi="ar-SA"/>
              </w:rPr>
              <w:t>第一天为准；2.对除公告资格条件外招标文件其他内容的投诉以招标文件以</w:t>
            </w:r>
            <w:r>
              <w:rPr>
                <w:color w:val="auto"/>
                <w:sz w:val="21"/>
                <w:szCs w:val="21"/>
                <w:highlight w:val="none"/>
              </w:rPr>
              <w:t>交易平台可供下载最后一天为准</w:t>
            </w:r>
            <w:r>
              <w:rPr>
                <w:rFonts w:hint="eastAsia" w:ascii="宋体" w:hAnsi="宋体" w:eastAsia="宋体" w:cs="宋体"/>
                <w:snapToGrid w:val="0"/>
                <w:color w:val="auto"/>
                <w:kern w:val="0"/>
                <w:sz w:val="21"/>
                <w:szCs w:val="21"/>
                <w:highlight w:val="none"/>
                <w:lang w:val="en-US" w:eastAsia="en-US" w:bidi="ar-SA"/>
              </w:rPr>
              <w:t>；3.对开标的投诉以开标时间为准；4.对评标结果的投诉以中标候选人公示期的起始时间为准（招标人发起的投诉除外）。</w:t>
            </w:r>
          </w:p>
          <w:p w14:paraId="7326A413">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投诉受理机构：</w:t>
            </w:r>
            <w:r>
              <w:rPr>
                <w:rFonts w:hint="eastAsia" w:ascii="宋体" w:hAnsi="宋体" w:eastAsia="宋体" w:cs="宋体"/>
                <w:snapToGrid w:val="0"/>
                <w:color w:val="auto"/>
                <w:kern w:val="0"/>
                <w:sz w:val="21"/>
                <w:szCs w:val="21"/>
                <w:highlight w:val="none"/>
                <w:u w:val="single"/>
                <w:lang w:val="en-US" w:eastAsia="en-US" w:bidi="ar-SA"/>
              </w:rPr>
              <w:t xml:space="preserve"> </w:t>
            </w:r>
            <w:r>
              <w:rPr>
                <w:rFonts w:hint="eastAsia" w:cs="宋体"/>
                <w:snapToGrid w:val="0"/>
                <w:color w:val="auto"/>
                <w:kern w:val="0"/>
                <w:sz w:val="21"/>
                <w:szCs w:val="21"/>
                <w:highlight w:val="none"/>
                <w:u w:val="single"/>
                <w:lang w:val="en-US" w:eastAsia="zh-CN" w:bidi="ar-SA"/>
              </w:rPr>
              <w:t>绍兴市水利局，联系电话0575-87523317</w:t>
            </w:r>
            <w:r>
              <w:rPr>
                <w:rFonts w:hint="eastAsia" w:ascii="宋体" w:hAnsi="宋体" w:eastAsia="宋体" w:cs="宋体"/>
                <w:snapToGrid w:val="0"/>
                <w:color w:val="auto"/>
                <w:kern w:val="0"/>
                <w:sz w:val="21"/>
                <w:szCs w:val="21"/>
                <w:highlight w:val="none"/>
                <w:lang w:val="en-US" w:eastAsia="en-US" w:bidi="ar-SA"/>
              </w:rPr>
              <w:t>。</w:t>
            </w:r>
          </w:p>
        </w:tc>
      </w:tr>
    </w:tbl>
    <w:p w14:paraId="4EE64265">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1FFF2A39">
      <w:pPr>
        <w:spacing w:line="89" w:lineRule="auto"/>
        <w:rPr>
          <w:rFonts w:ascii="Arial"/>
          <w:color w:val="auto"/>
          <w:sz w:val="2"/>
          <w:highlight w:val="none"/>
        </w:rPr>
      </w:pPr>
    </w:p>
    <w:tbl>
      <w:tblPr>
        <w:tblStyle w:val="32"/>
        <w:tblW w:w="8900" w:type="dxa"/>
        <w:tblInd w:w="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2444"/>
        <w:gridCol w:w="5503"/>
      </w:tblGrid>
      <w:tr w14:paraId="5A1A54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556" w:hRule="atLeast"/>
        </w:trPr>
        <w:tc>
          <w:tcPr>
            <w:tcW w:w="953" w:type="dxa"/>
            <w:tcBorders>
              <w:left w:val="single" w:color="000000" w:sz="6" w:space="0"/>
            </w:tcBorders>
            <w:shd w:val="clear" w:color="auto" w:fill="auto"/>
            <w:vAlign w:val="top"/>
          </w:tcPr>
          <w:p w14:paraId="23060BD1">
            <w:pPr>
              <w:spacing w:before="255" w:line="234" w:lineRule="auto"/>
              <w:ind w:left="384" w:leftChars="0"/>
              <w:rPr>
                <w:rFonts w:ascii="Times New Roman" w:hAnsi="Times New Roman" w:eastAsia="Times New Roman" w:cs="Times New Roman"/>
                <w:snapToGrid w:val="0"/>
                <w:color w:val="000000"/>
                <w:kern w:val="0"/>
                <w:sz w:val="21"/>
                <w:szCs w:val="21"/>
                <w:lang w:val="en-US" w:eastAsia="en-US" w:bidi="ar-SA"/>
              </w:rPr>
            </w:pPr>
            <w:r>
              <w:rPr>
                <w:rFonts w:ascii="Times New Roman" w:hAnsi="Times New Roman" w:eastAsia="Times New Roman" w:cs="Times New Roman"/>
                <w:spacing w:val="-6"/>
                <w:sz w:val="21"/>
                <w:szCs w:val="21"/>
              </w:rPr>
              <w:t>10</w:t>
            </w:r>
          </w:p>
        </w:tc>
        <w:tc>
          <w:tcPr>
            <w:tcW w:w="7947" w:type="dxa"/>
            <w:gridSpan w:val="2"/>
            <w:tcBorders>
              <w:right w:val="single" w:color="000000" w:sz="6" w:space="0"/>
            </w:tcBorders>
            <w:shd w:val="clear" w:color="auto" w:fill="auto"/>
            <w:vAlign w:val="top"/>
          </w:tcPr>
          <w:p w14:paraId="3A17B945">
            <w:pPr>
              <w:pStyle w:val="33"/>
              <w:spacing w:before="29" w:line="292" w:lineRule="auto"/>
              <w:ind w:left="110" w:leftChars="0" w:right="135" w:rightChars="0" w:firstLine="217" w:firstLineChars="0"/>
              <w:jc w:val="center"/>
              <w:rPr>
                <w:rFonts w:hint="eastAsia" w:ascii="宋体" w:hAnsi="宋体" w:eastAsia="宋体" w:cs="宋体"/>
                <w:snapToGrid w:val="0"/>
                <w:color w:val="000000"/>
                <w:kern w:val="0"/>
                <w:sz w:val="32"/>
                <w:szCs w:val="32"/>
                <w:lang w:val="en-US" w:eastAsia="en-US" w:bidi="ar-SA"/>
              </w:rPr>
            </w:pPr>
            <w:r>
              <w:rPr>
                <w:rFonts w:ascii="宋体" w:hAnsi="宋体" w:eastAsia="宋体" w:cs="宋体"/>
                <w:color w:val="auto"/>
                <w:sz w:val="21"/>
                <w:szCs w:val="21"/>
                <w:highlight w:val="none"/>
              </w:rPr>
              <w:t>其他内容</w:t>
            </w:r>
          </w:p>
        </w:tc>
      </w:tr>
      <w:tr w14:paraId="5A75E6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1" w:hRule="atLeast"/>
        </w:trPr>
        <w:tc>
          <w:tcPr>
            <w:tcW w:w="953" w:type="dxa"/>
            <w:tcBorders>
              <w:left w:val="single" w:color="000000" w:sz="6" w:space="0"/>
            </w:tcBorders>
            <w:shd w:val="clear" w:color="auto" w:fill="auto"/>
            <w:vAlign w:val="top"/>
          </w:tcPr>
          <w:p w14:paraId="02455323">
            <w:pPr>
              <w:spacing w:before="259" w:line="233" w:lineRule="auto"/>
              <w:ind w:left="307" w:leftChars="0"/>
              <w:rPr>
                <w:rFonts w:ascii="Times New Roman" w:hAnsi="Times New Roman" w:eastAsia="Times New Roman" w:cs="Times New Roman"/>
                <w:snapToGrid w:val="0"/>
                <w:color w:val="000000"/>
                <w:kern w:val="0"/>
                <w:sz w:val="21"/>
                <w:szCs w:val="21"/>
                <w:lang w:val="en-US" w:eastAsia="en-US" w:bidi="ar-SA"/>
              </w:rPr>
            </w:pPr>
            <w:r>
              <w:rPr>
                <w:rFonts w:ascii="Times New Roman" w:hAnsi="Times New Roman" w:eastAsia="Times New Roman" w:cs="Times New Roman"/>
                <w:spacing w:val="-5"/>
                <w:sz w:val="21"/>
                <w:szCs w:val="21"/>
              </w:rPr>
              <w:t>10.1</w:t>
            </w:r>
          </w:p>
        </w:tc>
        <w:tc>
          <w:tcPr>
            <w:tcW w:w="2444" w:type="dxa"/>
            <w:shd w:val="clear" w:color="auto" w:fill="auto"/>
            <w:vAlign w:val="center"/>
          </w:tcPr>
          <w:p w14:paraId="18004BC7">
            <w:pPr>
              <w:pStyle w:val="33"/>
              <w:spacing w:before="29" w:line="292" w:lineRule="auto"/>
              <w:ind w:left="110" w:leftChars="0" w:right="135" w:rightChars="0" w:firstLine="217" w:firstLineChars="0"/>
              <w:jc w:val="left"/>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类似项目</w:t>
            </w:r>
          </w:p>
        </w:tc>
        <w:tc>
          <w:tcPr>
            <w:tcW w:w="5503" w:type="dxa"/>
            <w:tcBorders>
              <w:right w:val="single" w:color="000000" w:sz="6" w:space="0"/>
            </w:tcBorders>
            <w:shd w:val="clear" w:color="auto" w:fill="auto"/>
            <w:vAlign w:val="top"/>
          </w:tcPr>
          <w:p w14:paraId="6CCB5A09">
            <w:pPr>
              <w:pStyle w:val="33"/>
              <w:spacing w:before="29" w:line="292" w:lineRule="auto"/>
              <w:ind w:right="135" w:rightChars="0"/>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详见招标公告（或投标邀请书）。</w:t>
            </w:r>
          </w:p>
        </w:tc>
      </w:tr>
      <w:tr w14:paraId="481FAC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2743" w:hRule="atLeast"/>
        </w:trPr>
        <w:tc>
          <w:tcPr>
            <w:tcW w:w="953" w:type="dxa"/>
            <w:tcBorders>
              <w:left w:val="single" w:color="000000" w:sz="6" w:space="0"/>
            </w:tcBorders>
            <w:shd w:val="clear" w:color="auto" w:fill="auto"/>
            <w:vAlign w:val="top"/>
          </w:tcPr>
          <w:p w14:paraId="465870BF">
            <w:pPr>
              <w:spacing w:line="269" w:lineRule="auto"/>
              <w:rPr>
                <w:rFonts w:ascii="Arial"/>
                <w:sz w:val="21"/>
              </w:rPr>
            </w:pPr>
          </w:p>
          <w:p w14:paraId="78100CCB">
            <w:pPr>
              <w:spacing w:line="269" w:lineRule="auto"/>
              <w:rPr>
                <w:rFonts w:ascii="Arial"/>
                <w:sz w:val="21"/>
              </w:rPr>
            </w:pPr>
          </w:p>
          <w:p w14:paraId="4875E034">
            <w:pPr>
              <w:spacing w:line="269" w:lineRule="auto"/>
              <w:rPr>
                <w:rFonts w:ascii="Arial"/>
                <w:sz w:val="21"/>
              </w:rPr>
            </w:pPr>
          </w:p>
          <w:p w14:paraId="162BB34C">
            <w:pPr>
              <w:spacing w:line="269" w:lineRule="auto"/>
              <w:rPr>
                <w:rFonts w:ascii="Arial"/>
                <w:sz w:val="21"/>
              </w:rPr>
            </w:pPr>
          </w:p>
          <w:p w14:paraId="31473E25">
            <w:pPr>
              <w:spacing w:before="60" w:line="233" w:lineRule="auto"/>
              <w:jc w:val="center"/>
              <w:rPr>
                <w:rFonts w:ascii="Times New Roman" w:hAnsi="Times New Roman" w:eastAsia="Times New Roman" w:cs="Times New Roman"/>
                <w:snapToGrid w:val="0"/>
                <w:color w:val="000000"/>
                <w:kern w:val="0"/>
                <w:sz w:val="21"/>
                <w:szCs w:val="21"/>
                <w:lang w:val="en-US" w:eastAsia="en-US" w:bidi="ar-SA"/>
              </w:rPr>
            </w:pPr>
            <w:r>
              <w:rPr>
                <w:rFonts w:ascii="Times New Roman" w:hAnsi="Times New Roman" w:eastAsia="Times New Roman" w:cs="Times New Roman"/>
                <w:spacing w:val="-5"/>
                <w:sz w:val="21"/>
                <w:szCs w:val="21"/>
              </w:rPr>
              <w:t>10.2</w:t>
            </w:r>
          </w:p>
        </w:tc>
        <w:tc>
          <w:tcPr>
            <w:tcW w:w="2444" w:type="dxa"/>
            <w:shd w:val="clear" w:color="auto" w:fill="auto"/>
            <w:vAlign w:val="top"/>
          </w:tcPr>
          <w:p w14:paraId="15317A17">
            <w:pPr>
              <w:pStyle w:val="33"/>
              <w:spacing w:before="29" w:line="292" w:lineRule="auto"/>
              <w:ind w:left="110" w:leftChars="0" w:right="135" w:rightChars="0" w:firstLine="217" w:firstLineChars="0"/>
              <w:rPr>
                <w:rFonts w:hint="eastAsia" w:ascii="宋体" w:hAnsi="宋体" w:eastAsia="宋体" w:cs="宋体"/>
                <w:snapToGrid w:val="0"/>
                <w:color w:val="auto"/>
                <w:kern w:val="0"/>
                <w:sz w:val="21"/>
                <w:szCs w:val="21"/>
                <w:highlight w:val="none"/>
                <w:lang w:val="en-US" w:eastAsia="en-US" w:bidi="ar-SA"/>
              </w:rPr>
            </w:pPr>
          </w:p>
          <w:p w14:paraId="79F0D6B6">
            <w:pPr>
              <w:pStyle w:val="33"/>
              <w:spacing w:before="29" w:line="292" w:lineRule="auto"/>
              <w:ind w:left="110" w:leftChars="0" w:right="135" w:rightChars="0" w:firstLine="217" w:firstLineChars="0"/>
              <w:rPr>
                <w:rFonts w:hint="eastAsia" w:ascii="宋体" w:hAnsi="宋体" w:eastAsia="宋体" w:cs="宋体"/>
                <w:snapToGrid w:val="0"/>
                <w:color w:val="auto"/>
                <w:kern w:val="0"/>
                <w:sz w:val="21"/>
                <w:szCs w:val="21"/>
                <w:highlight w:val="none"/>
                <w:lang w:val="en-US" w:eastAsia="en-US" w:bidi="ar-SA"/>
              </w:rPr>
            </w:pPr>
          </w:p>
          <w:p w14:paraId="22D13BB4">
            <w:pPr>
              <w:pStyle w:val="33"/>
              <w:spacing w:before="29" w:line="292" w:lineRule="auto"/>
              <w:ind w:left="110" w:leftChars="0" w:right="135" w:rightChars="0" w:firstLine="217" w:firstLineChars="0"/>
              <w:rPr>
                <w:rFonts w:hint="eastAsia" w:ascii="宋体" w:hAnsi="宋体" w:eastAsia="宋体" w:cs="宋体"/>
                <w:snapToGrid w:val="0"/>
                <w:color w:val="auto"/>
                <w:kern w:val="0"/>
                <w:sz w:val="21"/>
                <w:szCs w:val="21"/>
                <w:highlight w:val="none"/>
                <w:lang w:val="en-US" w:eastAsia="en-US" w:bidi="ar-SA"/>
              </w:rPr>
            </w:pPr>
          </w:p>
          <w:p w14:paraId="2F5BE676">
            <w:pPr>
              <w:pStyle w:val="33"/>
              <w:spacing w:before="29" w:line="292" w:lineRule="auto"/>
              <w:ind w:right="135" w:rightChars="0"/>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投标文件的澄清、说明</w:t>
            </w:r>
          </w:p>
        </w:tc>
        <w:tc>
          <w:tcPr>
            <w:tcW w:w="5503" w:type="dxa"/>
            <w:tcBorders>
              <w:right w:val="single" w:color="000000" w:sz="6" w:space="0"/>
            </w:tcBorders>
            <w:shd w:val="clear" w:color="auto" w:fill="auto"/>
            <w:vAlign w:val="top"/>
          </w:tcPr>
          <w:p w14:paraId="258B204B">
            <w:pPr>
              <w:pStyle w:val="33"/>
              <w:keepNext w:val="0"/>
              <w:keepLines w:val="0"/>
              <w:pageBreakBefore w:val="0"/>
              <w:widowControl/>
              <w:kinsoku w:val="0"/>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1．若评标委员会对投标文件进行询标时，投标人逾期或未按要求澄清回复的，将视为不予回复或确认。</w:t>
            </w:r>
          </w:p>
          <w:p w14:paraId="2DBD7EA5">
            <w:pPr>
              <w:pStyle w:val="33"/>
              <w:keepNext w:val="0"/>
              <w:keepLines w:val="0"/>
              <w:pageBreakBefore w:val="0"/>
              <w:widowControl/>
              <w:kinsoku w:val="0"/>
              <w:wordWrap/>
              <w:overflowPunct/>
              <w:topLinePunct w:val="0"/>
              <w:autoSpaceDE w:val="0"/>
              <w:autoSpaceDN w:val="0"/>
              <w:bidi w:val="0"/>
              <w:adjustRightInd w:val="0"/>
              <w:snapToGrid w:val="0"/>
              <w:spacing w:line="293" w:lineRule="auto"/>
              <w:ind w:left="0" w:leftChars="0" w:right="0" w:rightChars="0" w:firstLine="215" w:firstLineChars="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2．评标委员会对投标人提交的澄清、说明或补正有疑问的，可以要求投标人进一步澄清、说明或补正，直至满足评标委员会的要求。投标人的澄清、说明不得超过投标文件的范围或者改变投标文件的实质性内容。评标委员会不得暗示或者诱导投标人作出澄清、说明，不得接受投标人主动提出的澄清、说明。</w:t>
            </w:r>
          </w:p>
        </w:tc>
      </w:tr>
      <w:tr w14:paraId="6287B1E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953" w:type="dxa"/>
            <w:tcBorders>
              <w:left w:val="single" w:color="000000" w:sz="6" w:space="0"/>
            </w:tcBorders>
            <w:shd w:val="clear" w:color="auto" w:fill="auto"/>
            <w:vAlign w:val="center"/>
          </w:tcPr>
          <w:p w14:paraId="195F351E">
            <w:pPr>
              <w:spacing w:before="60" w:line="233" w:lineRule="auto"/>
              <w:ind w:left="307" w:leftChars="0"/>
              <w:rPr>
                <w:rFonts w:hint="default" w:ascii="Times New Roman" w:hAnsi="Times New Roman" w:eastAsia="宋体" w:cs="Times New Roman"/>
                <w:spacing w:val="-5"/>
                <w:sz w:val="21"/>
                <w:szCs w:val="21"/>
                <w:lang w:val="en-US" w:eastAsia="zh-CN"/>
              </w:rPr>
            </w:pPr>
            <w:r>
              <w:rPr>
                <w:rFonts w:hint="eastAsia" w:ascii="Times New Roman" w:hAnsi="Times New Roman" w:eastAsia="宋体" w:cs="Times New Roman"/>
                <w:spacing w:val="-5"/>
                <w:sz w:val="21"/>
                <w:szCs w:val="21"/>
                <w:lang w:val="en-US" w:eastAsia="zh-CN"/>
              </w:rPr>
              <w:t>10.3</w:t>
            </w:r>
          </w:p>
        </w:tc>
        <w:tc>
          <w:tcPr>
            <w:tcW w:w="2444" w:type="dxa"/>
            <w:shd w:val="clear" w:color="auto" w:fill="auto"/>
            <w:vAlign w:val="center"/>
          </w:tcPr>
          <w:p w14:paraId="247B23F6">
            <w:pPr>
              <w:pStyle w:val="33"/>
              <w:spacing w:before="29" w:line="292" w:lineRule="auto"/>
              <w:ind w:right="135" w:rightChars="0"/>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实质性响应招标文件资料及评审打分资料</w:t>
            </w:r>
          </w:p>
        </w:tc>
        <w:tc>
          <w:tcPr>
            <w:tcW w:w="5503" w:type="dxa"/>
            <w:tcBorders>
              <w:right w:val="single" w:color="000000" w:sz="6" w:space="0"/>
            </w:tcBorders>
            <w:shd w:val="clear" w:color="auto" w:fill="auto"/>
            <w:vAlign w:val="top"/>
          </w:tcPr>
          <w:p w14:paraId="25755735">
            <w:pPr>
              <w:pStyle w:val="33"/>
              <w:spacing w:before="29" w:line="292" w:lineRule="auto"/>
              <w:ind w:left="110" w:leftChars="0" w:right="135" w:rightChars="0" w:firstLine="217" w:firstLineChars="0"/>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一、实质性响应招标文件资料</w:t>
            </w:r>
          </w:p>
          <w:p w14:paraId="04336780">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1．企业法人营业执照</w:t>
            </w:r>
            <w:r>
              <w:rPr>
                <w:rFonts w:hint="eastAsia" w:ascii="宋体" w:hAnsi="宋体" w:eastAsia="宋体" w:cs="宋体"/>
                <w:strike/>
                <w:dstrike w:val="0"/>
                <w:snapToGrid w:val="0"/>
                <w:color w:val="auto"/>
                <w:kern w:val="0"/>
                <w:sz w:val="21"/>
                <w:szCs w:val="21"/>
                <w:highlight w:val="none"/>
                <w:lang w:val="en-US" w:eastAsia="en-US" w:bidi="ar-SA"/>
              </w:rPr>
              <w:t>（联合体投标的，联合体各方均应提供）</w:t>
            </w:r>
            <w:r>
              <w:rPr>
                <w:rFonts w:hint="eastAsia" w:ascii="宋体" w:hAnsi="宋体" w:eastAsia="宋体" w:cs="宋体"/>
                <w:snapToGrid w:val="0"/>
                <w:color w:val="auto"/>
                <w:kern w:val="0"/>
                <w:sz w:val="21"/>
                <w:szCs w:val="21"/>
                <w:highlight w:val="none"/>
                <w:lang w:val="en-US" w:eastAsia="en-US" w:bidi="ar-SA"/>
              </w:rPr>
              <w:t>；</w:t>
            </w:r>
          </w:p>
          <w:p w14:paraId="4CE950BC">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2．有效的法定代表人授权委托书（投标文件委托代理人签字的提供，</w:t>
            </w:r>
            <w:r>
              <w:rPr>
                <w:rFonts w:hint="eastAsia" w:ascii="宋体" w:hAnsi="宋体" w:eastAsia="宋体" w:cs="宋体"/>
                <w:strike/>
                <w:dstrike w:val="0"/>
                <w:snapToGrid w:val="0"/>
                <w:color w:val="auto"/>
                <w:kern w:val="0"/>
                <w:sz w:val="21"/>
                <w:szCs w:val="21"/>
                <w:highlight w:val="none"/>
                <w:lang w:val="en-US" w:eastAsia="en-US" w:bidi="ar-SA"/>
              </w:rPr>
              <w:t>联合体投标的，应由联合体牵头人授权委托</w:t>
            </w:r>
            <w:r>
              <w:rPr>
                <w:rFonts w:hint="eastAsia" w:ascii="宋体" w:hAnsi="宋体" w:eastAsia="宋体" w:cs="宋体"/>
                <w:snapToGrid w:val="0"/>
                <w:color w:val="auto"/>
                <w:kern w:val="0"/>
                <w:sz w:val="21"/>
                <w:szCs w:val="21"/>
                <w:highlight w:val="none"/>
                <w:lang w:val="en-US" w:eastAsia="en-US" w:bidi="ar-SA"/>
              </w:rPr>
              <w:t>）；</w:t>
            </w:r>
          </w:p>
          <w:p w14:paraId="495AA4C2">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trike/>
                <w:dstrike w:val="0"/>
                <w:snapToGrid w:val="0"/>
                <w:color w:val="auto"/>
                <w:kern w:val="0"/>
                <w:sz w:val="21"/>
                <w:szCs w:val="21"/>
                <w:highlight w:val="none"/>
                <w:lang w:val="en-US" w:eastAsia="en-US" w:bidi="ar-SA"/>
              </w:rPr>
              <w:t>3．联合体各方签订的共同投标协议（联合体投标的提供）；</w:t>
            </w:r>
          </w:p>
          <w:p w14:paraId="7E88F350">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4．建筑业企业资质证书；自公告发布之日至投标截止日之间在“浙江省建筑市场监管公共服务系统”上公布的参与投标施工资质的任意一期动态核查结果为“合格”的动态核查证书；（</w:t>
            </w:r>
            <w:r>
              <w:rPr>
                <w:rFonts w:hint="eastAsia" w:ascii="宋体" w:hAnsi="宋体" w:eastAsia="宋体" w:cs="宋体"/>
                <w:strike/>
                <w:dstrike w:val="0"/>
                <w:snapToGrid w:val="0"/>
                <w:color w:val="auto"/>
                <w:kern w:val="0"/>
                <w:sz w:val="21"/>
                <w:szCs w:val="21"/>
                <w:highlight w:val="none"/>
                <w:u w:val="none"/>
                <w:lang w:val="en-US" w:eastAsia="en-US" w:bidi="ar-SA"/>
              </w:rPr>
              <w:t xml:space="preserve">联合体投标的，联合体各方均应提供参与投标资质的“资质动态核查结果证明” </w:t>
            </w:r>
            <w:r>
              <w:rPr>
                <w:rFonts w:hint="eastAsia" w:ascii="宋体" w:hAnsi="宋体" w:eastAsia="宋体" w:cs="宋体"/>
                <w:snapToGrid w:val="0"/>
                <w:color w:val="auto"/>
                <w:kern w:val="0"/>
                <w:sz w:val="21"/>
                <w:szCs w:val="21"/>
                <w:highlight w:val="none"/>
                <w:lang w:val="en-US" w:eastAsia="en-US" w:bidi="ar-SA"/>
              </w:rPr>
              <w:t>）</w:t>
            </w:r>
          </w:p>
          <w:p w14:paraId="31884460">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5．企业安全生产许可证</w:t>
            </w:r>
            <w:r>
              <w:rPr>
                <w:rFonts w:hint="eastAsia" w:ascii="宋体" w:hAnsi="宋体" w:eastAsia="宋体" w:cs="宋体"/>
                <w:strike/>
                <w:dstrike w:val="0"/>
                <w:snapToGrid w:val="0"/>
                <w:color w:val="auto"/>
                <w:kern w:val="0"/>
                <w:sz w:val="21"/>
                <w:szCs w:val="21"/>
                <w:highlight w:val="none"/>
                <w:lang w:val="en-US" w:eastAsia="en-US" w:bidi="ar-SA"/>
              </w:rPr>
              <w:t>（联合体投标的，联合体各方均应提供）</w:t>
            </w:r>
            <w:r>
              <w:rPr>
                <w:rFonts w:hint="eastAsia" w:ascii="宋体" w:hAnsi="宋体" w:eastAsia="宋体" w:cs="宋体"/>
                <w:snapToGrid w:val="0"/>
                <w:color w:val="auto"/>
                <w:kern w:val="0"/>
                <w:sz w:val="21"/>
                <w:szCs w:val="21"/>
                <w:highlight w:val="none"/>
                <w:lang w:val="en-US" w:eastAsia="en-US" w:bidi="ar-SA"/>
              </w:rPr>
              <w:t>；</w:t>
            </w:r>
          </w:p>
          <w:p w14:paraId="3B3AA014">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6．企业主要负责人（法定代表人、企业经理、企业分管安全生产的副经理、企业技术负责人）“三类人员”A类证书，企业经理、企业技术负责人、企业分管安全生产副经理企业的任命书</w:t>
            </w:r>
            <w:r>
              <w:rPr>
                <w:rFonts w:hint="eastAsia" w:ascii="宋体" w:hAnsi="宋体" w:eastAsia="宋体" w:cs="宋体"/>
                <w:strike/>
                <w:dstrike w:val="0"/>
                <w:snapToGrid w:val="0"/>
                <w:color w:val="auto"/>
                <w:kern w:val="0"/>
                <w:sz w:val="21"/>
                <w:szCs w:val="21"/>
                <w:highlight w:val="none"/>
                <w:lang w:val="en-US" w:eastAsia="en-US" w:bidi="ar-SA"/>
              </w:rPr>
              <w:t>（联合体投标的，联合体各方均应提供）</w:t>
            </w:r>
            <w:r>
              <w:rPr>
                <w:rFonts w:hint="eastAsia" w:ascii="宋体" w:hAnsi="宋体" w:eastAsia="宋体" w:cs="宋体"/>
                <w:snapToGrid w:val="0"/>
                <w:color w:val="auto"/>
                <w:kern w:val="0"/>
                <w:sz w:val="21"/>
                <w:szCs w:val="21"/>
                <w:highlight w:val="none"/>
                <w:lang w:val="en-US" w:eastAsia="en-US" w:bidi="ar-SA"/>
              </w:rPr>
              <w:t>；</w:t>
            </w:r>
          </w:p>
          <w:p w14:paraId="359D27B3">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7．项目负责人、技术负责人（如选择提供建造师证书）、</w:t>
            </w:r>
            <w:r>
              <w:rPr>
                <w:rFonts w:hint="eastAsia" w:ascii="宋体" w:hAnsi="宋体" w:eastAsia="宋体" w:cs="宋体"/>
                <w:strike/>
                <w:dstrike w:val="0"/>
                <w:snapToGrid w:val="0"/>
                <w:color w:val="auto"/>
                <w:kern w:val="0"/>
                <w:sz w:val="21"/>
                <w:szCs w:val="21"/>
                <w:highlight w:val="none"/>
                <w:lang w:val="en-US" w:eastAsia="en-US" w:bidi="ar-SA"/>
              </w:rPr>
              <w:t>副项目负责人（如有）</w:t>
            </w:r>
            <w:r>
              <w:rPr>
                <w:rFonts w:hint="eastAsia" w:ascii="宋体" w:hAnsi="宋体" w:eastAsia="宋体" w:cs="宋体"/>
                <w:snapToGrid w:val="0"/>
                <w:color w:val="auto"/>
                <w:kern w:val="0"/>
                <w:sz w:val="21"/>
                <w:szCs w:val="21"/>
                <w:highlight w:val="none"/>
                <w:lang w:val="en-US" w:eastAsia="en-US" w:bidi="ar-SA"/>
              </w:rPr>
              <w:t>注册执业证书；</w:t>
            </w:r>
          </w:p>
          <w:p w14:paraId="243AE5FC">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8．技术负责人（如选择提供职称证书）、</w:t>
            </w:r>
            <w:r>
              <w:rPr>
                <w:rFonts w:hint="eastAsia" w:ascii="宋体" w:hAnsi="宋体" w:eastAsia="宋体" w:cs="宋体"/>
                <w:strike/>
                <w:dstrike w:val="0"/>
                <w:snapToGrid w:val="0"/>
                <w:color w:val="auto"/>
                <w:kern w:val="0"/>
                <w:sz w:val="21"/>
                <w:szCs w:val="21"/>
                <w:highlight w:val="none"/>
                <w:lang w:val="en-US" w:eastAsia="en-US" w:bidi="ar-SA"/>
              </w:rPr>
              <w:t>副项目负责人（如有）</w:t>
            </w:r>
            <w:r>
              <w:rPr>
                <w:rFonts w:hint="eastAsia" w:ascii="宋体" w:hAnsi="宋体" w:eastAsia="宋体" w:cs="宋体"/>
                <w:snapToGrid w:val="0"/>
                <w:color w:val="auto"/>
                <w:kern w:val="0"/>
                <w:sz w:val="21"/>
                <w:szCs w:val="21"/>
                <w:highlight w:val="none"/>
                <w:lang w:val="en-US" w:eastAsia="en-US" w:bidi="ar-SA"/>
              </w:rPr>
              <w:t>职称证书；</w:t>
            </w:r>
          </w:p>
          <w:p w14:paraId="1BBC5313">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9．项目负责人“三类人员”B 类证书；</w:t>
            </w:r>
          </w:p>
          <w:p w14:paraId="18BDB160">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10．施工现场专职安全生产管理人员“三类人员”C 类证书；</w:t>
            </w:r>
          </w:p>
          <w:p w14:paraId="1CB670A4">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11．项目组主要人员在浙江省水利厅“浙江省水利工程建设管理系统（透明工程）” 下载人员信息打印件，打印件应含有“浙江水利透明工程”水印；</w:t>
            </w:r>
          </w:p>
          <w:p w14:paraId="29ADDB88">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12．投标承诺书（按照招标文件提供的格式条款提供）并附无行贿犯罪、失信被执行人名单查询截图（查询时间应在招标公告发布后投标截止时间前）；</w:t>
            </w:r>
          </w:p>
          <w:p w14:paraId="42447746">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trike/>
                <w:dstrike w:val="0"/>
                <w:snapToGrid w:val="0"/>
                <w:color w:val="auto"/>
                <w:kern w:val="0"/>
                <w:sz w:val="21"/>
                <w:szCs w:val="21"/>
                <w:highlight w:val="none"/>
                <w:lang w:val="en-US" w:eastAsia="en-US" w:bidi="ar-SA"/>
              </w:rPr>
            </w:pPr>
            <w:r>
              <w:rPr>
                <w:rFonts w:hint="eastAsia" w:ascii="宋体" w:hAnsi="宋体" w:eastAsia="宋体" w:cs="宋体"/>
                <w:strike/>
                <w:dstrike w:val="0"/>
                <w:snapToGrid w:val="0"/>
                <w:color w:val="auto"/>
                <w:kern w:val="0"/>
                <w:sz w:val="21"/>
                <w:szCs w:val="21"/>
                <w:highlight w:val="none"/>
                <w:lang w:val="en-US" w:eastAsia="en-US" w:bidi="ar-SA"/>
              </w:rPr>
              <w:t>□13.《中小企业声明函》（面向中小企业招标的，投标人或联合体中的中小企业需提供。按照招标文件提供的格式条款提供）。</w:t>
            </w:r>
          </w:p>
          <w:p w14:paraId="428396EE">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trike/>
                <w:dstrike w:val="0"/>
                <w:snapToGrid w:val="0"/>
                <w:color w:val="auto"/>
                <w:kern w:val="0"/>
                <w:sz w:val="21"/>
                <w:szCs w:val="21"/>
                <w:highlight w:val="none"/>
                <w:lang w:val="en-US" w:eastAsia="en-US" w:bidi="ar-SA"/>
              </w:rPr>
            </w:pPr>
            <w:r>
              <w:rPr>
                <w:rFonts w:hint="eastAsia" w:cs="宋体"/>
                <w:strike/>
                <w:dstrike w:val="0"/>
                <w:snapToGrid w:val="0"/>
                <w:color w:val="auto"/>
                <w:kern w:val="0"/>
                <w:sz w:val="21"/>
                <w:szCs w:val="21"/>
                <w:highlight w:val="none"/>
                <w:lang w:val="en-US" w:eastAsia="zh-CN" w:bidi="ar-SA"/>
              </w:rPr>
              <w:t>□</w:t>
            </w:r>
            <w:r>
              <w:rPr>
                <w:rFonts w:hint="eastAsia" w:ascii="宋体" w:hAnsi="宋体" w:eastAsia="宋体" w:cs="宋体"/>
                <w:strike/>
                <w:dstrike w:val="0"/>
                <w:snapToGrid w:val="0"/>
                <w:color w:val="auto"/>
                <w:kern w:val="0"/>
                <w:sz w:val="21"/>
                <w:szCs w:val="21"/>
                <w:highlight w:val="none"/>
                <w:lang w:val="en-US" w:eastAsia="en-US" w:bidi="ar-SA"/>
              </w:rPr>
              <w:t>14．符合招标公告要求的类似项目施工业绩证明材料；</w:t>
            </w:r>
          </w:p>
          <w:p w14:paraId="6C20F076">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en-US" w:bidi="ar-SA"/>
              </w:rPr>
              <w:t>15．投标保证金缴纳证明资料（银行转账记录或银行保函或保险机构保险保单或融资担保公司保函）；</w:t>
            </w:r>
          </w:p>
          <w:p w14:paraId="536F7BE6">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16．拟派项目组主要人员应提供</w:t>
            </w:r>
            <w:r>
              <w:rPr>
                <w:rFonts w:hint="eastAsia" w:ascii="宋体" w:hAnsi="宋体" w:eastAsia="宋体" w:cs="宋体"/>
                <w:snapToGrid w:val="0"/>
                <w:color w:val="auto"/>
                <w:kern w:val="0"/>
                <w:sz w:val="21"/>
                <w:szCs w:val="21"/>
                <w:highlight w:val="none"/>
                <w:u w:val="single"/>
                <w:lang w:val="en-US" w:eastAsia="zh-CN" w:bidi="ar-SA"/>
              </w:rPr>
              <w:t>2025</w:t>
            </w:r>
            <w:r>
              <w:rPr>
                <w:rFonts w:hint="eastAsia" w:ascii="宋体" w:hAnsi="宋体" w:eastAsia="宋体" w:cs="宋体"/>
                <w:snapToGrid w:val="0"/>
                <w:color w:val="auto"/>
                <w:kern w:val="0"/>
                <w:sz w:val="21"/>
                <w:szCs w:val="21"/>
                <w:highlight w:val="none"/>
                <w:lang w:val="en-US" w:eastAsia="en-US" w:bidi="ar-SA"/>
              </w:rPr>
              <w:t>年</w:t>
            </w:r>
            <w:r>
              <w:rPr>
                <w:rFonts w:hint="eastAsia" w:ascii="宋体" w:hAnsi="宋体" w:eastAsia="宋体" w:cs="宋体"/>
                <w:snapToGrid w:val="0"/>
                <w:color w:val="auto"/>
                <w:kern w:val="0"/>
                <w:sz w:val="21"/>
                <w:szCs w:val="21"/>
                <w:highlight w:val="none"/>
                <w:u w:val="single"/>
                <w:lang w:val="en-US" w:eastAsia="zh-CN" w:bidi="ar-SA"/>
              </w:rPr>
              <w:t>11</w:t>
            </w:r>
            <w:r>
              <w:rPr>
                <w:rFonts w:hint="eastAsia" w:ascii="宋体" w:hAnsi="宋体" w:eastAsia="宋体" w:cs="宋体"/>
                <w:snapToGrid w:val="0"/>
                <w:color w:val="auto"/>
                <w:kern w:val="0"/>
                <w:sz w:val="21"/>
                <w:szCs w:val="21"/>
                <w:highlight w:val="none"/>
                <w:lang w:val="en-US" w:eastAsia="en-US" w:bidi="ar-SA"/>
              </w:rPr>
              <w:t>月、</w:t>
            </w:r>
            <w:r>
              <w:rPr>
                <w:rFonts w:hint="eastAsia" w:ascii="宋体" w:hAnsi="宋体" w:eastAsia="宋体" w:cs="宋体"/>
                <w:snapToGrid w:val="0"/>
                <w:color w:val="auto"/>
                <w:kern w:val="0"/>
                <w:sz w:val="21"/>
                <w:szCs w:val="21"/>
                <w:highlight w:val="none"/>
                <w:u w:val="single"/>
                <w:lang w:val="en-US" w:eastAsia="zh-CN" w:bidi="ar-SA"/>
              </w:rPr>
              <w:t>2025</w:t>
            </w:r>
            <w:r>
              <w:rPr>
                <w:rFonts w:hint="eastAsia" w:ascii="宋体" w:hAnsi="宋体" w:eastAsia="宋体" w:cs="宋体"/>
                <w:snapToGrid w:val="0"/>
                <w:color w:val="auto"/>
                <w:kern w:val="0"/>
                <w:sz w:val="21"/>
                <w:szCs w:val="21"/>
                <w:highlight w:val="none"/>
                <w:lang w:val="en-US" w:eastAsia="en-US" w:bidi="ar-SA"/>
              </w:rPr>
              <w:t>年</w:t>
            </w:r>
            <w:r>
              <w:rPr>
                <w:rFonts w:hint="eastAsia" w:ascii="宋体" w:hAnsi="宋体" w:eastAsia="宋体" w:cs="宋体"/>
                <w:snapToGrid w:val="0"/>
                <w:color w:val="auto"/>
                <w:kern w:val="0"/>
                <w:sz w:val="21"/>
                <w:szCs w:val="21"/>
                <w:highlight w:val="none"/>
                <w:u w:val="single"/>
                <w:lang w:val="en-US" w:eastAsia="zh-CN" w:bidi="ar-SA"/>
              </w:rPr>
              <w:t>12</w:t>
            </w:r>
            <w:r>
              <w:rPr>
                <w:rFonts w:hint="eastAsia" w:ascii="宋体" w:hAnsi="宋体" w:eastAsia="宋体" w:cs="宋体"/>
                <w:snapToGrid w:val="0"/>
                <w:color w:val="auto"/>
                <w:kern w:val="0"/>
                <w:sz w:val="21"/>
                <w:szCs w:val="21"/>
                <w:highlight w:val="none"/>
                <w:lang w:val="en-US" w:eastAsia="en-US" w:bidi="ar-SA"/>
              </w:rPr>
              <w:t>月、</w:t>
            </w:r>
            <w:r>
              <w:rPr>
                <w:rFonts w:hint="eastAsia" w:ascii="宋体" w:hAnsi="宋体" w:eastAsia="宋体" w:cs="宋体"/>
                <w:snapToGrid w:val="0"/>
                <w:color w:val="auto"/>
                <w:kern w:val="0"/>
                <w:sz w:val="21"/>
                <w:szCs w:val="21"/>
                <w:highlight w:val="none"/>
                <w:u w:val="single"/>
                <w:lang w:val="en-US" w:eastAsia="zh-CN" w:bidi="ar-SA"/>
              </w:rPr>
              <w:t>2026</w:t>
            </w:r>
            <w:r>
              <w:rPr>
                <w:rFonts w:hint="eastAsia" w:ascii="宋体" w:hAnsi="宋体" w:eastAsia="宋体" w:cs="宋体"/>
                <w:snapToGrid w:val="0"/>
                <w:color w:val="auto"/>
                <w:kern w:val="0"/>
                <w:sz w:val="21"/>
                <w:szCs w:val="21"/>
                <w:highlight w:val="none"/>
                <w:lang w:val="en-US" w:eastAsia="en-US" w:bidi="ar-SA"/>
              </w:rPr>
              <w:t>年</w:t>
            </w:r>
            <w:r>
              <w:rPr>
                <w:rFonts w:hint="eastAsia" w:ascii="宋体" w:hAnsi="宋体" w:eastAsia="宋体" w:cs="宋体"/>
                <w:snapToGrid w:val="0"/>
                <w:color w:val="auto"/>
                <w:kern w:val="0"/>
                <w:sz w:val="21"/>
                <w:szCs w:val="21"/>
                <w:highlight w:val="none"/>
                <w:u w:val="single"/>
                <w:lang w:val="en-US" w:eastAsia="zh-CN" w:bidi="ar-SA"/>
              </w:rPr>
              <w:t xml:space="preserve"> 1 </w:t>
            </w:r>
            <w:r>
              <w:rPr>
                <w:rFonts w:hint="eastAsia" w:ascii="宋体" w:hAnsi="宋体" w:eastAsia="宋体" w:cs="宋体"/>
                <w:snapToGrid w:val="0"/>
                <w:color w:val="auto"/>
                <w:kern w:val="0"/>
                <w:sz w:val="21"/>
                <w:szCs w:val="21"/>
                <w:highlight w:val="none"/>
                <w:lang w:val="en-US" w:eastAsia="en-US" w:bidi="ar-SA"/>
              </w:rPr>
              <w:t>月投标人为其缴纳的社保证明（投标截止时间最近连续3个月），否则视同不是本单位人员。</w:t>
            </w:r>
          </w:p>
          <w:p w14:paraId="26E2C014">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17.委托代理人（若有）应提供</w:t>
            </w:r>
            <w:r>
              <w:rPr>
                <w:rFonts w:hint="eastAsia" w:ascii="宋体" w:hAnsi="宋体" w:eastAsia="宋体" w:cs="宋体"/>
                <w:snapToGrid w:val="0"/>
                <w:color w:val="auto"/>
                <w:kern w:val="0"/>
                <w:sz w:val="21"/>
                <w:szCs w:val="21"/>
                <w:highlight w:val="none"/>
                <w:u w:val="single"/>
                <w:lang w:val="en-US" w:eastAsia="zh-CN" w:bidi="ar-SA"/>
              </w:rPr>
              <w:t>2025</w:t>
            </w:r>
            <w:r>
              <w:rPr>
                <w:rFonts w:hint="eastAsia" w:ascii="宋体" w:hAnsi="宋体" w:eastAsia="宋体" w:cs="宋体"/>
                <w:snapToGrid w:val="0"/>
                <w:color w:val="auto"/>
                <w:kern w:val="0"/>
                <w:sz w:val="21"/>
                <w:szCs w:val="21"/>
                <w:highlight w:val="none"/>
                <w:lang w:val="en-US" w:eastAsia="en-US" w:bidi="ar-SA"/>
              </w:rPr>
              <w:t>年</w:t>
            </w:r>
            <w:r>
              <w:rPr>
                <w:rFonts w:hint="eastAsia" w:ascii="宋体" w:hAnsi="宋体" w:eastAsia="宋体" w:cs="宋体"/>
                <w:snapToGrid w:val="0"/>
                <w:color w:val="auto"/>
                <w:kern w:val="0"/>
                <w:sz w:val="21"/>
                <w:szCs w:val="21"/>
                <w:highlight w:val="none"/>
                <w:u w:val="single"/>
                <w:lang w:val="en-US" w:eastAsia="zh-CN" w:bidi="ar-SA"/>
              </w:rPr>
              <w:t>11</w:t>
            </w:r>
            <w:r>
              <w:rPr>
                <w:rFonts w:hint="eastAsia" w:ascii="宋体" w:hAnsi="宋体" w:eastAsia="宋体" w:cs="宋体"/>
                <w:snapToGrid w:val="0"/>
                <w:color w:val="auto"/>
                <w:kern w:val="0"/>
                <w:sz w:val="21"/>
                <w:szCs w:val="21"/>
                <w:highlight w:val="none"/>
                <w:lang w:val="en-US" w:eastAsia="en-US" w:bidi="ar-SA"/>
              </w:rPr>
              <w:t>月、</w:t>
            </w:r>
            <w:r>
              <w:rPr>
                <w:rFonts w:hint="eastAsia" w:ascii="宋体" w:hAnsi="宋体" w:eastAsia="宋体" w:cs="宋体"/>
                <w:snapToGrid w:val="0"/>
                <w:color w:val="auto"/>
                <w:kern w:val="0"/>
                <w:sz w:val="21"/>
                <w:szCs w:val="21"/>
                <w:highlight w:val="none"/>
                <w:u w:val="single"/>
                <w:lang w:val="en-US" w:eastAsia="zh-CN" w:bidi="ar-SA"/>
              </w:rPr>
              <w:t>2025</w:t>
            </w:r>
            <w:r>
              <w:rPr>
                <w:rFonts w:hint="eastAsia" w:ascii="宋体" w:hAnsi="宋体" w:eastAsia="宋体" w:cs="宋体"/>
                <w:snapToGrid w:val="0"/>
                <w:color w:val="auto"/>
                <w:kern w:val="0"/>
                <w:sz w:val="21"/>
                <w:szCs w:val="21"/>
                <w:highlight w:val="none"/>
                <w:lang w:val="en-US" w:eastAsia="en-US" w:bidi="ar-SA"/>
              </w:rPr>
              <w:t>年</w:t>
            </w:r>
            <w:r>
              <w:rPr>
                <w:rFonts w:hint="eastAsia" w:ascii="宋体" w:hAnsi="宋体" w:eastAsia="宋体" w:cs="宋体"/>
                <w:snapToGrid w:val="0"/>
                <w:color w:val="auto"/>
                <w:kern w:val="0"/>
                <w:sz w:val="21"/>
                <w:szCs w:val="21"/>
                <w:highlight w:val="none"/>
                <w:u w:val="single"/>
                <w:lang w:val="en-US" w:eastAsia="zh-CN" w:bidi="ar-SA"/>
              </w:rPr>
              <w:t>12</w:t>
            </w:r>
            <w:r>
              <w:rPr>
                <w:rFonts w:hint="eastAsia" w:ascii="宋体" w:hAnsi="宋体" w:eastAsia="宋体" w:cs="宋体"/>
                <w:snapToGrid w:val="0"/>
                <w:color w:val="auto"/>
                <w:kern w:val="0"/>
                <w:sz w:val="21"/>
                <w:szCs w:val="21"/>
                <w:highlight w:val="none"/>
                <w:lang w:val="en-US" w:eastAsia="en-US" w:bidi="ar-SA"/>
              </w:rPr>
              <w:t>月、</w:t>
            </w:r>
            <w:r>
              <w:rPr>
                <w:rFonts w:hint="eastAsia" w:ascii="宋体" w:hAnsi="宋体" w:eastAsia="宋体" w:cs="宋体"/>
                <w:snapToGrid w:val="0"/>
                <w:color w:val="auto"/>
                <w:kern w:val="0"/>
                <w:sz w:val="21"/>
                <w:szCs w:val="21"/>
                <w:highlight w:val="none"/>
                <w:u w:val="single"/>
                <w:lang w:val="en-US" w:eastAsia="zh-CN" w:bidi="ar-SA"/>
              </w:rPr>
              <w:t>2026</w:t>
            </w:r>
            <w:r>
              <w:rPr>
                <w:rFonts w:hint="eastAsia" w:ascii="宋体" w:hAnsi="宋体" w:eastAsia="宋体" w:cs="宋体"/>
                <w:snapToGrid w:val="0"/>
                <w:color w:val="auto"/>
                <w:kern w:val="0"/>
                <w:sz w:val="21"/>
                <w:szCs w:val="21"/>
                <w:highlight w:val="none"/>
                <w:lang w:val="en-US" w:eastAsia="en-US" w:bidi="ar-SA"/>
              </w:rPr>
              <w:t>年</w:t>
            </w:r>
            <w:r>
              <w:rPr>
                <w:rFonts w:hint="eastAsia" w:ascii="宋体" w:hAnsi="宋体" w:eastAsia="宋体" w:cs="宋体"/>
                <w:snapToGrid w:val="0"/>
                <w:color w:val="auto"/>
                <w:kern w:val="0"/>
                <w:sz w:val="21"/>
                <w:szCs w:val="21"/>
                <w:highlight w:val="none"/>
                <w:u w:val="single"/>
                <w:lang w:val="en-US" w:eastAsia="zh-CN" w:bidi="ar-SA"/>
              </w:rPr>
              <w:t xml:space="preserve"> 1 </w:t>
            </w:r>
            <w:r>
              <w:rPr>
                <w:rFonts w:hint="eastAsia" w:ascii="宋体" w:hAnsi="宋体" w:eastAsia="宋体" w:cs="宋体"/>
                <w:snapToGrid w:val="0"/>
                <w:color w:val="auto"/>
                <w:kern w:val="0"/>
                <w:sz w:val="21"/>
                <w:szCs w:val="21"/>
                <w:highlight w:val="none"/>
                <w:lang w:val="en-US" w:eastAsia="en-US" w:bidi="ar-SA"/>
              </w:rPr>
              <w:t>月投标人为其缴纳的社保证明（投标截止时间最近连续3个月），否则视同不是本单位人员。</w:t>
            </w:r>
          </w:p>
          <w:p w14:paraId="35887FD5">
            <w:pPr>
              <w:pStyle w:val="33"/>
              <w:keepNext w:val="0"/>
              <w:keepLines w:val="0"/>
              <w:pageBreakBefore w:val="0"/>
              <w:widowControl/>
              <w:kinsoku/>
              <w:wordWrap/>
              <w:overflowPunct/>
              <w:topLinePunct w:val="0"/>
              <w:autoSpaceDE w:val="0"/>
              <w:autoSpaceDN w:val="0"/>
              <w:bidi w:val="0"/>
              <w:adjustRightInd w:val="0"/>
              <w:snapToGrid w:val="0"/>
              <w:spacing w:line="293" w:lineRule="auto"/>
              <w:ind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en-US" w:bidi="ar-SA"/>
              </w:rPr>
              <w:t xml:space="preserve">18. </w:t>
            </w:r>
            <w:r>
              <w:rPr>
                <w:rFonts w:hint="eastAsia" w:ascii="宋体" w:hAnsi="宋体" w:eastAsia="宋体" w:cs="宋体"/>
                <w:color w:val="auto"/>
                <w:sz w:val="21"/>
                <w:szCs w:val="21"/>
                <w:highlight w:val="none"/>
                <w:u w:val="single"/>
              </w:rPr>
              <w:t>根据《住房和城乡建设部办公厅关于全面实行一级建造师电子注册证书的通知》（建办市〔2021〕40 号），自2022年1月1日起，一级建造师统一使用电子证书，纸质注册证书作废。电子证书有关使用要求：电子证书使用时限为180天，但使用时限距注册专业有效期或建造师满65周岁不足180天的，使用时限截止日期以注册专业有效期截止日期或建造师满65周岁当日为准。超出使用时限的电子证书无效，需重新下载电子证书并再次确认使用时限。一级建造师打印电子证书后，应在个人签名处手写本人签名，未手写签名或与签名图像笔迹不一致的，该电子证书无效。其他要求详见《住房和城乡建设部办公厅关于全面实行一级建造师电子注册证书的通知》。</w:t>
            </w:r>
            <w:r>
              <w:rPr>
                <w:rFonts w:hint="eastAsia" w:ascii="宋体" w:hAnsi="宋体" w:eastAsia="宋体" w:cs="宋体"/>
                <w:snapToGrid w:val="0"/>
                <w:color w:val="auto"/>
                <w:kern w:val="0"/>
                <w:sz w:val="21"/>
                <w:szCs w:val="21"/>
                <w:highlight w:val="none"/>
                <w:lang w:val="en-US" w:eastAsia="en-US" w:bidi="ar-SA"/>
              </w:rPr>
              <w:t xml:space="preserve">                                        </w:t>
            </w:r>
          </w:p>
          <w:p w14:paraId="05B108AF">
            <w:pPr>
              <w:pStyle w:val="33"/>
              <w:spacing w:before="29" w:line="292" w:lineRule="auto"/>
              <w:ind w:left="110" w:leftChars="0" w:right="135" w:rightChars="0" w:firstLine="217" w:firstLineChars="0"/>
              <w:rPr>
                <w:rFonts w:hint="eastAsia" w:ascii="宋体" w:hAnsi="宋体" w:eastAsia="宋体" w:cs="宋体"/>
                <w:snapToGrid w:val="0"/>
                <w:color w:val="auto"/>
                <w:kern w:val="0"/>
                <w:sz w:val="21"/>
                <w:szCs w:val="21"/>
                <w:highlight w:val="none"/>
                <w:lang w:val="en-US" w:eastAsia="en-US" w:bidi="ar-SA"/>
              </w:rPr>
            </w:pPr>
          </w:p>
          <w:p w14:paraId="6654B0C6">
            <w:pPr>
              <w:pStyle w:val="33"/>
              <w:spacing w:before="29" w:line="292" w:lineRule="auto"/>
              <w:ind w:left="110" w:leftChars="0" w:right="135" w:rightChars="0" w:firstLine="217" w:firstLineChars="0"/>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zh-CN" w:bidi="ar-SA"/>
              </w:rPr>
              <w:t>☑</w:t>
            </w:r>
            <w:r>
              <w:rPr>
                <w:rFonts w:hint="eastAsia" w:ascii="宋体" w:hAnsi="宋体" w:eastAsia="宋体" w:cs="宋体"/>
                <w:snapToGrid w:val="0"/>
                <w:color w:val="auto"/>
                <w:kern w:val="0"/>
                <w:sz w:val="21"/>
                <w:szCs w:val="21"/>
                <w:highlight w:val="none"/>
                <w:lang w:val="en-US" w:eastAsia="en-US" w:bidi="ar-SA"/>
              </w:rPr>
              <w:t>二、评审打分资料： （详见评标办法要求，未提供的不予评分）</w:t>
            </w:r>
          </w:p>
          <w:p w14:paraId="1CC10DE5">
            <w:pPr>
              <w:pStyle w:val="33"/>
              <w:spacing w:before="29" w:line="292" w:lineRule="auto"/>
              <w:ind w:left="110" w:leftChars="0" w:right="135" w:rightChars="0" w:firstLine="217" w:firstLineChars="0"/>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u w:val="single"/>
                <w:lang w:val="en-US" w:eastAsia="en-US" w:bidi="ar-SA"/>
              </w:rPr>
              <w:tab/>
            </w:r>
            <w:r>
              <w:rPr>
                <w:rFonts w:hint="eastAsia" w:ascii="宋体" w:hAnsi="宋体" w:eastAsia="宋体" w:cs="宋体"/>
                <w:snapToGrid w:val="0"/>
                <w:color w:val="auto"/>
                <w:kern w:val="0"/>
                <w:sz w:val="21"/>
                <w:szCs w:val="21"/>
                <w:highlight w:val="none"/>
                <w:u w:val="single"/>
                <w:lang w:val="en-US" w:eastAsia="en-US" w:bidi="ar-SA"/>
              </w:rPr>
              <w:t xml:space="preserve">根据评标办法要求提供 </w:t>
            </w:r>
            <w:r>
              <w:rPr>
                <w:rFonts w:hint="eastAsia" w:ascii="宋体" w:hAnsi="宋体" w:eastAsia="宋体" w:cs="宋体"/>
                <w:snapToGrid w:val="0"/>
                <w:color w:val="auto"/>
                <w:kern w:val="0"/>
                <w:sz w:val="21"/>
                <w:szCs w:val="21"/>
                <w:highlight w:val="none"/>
                <w:lang w:val="en-US" w:eastAsia="en-US" w:bidi="ar-SA"/>
              </w:rPr>
              <w:t xml:space="preserve">  </w:t>
            </w:r>
          </w:p>
          <w:p w14:paraId="4186FF2C">
            <w:pPr>
              <w:pStyle w:val="33"/>
              <w:keepNext w:val="0"/>
              <w:keepLines w:val="0"/>
              <w:pageBreakBefore w:val="0"/>
              <w:widowControl/>
              <w:wordWrap/>
              <w:overflowPunct/>
              <w:topLinePunct w:val="0"/>
              <w:autoSpaceDE w:val="0"/>
              <w:autoSpaceDN w:val="0"/>
              <w:bidi w:val="0"/>
              <w:adjustRightInd w:val="0"/>
              <w:snapToGrid w:val="0"/>
              <w:spacing w:line="292" w:lineRule="auto"/>
              <w:ind w:left="0" w:leftChars="0"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以上一、二条涉及证书均应在有效期内（已在有效期外尚在办理延期过程中的视为无效）。资料应在投标文件中附复制件，并加盖投标人公章。</w:t>
            </w:r>
          </w:p>
          <w:p w14:paraId="09D69518">
            <w:pPr>
              <w:pStyle w:val="33"/>
              <w:keepNext w:val="0"/>
              <w:keepLines w:val="0"/>
              <w:pageBreakBefore w:val="0"/>
              <w:widowControl/>
              <w:kinsoku/>
              <w:wordWrap/>
              <w:overflowPunct/>
              <w:topLinePunct w:val="0"/>
              <w:autoSpaceDE w:val="0"/>
              <w:autoSpaceDN w:val="0"/>
              <w:bidi w:val="0"/>
              <w:adjustRightInd w:val="0"/>
              <w:snapToGrid w:val="0"/>
              <w:spacing w:line="293" w:lineRule="auto"/>
              <w:ind w:left="0" w:leftChars="0" w:right="0" w:rightChars="0" w:firstLine="420" w:firstLineChars="200"/>
              <w:textAlignment w:val="baseline"/>
              <w:rPr>
                <w:rFonts w:hint="eastAsia" w:ascii="宋体" w:hAnsi="宋体" w:eastAsia="宋体" w:cs="宋体"/>
                <w:snapToGrid w:val="0"/>
                <w:color w:val="auto"/>
                <w:kern w:val="0"/>
                <w:sz w:val="21"/>
                <w:szCs w:val="21"/>
                <w:highlight w:val="none"/>
                <w:lang w:val="en-US" w:eastAsia="en-US" w:bidi="ar-SA"/>
              </w:rPr>
            </w:pPr>
            <w:r>
              <w:rPr>
                <w:rFonts w:hint="eastAsia" w:ascii="宋体" w:hAnsi="宋体" w:eastAsia="宋体" w:cs="宋体"/>
                <w:snapToGrid w:val="0"/>
                <w:color w:val="auto"/>
                <w:kern w:val="0"/>
                <w:sz w:val="21"/>
                <w:szCs w:val="21"/>
                <w:highlight w:val="none"/>
                <w:lang w:val="en-US" w:eastAsia="en-US" w:bidi="ar-SA"/>
              </w:rPr>
              <w:t>退休人员应提供：退休证明（退休证或退休审批表）、退休返聘协议。</w:t>
            </w:r>
          </w:p>
        </w:tc>
      </w:tr>
      <w:tr w14:paraId="2FA5F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5" w:hRule="atLeast"/>
        </w:trPr>
        <w:tc>
          <w:tcPr>
            <w:tcW w:w="953" w:type="dxa"/>
            <w:tcBorders>
              <w:left w:val="single" w:color="000000" w:sz="6" w:space="0"/>
            </w:tcBorders>
            <w:shd w:val="clear" w:color="auto" w:fill="auto"/>
            <w:vAlign w:val="top"/>
          </w:tcPr>
          <w:p w14:paraId="768B52C2">
            <w:pPr>
              <w:spacing w:line="269" w:lineRule="auto"/>
              <w:rPr>
                <w:rFonts w:ascii="Arial"/>
                <w:color w:val="auto"/>
                <w:sz w:val="21"/>
                <w:highlight w:val="none"/>
              </w:rPr>
            </w:pPr>
          </w:p>
          <w:p w14:paraId="42F8859E">
            <w:pPr>
              <w:spacing w:before="61" w:line="187" w:lineRule="auto"/>
              <w:ind w:left="307" w:leftChars="0"/>
              <w:rPr>
                <w:rFonts w:hint="eastAsia" w:ascii="Times New Roman" w:hAnsi="Times New Roman" w:eastAsia="Times New Roman" w:cs="Times New Roman"/>
                <w:snapToGrid w:val="0"/>
                <w:color w:val="auto"/>
                <w:kern w:val="0"/>
                <w:sz w:val="21"/>
                <w:szCs w:val="21"/>
                <w:highlight w:val="none"/>
                <w:lang w:val="en-US" w:eastAsia="zh-CN" w:bidi="ar-SA"/>
              </w:rPr>
            </w:pPr>
            <w:r>
              <w:rPr>
                <w:rFonts w:ascii="Times New Roman" w:hAnsi="Times New Roman" w:eastAsia="Times New Roman" w:cs="Times New Roman"/>
                <w:color w:val="auto"/>
                <w:spacing w:val="-5"/>
                <w:sz w:val="21"/>
                <w:szCs w:val="21"/>
                <w:highlight w:val="none"/>
              </w:rPr>
              <w:t>10.4</w:t>
            </w:r>
          </w:p>
        </w:tc>
        <w:tc>
          <w:tcPr>
            <w:tcW w:w="2444" w:type="dxa"/>
            <w:shd w:val="clear" w:color="auto" w:fill="auto"/>
            <w:vAlign w:val="top"/>
          </w:tcPr>
          <w:p w14:paraId="1D22A12F">
            <w:pPr>
              <w:pStyle w:val="33"/>
              <w:spacing w:before="112" w:line="264" w:lineRule="auto"/>
              <w:ind w:left="105" w:leftChars="0" w:right="106" w:rightChars="0" w:firstLine="20" w:firstLineChars="0"/>
              <w:rPr>
                <w:rFonts w:hint="eastAsia" w:ascii="宋体" w:hAnsi="宋体" w:eastAsia="宋体" w:cs="宋体"/>
                <w:snapToGrid w:val="0"/>
                <w:color w:val="auto"/>
                <w:kern w:val="0"/>
                <w:sz w:val="21"/>
                <w:szCs w:val="21"/>
                <w:highlight w:val="none"/>
                <w:lang w:val="en-US" w:eastAsia="en-US" w:bidi="ar-SA"/>
              </w:rPr>
            </w:pPr>
            <w:r>
              <w:rPr>
                <w:color w:val="auto"/>
                <w:spacing w:val="10"/>
                <w:sz w:val="21"/>
                <w:szCs w:val="21"/>
                <w:highlight w:val="none"/>
              </w:rPr>
              <w:t>中标后须提交的投标文</w:t>
            </w:r>
            <w:r>
              <w:rPr>
                <w:color w:val="auto"/>
                <w:spacing w:val="5"/>
                <w:sz w:val="21"/>
                <w:szCs w:val="21"/>
                <w:highlight w:val="none"/>
              </w:rPr>
              <w:t xml:space="preserve"> </w:t>
            </w:r>
            <w:r>
              <w:rPr>
                <w:color w:val="auto"/>
                <w:spacing w:val="-1"/>
                <w:sz w:val="21"/>
                <w:szCs w:val="21"/>
                <w:highlight w:val="none"/>
              </w:rPr>
              <w:t>件副本份数</w:t>
            </w:r>
          </w:p>
        </w:tc>
        <w:tc>
          <w:tcPr>
            <w:tcW w:w="5503" w:type="dxa"/>
            <w:tcBorders>
              <w:right w:val="single" w:color="000000" w:sz="6" w:space="0"/>
            </w:tcBorders>
            <w:shd w:val="clear" w:color="auto" w:fill="auto"/>
            <w:vAlign w:val="top"/>
          </w:tcPr>
          <w:p w14:paraId="20888AAF">
            <w:pPr>
              <w:pStyle w:val="33"/>
              <w:tabs>
                <w:tab w:val="left" w:pos="733"/>
              </w:tabs>
              <w:spacing w:before="292" w:line="221" w:lineRule="auto"/>
              <w:rPr>
                <w:rFonts w:hint="eastAsia" w:ascii="宋体" w:hAnsi="宋体" w:eastAsia="宋体" w:cs="宋体"/>
                <w:snapToGrid w:val="0"/>
                <w:color w:val="auto"/>
                <w:kern w:val="0"/>
                <w:sz w:val="21"/>
                <w:szCs w:val="21"/>
                <w:highlight w:val="none"/>
                <w:lang w:val="en-US" w:eastAsia="en-US" w:bidi="ar-SA"/>
              </w:rPr>
            </w:pPr>
            <w:r>
              <w:rPr>
                <w:rFonts w:hint="eastAsia"/>
                <w:color w:val="auto"/>
                <w:sz w:val="21"/>
                <w:szCs w:val="21"/>
                <w:highlight w:val="none"/>
                <w:u w:val="single" w:color="auto"/>
                <w:lang w:val="en-US" w:eastAsia="zh-CN"/>
              </w:rPr>
              <w:t xml:space="preserve">  7  </w:t>
            </w:r>
            <w:r>
              <w:rPr>
                <w:color w:val="auto"/>
                <w:spacing w:val="-10"/>
                <w:sz w:val="21"/>
                <w:szCs w:val="21"/>
                <w:highlight w:val="none"/>
              </w:rPr>
              <w:t>份。</w:t>
            </w:r>
          </w:p>
        </w:tc>
      </w:tr>
    </w:tbl>
    <w:p w14:paraId="448E7A43">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092237D0">
      <w:pPr>
        <w:spacing w:line="89" w:lineRule="auto"/>
        <w:rPr>
          <w:rFonts w:ascii="Arial"/>
          <w:color w:val="auto"/>
          <w:sz w:val="2"/>
          <w:highlight w:val="none"/>
        </w:rPr>
      </w:pPr>
    </w:p>
    <w:p w14:paraId="41E2A32D">
      <w:pPr>
        <w:spacing w:line="89" w:lineRule="auto"/>
        <w:rPr>
          <w:rFonts w:ascii="Arial"/>
          <w:color w:val="auto"/>
          <w:sz w:val="2"/>
          <w:highlight w:val="none"/>
        </w:rPr>
      </w:pPr>
    </w:p>
    <w:tbl>
      <w:tblPr>
        <w:tblStyle w:val="32"/>
        <w:tblW w:w="890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3"/>
        <w:gridCol w:w="2444"/>
        <w:gridCol w:w="5503"/>
      </w:tblGrid>
      <w:tr w14:paraId="553E1C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4" w:hRule="atLeast"/>
        </w:trPr>
        <w:tc>
          <w:tcPr>
            <w:tcW w:w="953" w:type="dxa"/>
            <w:tcBorders>
              <w:left w:val="single" w:color="000000" w:sz="6" w:space="0"/>
            </w:tcBorders>
            <w:vAlign w:val="top"/>
          </w:tcPr>
          <w:p w14:paraId="5B776D97">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53C50458">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1C1634D3">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6DD212BF">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05E42246">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2BBDD9F9">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149D8FFB">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48652CB1">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3A18ECE7">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18678885">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3D980709">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20B51F12">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42DF27AE">
            <w:pPr>
              <w:keepNext w:val="0"/>
              <w:keepLines w:val="0"/>
              <w:pageBreakBefore w:val="0"/>
              <w:widowControl/>
              <w:kinsoku/>
              <w:wordWrap/>
              <w:overflowPunct/>
              <w:topLinePunct w:val="0"/>
              <w:autoSpaceDE w:val="0"/>
              <w:autoSpaceDN w:val="0"/>
              <w:bidi w:val="0"/>
              <w:adjustRightInd w:val="0"/>
              <w:snapToGrid w:val="0"/>
              <w:spacing w:line="241" w:lineRule="auto"/>
              <w:ind w:left="0" w:right="0" w:firstLine="420" w:firstLineChars="200"/>
              <w:textAlignment w:val="baseline"/>
              <w:rPr>
                <w:rFonts w:ascii="Arial"/>
                <w:color w:val="auto"/>
                <w:sz w:val="21"/>
                <w:highlight w:val="none"/>
              </w:rPr>
            </w:pPr>
          </w:p>
          <w:p w14:paraId="7E0BD606">
            <w:pPr>
              <w:keepNext w:val="0"/>
              <w:keepLines w:val="0"/>
              <w:pageBreakBefore w:val="0"/>
              <w:widowControl/>
              <w:kinsoku/>
              <w:wordWrap/>
              <w:overflowPunct/>
              <w:topLinePunct w:val="0"/>
              <w:autoSpaceDE w:val="0"/>
              <w:autoSpaceDN w:val="0"/>
              <w:bidi w:val="0"/>
              <w:adjustRightInd w:val="0"/>
              <w:snapToGrid w:val="0"/>
              <w:spacing w:line="187" w:lineRule="auto"/>
              <w:ind w:left="0" w:right="0" w:firstLine="400" w:firstLineChars="200"/>
              <w:textAlignment w:val="baseline"/>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10.5</w:t>
            </w:r>
          </w:p>
        </w:tc>
        <w:tc>
          <w:tcPr>
            <w:tcW w:w="2444" w:type="dxa"/>
            <w:vAlign w:val="top"/>
          </w:tcPr>
          <w:p w14:paraId="2A7612EC">
            <w:pPr>
              <w:keepNext w:val="0"/>
              <w:keepLines w:val="0"/>
              <w:pageBreakBefore w:val="0"/>
              <w:widowControl/>
              <w:kinsoku/>
              <w:wordWrap/>
              <w:overflowPunct/>
              <w:topLinePunct w:val="0"/>
              <w:autoSpaceDE w:val="0"/>
              <w:autoSpaceDN w:val="0"/>
              <w:bidi w:val="0"/>
              <w:adjustRightInd w:val="0"/>
              <w:snapToGrid w:val="0"/>
              <w:spacing w:line="242" w:lineRule="auto"/>
              <w:ind w:left="0" w:right="0" w:firstLine="420" w:firstLineChars="200"/>
              <w:textAlignment w:val="baseline"/>
              <w:rPr>
                <w:rFonts w:ascii="Arial"/>
                <w:color w:val="auto"/>
                <w:sz w:val="21"/>
                <w:highlight w:val="none"/>
              </w:rPr>
            </w:pPr>
          </w:p>
          <w:p w14:paraId="46B147F2">
            <w:pPr>
              <w:keepNext w:val="0"/>
              <w:keepLines w:val="0"/>
              <w:pageBreakBefore w:val="0"/>
              <w:widowControl/>
              <w:kinsoku/>
              <w:wordWrap/>
              <w:overflowPunct/>
              <w:topLinePunct w:val="0"/>
              <w:autoSpaceDE w:val="0"/>
              <w:autoSpaceDN w:val="0"/>
              <w:bidi w:val="0"/>
              <w:adjustRightInd w:val="0"/>
              <w:snapToGrid w:val="0"/>
              <w:spacing w:line="242" w:lineRule="auto"/>
              <w:ind w:left="0" w:right="0" w:firstLine="420" w:firstLineChars="200"/>
              <w:textAlignment w:val="baseline"/>
              <w:rPr>
                <w:rFonts w:ascii="Arial"/>
                <w:color w:val="auto"/>
                <w:sz w:val="21"/>
                <w:highlight w:val="none"/>
              </w:rPr>
            </w:pPr>
          </w:p>
          <w:p w14:paraId="1E9584DF">
            <w:pPr>
              <w:keepNext w:val="0"/>
              <w:keepLines w:val="0"/>
              <w:pageBreakBefore w:val="0"/>
              <w:widowControl/>
              <w:kinsoku/>
              <w:wordWrap/>
              <w:overflowPunct/>
              <w:topLinePunct w:val="0"/>
              <w:autoSpaceDE w:val="0"/>
              <w:autoSpaceDN w:val="0"/>
              <w:bidi w:val="0"/>
              <w:adjustRightInd w:val="0"/>
              <w:snapToGrid w:val="0"/>
              <w:spacing w:line="242" w:lineRule="auto"/>
              <w:ind w:left="0" w:right="0" w:firstLine="420" w:firstLineChars="200"/>
              <w:textAlignment w:val="baseline"/>
              <w:rPr>
                <w:rFonts w:ascii="Arial"/>
                <w:color w:val="auto"/>
                <w:sz w:val="21"/>
                <w:highlight w:val="none"/>
              </w:rPr>
            </w:pPr>
          </w:p>
          <w:p w14:paraId="1FA8F719">
            <w:pPr>
              <w:keepNext w:val="0"/>
              <w:keepLines w:val="0"/>
              <w:pageBreakBefore w:val="0"/>
              <w:widowControl/>
              <w:kinsoku/>
              <w:wordWrap/>
              <w:overflowPunct/>
              <w:topLinePunct w:val="0"/>
              <w:autoSpaceDE w:val="0"/>
              <w:autoSpaceDN w:val="0"/>
              <w:bidi w:val="0"/>
              <w:adjustRightInd w:val="0"/>
              <w:snapToGrid w:val="0"/>
              <w:spacing w:line="242" w:lineRule="auto"/>
              <w:ind w:left="0" w:right="0" w:firstLine="420" w:firstLineChars="200"/>
              <w:textAlignment w:val="baseline"/>
              <w:rPr>
                <w:rFonts w:ascii="Arial"/>
                <w:color w:val="auto"/>
                <w:sz w:val="21"/>
                <w:highlight w:val="none"/>
              </w:rPr>
            </w:pPr>
          </w:p>
          <w:p w14:paraId="440C4E1B">
            <w:pPr>
              <w:keepNext w:val="0"/>
              <w:keepLines w:val="0"/>
              <w:pageBreakBefore w:val="0"/>
              <w:widowControl/>
              <w:kinsoku/>
              <w:wordWrap/>
              <w:overflowPunct/>
              <w:topLinePunct w:val="0"/>
              <w:autoSpaceDE w:val="0"/>
              <w:autoSpaceDN w:val="0"/>
              <w:bidi w:val="0"/>
              <w:adjustRightInd w:val="0"/>
              <w:snapToGrid w:val="0"/>
              <w:spacing w:line="242" w:lineRule="auto"/>
              <w:ind w:left="0" w:right="0" w:firstLine="420" w:firstLineChars="200"/>
              <w:textAlignment w:val="baseline"/>
              <w:rPr>
                <w:rFonts w:ascii="Arial"/>
                <w:color w:val="auto"/>
                <w:sz w:val="21"/>
                <w:highlight w:val="none"/>
              </w:rPr>
            </w:pPr>
          </w:p>
          <w:p w14:paraId="46D29C46">
            <w:pPr>
              <w:keepNext w:val="0"/>
              <w:keepLines w:val="0"/>
              <w:pageBreakBefore w:val="0"/>
              <w:widowControl/>
              <w:kinsoku/>
              <w:wordWrap/>
              <w:overflowPunct/>
              <w:topLinePunct w:val="0"/>
              <w:autoSpaceDE w:val="0"/>
              <w:autoSpaceDN w:val="0"/>
              <w:bidi w:val="0"/>
              <w:adjustRightInd w:val="0"/>
              <w:snapToGrid w:val="0"/>
              <w:spacing w:line="242" w:lineRule="auto"/>
              <w:ind w:left="0" w:right="0" w:firstLine="420" w:firstLineChars="200"/>
              <w:textAlignment w:val="baseline"/>
              <w:rPr>
                <w:rFonts w:ascii="Arial"/>
                <w:color w:val="auto"/>
                <w:sz w:val="21"/>
                <w:highlight w:val="none"/>
              </w:rPr>
            </w:pPr>
          </w:p>
          <w:p w14:paraId="4012A521">
            <w:pPr>
              <w:keepNext w:val="0"/>
              <w:keepLines w:val="0"/>
              <w:pageBreakBefore w:val="0"/>
              <w:widowControl/>
              <w:kinsoku/>
              <w:wordWrap/>
              <w:overflowPunct/>
              <w:topLinePunct w:val="0"/>
              <w:autoSpaceDE w:val="0"/>
              <w:autoSpaceDN w:val="0"/>
              <w:bidi w:val="0"/>
              <w:adjustRightInd w:val="0"/>
              <w:snapToGrid w:val="0"/>
              <w:spacing w:line="242" w:lineRule="auto"/>
              <w:ind w:left="0" w:right="0" w:firstLine="420" w:firstLineChars="200"/>
              <w:textAlignment w:val="baseline"/>
              <w:rPr>
                <w:rFonts w:ascii="Arial"/>
                <w:color w:val="auto"/>
                <w:sz w:val="21"/>
                <w:highlight w:val="none"/>
              </w:rPr>
            </w:pPr>
          </w:p>
          <w:p w14:paraId="7D387240">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20" w:firstLineChars="200"/>
              <w:textAlignment w:val="baseline"/>
              <w:rPr>
                <w:rFonts w:ascii="Arial"/>
                <w:color w:val="auto"/>
                <w:sz w:val="21"/>
                <w:highlight w:val="none"/>
              </w:rPr>
            </w:pPr>
          </w:p>
          <w:p w14:paraId="2836C5DC">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20" w:firstLineChars="200"/>
              <w:textAlignment w:val="baseline"/>
              <w:rPr>
                <w:rFonts w:ascii="Arial"/>
                <w:color w:val="auto"/>
                <w:sz w:val="21"/>
                <w:highlight w:val="none"/>
              </w:rPr>
            </w:pPr>
          </w:p>
          <w:p w14:paraId="0EF9476F">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20" w:firstLineChars="200"/>
              <w:textAlignment w:val="baseline"/>
              <w:rPr>
                <w:rFonts w:ascii="Arial"/>
                <w:color w:val="auto"/>
                <w:sz w:val="21"/>
                <w:highlight w:val="none"/>
              </w:rPr>
            </w:pPr>
          </w:p>
          <w:p w14:paraId="3A126A25">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20" w:firstLineChars="200"/>
              <w:textAlignment w:val="baseline"/>
              <w:rPr>
                <w:rFonts w:ascii="Arial"/>
                <w:color w:val="auto"/>
                <w:sz w:val="21"/>
                <w:highlight w:val="none"/>
              </w:rPr>
            </w:pPr>
          </w:p>
          <w:p w14:paraId="2D89A8AA">
            <w:pPr>
              <w:keepNext w:val="0"/>
              <w:keepLines w:val="0"/>
              <w:pageBreakBefore w:val="0"/>
              <w:widowControl/>
              <w:kinsoku/>
              <w:wordWrap/>
              <w:overflowPunct/>
              <w:topLinePunct w:val="0"/>
              <w:autoSpaceDE w:val="0"/>
              <w:autoSpaceDN w:val="0"/>
              <w:bidi w:val="0"/>
              <w:adjustRightInd w:val="0"/>
              <w:snapToGrid w:val="0"/>
              <w:spacing w:line="243" w:lineRule="auto"/>
              <w:ind w:left="0" w:right="0" w:firstLine="420" w:firstLineChars="200"/>
              <w:textAlignment w:val="baseline"/>
              <w:rPr>
                <w:rFonts w:ascii="Arial"/>
                <w:color w:val="auto"/>
                <w:sz w:val="21"/>
                <w:highlight w:val="none"/>
              </w:rPr>
            </w:pPr>
          </w:p>
          <w:p w14:paraId="7E32EB55">
            <w:pPr>
              <w:pStyle w:val="33"/>
              <w:keepNext w:val="0"/>
              <w:keepLines w:val="0"/>
              <w:pageBreakBefore w:val="0"/>
              <w:widowControl/>
              <w:kinsoku/>
              <w:wordWrap/>
              <w:overflowPunct/>
              <w:topLinePunct w:val="0"/>
              <w:autoSpaceDE w:val="0"/>
              <w:autoSpaceDN w:val="0"/>
              <w:bidi w:val="0"/>
              <w:adjustRightInd w:val="0"/>
              <w:snapToGrid w:val="0"/>
              <w:spacing w:line="303" w:lineRule="auto"/>
              <w:ind w:right="0"/>
              <w:jc w:val="center"/>
              <w:textAlignment w:val="baseline"/>
              <w:rPr>
                <w:color w:val="auto"/>
                <w:sz w:val="21"/>
                <w:szCs w:val="21"/>
                <w:highlight w:val="none"/>
              </w:rPr>
            </w:pPr>
            <w:r>
              <w:rPr>
                <w:color w:val="auto"/>
                <w:spacing w:val="12"/>
                <w:sz w:val="21"/>
                <w:szCs w:val="21"/>
                <w:highlight w:val="none"/>
              </w:rPr>
              <w:t>招标人最高投标限价或</w:t>
            </w:r>
            <w:r>
              <w:rPr>
                <w:color w:val="auto"/>
                <w:spacing w:val="-2"/>
                <w:sz w:val="21"/>
                <w:szCs w:val="21"/>
                <w:highlight w:val="none"/>
              </w:rPr>
              <w:t>其计算方法</w:t>
            </w:r>
          </w:p>
        </w:tc>
        <w:tc>
          <w:tcPr>
            <w:tcW w:w="5503" w:type="dxa"/>
            <w:tcBorders>
              <w:right w:val="single" w:color="000000" w:sz="6" w:space="0"/>
            </w:tcBorders>
            <w:vAlign w:val="top"/>
          </w:tcPr>
          <w:p w14:paraId="1478EAB5">
            <w:pPr>
              <w:pStyle w:val="33"/>
              <w:keepNext w:val="0"/>
              <w:keepLines w:val="0"/>
              <w:pageBreakBefore w:val="0"/>
              <w:widowControl/>
              <w:kinsoku/>
              <w:wordWrap/>
              <w:overflowPunct/>
              <w:topLinePunct w:val="0"/>
              <w:autoSpaceDE w:val="0"/>
              <w:autoSpaceDN w:val="0"/>
              <w:bidi w:val="0"/>
              <w:adjustRightInd w:val="0"/>
              <w:snapToGrid w:val="0"/>
              <w:spacing w:line="270" w:lineRule="auto"/>
              <w:ind w:left="0" w:right="0" w:firstLine="432" w:firstLineChars="200"/>
              <w:textAlignment w:val="baseline"/>
              <w:rPr>
                <w:color w:val="auto"/>
                <w:sz w:val="21"/>
                <w:szCs w:val="21"/>
                <w:highlight w:val="none"/>
              </w:rPr>
            </w:pPr>
            <w:r>
              <w:rPr>
                <w:rFonts w:hint="eastAsia"/>
                <w:color w:val="auto"/>
                <w:spacing w:val="3"/>
                <w:sz w:val="21"/>
                <w:szCs w:val="21"/>
                <w:highlight w:val="none"/>
                <w:lang w:eastAsia="zh-CN"/>
              </w:rPr>
              <w:t>☑</w:t>
            </w:r>
            <w:r>
              <w:rPr>
                <w:color w:val="auto"/>
                <w:spacing w:val="39"/>
                <w:sz w:val="21"/>
                <w:szCs w:val="21"/>
                <w:highlight w:val="none"/>
              </w:rPr>
              <w:t xml:space="preserve"> </w:t>
            </w:r>
            <w:r>
              <w:rPr>
                <w:color w:val="auto"/>
                <w:spacing w:val="3"/>
                <w:sz w:val="21"/>
                <w:szCs w:val="21"/>
                <w:highlight w:val="none"/>
              </w:rPr>
              <w:t>最高投标限价人民币（大写）</w:t>
            </w:r>
            <w:r>
              <w:rPr>
                <w:color w:val="auto"/>
                <w:spacing w:val="-85"/>
                <w:sz w:val="21"/>
                <w:szCs w:val="21"/>
                <w:highlight w:val="none"/>
              </w:rPr>
              <w:t xml:space="preserve"> </w:t>
            </w:r>
            <w:r>
              <w:rPr>
                <w:rFonts w:hint="eastAsia"/>
                <w:color w:val="auto"/>
                <w:spacing w:val="6"/>
                <w:sz w:val="21"/>
                <w:szCs w:val="21"/>
                <w:highlight w:val="none"/>
                <w:u w:val="single" w:color="auto"/>
                <w:lang w:eastAsia="zh-CN"/>
              </w:rPr>
              <w:t>陆佰陆拾伍万肆仟捌佰玖拾伍</w:t>
            </w:r>
            <w:r>
              <w:rPr>
                <w:color w:val="auto"/>
                <w:spacing w:val="-95"/>
                <w:sz w:val="21"/>
                <w:szCs w:val="21"/>
                <w:highlight w:val="none"/>
              </w:rPr>
              <w:t xml:space="preserve"> </w:t>
            </w:r>
            <w:r>
              <w:rPr>
                <w:color w:val="auto"/>
                <w:spacing w:val="3"/>
                <w:sz w:val="21"/>
                <w:szCs w:val="21"/>
                <w:highlight w:val="none"/>
              </w:rPr>
              <w:t>元</w:t>
            </w:r>
            <w:r>
              <w:rPr>
                <w:color w:val="auto"/>
                <w:sz w:val="21"/>
                <w:szCs w:val="21"/>
                <w:highlight w:val="none"/>
              </w:rPr>
              <w:t xml:space="preserve"> </w:t>
            </w:r>
            <w:r>
              <w:rPr>
                <w:color w:val="auto"/>
                <w:spacing w:val="2"/>
                <w:sz w:val="21"/>
                <w:szCs w:val="21"/>
                <w:highlight w:val="none"/>
              </w:rPr>
              <w:t>(￥</w:t>
            </w:r>
            <w:r>
              <w:rPr>
                <w:rFonts w:hint="eastAsia"/>
                <w:color w:val="auto"/>
                <w:spacing w:val="17"/>
                <w:sz w:val="21"/>
                <w:szCs w:val="21"/>
                <w:highlight w:val="none"/>
                <w:u w:val="single" w:color="auto"/>
                <w:lang w:val="en-US" w:eastAsia="zh-CN"/>
              </w:rPr>
              <w:t>6654895</w:t>
            </w:r>
            <w:r>
              <w:rPr>
                <w:color w:val="auto"/>
                <w:spacing w:val="-72"/>
                <w:sz w:val="21"/>
                <w:szCs w:val="21"/>
                <w:highlight w:val="none"/>
              </w:rPr>
              <w:t xml:space="preserve"> </w:t>
            </w:r>
            <w:r>
              <w:rPr>
                <w:color w:val="auto"/>
                <w:spacing w:val="2"/>
                <w:sz w:val="21"/>
                <w:szCs w:val="21"/>
                <w:highlight w:val="none"/>
              </w:rPr>
              <w:t>)。</w:t>
            </w:r>
          </w:p>
          <w:p w14:paraId="1DAC465D">
            <w:pPr>
              <w:pStyle w:val="33"/>
              <w:keepNext w:val="0"/>
              <w:keepLines w:val="0"/>
              <w:pageBreakBefore w:val="0"/>
              <w:widowControl/>
              <w:kinsoku/>
              <w:wordWrap/>
              <w:overflowPunct/>
              <w:topLinePunct w:val="0"/>
              <w:autoSpaceDE w:val="0"/>
              <w:autoSpaceDN w:val="0"/>
              <w:bidi w:val="0"/>
              <w:adjustRightInd w:val="0"/>
              <w:snapToGrid w:val="0"/>
              <w:spacing w:line="268" w:lineRule="auto"/>
              <w:ind w:left="0" w:right="0" w:firstLine="400" w:firstLineChars="200"/>
              <w:textAlignment w:val="baseline"/>
              <w:rPr>
                <w:strike w:val="0"/>
                <w:dstrike w:val="0"/>
                <w:color w:val="auto"/>
                <w:sz w:val="21"/>
                <w:szCs w:val="21"/>
                <w:highlight w:val="none"/>
              </w:rPr>
            </w:pPr>
            <w:r>
              <w:rPr>
                <w:strike w:val="0"/>
                <w:dstrike w:val="0"/>
                <w:color w:val="auto"/>
                <w:spacing w:val="-5"/>
                <w:sz w:val="21"/>
                <w:szCs w:val="21"/>
                <w:highlight w:val="none"/>
              </w:rPr>
              <w:t>□ 投标截止时间前</w:t>
            </w:r>
            <w:r>
              <w:rPr>
                <w:rFonts w:ascii="Times New Roman" w:hAnsi="Times New Roman" w:eastAsia="Times New Roman" w:cs="Times New Roman"/>
                <w:strike w:val="0"/>
                <w:dstrike w:val="0"/>
                <w:color w:val="auto"/>
                <w:spacing w:val="-5"/>
                <w:sz w:val="21"/>
                <w:szCs w:val="21"/>
                <w:highlight w:val="none"/>
                <w:u w:val="single" w:color="auto"/>
              </w:rPr>
              <w:t>15</w:t>
            </w:r>
            <w:r>
              <w:rPr>
                <w:rFonts w:ascii="Times New Roman" w:hAnsi="Times New Roman" w:eastAsia="Times New Roman" w:cs="Times New Roman"/>
                <w:strike w:val="0"/>
                <w:dstrike w:val="0"/>
                <w:color w:val="auto"/>
                <w:spacing w:val="-5"/>
                <w:sz w:val="21"/>
                <w:szCs w:val="21"/>
                <w:highlight w:val="none"/>
              </w:rPr>
              <w:t xml:space="preserve"> </w:t>
            </w:r>
            <w:r>
              <w:rPr>
                <w:strike w:val="0"/>
                <w:dstrike w:val="0"/>
                <w:color w:val="auto"/>
                <w:spacing w:val="-5"/>
                <w:sz w:val="21"/>
                <w:szCs w:val="21"/>
                <w:highlight w:val="none"/>
              </w:rPr>
              <w:t>日之前，以补充文件形</w:t>
            </w:r>
            <w:r>
              <w:rPr>
                <w:strike w:val="0"/>
                <w:dstrike w:val="0"/>
                <w:color w:val="auto"/>
                <w:spacing w:val="-6"/>
                <w:sz w:val="21"/>
                <w:szCs w:val="21"/>
                <w:highlight w:val="none"/>
              </w:rPr>
              <w:t>式告知所有投</w:t>
            </w:r>
            <w:r>
              <w:rPr>
                <w:strike w:val="0"/>
                <w:dstrike w:val="0"/>
                <w:color w:val="auto"/>
                <w:spacing w:val="-3"/>
                <w:sz w:val="21"/>
                <w:szCs w:val="21"/>
                <w:highlight w:val="none"/>
              </w:rPr>
              <w:t>标人最高投标限价。</w:t>
            </w:r>
          </w:p>
          <w:p w14:paraId="50423116">
            <w:pPr>
              <w:pStyle w:val="33"/>
              <w:keepNext w:val="0"/>
              <w:keepLines w:val="0"/>
              <w:pageBreakBefore w:val="0"/>
              <w:widowControl/>
              <w:kinsoku/>
              <w:wordWrap/>
              <w:overflowPunct/>
              <w:topLinePunct w:val="0"/>
              <w:autoSpaceDE w:val="0"/>
              <w:autoSpaceDN w:val="0"/>
              <w:bidi w:val="0"/>
              <w:adjustRightInd w:val="0"/>
              <w:snapToGrid w:val="0"/>
              <w:spacing w:line="304" w:lineRule="auto"/>
              <w:ind w:left="0" w:right="0" w:firstLine="396" w:firstLineChars="200"/>
              <w:textAlignment w:val="baseline"/>
              <w:rPr>
                <w:strike w:val="0"/>
                <w:dstrike w:val="0"/>
                <w:color w:val="auto"/>
                <w:sz w:val="21"/>
                <w:szCs w:val="21"/>
                <w:highlight w:val="none"/>
              </w:rPr>
            </w:pPr>
            <w:r>
              <w:rPr>
                <w:strike w:val="0"/>
                <w:dstrike w:val="0"/>
                <w:color w:val="auto"/>
                <w:spacing w:val="-6"/>
                <w:sz w:val="21"/>
                <w:szCs w:val="21"/>
                <w:highlight w:val="none"/>
              </w:rPr>
              <w:t>□ 招标预算人民币（大写</w:t>
            </w:r>
            <w:r>
              <w:rPr>
                <w:strike w:val="0"/>
                <w:dstrike w:val="0"/>
                <w:color w:val="auto"/>
                <w:spacing w:val="-18"/>
                <w:sz w:val="21"/>
                <w:szCs w:val="21"/>
                <w:highlight w:val="none"/>
              </w:rPr>
              <w:t>）：</w:t>
            </w:r>
            <w:r>
              <w:rPr>
                <w:strike w:val="0"/>
                <w:dstrike w:val="0"/>
                <w:color w:val="auto"/>
                <w:spacing w:val="11"/>
                <w:sz w:val="21"/>
                <w:szCs w:val="21"/>
                <w:highlight w:val="none"/>
                <w:u w:val="single" w:color="auto"/>
              </w:rPr>
              <w:t xml:space="preserve">         </w:t>
            </w:r>
            <w:r>
              <w:rPr>
                <w:strike w:val="0"/>
                <w:dstrike w:val="0"/>
                <w:color w:val="auto"/>
                <w:spacing w:val="-15"/>
                <w:sz w:val="21"/>
                <w:szCs w:val="21"/>
                <w:highlight w:val="none"/>
              </w:rPr>
              <w:t xml:space="preserve"> </w:t>
            </w:r>
            <w:r>
              <w:rPr>
                <w:strike w:val="0"/>
                <w:dstrike w:val="0"/>
                <w:color w:val="auto"/>
                <w:spacing w:val="-6"/>
                <w:sz w:val="21"/>
                <w:szCs w:val="21"/>
                <w:highlight w:val="none"/>
              </w:rPr>
              <w:t>(￥</w:t>
            </w:r>
            <w:r>
              <w:rPr>
                <w:strike w:val="0"/>
                <w:dstrike w:val="0"/>
                <w:color w:val="auto"/>
                <w:spacing w:val="-83"/>
                <w:sz w:val="21"/>
                <w:szCs w:val="21"/>
                <w:highlight w:val="none"/>
              </w:rPr>
              <w:t xml:space="preserve"> </w:t>
            </w:r>
            <w:r>
              <w:rPr>
                <w:strike w:val="0"/>
                <w:dstrike w:val="0"/>
                <w:color w:val="auto"/>
                <w:spacing w:val="17"/>
                <w:sz w:val="21"/>
                <w:szCs w:val="21"/>
                <w:highlight w:val="none"/>
                <w:u w:val="single" w:color="auto"/>
              </w:rPr>
              <w:t xml:space="preserve">      </w:t>
            </w:r>
            <w:r>
              <w:rPr>
                <w:strike w:val="0"/>
                <w:dstrike w:val="0"/>
                <w:color w:val="auto"/>
                <w:spacing w:val="-74"/>
                <w:sz w:val="21"/>
                <w:szCs w:val="21"/>
                <w:highlight w:val="none"/>
              </w:rPr>
              <w:t xml:space="preserve"> </w:t>
            </w:r>
            <w:r>
              <w:rPr>
                <w:strike w:val="0"/>
                <w:dstrike w:val="0"/>
                <w:color w:val="auto"/>
                <w:spacing w:val="-6"/>
                <w:sz w:val="21"/>
                <w:szCs w:val="21"/>
                <w:highlight w:val="none"/>
              </w:rPr>
              <w:t>)预留金人民币（大写</w:t>
            </w:r>
            <w:r>
              <w:rPr>
                <w:strike w:val="0"/>
                <w:dstrike w:val="0"/>
                <w:color w:val="auto"/>
                <w:spacing w:val="-14"/>
                <w:sz w:val="21"/>
                <w:szCs w:val="21"/>
                <w:highlight w:val="none"/>
              </w:rPr>
              <w:t>）：</w:t>
            </w:r>
            <w:r>
              <w:rPr>
                <w:strike w:val="0"/>
                <w:dstrike w:val="0"/>
                <w:color w:val="auto"/>
                <w:spacing w:val="11"/>
                <w:sz w:val="21"/>
                <w:szCs w:val="21"/>
                <w:highlight w:val="none"/>
                <w:u w:val="single" w:color="auto"/>
              </w:rPr>
              <w:t xml:space="preserve">         </w:t>
            </w:r>
            <w:r>
              <w:rPr>
                <w:strike w:val="0"/>
                <w:dstrike w:val="0"/>
                <w:color w:val="auto"/>
                <w:spacing w:val="9"/>
                <w:sz w:val="21"/>
                <w:szCs w:val="21"/>
                <w:highlight w:val="none"/>
              </w:rPr>
              <w:t xml:space="preserve"> </w:t>
            </w:r>
            <w:r>
              <w:rPr>
                <w:strike w:val="0"/>
                <w:dstrike w:val="0"/>
                <w:color w:val="auto"/>
                <w:spacing w:val="-6"/>
                <w:sz w:val="21"/>
                <w:szCs w:val="21"/>
                <w:highlight w:val="none"/>
              </w:rPr>
              <w:t>(￥</w:t>
            </w:r>
            <w:r>
              <w:rPr>
                <w:strike w:val="0"/>
                <w:dstrike w:val="0"/>
                <w:color w:val="auto"/>
                <w:spacing w:val="-84"/>
                <w:sz w:val="21"/>
                <w:szCs w:val="21"/>
                <w:highlight w:val="none"/>
              </w:rPr>
              <w:t xml:space="preserve"> </w:t>
            </w:r>
            <w:r>
              <w:rPr>
                <w:strike w:val="0"/>
                <w:dstrike w:val="0"/>
                <w:color w:val="auto"/>
                <w:spacing w:val="17"/>
                <w:sz w:val="21"/>
                <w:szCs w:val="21"/>
                <w:highlight w:val="none"/>
                <w:u w:val="single" w:color="auto"/>
              </w:rPr>
              <w:t xml:space="preserve">      </w:t>
            </w:r>
            <w:r>
              <w:rPr>
                <w:strike w:val="0"/>
                <w:dstrike w:val="0"/>
                <w:color w:val="auto"/>
                <w:spacing w:val="-72"/>
                <w:sz w:val="21"/>
                <w:szCs w:val="21"/>
                <w:highlight w:val="none"/>
              </w:rPr>
              <w:t xml:space="preserve"> </w:t>
            </w:r>
            <w:r>
              <w:rPr>
                <w:strike w:val="0"/>
                <w:dstrike w:val="0"/>
                <w:color w:val="auto"/>
                <w:spacing w:val="-6"/>
                <w:sz w:val="21"/>
                <w:szCs w:val="21"/>
                <w:highlight w:val="none"/>
              </w:rPr>
              <w:t>) 暂估价人</w:t>
            </w:r>
            <w:r>
              <w:rPr>
                <w:strike w:val="0"/>
                <w:dstrike w:val="0"/>
                <w:color w:val="auto"/>
                <w:sz w:val="21"/>
                <w:szCs w:val="21"/>
                <w:highlight w:val="none"/>
              </w:rPr>
              <w:t xml:space="preserve"> </w:t>
            </w:r>
            <w:r>
              <w:rPr>
                <w:strike w:val="0"/>
                <w:dstrike w:val="0"/>
                <w:color w:val="auto"/>
                <w:spacing w:val="-8"/>
                <w:sz w:val="21"/>
                <w:szCs w:val="21"/>
                <w:highlight w:val="none"/>
              </w:rPr>
              <w:t>民币（大写</w:t>
            </w:r>
            <w:r>
              <w:rPr>
                <w:strike w:val="0"/>
                <w:dstrike w:val="0"/>
                <w:color w:val="auto"/>
                <w:spacing w:val="2"/>
                <w:sz w:val="21"/>
                <w:szCs w:val="21"/>
                <w:highlight w:val="none"/>
              </w:rPr>
              <w:t>）：</w:t>
            </w:r>
            <w:r>
              <w:rPr>
                <w:strike w:val="0"/>
                <w:dstrike w:val="0"/>
                <w:color w:val="auto"/>
                <w:spacing w:val="11"/>
                <w:sz w:val="21"/>
                <w:szCs w:val="21"/>
                <w:highlight w:val="none"/>
                <w:u w:val="single" w:color="auto"/>
              </w:rPr>
              <w:t xml:space="preserve">         </w:t>
            </w:r>
            <w:r>
              <w:rPr>
                <w:strike w:val="0"/>
                <w:dstrike w:val="0"/>
                <w:color w:val="auto"/>
                <w:spacing w:val="6"/>
                <w:sz w:val="21"/>
                <w:szCs w:val="21"/>
                <w:highlight w:val="none"/>
              </w:rPr>
              <w:t xml:space="preserve"> </w:t>
            </w:r>
            <w:r>
              <w:rPr>
                <w:strike w:val="0"/>
                <w:dstrike w:val="0"/>
                <w:color w:val="auto"/>
                <w:spacing w:val="-8"/>
                <w:sz w:val="21"/>
                <w:szCs w:val="21"/>
                <w:highlight w:val="none"/>
              </w:rPr>
              <w:t>(￥</w:t>
            </w:r>
            <w:r>
              <w:rPr>
                <w:strike w:val="0"/>
                <w:dstrike w:val="0"/>
                <w:color w:val="auto"/>
                <w:spacing w:val="-83"/>
                <w:sz w:val="21"/>
                <w:szCs w:val="21"/>
                <w:highlight w:val="none"/>
              </w:rPr>
              <w:t xml:space="preserve"> </w:t>
            </w:r>
            <w:r>
              <w:rPr>
                <w:strike w:val="0"/>
                <w:dstrike w:val="0"/>
                <w:color w:val="auto"/>
                <w:sz w:val="21"/>
                <w:szCs w:val="21"/>
                <w:highlight w:val="none"/>
                <w:u w:val="single" w:color="auto"/>
              </w:rPr>
              <w:t xml:space="preserve">       </w:t>
            </w:r>
            <w:r>
              <w:rPr>
                <w:strike w:val="0"/>
                <w:dstrike w:val="0"/>
                <w:color w:val="auto"/>
                <w:spacing w:val="-73"/>
                <w:sz w:val="21"/>
                <w:szCs w:val="21"/>
                <w:highlight w:val="none"/>
              </w:rPr>
              <w:t xml:space="preserve"> </w:t>
            </w:r>
            <w:r>
              <w:rPr>
                <w:strike w:val="0"/>
                <w:dstrike w:val="0"/>
                <w:color w:val="auto"/>
                <w:spacing w:val="-8"/>
                <w:sz w:val="21"/>
                <w:szCs w:val="21"/>
                <w:highlight w:val="none"/>
              </w:rPr>
              <w:t>) 安全生产措施费</w:t>
            </w:r>
            <w:r>
              <w:rPr>
                <w:strike w:val="0"/>
                <w:dstrike w:val="0"/>
                <w:color w:val="auto"/>
                <w:sz w:val="21"/>
                <w:szCs w:val="21"/>
                <w:highlight w:val="none"/>
              </w:rPr>
              <w:t xml:space="preserve"> </w:t>
            </w:r>
            <w:r>
              <w:rPr>
                <w:strike w:val="0"/>
                <w:dstrike w:val="0"/>
                <w:color w:val="auto"/>
                <w:spacing w:val="-7"/>
                <w:sz w:val="21"/>
                <w:szCs w:val="21"/>
                <w:highlight w:val="none"/>
              </w:rPr>
              <w:t>（大写）：</w:t>
            </w:r>
            <w:r>
              <w:rPr>
                <w:strike w:val="0"/>
                <w:dstrike w:val="0"/>
                <w:color w:val="auto"/>
                <w:sz w:val="21"/>
                <w:szCs w:val="21"/>
                <w:highlight w:val="none"/>
                <w:u w:val="single" w:color="auto"/>
              </w:rPr>
              <w:t xml:space="preserve">          </w:t>
            </w:r>
            <w:r>
              <w:rPr>
                <w:strike w:val="0"/>
                <w:dstrike w:val="0"/>
                <w:color w:val="auto"/>
                <w:spacing w:val="2"/>
                <w:sz w:val="21"/>
                <w:szCs w:val="21"/>
                <w:highlight w:val="none"/>
              </w:rPr>
              <w:t xml:space="preserve"> </w:t>
            </w:r>
            <w:r>
              <w:rPr>
                <w:strike w:val="0"/>
                <w:dstrike w:val="0"/>
                <w:color w:val="auto"/>
                <w:spacing w:val="-7"/>
                <w:sz w:val="21"/>
                <w:szCs w:val="21"/>
                <w:highlight w:val="none"/>
              </w:rPr>
              <w:t>(￥</w:t>
            </w:r>
            <w:r>
              <w:rPr>
                <w:strike w:val="0"/>
                <w:dstrike w:val="0"/>
                <w:color w:val="auto"/>
                <w:spacing w:val="-83"/>
                <w:sz w:val="21"/>
                <w:szCs w:val="21"/>
                <w:highlight w:val="none"/>
              </w:rPr>
              <w:t xml:space="preserve"> </w:t>
            </w:r>
            <w:r>
              <w:rPr>
                <w:strike w:val="0"/>
                <w:dstrike w:val="0"/>
                <w:color w:val="auto"/>
                <w:spacing w:val="17"/>
                <w:sz w:val="21"/>
                <w:szCs w:val="21"/>
                <w:highlight w:val="none"/>
                <w:u w:val="single" w:color="auto"/>
              </w:rPr>
              <w:t xml:space="preserve">      </w:t>
            </w:r>
            <w:r>
              <w:rPr>
                <w:strike w:val="0"/>
                <w:dstrike w:val="0"/>
                <w:color w:val="auto"/>
                <w:spacing w:val="-72"/>
                <w:sz w:val="21"/>
                <w:szCs w:val="21"/>
                <w:highlight w:val="none"/>
              </w:rPr>
              <w:t xml:space="preserve"> </w:t>
            </w:r>
            <w:r>
              <w:rPr>
                <w:strike w:val="0"/>
                <w:dstrike w:val="0"/>
                <w:color w:val="auto"/>
                <w:spacing w:val="-7"/>
                <w:sz w:val="21"/>
                <w:szCs w:val="21"/>
                <w:highlight w:val="none"/>
              </w:rPr>
              <w:t>) 。最高投标限价的计</w:t>
            </w:r>
            <w:r>
              <w:rPr>
                <w:strike w:val="0"/>
                <w:dstrike w:val="0"/>
                <w:color w:val="auto"/>
                <w:sz w:val="21"/>
                <w:szCs w:val="21"/>
                <w:highlight w:val="none"/>
              </w:rPr>
              <w:t xml:space="preserve"> </w:t>
            </w:r>
            <w:r>
              <w:rPr>
                <w:strike w:val="0"/>
                <w:dstrike w:val="0"/>
                <w:color w:val="auto"/>
                <w:spacing w:val="-3"/>
                <w:sz w:val="21"/>
                <w:szCs w:val="21"/>
                <w:highlight w:val="none"/>
              </w:rPr>
              <w:t>算方法：最高投标限价</w:t>
            </w:r>
            <w:r>
              <w:rPr>
                <w:rFonts w:ascii="Times New Roman" w:hAnsi="Times New Roman" w:eastAsia="Times New Roman" w:cs="Times New Roman"/>
                <w:strike w:val="0"/>
                <w:dstrike w:val="0"/>
                <w:color w:val="auto"/>
                <w:spacing w:val="-3"/>
                <w:sz w:val="21"/>
                <w:szCs w:val="21"/>
                <w:highlight w:val="none"/>
              </w:rPr>
              <w:t>=</w:t>
            </w:r>
            <w:r>
              <w:rPr>
                <w:strike w:val="0"/>
                <w:dstrike w:val="0"/>
                <w:color w:val="auto"/>
                <w:spacing w:val="-3"/>
                <w:sz w:val="21"/>
                <w:szCs w:val="21"/>
                <w:highlight w:val="none"/>
              </w:rPr>
              <w:t>（招标预算</w:t>
            </w:r>
            <w:r>
              <w:rPr>
                <w:rFonts w:ascii="Times New Roman" w:hAnsi="Times New Roman" w:eastAsia="Times New Roman" w:cs="Times New Roman"/>
                <w:strike w:val="0"/>
                <w:dstrike w:val="0"/>
                <w:color w:val="auto"/>
                <w:spacing w:val="-3"/>
                <w:sz w:val="21"/>
                <w:szCs w:val="21"/>
                <w:highlight w:val="none"/>
              </w:rPr>
              <w:t>-</w:t>
            </w:r>
            <w:r>
              <w:rPr>
                <w:strike w:val="0"/>
                <w:dstrike w:val="0"/>
                <w:color w:val="auto"/>
                <w:spacing w:val="-3"/>
                <w:sz w:val="21"/>
                <w:szCs w:val="21"/>
                <w:highlight w:val="none"/>
              </w:rPr>
              <w:t>预留金</w:t>
            </w:r>
            <w:r>
              <w:rPr>
                <w:rFonts w:ascii="Times New Roman" w:hAnsi="Times New Roman" w:eastAsia="Times New Roman" w:cs="Times New Roman"/>
                <w:strike w:val="0"/>
                <w:dstrike w:val="0"/>
                <w:color w:val="auto"/>
                <w:spacing w:val="-3"/>
                <w:sz w:val="21"/>
                <w:szCs w:val="21"/>
                <w:highlight w:val="none"/>
              </w:rPr>
              <w:t>-</w:t>
            </w:r>
            <w:r>
              <w:rPr>
                <w:strike w:val="0"/>
                <w:dstrike w:val="0"/>
                <w:color w:val="auto"/>
                <w:spacing w:val="-3"/>
                <w:sz w:val="21"/>
                <w:szCs w:val="21"/>
                <w:highlight w:val="none"/>
              </w:rPr>
              <w:t>暂估价</w:t>
            </w:r>
            <w:r>
              <w:rPr>
                <w:rFonts w:ascii="Times New Roman" w:hAnsi="Times New Roman" w:eastAsia="Times New Roman" w:cs="Times New Roman"/>
                <w:strike w:val="0"/>
                <w:dstrike w:val="0"/>
                <w:color w:val="auto"/>
                <w:spacing w:val="-3"/>
                <w:sz w:val="21"/>
                <w:szCs w:val="21"/>
                <w:highlight w:val="none"/>
              </w:rPr>
              <w:t>-</w:t>
            </w:r>
            <w:r>
              <w:rPr>
                <w:strike w:val="0"/>
                <w:dstrike w:val="0"/>
                <w:color w:val="auto"/>
                <w:spacing w:val="-3"/>
                <w:sz w:val="21"/>
                <w:szCs w:val="21"/>
                <w:highlight w:val="none"/>
              </w:rPr>
              <w:t>安全生</w:t>
            </w:r>
            <w:r>
              <w:rPr>
                <w:strike w:val="0"/>
                <w:dstrike w:val="0"/>
                <w:color w:val="auto"/>
                <w:sz w:val="21"/>
                <w:szCs w:val="21"/>
                <w:highlight w:val="none"/>
              </w:rPr>
              <w:t xml:space="preserve"> </w:t>
            </w:r>
            <w:r>
              <w:rPr>
                <w:strike w:val="0"/>
                <w:dstrike w:val="0"/>
                <w:color w:val="auto"/>
                <w:spacing w:val="-1"/>
                <w:sz w:val="21"/>
                <w:szCs w:val="21"/>
                <w:highlight w:val="none"/>
              </w:rPr>
              <w:t>产措施费）×（</w:t>
            </w:r>
            <w:r>
              <w:rPr>
                <w:rFonts w:ascii="Times New Roman" w:hAnsi="Times New Roman" w:eastAsia="Times New Roman" w:cs="Times New Roman"/>
                <w:strike w:val="0"/>
                <w:dstrike w:val="0"/>
                <w:color w:val="auto"/>
                <w:spacing w:val="-1"/>
                <w:sz w:val="21"/>
                <w:szCs w:val="21"/>
                <w:highlight w:val="none"/>
              </w:rPr>
              <w:t>1-</w:t>
            </w:r>
            <w:r>
              <w:rPr>
                <w:strike w:val="0"/>
                <w:dstrike w:val="0"/>
                <w:color w:val="auto"/>
                <w:spacing w:val="-1"/>
                <w:sz w:val="21"/>
                <w:szCs w:val="21"/>
                <w:highlight w:val="none"/>
              </w:rPr>
              <w:t>下浮值</w:t>
            </w:r>
            <w:r>
              <w:rPr>
                <w:rFonts w:ascii="Times New Roman" w:hAnsi="Times New Roman" w:eastAsia="Times New Roman" w:cs="Times New Roman"/>
                <w:strike w:val="0"/>
                <w:dstrike w:val="0"/>
                <w:color w:val="auto"/>
                <w:spacing w:val="-1"/>
                <w:sz w:val="21"/>
                <w:szCs w:val="21"/>
                <w:highlight w:val="none"/>
              </w:rPr>
              <w:t>Y</w:t>
            </w:r>
            <w:r>
              <w:rPr>
                <w:strike w:val="0"/>
                <w:dstrike w:val="0"/>
                <w:color w:val="auto"/>
                <w:spacing w:val="-1"/>
                <w:sz w:val="21"/>
                <w:szCs w:val="21"/>
                <w:highlight w:val="none"/>
              </w:rPr>
              <w:t>）</w:t>
            </w:r>
            <w:r>
              <w:rPr>
                <w:rFonts w:ascii="Times New Roman" w:hAnsi="Times New Roman" w:eastAsia="Times New Roman" w:cs="Times New Roman"/>
                <w:strike w:val="0"/>
                <w:dstrike w:val="0"/>
                <w:color w:val="auto"/>
                <w:spacing w:val="-1"/>
                <w:sz w:val="21"/>
                <w:szCs w:val="21"/>
                <w:highlight w:val="none"/>
              </w:rPr>
              <w:t>+</w:t>
            </w:r>
            <w:r>
              <w:rPr>
                <w:strike w:val="0"/>
                <w:dstrike w:val="0"/>
                <w:color w:val="auto"/>
                <w:spacing w:val="-1"/>
                <w:sz w:val="21"/>
                <w:szCs w:val="21"/>
                <w:highlight w:val="none"/>
              </w:rPr>
              <w:t>预留金</w:t>
            </w:r>
            <w:r>
              <w:rPr>
                <w:rFonts w:ascii="Times New Roman" w:hAnsi="Times New Roman" w:eastAsia="Times New Roman" w:cs="Times New Roman"/>
                <w:strike w:val="0"/>
                <w:dstrike w:val="0"/>
                <w:color w:val="auto"/>
                <w:spacing w:val="-1"/>
                <w:sz w:val="21"/>
                <w:szCs w:val="21"/>
                <w:highlight w:val="none"/>
              </w:rPr>
              <w:t>+</w:t>
            </w:r>
            <w:r>
              <w:rPr>
                <w:strike w:val="0"/>
                <w:dstrike w:val="0"/>
                <w:color w:val="auto"/>
                <w:spacing w:val="-1"/>
                <w:sz w:val="21"/>
                <w:szCs w:val="21"/>
                <w:highlight w:val="none"/>
              </w:rPr>
              <w:t>暂估价</w:t>
            </w:r>
            <w:r>
              <w:rPr>
                <w:rFonts w:ascii="Times New Roman" w:hAnsi="Times New Roman" w:eastAsia="Times New Roman" w:cs="Times New Roman"/>
                <w:strike w:val="0"/>
                <w:dstrike w:val="0"/>
                <w:color w:val="auto"/>
                <w:spacing w:val="-1"/>
                <w:sz w:val="21"/>
                <w:szCs w:val="21"/>
                <w:highlight w:val="none"/>
              </w:rPr>
              <w:t>+</w:t>
            </w:r>
            <w:r>
              <w:rPr>
                <w:strike w:val="0"/>
                <w:dstrike w:val="0"/>
                <w:color w:val="auto"/>
                <w:spacing w:val="-1"/>
                <w:sz w:val="21"/>
                <w:szCs w:val="21"/>
                <w:highlight w:val="none"/>
              </w:rPr>
              <w:t>安全生产措</w:t>
            </w:r>
            <w:r>
              <w:rPr>
                <w:strike w:val="0"/>
                <w:dstrike w:val="0"/>
                <w:color w:val="auto"/>
                <w:spacing w:val="9"/>
                <w:sz w:val="21"/>
                <w:szCs w:val="21"/>
                <w:highlight w:val="none"/>
              </w:rPr>
              <w:t xml:space="preserve"> </w:t>
            </w:r>
            <w:r>
              <w:rPr>
                <w:strike w:val="0"/>
                <w:dstrike w:val="0"/>
                <w:color w:val="auto"/>
                <w:spacing w:val="-4"/>
                <w:sz w:val="21"/>
                <w:szCs w:val="21"/>
                <w:highlight w:val="none"/>
              </w:rPr>
              <w:t>施费，下浮值由招标人在开标时从</w:t>
            </w:r>
            <w:r>
              <w:rPr>
                <w:strike w:val="0"/>
                <w:dstrike w:val="0"/>
                <w:color w:val="auto"/>
                <w:spacing w:val="-4"/>
                <w:sz w:val="21"/>
                <w:szCs w:val="21"/>
                <w:highlight w:val="none"/>
                <w:u w:val="single" w:color="auto"/>
              </w:rPr>
              <w:t xml:space="preserve">   、</w:t>
            </w:r>
            <w:r>
              <w:rPr>
                <w:strike w:val="0"/>
                <w:dstrike w:val="0"/>
                <w:color w:val="auto"/>
                <w:spacing w:val="7"/>
                <w:sz w:val="21"/>
                <w:szCs w:val="21"/>
                <w:highlight w:val="none"/>
                <w:u w:val="single" w:color="auto"/>
              </w:rPr>
              <w:t xml:space="preserve">  </w:t>
            </w:r>
            <w:r>
              <w:rPr>
                <w:strike w:val="0"/>
                <w:dstrike w:val="0"/>
                <w:color w:val="auto"/>
                <w:spacing w:val="-4"/>
                <w:sz w:val="21"/>
                <w:szCs w:val="21"/>
                <w:highlight w:val="none"/>
                <w:u w:val="single" w:color="auto"/>
              </w:rPr>
              <w:t>、  、</w:t>
            </w:r>
            <w:r>
              <w:rPr>
                <w:strike w:val="0"/>
                <w:dstrike w:val="0"/>
                <w:color w:val="auto"/>
                <w:spacing w:val="6"/>
                <w:sz w:val="21"/>
                <w:szCs w:val="21"/>
                <w:highlight w:val="none"/>
                <w:u w:val="single" w:color="auto"/>
              </w:rPr>
              <w:t xml:space="preserve">  </w:t>
            </w:r>
            <w:r>
              <w:rPr>
                <w:strike w:val="0"/>
                <w:dstrike w:val="0"/>
                <w:color w:val="auto"/>
                <w:spacing w:val="-4"/>
                <w:sz w:val="21"/>
                <w:szCs w:val="21"/>
                <w:highlight w:val="none"/>
                <w:u w:val="single" w:color="auto"/>
              </w:rPr>
              <w:t xml:space="preserve">、  </w:t>
            </w:r>
            <w:r>
              <w:rPr>
                <w:strike w:val="0"/>
                <w:dstrike w:val="0"/>
                <w:color w:val="auto"/>
                <w:spacing w:val="-95"/>
                <w:sz w:val="21"/>
                <w:szCs w:val="21"/>
                <w:highlight w:val="none"/>
              </w:rPr>
              <w:t xml:space="preserve"> </w:t>
            </w:r>
            <w:r>
              <w:rPr>
                <w:strike w:val="0"/>
                <w:dstrike w:val="0"/>
                <w:color w:val="auto"/>
                <w:spacing w:val="-4"/>
                <w:sz w:val="21"/>
                <w:szCs w:val="21"/>
                <w:highlight w:val="none"/>
              </w:rPr>
              <w:t>等</w:t>
            </w:r>
            <w:r>
              <w:rPr>
                <w:strike w:val="0"/>
                <w:dstrike w:val="0"/>
                <w:color w:val="auto"/>
                <w:sz w:val="21"/>
                <w:szCs w:val="21"/>
                <w:highlight w:val="none"/>
              </w:rPr>
              <w:t xml:space="preserve"> </w:t>
            </w:r>
            <w:r>
              <w:rPr>
                <w:rFonts w:ascii="Times New Roman" w:hAnsi="Times New Roman" w:eastAsia="Times New Roman" w:cs="Times New Roman"/>
                <w:strike w:val="0"/>
                <w:dstrike w:val="0"/>
                <w:color w:val="auto"/>
                <w:spacing w:val="-2"/>
                <w:sz w:val="21"/>
                <w:szCs w:val="21"/>
                <w:highlight w:val="none"/>
              </w:rPr>
              <w:t>5</w:t>
            </w:r>
            <w:r>
              <w:rPr>
                <w:strike w:val="0"/>
                <w:dstrike w:val="0"/>
                <w:color w:val="auto"/>
                <w:spacing w:val="-2"/>
                <w:sz w:val="21"/>
                <w:szCs w:val="21"/>
                <w:highlight w:val="none"/>
              </w:rPr>
              <w:t>个数组成的等差数列中随机抽取其中一值作为下浮值</w:t>
            </w:r>
            <w:r>
              <w:rPr>
                <w:rFonts w:ascii="Times New Roman" w:hAnsi="Times New Roman" w:eastAsia="Times New Roman" w:cs="Times New Roman"/>
                <w:strike w:val="0"/>
                <w:dstrike w:val="0"/>
                <w:color w:val="auto"/>
                <w:spacing w:val="-3"/>
                <w:sz w:val="21"/>
                <w:szCs w:val="21"/>
                <w:highlight w:val="none"/>
              </w:rPr>
              <w:t>Y</w:t>
            </w:r>
            <w:r>
              <w:rPr>
                <w:strike w:val="0"/>
                <w:dstrike w:val="0"/>
                <w:color w:val="auto"/>
                <w:spacing w:val="-3"/>
                <w:sz w:val="21"/>
                <w:szCs w:val="21"/>
                <w:highlight w:val="none"/>
              </w:rPr>
              <w:t>，</w:t>
            </w:r>
          </w:p>
          <w:p w14:paraId="3D3646FB">
            <w:pPr>
              <w:pStyle w:val="33"/>
              <w:keepNext w:val="0"/>
              <w:keepLines w:val="0"/>
              <w:pageBreakBefore w:val="0"/>
              <w:widowControl/>
              <w:kinsoku/>
              <w:wordWrap/>
              <w:overflowPunct/>
              <w:topLinePunct w:val="0"/>
              <w:autoSpaceDE w:val="0"/>
              <w:autoSpaceDN w:val="0"/>
              <w:bidi w:val="0"/>
              <w:adjustRightInd w:val="0"/>
              <w:snapToGrid w:val="0"/>
              <w:spacing w:line="286" w:lineRule="auto"/>
              <w:ind w:left="0" w:right="0" w:firstLine="420" w:firstLineChars="200"/>
              <w:textAlignment w:val="baseline"/>
              <w:rPr>
                <w:strike w:val="0"/>
                <w:dstrike w:val="0"/>
                <w:color w:val="auto"/>
                <w:sz w:val="21"/>
                <w:szCs w:val="21"/>
                <w:highlight w:val="none"/>
              </w:rPr>
            </w:pPr>
            <w:r>
              <w:rPr>
                <w:strike w:val="0"/>
                <w:dstrike w:val="0"/>
                <w:color w:val="auto"/>
                <w:sz w:val="21"/>
                <w:szCs w:val="21"/>
                <w:highlight w:val="none"/>
              </w:rPr>
              <w:t>投标报价不得超过最高投标限价。（</w:t>
            </w:r>
            <w:r>
              <w:rPr>
                <w:i/>
                <w:iCs/>
                <w:strike w:val="0"/>
                <w:dstrike w:val="0"/>
                <w:color w:val="auto"/>
                <w:sz w:val="22"/>
                <w:szCs w:val="22"/>
                <w:highlight w:val="none"/>
              </w:rPr>
              <w:t>招标人在编制招标文</w:t>
            </w:r>
            <w:r>
              <w:rPr>
                <w:strike w:val="0"/>
                <w:dstrike w:val="0"/>
                <w:color w:val="auto"/>
                <w:sz w:val="22"/>
                <w:szCs w:val="22"/>
                <w:highlight w:val="none"/>
              </w:rPr>
              <w:t xml:space="preserve"> </w:t>
            </w:r>
            <w:r>
              <w:rPr>
                <w:i/>
                <w:iCs/>
                <w:strike w:val="0"/>
                <w:dstrike w:val="0"/>
                <w:color w:val="auto"/>
                <w:spacing w:val="-14"/>
                <w:sz w:val="22"/>
                <w:szCs w:val="22"/>
                <w:highlight w:val="none"/>
              </w:rPr>
              <w:t>件时从</w:t>
            </w:r>
            <w:r>
              <w:rPr>
                <w:rFonts w:ascii="Times New Roman" w:hAnsi="Times New Roman" w:eastAsia="Times New Roman" w:cs="Times New Roman"/>
                <w:i/>
                <w:iCs/>
                <w:strike w:val="0"/>
                <w:dstrike w:val="0"/>
                <w:color w:val="auto"/>
                <w:spacing w:val="-14"/>
                <w:sz w:val="21"/>
                <w:szCs w:val="21"/>
                <w:highlight w:val="none"/>
              </w:rPr>
              <w:t>0.5%</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1%</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1.5%</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2%</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2.5%</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3%</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3.5%</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4%</w:t>
            </w:r>
            <w:r>
              <w:rPr>
                <w:i/>
                <w:iCs/>
                <w:strike w:val="0"/>
                <w:dstrike w:val="0"/>
                <w:color w:val="auto"/>
                <w:spacing w:val="-14"/>
                <w:sz w:val="22"/>
                <w:szCs w:val="22"/>
                <w:highlight w:val="none"/>
              </w:rPr>
              <w:t>、</w:t>
            </w:r>
            <w:r>
              <w:rPr>
                <w:rFonts w:ascii="Times New Roman" w:hAnsi="Times New Roman" w:eastAsia="Times New Roman" w:cs="Times New Roman"/>
                <w:i/>
                <w:iCs/>
                <w:strike w:val="0"/>
                <w:dstrike w:val="0"/>
                <w:color w:val="auto"/>
                <w:spacing w:val="-14"/>
                <w:sz w:val="21"/>
                <w:szCs w:val="21"/>
                <w:highlight w:val="none"/>
              </w:rPr>
              <w:t>4.5%</w:t>
            </w:r>
            <w:r>
              <w:rPr>
                <w:i/>
                <w:iCs/>
                <w:strike w:val="0"/>
                <w:dstrike w:val="0"/>
                <w:color w:val="auto"/>
                <w:spacing w:val="-14"/>
                <w:sz w:val="22"/>
                <w:szCs w:val="22"/>
                <w:highlight w:val="none"/>
              </w:rPr>
              <w:t>、</w:t>
            </w:r>
            <w:r>
              <w:rPr>
                <w:strike w:val="0"/>
                <w:dstrike w:val="0"/>
                <w:color w:val="auto"/>
                <w:spacing w:val="1"/>
                <w:sz w:val="22"/>
                <w:szCs w:val="22"/>
                <w:highlight w:val="none"/>
              </w:rPr>
              <w:t xml:space="preserve"> </w:t>
            </w:r>
            <w:r>
              <w:rPr>
                <w:rFonts w:ascii="Times New Roman" w:hAnsi="Times New Roman" w:eastAsia="Times New Roman" w:cs="Times New Roman"/>
                <w:i/>
                <w:iCs/>
                <w:strike w:val="0"/>
                <w:dstrike w:val="0"/>
                <w:color w:val="auto"/>
                <w:spacing w:val="-7"/>
                <w:sz w:val="21"/>
                <w:szCs w:val="21"/>
                <w:highlight w:val="none"/>
              </w:rPr>
              <w:t>5%</w:t>
            </w:r>
            <w:r>
              <w:rPr>
                <w:i/>
                <w:iCs/>
                <w:strike w:val="0"/>
                <w:dstrike w:val="0"/>
                <w:color w:val="auto"/>
                <w:spacing w:val="-7"/>
                <w:sz w:val="22"/>
                <w:szCs w:val="22"/>
                <w:highlight w:val="none"/>
              </w:rPr>
              <w:t>、</w:t>
            </w:r>
            <w:r>
              <w:rPr>
                <w:rFonts w:ascii="Times New Roman" w:hAnsi="Times New Roman" w:eastAsia="Times New Roman" w:cs="Times New Roman"/>
                <w:i/>
                <w:iCs/>
                <w:strike w:val="0"/>
                <w:dstrike w:val="0"/>
                <w:color w:val="auto"/>
                <w:spacing w:val="-7"/>
                <w:sz w:val="21"/>
                <w:szCs w:val="21"/>
                <w:highlight w:val="none"/>
              </w:rPr>
              <w:t>5.5%</w:t>
            </w:r>
            <w:r>
              <w:rPr>
                <w:i/>
                <w:iCs/>
                <w:strike w:val="0"/>
                <w:dstrike w:val="0"/>
                <w:color w:val="auto"/>
                <w:spacing w:val="-7"/>
                <w:sz w:val="22"/>
                <w:szCs w:val="22"/>
                <w:highlight w:val="none"/>
              </w:rPr>
              <w:t>、</w:t>
            </w:r>
            <w:r>
              <w:rPr>
                <w:rFonts w:ascii="Times New Roman" w:hAnsi="Times New Roman" w:eastAsia="Times New Roman" w:cs="Times New Roman"/>
                <w:i/>
                <w:iCs/>
                <w:strike w:val="0"/>
                <w:dstrike w:val="0"/>
                <w:color w:val="auto"/>
                <w:spacing w:val="-7"/>
                <w:sz w:val="21"/>
                <w:szCs w:val="21"/>
                <w:highlight w:val="none"/>
              </w:rPr>
              <w:t>6%</w:t>
            </w:r>
            <w:r>
              <w:rPr>
                <w:rFonts w:ascii="Times New Roman" w:hAnsi="Times New Roman" w:eastAsia="Times New Roman" w:cs="Times New Roman"/>
                <w:i/>
                <w:iCs/>
                <w:strike w:val="0"/>
                <w:dstrike w:val="0"/>
                <w:color w:val="auto"/>
                <w:spacing w:val="-22"/>
                <w:sz w:val="21"/>
                <w:szCs w:val="21"/>
                <w:highlight w:val="none"/>
              </w:rPr>
              <w:t xml:space="preserve"> </w:t>
            </w:r>
            <w:r>
              <w:rPr>
                <w:i/>
                <w:iCs/>
                <w:strike w:val="0"/>
                <w:dstrike w:val="0"/>
                <w:color w:val="auto"/>
                <w:spacing w:val="-7"/>
                <w:sz w:val="22"/>
                <w:szCs w:val="22"/>
                <w:highlight w:val="none"/>
              </w:rPr>
              <w:t>、</w:t>
            </w:r>
            <w:r>
              <w:rPr>
                <w:rFonts w:ascii="Times New Roman" w:hAnsi="Times New Roman" w:eastAsia="Times New Roman" w:cs="Times New Roman"/>
                <w:i/>
                <w:iCs/>
                <w:strike w:val="0"/>
                <w:dstrike w:val="0"/>
                <w:color w:val="auto"/>
                <w:spacing w:val="-7"/>
                <w:sz w:val="21"/>
                <w:szCs w:val="21"/>
                <w:highlight w:val="none"/>
              </w:rPr>
              <w:t>6.5%</w:t>
            </w:r>
            <w:r>
              <w:rPr>
                <w:rFonts w:ascii="Times New Roman" w:hAnsi="Times New Roman" w:eastAsia="Times New Roman" w:cs="Times New Roman"/>
                <w:i/>
                <w:iCs/>
                <w:strike w:val="0"/>
                <w:dstrike w:val="0"/>
                <w:color w:val="auto"/>
                <w:spacing w:val="-32"/>
                <w:sz w:val="21"/>
                <w:szCs w:val="21"/>
                <w:highlight w:val="none"/>
              </w:rPr>
              <w:t xml:space="preserve"> </w:t>
            </w:r>
            <w:r>
              <w:rPr>
                <w:i/>
                <w:iCs/>
                <w:strike w:val="0"/>
                <w:dstrike w:val="0"/>
                <w:color w:val="auto"/>
                <w:spacing w:val="-7"/>
                <w:sz w:val="22"/>
                <w:szCs w:val="22"/>
                <w:highlight w:val="none"/>
              </w:rPr>
              <w:t>、</w:t>
            </w:r>
            <w:r>
              <w:rPr>
                <w:rFonts w:ascii="Times New Roman" w:hAnsi="Times New Roman" w:eastAsia="Times New Roman" w:cs="Times New Roman"/>
                <w:i/>
                <w:iCs/>
                <w:strike w:val="0"/>
                <w:dstrike w:val="0"/>
                <w:color w:val="auto"/>
                <w:spacing w:val="-7"/>
                <w:sz w:val="21"/>
                <w:szCs w:val="21"/>
                <w:highlight w:val="none"/>
              </w:rPr>
              <w:t>7%</w:t>
            </w:r>
            <w:r>
              <w:rPr>
                <w:rFonts w:ascii="Times New Roman" w:hAnsi="Times New Roman" w:eastAsia="Times New Roman" w:cs="Times New Roman"/>
                <w:i/>
                <w:iCs/>
                <w:strike w:val="0"/>
                <w:dstrike w:val="0"/>
                <w:color w:val="auto"/>
                <w:spacing w:val="-31"/>
                <w:sz w:val="21"/>
                <w:szCs w:val="21"/>
                <w:highlight w:val="none"/>
              </w:rPr>
              <w:t xml:space="preserve"> </w:t>
            </w:r>
            <w:r>
              <w:rPr>
                <w:i/>
                <w:iCs/>
                <w:strike w:val="0"/>
                <w:dstrike w:val="0"/>
                <w:color w:val="auto"/>
                <w:spacing w:val="-7"/>
                <w:sz w:val="22"/>
                <w:szCs w:val="22"/>
                <w:highlight w:val="none"/>
              </w:rPr>
              <w:t>、</w:t>
            </w:r>
            <w:r>
              <w:rPr>
                <w:rFonts w:ascii="Times New Roman" w:hAnsi="Times New Roman" w:eastAsia="Times New Roman" w:cs="Times New Roman"/>
                <w:i/>
                <w:iCs/>
                <w:strike w:val="0"/>
                <w:dstrike w:val="0"/>
                <w:color w:val="auto"/>
                <w:spacing w:val="-7"/>
                <w:sz w:val="21"/>
                <w:szCs w:val="21"/>
                <w:highlight w:val="none"/>
              </w:rPr>
              <w:t>7.5%</w:t>
            </w:r>
            <w:r>
              <w:rPr>
                <w:i/>
                <w:iCs/>
                <w:strike w:val="0"/>
                <w:dstrike w:val="0"/>
                <w:color w:val="auto"/>
                <w:spacing w:val="-7"/>
                <w:sz w:val="22"/>
                <w:szCs w:val="22"/>
                <w:highlight w:val="none"/>
              </w:rPr>
              <w:t>、</w:t>
            </w:r>
            <w:r>
              <w:rPr>
                <w:rFonts w:ascii="Times New Roman" w:hAnsi="Times New Roman" w:eastAsia="Times New Roman" w:cs="Times New Roman"/>
                <w:i/>
                <w:iCs/>
                <w:strike w:val="0"/>
                <w:dstrike w:val="0"/>
                <w:color w:val="auto"/>
                <w:spacing w:val="-7"/>
                <w:sz w:val="21"/>
                <w:szCs w:val="21"/>
                <w:highlight w:val="none"/>
              </w:rPr>
              <w:t>8%</w:t>
            </w:r>
            <w:r>
              <w:rPr>
                <w:i/>
                <w:iCs/>
                <w:strike w:val="0"/>
                <w:dstrike w:val="0"/>
                <w:color w:val="auto"/>
                <w:spacing w:val="-7"/>
                <w:sz w:val="22"/>
                <w:szCs w:val="22"/>
                <w:highlight w:val="none"/>
              </w:rPr>
              <w:t>等</w:t>
            </w:r>
            <w:r>
              <w:rPr>
                <w:rFonts w:ascii="Times New Roman" w:hAnsi="Times New Roman" w:eastAsia="Times New Roman" w:cs="Times New Roman"/>
                <w:i/>
                <w:iCs/>
                <w:strike w:val="0"/>
                <w:dstrike w:val="0"/>
                <w:color w:val="auto"/>
                <w:spacing w:val="-7"/>
                <w:sz w:val="21"/>
                <w:szCs w:val="21"/>
                <w:highlight w:val="none"/>
              </w:rPr>
              <w:t>16</w:t>
            </w:r>
            <w:r>
              <w:rPr>
                <w:i/>
                <w:iCs/>
                <w:strike w:val="0"/>
                <w:dstrike w:val="0"/>
                <w:color w:val="auto"/>
                <w:spacing w:val="-7"/>
                <w:sz w:val="22"/>
                <w:szCs w:val="22"/>
                <w:highlight w:val="none"/>
              </w:rPr>
              <w:t>个数中确定一</w:t>
            </w:r>
            <w:r>
              <w:rPr>
                <w:strike w:val="0"/>
                <w:dstrike w:val="0"/>
                <w:color w:val="auto"/>
                <w:sz w:val="22"/>
                <w:szCs w:val="22"/>
                <w:highlight w:val="none"/>
              </w:rPr>
              <w:t xml:space="preserve"> </w:t>
            </w:r>
            <w:r>
              <w:rPr>
                <w:i/>
                <w:iCs/>
                <w:strike w:val="0"/>
                <w:dstrike w:val="0"/>
                <w:color w:val="auto"/>
                <w:spacing w:val="-7"/>
                <w:sz w:val="22"/>
                <w:szCs w:val="22"/>
                <w:highlight w:val="none"/>
              </w:rPr>
              <w:t>组其中</w:t>
            </w:r>
            <w:r>
              <w:rPr>
                <w:rFonts w:ascii="Times New Roman" w:hAnsi="Times New Roman" w:eastAsia="Times New Roman" w:cs="Times New Roman"/>
                <w:i/>
                <w:iCs/>
                <w:strike w:val="0"/>
                <w:dstrike w:val="0"/>
                <w:color w:val="auto"/>
                <w:spacing w:val="-7"/>
                <w:sz w:val="21"/>
                <w:szCs w:val="21"/>
                <w:highlight w:val="none"/>
              </w:rPr>
              <w:t>5</w:t>
            </w:r>
            <w:r>
              <w:rPr>
                <w:i/>
                <w:iCs/>
                <w:strike w:val="0"/>
                <w:dstrike w:val="0"/>
                <w:color w:val="auto"/>
                <w:spacing w:val="-7"/>
                <w:sz w:val="22"/>
                <w:szCs w:val="22"/>
                <w:highlight w:val="none"/>
              </w:rPr>
              <w:t>个数组成的等差数列</w:t>
            </w:r>
            <w:r>
              <w:rPr>
                <w:strike w:val="0"/>
                <w:dstrike w:val="0"/>
                <w:color w:val="auto"/>
                <w:spacing w:val="-7"/>
                <w:sz w:val="21"/>
                <w:szCs w:val="21"/>
                <w:highlight w:val="none"/>
              </w:rPr>
              <w:t>）。最高投标限价取整数</w:t>
            </w:r>
            <w:r>
              <w:rPr>
                <w:strike w:val="0"/>
                <w:dstrike w:val="0"/>
                <w:color w:val="auto"/>
                <w:spacing w:val="-8"/>
                <w:sz w:val="21"/>
                <w:szCs w:val="21"/>
                <w:highlight w:val="none"/>
              </w:rPr>
              <w:t>，小</w:t>
            </w:r>
            <w:r>
              <w:rPr>
                <w:strike w:val="0"/>
                <w:dstrike w:val="0"/>
                <w:color w:val="auto"/>
                <w:sz w:val="21"/>
                <w:szCs w:val="21"/>
                <w:highlight w:val="none"/>
              </w:rPr>
              <w:t xml:space="preserve">  数点后四舍五入。</w:t>
            </w:r>
          </w:p>
          <w:p w14:paraId="60DE706E">
            <w:pPr>
              <w:pStyle w:val="33"/>
              <w:keepNext w:val="0"/>
              <w:keepLines w:val="0"/>
              <w:pageBreakBefore w:val="0"/>
              <w:widowControl/>
              <w:kinsoku/>
              <w:wordWrap/>
              <w:overflowPunct/>
              <w:topLinePunct w:val="0"/>
              <w:autoSpaceDE w:val="0"/>
              <w:autoSpaceDN w:val="0"/>
              <w:bidi w:val="0"/>
              <w:adjustRightInd w:val="0"/>
              <w:snapToGrid w:val="0"/>
              <w:spacing w:line="219" w:lineRule="auto"/>
              <w:ind w:left="0" w:right="0" w:firstLine="420" w:firstLineChars="200"/>
              <w:textAlignment w:val="baseline"/>
              <w:rPr>
                <w:color w:val="auto"/>
                <w:sz w:val="21"/>
                <w:szCs w:val="21"/>
                <w:highlight w:val="none"/>
              </w:rPr>
            </w:pPr>
            <w:r>
              <w:rPr>
                <w:strike w:val="0"/>
                <w:dstrike w:val="0"/>
                <w:color w:val="auto"/>
                <w:sz w:val="21"/>
                <w:szCs w:val="21"/>
                <w:highlight w:val="none"/>
              </w:rPr>
              <w:t>招标预算指根据浙江省现行水利工程造价计价</w:t>
            </w:r>
            <w:r>
              <w:rPr>
                <w:strike w:val="0"/>
                <w:dstrike w:val="0"/>
                <w:color w:val="auto"/>
                <w:spacing w:val="-1"/>
                <w:sz w:val="21"/>
                <w:szCs w:val="21"/>
                <w:highlight w:val="none"/>
              </w:rPr>
              <w:t>依据和有关</w:t>
            </w:r>
            <w:r>
              <w:rPr>
                <w:rFonts w:hint="eastAsia"/>
                <w:strike w:val="0"/>
                <w:dstrike w:val="0"/>
                <w:color w:val="auto"/>
                <w:spacing w:val="-1"/>
                <w:sz w:val="21"/>
                <w:szCs w:val="21"/>
                <w:highlight w:val="none"/>
              </w:rPr>
              <w:t>规定，以及拟定的招标文件，结合工程具体情况、市场价 格进行编制的造价文件。</w:t>
            </w:r>
          </w:p>
        </w:tc>
      </w:tr>
      <w:tr w14:paraId="11291B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2" w:hRule="atLeast"/>
        </w:trPr>
        <w:tc>
          <w:tcPr>
            <w:tcW w:w="953" w:type="dxa"/>
            <w:tcBorders>
              <w:left w:val="single" w:color="000000" w:sz="6" w:space="0"/>
            </w:tcBorders>
            <w:shd w:val="clear" w:color="auto" w:fill="auto"/>
            <w:vAlign w:val="top"/>
          </w:tcPr>
          <w:p w14:paraId="6247E65A">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25AD49F7">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79BEF459">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130AD763">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458EE4CC">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236F1DC6">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4E53F809">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60615C6B">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0528C7B7">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3C997984">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446B1F43">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2CA0411B">
            <w:pPr>
              <w:keepNext w:val="0"/>
              <w:keepLines w:val="0"/>
              <w:pageBreakBefore w:val="0"/>
              <w:widowControl/>
              <w:kinsoku/>
              <w:wordWrap/>
              <w:overflowPunct/>
              <w:topLinePunct w:val="0"/>
              <w:autoSpaceDE w:val="0"/>
              <w:autoSpaceDN w:val="0"/>
              <w:bidi w:val="0"/>
              <w:adjustRightInd w:val="0"/>
              <w:snapToGrid w:val="0"/>
              <w:spacing w:line="244" w:lineRule="auto"/>
              <w:ind w:left="0" w:right="0" w:firstLine="420" w:firstLineChars="200"/>
              <w:textAlignment w:val="baseline"/>
              <w:rPr>
                <w:rFonts w:ascii="Arial"/>
                <w:color w:val="auto"/>
                <w:sz w:val="21"/>
                <w:highlight w:val="none"/>
              </w:rPr>
            </w:pPr>
          </w:p>
          <w:p w14:paraId="7501232E">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4A4354A7">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312298D6">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3382E4F9">
            <w:pPr>
              <w:keepNext w:val="0"/>
              <w:keepLines w:val="0"/>
              <w:pageBreakBefore w:val="0"/>
              <w:widowControl/>
              <w:kinsoku/>
              <w:wordWrap/>
              <w:overflowPunct/>
              <w:topLinePunct w:val="0"/>
              <w:autoSpaceDE w:val="0"/>
              <w:autoSpaceDN w:val="0"/>
              <w:bidi w:val="0"/>
              <w:adjustRightInd w:val="0"/>
              <w:snapToGrid w:val="0"/>
              <w:spacing w:line="187" w:lineRule="auto"/>
              <w:ind w:left="0" w:leftChars="0" w:right="0" w:firstLine="400" w:firstLineChars="20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5"/>
                <w:sz w:val="21"/>
                <w:szCs w:val="21"/>
                <w:highlight w:val="none"/>
              </w:rPr>
              <w:t>10.6</w:t>
            </w:r>
          </w:p>
        </w:tc>
        <w:tc>
          <w:tcPr>
            <w:tcW w:w="2444" w:type="dxa"/>
            <w:shd w:val="clear" w:color="auto" w:fill="auto"/>
            <w:vAlign w:val="top"/>
          </w:tcPr>
          <w:p w14:paraId="3158821C">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7D4758C2">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04191F35">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5B5C40DA">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2BFCAC32">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6D952997">
            <w:pPr>
              <w:keepNext w:val="0"/>
              <w:keepLines w:val="0"/>
              <w:pageBreakBefore w:val="0"/>
              <w:widowControl/>
              <w:kinsoku/>
              <w:wordWrap/>
              <w:overflowPunct/>
              <w:topLinePunct w:val="0"/>
              <w:autoSpaceDE w:val="0"/>
              <w:autoSpaceDN w:val="0"/>
              <w:bidi w:val="0"/>
              <w:adjustRightInd w:val="0"/>
              <w:snapToGrid w:val="0"/>
              <w:spacing w:line="245" w:lineRule="auto"/>
              <w:ind w:left="0" w:right="0" w:firstLine="420" w:firstLineChars="200"/>
              <w:textAlignment w:val="baseline"/>
              <w:rPr>
                <w:rFonts w:ascii="Arial"/>
                <w:color w:val="auto"/>
                <w:sz w:val="21"/>
                <w:highlight w:val="none"/>
              </w:rPr>
            </w:pPr>
          </w:p>
          <w:p w14:paraId="1B621F98">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7A1FC010">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543EDDD1">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72594673">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3B8FC857">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5D04168D">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00F4F085">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582153A6">
            <w:pPr>
              <w:keepNext w:val="0"/>
              <w:keepLines w:val="0"/>
              <w:pageBreakBefore w:val="0"/>
              <w:widowControl/>
              <w:kinsoku/>
              <w:wordWrap/>
              <w:overflowPunct/>
              <w:topLinePunct w:val="0"/>
              <w:autoSpaceDE w:val="0"/>
              <w:autoSpaceDN w:val="0"/>
              <w:bidi w:val="0"/>
              <w:adjustRightInd w:val="0"/>
              <w:snapToGrid w:val="0"/>
              <w:spacing w:line="246" w:lineRule="auto"/>
              <w:ind w:left="0" w:right="0" w:firstLine="420" w:firstLineChars="200"/>
              <w:textAlignment w:val="baseline"/>
              <w:rPr>
                <w:rFonts w:ascii="Arial"/>
                <w:color w:val="auto"/>
                <w:sz w:val="21"/>
                <w:highlight w:val="none"/>
              </w:rPr>
            </w:pPr>
          </w:p>
          <w:p w14:paraId="3E7D5C67">
            <w:pPr>
              <w:pStyle w:val="33"/>
              <w:keepNext w:val="0"/>
              <w:keepLines w:val="0"/>
              <w:pageBreakBefore w:val="0"/>
              <w:widowControl/>
              <w:kinsoku/>
              <w:wordWrap/>
              <w:overflowPunct/>
              <w:topLinePunct w:val="0"/>
              <w:autoSpaceDE w:val="0"/>
              <w:autoSpaceDN w:val="0"/>
              <w:bidi w:val="0"/>
              <w:adjustRightInd w:val="0"/>
              <w:snapToGrid w:val="0"/>
              <w:spacing w:line="303" w:lineRule="auto"/>
              <w:ind w:right="0" w:rightChars="0"/>
              <w:jc w:val="center"/>
              <w:textAlignment w:val="baseline"/>
              <w:rPr>
                <w:rFonts w:ascii="宋体" w:hAnsi="宋体" w:eastAsia="宋体" w:cs="宋体"/>
                <w:snapToGrid w:val="0"/>
                <w:color w:val="auto"/>
                <w:kern w:val="0"/>
                <w:sz w:val="21"/>
                <w:szCs w:val="21"/>
                <w:highlight w:val="none"/>
                <w:lang w:val="en-US" w:eastAsia="en-US" w:bidi="ar-SA"/>
              </w:rPr>
            </w:pPr>
            <w:r>
              <w:rPr>
                <w:color w:val="auto"/>
                <w:spacing w:val="12"/>
                <w:sz w:val="21"/>
                <w:szCs w:val="21"/>
                <w:highlight w:val="none"/>
              </w:rPr>
              <w:t>在建合同工程的认定及</w:t>
            </w:r>
            <w:r>
              <w:rPr>
                <w:color w:val="auto"/>
                <w:spacing w:val="-2"/>
                <w:sz w:val="21"/>
                <w:szCs w:val="21"/>
                <w:highlight w:val="none"/>
              </w:rPr>
              <w:t>变更证明</w:t>
            </w:r>
          </w:p>
        </w:tc>
        <w:tc>
          <w:tcPr>
            <w:tcW w:w="5503" w:type="dxa"/>
            <w:tcBorders>
              <w:right w:val="single" w:color="000000" w:sz="6" w:space="0"/>
            </w:tcBorders>
            <w:shd w:val="clear" w:color="auto" w:fill="auto"/>
            <w:vAlign w:val="top"/>
          </w:tcPr>
          <w:p w14:paraId="3F2D361C">
            <w:pPr>
              <w:pStyle w:val="33"/>
              <w:keepNext w:val="0"/>
              <w:keepLines w:val="0"/>
              <w:pageBreakBefore w:val="0"/>
              <w:widowControl/>
              <w:kinsoku/>
              <w:wordWrap/>
              <w:overflowPunct/>
              <w:topLinePunct w:val="0"/>
              <w:autoSpaceDE w:val="0"/>
              <w:autoSpaceDN w:val="0"/>
              <w:bidi w:val="0"/>
              <w:adjustRightInd w:val="0"/>
              <w:snapToGrid w:val="0"/>
              <w:spacing w:line="221" w:lineRule="auto"/>
              <w:ind w:left="0" w:right="0" w:firstLine="408" w:firstLineChars="200"/>
              <w:textAlignment w:val="baseline"/>
              <w:rPr>
                <w:color w:val="auto"/>
                <w:sz w:val="21"/>
                <w:szCs w:val="21"/>
                <w:highlight w:val="none"/>
              </w:rPr>
            </w:pPr>
            <w:r>
              <w:rPr>
                <w:rFonts w:ascii="Times New Roman" w:hAnsi="Times New Roman" w:eastAsia="Times New Roman" w:cs="Times New Roman"/>
                <w:color w:val="auto"/>
                <w:spacing w:val="-3"/>
                <w:sz w:val="21"/>
                <w:szCs w:val="21"/>
                <w:highlight w:val="none"/>
              </w:rPr>
              <w:t>1</w:t>
            </w:r>
            <w:r>
              <w:rPr>
                <w:rFonts w:ascii="Times New Roman" w:hAnsi="Times New Roman" w:eastAsia="Times New Roman" w:cs="Times New Roman"/>
                <w:color w:val="auto"/>
                <w:spacing w:val="-7"/>
                <w:sz w:val="21"/>
                <w:szCs w:val="21"/>
                <w:highlight w:val="none"/>
              </w:rPr>
              <w:t xml:space="preserve"> </w:t>
            </w:r>
            <w:r>
              <w:rPr>
                <w:color w:val="auto"/>
                <w:spacing w:val="-3"/>
                <w:sz w:val="21"/>
                <w:szCs w:val="21"/>
                <w:highlight w:val="none"/>
              </w:rPr>
              <w:t>．对项目负责人“有在建合同工程”的认定标准：</w:t>
            </w:r>
          </w:p>
          <w:p w14:paraId="39826BCE">
            <w:pPr>
              <w:pStyle w:val="33"/>
              <w:keepNext w:val="0"/>
              <w:keepLines w:val="0"/>
              <w:pageBreakBefore w:val="0"/>
              <w:widowControl/>
              <w:kinsoku/>
              <w:wordWrap/>
              <w:overflowPunct/>
              <w:topLinePunct w:val="0"/>
              <w:autoSpaceDE w:val="0"/>
              <w:autoSpaceDN w:val="0"/>
              <w:bidi w:val="0"/>
              <w:adjustRightInd w:val="0"/>
              <w:snapToGrid w:val="0"/>
              <w:spacing w:line="308" w:lineRule="auto"/>
              <w:ind w:left="0" w:right="0" w:firstLine="420" w:firstLineChars="200"/>
              <w:textAlignment w:val="baseline"/>
              <w:rPr>
                <w:color w:val="auto"/>
                <w:sz w:val="21"/>
                <w:szCs w:val="21"/>
                <w:highlight w:val="none"/>
              </w:rPr>
            </w:pPr>
            <w:r>
              <w:rPr>
                <w:color w:val="auto"/>
                <w:sz w:val="21"/>
                <w:szCs w:val="21"/>
                <w:highlight w:val="none"/>
              </w:rPr>
              <w:t>拟派项目负责人在投标截止时间尚有在其他</w:t>
            </w:r>
            <w:r>
              <w:rPr>
                <w:color w:val="auto"/>
                <w:spacing w:val="-1"/>
                <w:sz w:val="21"/>
                <w:szCs w:val="21"/>
                <w:highlight w:val="none"/>
              </w:rPr>
              <w:t>在建合同工</w:t>
            </w:r>
            <w:r>
              <w:rPr>
                <w:color w:val="auto"/>
                <w:sz w:val="21"/>
                <w:szCs w:val="21"/>
                <w:highlight w:val="none"/>
              </w:rPr>
              <w:t xml:space="preserve"> 程中担任项目负责人（包括工程总承包项目中的施</w:t>
            </w:r>
            <w:r>
              <w:rPr>
                <w:color w:val="auto"/>
                <w:spacing w:val="-1"/>
                <w:sz w:val="21"/>
                <w:szCs w:val="21"/>
                <w:highlight w:val="none"/>
              </w:rPr>
              <w:t>工负责</w:t>
            </w:r>
            <w:r>
              <w:rPr>
                <w:color w:val="auto"/>
                <w:sz w:val="21"/>
                <w:szCs w:val="21"/>
                <w:highlight w:val="none"/>
              </w:rPr>
              <w:t xml:space="preserve"> </w:t>
            </w:r>
            <w:r>
              <w:rPr>
                <w:color w:val="auto"/>
                <w:spacing w:val="-2"/>
                <w:sz w:val="21"/>
                <w:szCs w:val="21"/>
                <w:highlight w:val="none"/>
              </w:rPr>
              <w:t>人）的情形为“有在建合同工程”。</w:t>
            </w:r>
          </w:p>
          <w:p w14:paraId="4ADB61A4">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20" w:firstLineChars="200"/>
              <w:textAlignment w:val="baseline"/>
              <w:rPr>
                <w:color w:val="auto"/>
                <w:sz w:val="21"/>
                <w:szCs w:val="21"/>
                <w:highlight w:val="none"/>
              </w:rPr>
            </w:pPr>
            <w:r>
              <w:rPr>
                <w:color w:val="auto"/>
                <w:sz w:val="21"/>
                <w:szCs w:val="21"/>
                <w:highlight w:val="none"/>
              </w:rPr>
              <w:t>在建合同工程项目，包括在中华人民共和国境</w:t>
            </w:r>
            <w:r>
              <w:rPr>
                <w:color w:val="auto"/>
                <w:spacing w:val="-1"/>
                <w:sz w:val="21"/>
                <w:szCs w:val="21"/>
                <w:highlight w:val="none"/>
              </w:rPr>
              <w:t>内所有建</w:t>
            </w:r>
            <w:r>
              <w:rPr>
                <w:color w:val="auto"/>
                <w:sz w:val="21"/>
                <w:szCs w:val="21"/>
                <w:highlight w:val="none"/>
              </w:rPr>
              <w:t xml:space="preserve"> </w:t>
            </w:r>
            <w:r>
              <w:rPr>
                <w:color w:val="auto"/>
                <w:spacing w:val="-2"/>
                <w:sz w:val="21"/>
                <w:szCs w:val="21"/>
                <w:highlight w:val="none"/>
              </w:rPr>
              <w:t>设工程，不受地域、行业和投资性质的限制。</w:t>
            </w:r>
          </w:p>
          <w:p w14:paraId="7DDA5D56">
            <w:pPr>
              <w:pStyle w:val="33"/>
              <w:keepNext w:val="0"/>
              <w:keepLines w:val="0"/>
              <w:pageBreakBefore w:val="0"/>
              <w:widowControl/>
              <w:kinsoku/>
              <w:wordWrap/>
              <w:overflowPunct/>
              <w:topLinePunct w:val="0"/>
              <w:autoSpaceDE w:val="0"/>
              <w:autoSpaceDN w:val="0"/>
              <w:bidi w:val="0"/>
              <w:adjustRightInd w:val="0"/>
              <w:snapToGrid w:val="0"/>
              <w:spacing w:line="308" w:lineRule="auto"/>
              <w:ind w:left="0" w:right="0" w:firstLine="420" w:firstLineChars="200"/>
              <w:textAlignment w:val="baseline"/>
              <w:rPr>
                <w:color w:val="auto"/>
                <w:sz w:val="21"/>
                <w:szCs w:val="21"/>
                <w:highlight w:val="none"/>
              </w:rPr>
            </w:pPr>
            <w:r>
              <w:rPr>
                <w:color w:val="auto"/>
                <w:sz w:val="21"/>
                <w:szCs w:val="21"/>
                <w:highlight w:val="none"/>
              </w:rPr>
              <w:t>在建合同工程的时间界定：中标通知书发出之</w:t>
            </w:r>
            <w:r>
              <w:rPr>
                <w:color w:val="auto"/>
                <w:spacing w:val="-1"/>
                <w:sz w:val="21"/>
                <w:szCs w:val="21"/>
                <w:highlight w:val="none"/>
              </w:rPr>
              <w:t>日（不通</w:t>
            </w:r>
            <w:r>
              <w:rPr>
                <w:color w:val="auto"/>
                <w:sz w:val="21"/>
                <w:szCs w:val="21"/>
                <w:highlight w:val="none"/>
              </w:rPr>
              <w:t xml:space="preserve"> </w:t>
            </w:r>
            <w:r>
              <w:rPr>
                <w:color w:val="auto"/>
                <w:spacing w:val="-1"/>
                <w:sz w:val="21"/>
                <w:szCs w:val="21"/>
                <w:highlight w:val="none"/>
              </w:rPr>
              <w:t>过招标方式的，开始时间为合同签订之日</w:t>
            </w:r>
            <w:r>
              <w:rPr>
                <w:color w:val="auto"/>
                <w:spacing w:val="9"/>
                <w:sz w:val="21"/>
                <w:szCs w:val="21"/>
                <w:highlight w:val="none"/>
              </w:rPr>
              <w:t>），</w:t>
            </w:r>
            <w:r>
              <w:rPr>
                <w:color w:val="auto"/>
                <w:spacing w:val="-1"/>
                <w:sz w:val="21"/>
                <w:szCs w:val="21"/>
                <w:highlight w:val="none"/>
              </w:rPr>
              <w:t>结束时间为</w:t>
            </w:r>
            <w:r>
              <w:rPr>
                <w:color w:val="auto"/>
                <w:sz w:val="21"/>
                <w:szCs w:val="21"/>
                <w:highlight w:val="none"/>
              </w:rPr>
              <w:t xml:space="preserve"> </w:t>
            </w:r>
            <w:r>
              <w:rPr>
                <w:color w:val="auto"/>
                <w:spacing w:val="-1"/>
                <w:sz w:val="21"/>
                <w:szCs w:val="21"/>
                <w:highlight w:val="none"/>
              </w:rPr>
              <w:t>该合同工程通过验收或合同解除之日。</w:t>
            </w:r>
          </w:p>
          <w:p w14:paraId="3E739A85">
            <w:pPr>
              <w:pStyle w:val="33"/>
              <w:keepNext w:val="0"/>
              <w:keepLines w:val="0"/>
              <w:pageBreakBefore w:val="0"/>
              <w:widowControl/>
              <w:kinsoku/>
              <w:wordWrap/>
              <w:overflowPunct/>
              <w:topLinePunct w:val="0"/>
              <w:autoSpaceDE w:val="0"/>
              <w:autoSpaceDN w:val="0"/>
              <w:bidi w:val="0"/>
              <w:adjustRightInd w:val="0"/>
              <w:snapToGrid w:val="0"/>
              <w:spacing w:line="221" w:lineRule="auto"/>
              <w:ind w:left="0" w:right="0" w:firstLine="404" w:firstLineChars="200"/>
              <w:textAlignment w:val="baseline"/>
              <w:rPr>
                <w:color w:val="auto"/>
                <w:sz w:val="21"/>
                <w:szCs w:val="21"/>
                <w:highlight w:val="none"/>
              </w:rPr>
            </w:pPr>
            <w:r>
              <w:rPr>
                <w:color w:val="auto"/>
                <w:spacing w:val="-4"/>
                <w:sz w:val="21"/>
                <w:szCs w:val="21"/>
                <w:highlight w:val="none"/>
              </w:rPr>
              <w:t>以下情形视为“有在建合同工程”：</w:t>
            </w:r>
          </w:p>
          <w:p w14:paraId="10081483">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6" w:firstLineChars="200"/>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1</w:t>
            </w:r>
            <w:r>
              <w:rPr>
                <w:color w:val="auto"/>
                <w:spacing w:val="-1"/>
                <w:sz w:val="21"/>
                <w:szCs w:val="21"/>
                <w:highlight w:val="none"/>
              </w:rPr>
              <w:t>）合同协议书尚未签订的，中标通知书中载明的项</w:t>
            </w:r>
            <w:r>
              <w:rPr>
                <w:color w:val="auto"/>
                <w:spacing w:val="11"/>
                <w:sz w:val="21"/>
                <w:szCs w:val="21"/>
                <w:highlight w:val="none"/>
              </w:rPr>
              <w:t xml:space="preserve"> </w:t>
            </w:r>
            <w:r>
              <w:rPr>
                <w:color w:val="auto"/>
                <w:spacing w:val="-4"/>
                <w:sz w:val="21"/>
                <w:szCs w:val="21"/>
                <w:highlight w:val="none"/>
              </w:rPr>
              <w:t>目负责人（包括工程总承包项目中的施工负责人）为准；</w:t>
            </w:r>
          </w:p>
          <w:p w14:paraId="3CE754B5">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08" w:firstLineChars="200"/>
              <w:textAlignment w:val="baseline"/>
              <w:rPr>
                <w:color w:val="auto"/>
                <w:sz w:val="21"/>
                <w:szCs w:val="21"/>
                <w:highlight w:val="none"/>
              </w:rPr>
            </w:pPr>
            <w:r>
              <w:rPr>
                <w:color w:val="auto"/>
                <w:spacing w:val="-3"/>
                <w:sz w:val="21"/>
                <w:szCs w:val="21"/>
                <w:highlight w:val="none"/>
              </w:rPr>
              <w:t>（</w:t>
            </w:r>
            <w:r>
              <w:rPr>
                <w:rFonts w:ascii="Times New Roman" w:hAnsi="Times New Roman" w:eastAsia="Times New Roman" w:cs="Times New Roman"/>
                <w:color w:val="auto"/>
                <w:spacing w:val="-3"/>
                <w:sz w:val="21"/>
                <w:szCs w:val="21"/>
                <w:highlight w:val="none"/>
              </w:rPr>
              <w:t>2</w:t>
            </w:r>
            <w:r>
              <w:rPr>
                <w:color w:val="auto"/>
                <w:spacing w:val="-3"/>
                <w:sz w:val="21"/>
                <w:szCs w:val="21"/>
                <w:highlight w:val="none"/>
              </w:rPr>
              <w:t>）合同协议书已经签订，合同协议书中明确的项目</w:t>
            </w:r>
            <w:r>
              <w:rPr>
                <w:color w:val="auto"/>
                <w:spacing w:val="18"/>
                <w:sz w:val="21"/>
                <w:szCs w:val="21"/>
                <w:highlight w:val="none"/>
              </w:rPr>
              <w:t xml:space="preserve"> </w:t>
            </w:r>
            <w:r>
              <w:rPr>
                <w:color w:val="auto"/>
                <w:spacing w:val="-1"/>
                <w:sz w:val="21"/>
                <w:szCs w:val="21"/>
                <w:highlight w:val="none"/>
              </w:rPr>
              <w:t>负责人（包括工程总承包项目中的施工负责人）为准；</w:t>
            </w:r>
          </w:p>
          <w:p w14:paraId="58A1BD86">
            <w:pPr>
              <w:pStyle w:val="33"/>
              <w:keepNext w:val="0"/>
              <w:keepLines w:val="0"/>
              <w:pageBreakBefore w:val="0"/>
              <w:widowControl/>
              <w:kinsoku/>
              <w:wordWrap/>
              <w:overflowPunct/>
              <w:topLinePunct w:val="0"/>
              <w:autoSpaceDE w:val="0"/>
              <w:autoSpaceDN w:val="0"/>
              <w:bidi w:val="0"/>
              <w:adjustRightInd w:val="0"/>
              <w:snapToGrid w:val="0"/>
              <w:spacing w:line="310" w:lineRule="auto"/>
              <w:ind w:left="0" w:right="0" w:firstLine="416" w:firstLineChars="200"/>
              <w:textAlignment w:val="baseline"/>
              <w:rPr>
                <w:color w:val="auto"/>
                <w:sz w:val="21"/>
                <w:szCs w:val="21"/>
                <w:highlight w:val="none"/>
              </w:rPr>
            </w:pPr>
            <w:r>
              <w:rPr>
                <w:color w:val="auto"/>
                <w:spacing w:val="-1"/>
                <w:sz w:val="21"/>
                <w:szCs w:val="21"/>
                <w:highlight w:val="none"/>
              </w:rPr>
              <w:t>（</w:t>
            </w:r>
            <w:r>
              <w:rPr>
                <w:rFonts w:ascii="Times New Roman" w:hAnsi="Times New Roman" w:eastAsia="Times New Roman" w:cs="Times New Roman"/>
                <w:color w:val="auto"/>
                <w:spacing w:val="-1"/>
                <w:sz w:val="21"/>
                <w:szCs w:val="21"/>
                <w:highlight w:val="none"/>
              </w:rPr>
              <w:t>3</w:t>
            </w:r>
            <w:r>
              <w:rPr>
                <w:color w:val="auto"/>
                <w:spacing w:val="-1"/>
                <w:sz w:val="21"/>
                <w:szCs w:val="21"/>
                <w:highlight w:val="none"/>
              </w:rPr>
              <w:t>）项目负责人发生更换的，投标人在投标文件中附</w:t>
            </w:r>
            <w:r>
              <w:rPr>
                <w:color w:val="auto"/>
                <w:spacing w:val="5"/>
                <w:sz w:val="21"/>
                <w:szCs w:val="21"/>
                <w:highlight w:val="none"/>
              </w:rPr>
              <w:t xml:space="preserve">  </w:t>
            </w:r>
            <w:r>
              <w:rPr>
                <w:color w:val="auto"/>
                <w:spacing w:val="-1"/>
                <w:sz w:val="21"/>
                <w:szCs w:val="21"/>
                <w:highlight w:val="none"/>
              </w:rPr>
              <w:t>有下列第</w:t>
            </w:r>
            <w:r>
              <w:rPr>
                <w:rFonts w:ascii="Times New Roman" w:hAnsi="Times New Roman" w:eastAsia="Times New Roman" w:cs="Times New Roman"/>
                <w:color w:val="auto"/>
                <w:spacing w:val="-1"/>
                <w:sz w:val="21"/>
                <w:szCs w:val="21"/>
                <w:highlight w:val="none"/>
              </w:rPr>
              <w:t>2</w:t>
            </w:r>
            <w:r>
              <w:rPr>
                <w:color w:val="auto"/>
                <w:spacing w:val="-1"/>
                <w:sz w:val="21"/>
                <w:szCs w:val="21"/>
                <w:highlight w:val="none"/>
              </w:rPr>
              <w:t>项证明材料的，以现任项目负责人视为有“在</w:t>
            </w:r>
            <w:r>
              <w:rPr>
                <w:color w:val="auto"/>
                <w:spacing w:val="9"/>
                <w:sz w:val="21"/>
                <w:szCs w:val="21"/>
                <w:highlight w:val="none"/>
              </w:rPr>
              <w:t xml:space="preserve">  </w:t>
            </w:r>
            <w:r>
              <w:rPr>
                <w:color w:val="auto"/>
                <w:sz w:val="21"/>
                <w:szCs w:val="21"/>
                <w:highlight w:val="none"/>
              </w:rPr>
              <w:t>建合同工程”；未附证明材料的，则仍然以更换</w:t>
            </w:r>
            <w:r>
              <w:rPr>
                <w:color w:val="auto"/>
                <w:spacing w:val="-1"/>
                <w:sz w:val="21"/>
                <w:szCs w:val="21"/>
                <w:highlight w:val="none"/>
              </w:rPr>
              <w:t>前的项目</w:t>
            </w:r>
            <w:r>
              <w:rPr>
                <w:color w:val="auto"/>
                <w:sz w:val="21"/>
                <w:szCs w:val="21"/>
                <w:highlight w:val="none"/>
              </w:rPr>
              <w:t xml:space="preserve"> </w:t>
            </w:r>
            <w:r>
              <w:rPr>
                <w:color w:val="auto"/>
                <w:spacing w:val="-1"/>
                <w:sz w:val="21"/>
                <w:szCs w:val="21"/>
                <w:highlight w:val="none"/>
              </w:rPr>
              <w:t>负责人视为有“在建合同工程”。</w:t>
            </w:r>
          </w:p>
          <w:p w14:paraId="7486E3DA">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eastAsia="宋体"/>
                <w:color w:val="auto"/>
                <w:sz w:val="21"/>
                <w:szCs w:val="21"/>
                <w:highlight w:val="none"/>
                <w:lang w:eastAsia="zh-CN"/>
              </w:rPr>
            </w:pPr>
            <w:r>
              <w:rPr>
                <w:rFonts w:ascii="Times New Roman" w:hAnsi="Times New Roman" w:eastAsia="Times New Roman" w:cs="Times New Roman"/>
                <w:color w:val="auto"/>
                <w:spacing w:val="-2"/>
                <w:sz w:val="21"/>
                <w:szCs w:val="21"/>
                <w:highlight w:val="none"/>
              </w:rPr>
              <w:t>2</w:t>
            </w:r>
            <w:r>
              <w:rPr>
                <w:rFonts w:ascii="Times New Roman" w:hAnsi="Times New Roman" w:eastAsia="Times New Roman" w:cs="Times New Roman"/>
                <w:color w:val="auto"/>
                <w:spacing w:val="-8"/>
                <w:sz w:val="21"/>
                <w:szCs w:val="21"/>
                <w:highlight w:val="none"/>
              </w:rPr>
              <w:t xml:space="preserve"> </w:t>
            </w:r>
            <w:r>
              <w:rPr>
                <w:color w:val="auto"/>
                <w:spacing w:val="-2"/>
                <w:sz w:val="21"/>
                <w:szCs w:val="21"/>
                <w:highlight w:val="none"/>
              </w:rPr>
              <w:t>．在建项目的项目负责人办理更换后，投标时需提供</w:t>
            </w:r>
            <w:r>
              <w:rPr>
                <w:color w:val="auto"/>
                <w:sz w:val="21"/>
                <w:szCs w:val="21"/>
                <w:highlight w:val="none"/>
              </w:rPr>
              <w:t xml:space="preserve"> </w:t>
            </w:r>
            <w:r>
              <w:rPr>
                <w:color w:val="auto"/>
                <w:spacing w:val="-6"/>
                <w:sz w:val="21"/>
                <w:szCs w:val="21"/>
                <w:highlight w:val="none"/>
              </w:rPr>
              <w:t>的资料：</w:t>
            </w:r>
            <w:r>
              <w:rPr>
                <w:rFonts w:hint="eastAsia"/>
                <w:color w:val="auto"/>
                <w:spacing w:val="-6"/>
                <w:sz w:val="21"/>
                <w:szCs w:val="21"/>
                <w:highlight w:val="none"/>
                <w:lang w:eastAsia="zh-CN"/>
              </w:rPr>
              <w:t>（未提供视为未变更）</w:t>
            </w:r>
          </w:p>
          <w:p w14:paraId="79B3B3B5">
            <w:pPr>
              <w:pStyle w:val="33"/>
              <w:keepNext w:val="0"/>
              <w:keepLines w:val="0"/>
              <w:pageBreakBefore w:val="0"/>
              <w:widowControl/>
              <w:kinsoku/>
              <w:wordWrap/>
              <w:overflowPunct/>
              <w:topLinePunct w:val="0"/>
              <w:autoSpaceDE w:val="0"/>
              <w:autoSpaceDN w:val="0"/>
              <w:bidi w:val="0"/>
              <w:adjustRightInd w:val="0"/>
              <w:snapToGrid w:val="0"/>
              <w:spacing w:line="206" w:lineRule="auto"/>
              <w:ind w:left="0" w:leftChars="0" w:right="0" w:firstLine="416" w:firstLineChars="200"/>
              <w:textAlignment w:val="baseline"/>
              <w:rPr>
                <w:rFonts w:ascii="宋体" w:hAnsi="宋体" w:eastAsia="宋体" w:cs="宋体"/>
                <w:snapToGrid w:val="0"/>
                <w:color w:val="auto"/>
                <w:kern w:val="0"/>
                <w:sz w:val="21"/>
                <w:szCs w:val="21"/>
                <w:highlight w:val="none"/>
                <w:lang w:val="en-US" w:eastAsia="en-US" w:bidi="ar-SA"/>
              </w:rPr>
            </w:pPr>
            <w:r>
              <w:rPr>
                <w:color w:val="auto"/>
                <w:spacing w:val="-1"/>
                <w:sz w:val="21"/>
                <w:szCs w:val="21"/>
                <w:highlight w:val="none"/>
              </w:rPr>
              <w:t>项目业主同意更换的证明。</w:t>
            </w:r>
          </w:p>
        </w:tc>
      </w:tr>
      <w:tr w14:paraId="4657A4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953" w:type="dxa"/>
            <w:tcBorders>
              <w:left w:val="single" w:color="000000" w:sz="6" w:space="0"/>
            </w:tcBorders>
            <w:shd w:val="clear" w:color="auto" w:fill="auto"/>
            <w:vAlign w:val="top"/>
          </w:tcPr>
          <w:p w14:paraId="44B5551F">
            <w:pPr>
              <w:keepNext w:val="0"/>
              <w:keepLines w:val="0"/>
              <w:pageBreakBefore w:val="0"/>
              <w:widowControl/>
              <w:kinsoku/>
              <w:wordWrap/>
              <w:overflowPunct/>
              <w:topLinePunct w:val="0"/>
              <w:autoSpaceDE w:val="0"/>
              <w:autoSpaceDN w:val="0"/>
              <w:bidi w:val="0"/>
              <w:adjustRightInd w:val="0"/>
              <w:snapToGrid w:val="0"/>
              <w:spacing w:line="292" w:lineRule="auto"/>
              <w:ind w:left="0" w:right="0" w:firstLine="420" w:firstLineChars="200"/>
              <w:textAlignment w:val="baseline"/>
              <w:rPr>
                <w:rFonts w:ascii="Arial"/>
                <w:color w:val="auto"/>
                <w:sz w:val="21"/>
                <w:highlight w:val="none"/>
              </w:rPr>
            </w:pPr>
          </w:p>
          <w:p w14:paraId="1D9AD249">
            <w:pPr>
              <w:keepNext w:val="0"/>
              <w:keepLines w:val="0"/>
              <w:pageBreakBefore w:val="0"/>
              <w:widowControl/>
              <w:kinsoku/>
              <w:wordWrap/>
              <w:overflowPunct/>
              <w:topLinePunct w:val="0"/>
              <w:autoSpaceDE w:val="0"/>
              <w:autoSpaceDN w:val="0"/>
              <w:bidi w:val="0"/>
              <w:adjustRightInd w:val="0"/>
              <w:snapToGrid w:val="0"/>
              <w:spacing w:line="292" w:lineRule="auto"/>
              <w:ind w:left="0" w:right="0" w:firstLine="420" w:firstLineChars="200"/>
              <w:textAlignment w:val="baseline"/>
              <w:rPr>
                <w:rFonts w:ascii="Arial"/>
                <w:color w:val="auto"/>
                <w:sz w:val="21"/>
                <w:highlight w:val="none"/>
              </w:rPr>
            </w:pPr>
          </w:p>
          <w:p w14:paraId="29BE7C03">
            <w:pPr>
              <w:keepNext w:val="0"/>
              <w:keepLines w:val="0"/>
              <w:pageBreakBefore w:val="0"/>
              <w:widowControl/>
              <w:kinsoku/>
              <w:wordWrap/>
              <w:overflowPunct/>
              <w:topLinePunct w:val="0"/>
              <w:autoSpaceDE w:val="0"/>
              <w:autoSpaceDN w:val="0"/>
              <w:bidi w:val="0"/>
              <w:adjustRightInd w:val="0"/>
              <w:snapToGrid w:val="0"/>
              <w:spacing w:line="292" w:lineRule="auto"/>
              <w:ind w:left="0" w:right="0" w:firstLine="420" w:firstLineChars="200"/>
              <w:textAlignment w:val="baseline"/>
              <w:rPr>
                <w:rFonts w:ascii="Arial"/>
                <w:color w:val="auto"/>
                <w:sz w:val="21"/>
                <w:highlight w:val="none"/>
              </w:rPr>
            </w:pPr>
          </w:p>
          <w:p w14:paraId="4CB1F899">
            <w:pPr>
              <w:keepNext w:val="0"/>
              <w:keepLines w:val="0"/>
              <w:pageBreakBefore w:val="0"/>
              <w:widowControl/>
              <w:kinsoku/>
              <w:wordWrap/>
              <w:overflowPunct/>
              <w:topLinePunct w:val="0"/>
              <w:autoSpaceDE w:val="0"/>
              <w:autoSpaceDN w:val="0"/>
              <w:bidi w:val="0"/>
              <w:adjustRightInd w:val="0"/>
              <w:snapToGrid w:val="0"/>
              <w:spacing w:line="292" w:lineRule="auto"/>
              <w:ind w:left="0" w:right="0" w:firstLine="420" w:firstLineChars="200"/>
              <w:textAlignment w:val="baseline"/>
              <w:rPr>
                <w:rFonts w:ascii="Arial"/>
                <w:color w:val="auto"/>
                <w:sz w:val="21"/>
                <w:highlight w:val="none"/>
              </w:rPr>
            </w:pPr>
          </w:p>
          <w:p w14:paraId="679EDA71">
            <w:pPr>
              <w:keepNext w:val="0"/>
              <w:keepLines w:val="0"/>
              <w:pageBreakBefore w:val="0"/>
              <w:widowControl/>
              <w:kinsoku/>
              <w:wordWrap/>
              <w:overflowPunct/>
              <w:topLinePunct w:val="0"/>
              <w:autoSpaceDE w:val="0"/>
              <w:autoSpaceDN w:val="0"/>
              <w:bidi w:val="0"/>
              <w:adjustRightInd w:val="0"/>
              <w:snapToGrid w:val="0"/>
              <w:spacing w:line="187" w:lineRule="auto"/>
              <w:ind w:left="0" w:leftChars="0" w:right="0" w:firstLine="400" w:firstLineChars="20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5"/>
                <w:sz w:val="21"/>
                <w:szCs w:val="21"/>
                <w:highlight w:val="none"/>
              </w:rPr>
              <w:t>10.7</w:t>
            </w:r>
          </w:p>
        </w:tc>
        <w:tc>
          <w:tcPr>
            <w:tcW w:w="2444" w:type="dxa"/>
            <w:shd w:val="clear" w:color="auto" w:fill="auto"/>
            <w:vAlign w:val="top"/>
          </w:tcPr>
          <w:p w14:paraId="0F5D12C2">
            <w:pPr>
              <w:keepNext w:val="0"/>
              <w:keepLines w:val="0"/>
              <w:pageBreakBefore w:val="0"/>
              <w:widowControl/>
              <w:kinsoku/>
              <w:wordWrap/>
              <w:overflowPunct/>
              <w:topLinePunct w:val="0"/>
              <w:autoSpaceDE w:val="0"/>
              <w:autoSpaceDN w:val="0"/>
              <w:bidi w:val="0"/>
              <w:adjustRightInd w:val="0"/>
              <w:snapToGrid w:val="0"/>
              <w:spacing w:line="280" w:lineRule="auto"/>
              <w:ind w:left="0" w:right="0" w:firstLine="420" w:firstLineChars="200"/>
              <w:textAlignment w:val="baseline"/>
              <w:rPr>
                <w:rFonts w:ascii="Arial"/>
                <w:color w:val="auto"/>
                <w:sz w:val="21"/>
                <w:highlight w:val="none"/>
              </w:rPr>
            </w:pPr>
          </w:p>
          <w:p w14:paraId="2BB0CADC">
            <w:pPr>
              <w:keepNext w:val="0"/>
              <w:keepLines w:val="0"/>
              <w:pageBreakBefore w:val="0"/>
              <w:widowControl/>
              <w:kinsoku/>
              <w:wordWrap/>
              <w:overflowPunct/>
              <w:topLinePunct w:val="0"/>
              <w:autoSpaceDE w:val="0"/>
              <w:autoSpaceDN w:val="0"/>
              <w:bidi w:val="0"/>
              <w:adjustRightInd w:val="0"/>
              <w:snapToGrid w:val="0"/>
              <w:spacing w:line="280" w:lineRule="auto"/>
              <w:ind w:left="0" w:right="0" w:firstLine="420" w:firstLineChars="200"/>
              <w:textAlignment w:val="baseline"/>
              <w:rPr>
                <w:rFonts w:ascii="Arial"/>
                <w:color w:val="auto"/>
                <w:sz w:val="21"/>
                <w:highlight w:val="none"/>
              </w:rPr>
            </w:pPr>
          </w:p>
          <w:p w14:paraId="3B0A7B50">
            <w:pPr>
              <w:keepNext w:val="0"/>
              <w:keepLines w:val="0"/>
              <w:pageBreakBefore w:val="0"/>
              <w:widowControl/>
              <w:kinsoku/>
              <w:wordWrap/>
              <w:overflowPunct/>
              <w:topLinePunct w:val="0"/>
              <w:autoSpaceDE w:val="0"/>
              <w:autoSpaceDN w:val="0"/>
              <w:bidi w:val="0"/>
              <w:adjustRightInd w:val="0"/>
              <w:snapToGrid w:val="0"/>
              <w:spacing w:line="281" w:lineRule="auto"/>
              <w:ind w:left="0" w:right="0" w:firstLine="420" w:firstLineChars="200"/>
              <w:textAlignment w:val="baseline"/>
              <w:rPr>
                <w:rFonts w:ascii="Arial"/>
                <w:color w:val="auto"/>
                <w:sz w:val="21"/>
                <w:highlight w:val="none"/>
              </w:rPr>
            </w:pPr>
          </w:p>
          <w:p w14:paraId="1F817AD2">
            <w:pPr>
              <w:keepNext w:val="0"/>
              <w:keepLines w:val="0"/>
              <w:pageBreakBefore w:val="0"/>
              <w:widowControl/>
              <w:kinsoku/>
              <w:wordWrap/>
              <w:overflowPunct/>
              <w:topLinePunct w:val="0"/>
              <w:autoSpaceDE w:val="0"/>
              <w:autoSpaceDN w:val="0"/>
              <w:bidi w:val="0"/>
              <w:adjustRightInd w:val="0"/>
              <w:snapToGrid w:val="0"/>
              <w:spacing w:line="281" w:lineRule="auto"/>
              <w:ind w:left="0" w:right="0" w:firstLine="420" w:firstLineChars="200"/>
              <w:textAlignment w:val="baseline"/>
              <w:rPr>
                <w:rFonts w:ascii="Arial"/>
                <w:color w:val="auto"/>
                <w:sz w:val="21"/>
                <w:highlight w:val="none"/>
              </w:rPr>
            </w:pPr>
          </w:p>
          <w:p w14:paraId="65EBED6B">
            <w:pPr>
              <w:pStyle w:val="33"/>
              <w:keepNext w:val="0"/>
              <w:keepLines w:val="0"/>
              <w:pageBreakBefore w:val="0"/>
              <w:widowControl/>
              <w:kinsoku/>
              <w:wordWrap/>
              <w:overflowPunct/>
              <w:topLinePunct w:val="0"/>
              <w:autoSpaceDE w:val="0"/>
              <w:autoSpaceDN w:val="0"/>
              <w:bidi w:val="0"/>
              <w:adjustRightInd w:val="0"/>
              <w:snapToGrid w:val="0"/>
              <w:spacing w:line="221" w:lineRule="auto"/>
              <w:ind w:left="0" w:leftChars="0" w:right="0" w:firstLine="412" w:firstLineChars="200"/>
              <w:textAlignment w:val="baseline"/>
              <w:rPr>
                <w:rFonts w:ascii="宋体" w:hAnsi="宋体" w:eastAsia="宋体" w:cs="宋体"/>
                <w:snapToGrid w:val="0"/>
                <w:color w:val="auto"/>
                <w:kern w:val="0"/>
                <w:sz w:val="21"/>
                <w:szCs w:val="21"/>
                <w:highlight w:val="none"/>
                <w:lang w:val="en-US" w:eastAsia="en-US" w:bidi="ar-SA"/>
              </w:rPr>
            </w:pPr>
            <w:r>
              <w:rPr>
                <w:color w:val="auto"/>
                <w:spacing w:val="-2"/>
                <w:sz w:val="21"/>
                <w:szCs w:val="21"/>
                <w:highlight w:val="none"/>
              </w:rPr>
              <w:t>特别说明</w:t>
            </w:r>
          </w:p>
        </w:tc>
        <w:tc>
          <w:tcPr>
            <w:tcW w:w="5503" w:type="dxa"/>
            <w:tcBorders>
              <w:right w:val="single" w:color="000000" w:sz="6" w:space="0"/>
            </w:tcBorders>
            <w:shd w:val="clear" w:color="auto" w:fill="auto"/>
            <w:vAlign w:val="top"/>
          </w:tcPr>
          <w:p w14:paraId="3161F761">
            <w:pPr>
              <w:pStyle w:val="33"/>
              <w:keepNext w:val="0"/>
              <w:keepLines w:val="0"/>
              <w:pageBreakBefore w:val="0"/>
              <w:widowControl/>
              <w:kinsoku/>
              <w:wordWrap/>
              <w:overflowPunct/>
              <w:topLinePunct w:val="0"/>
              <w:autoSpaceDE w:val="0"/>
              <w:autoSpaceDN w:val="0"/>
              <w:bidi w:val="0"/>
              <w:adjustRightInd w:val="0"/>
              <w:snapToGrid w:val="0"/>
              <w:spacing w:line="289" w:lineRule="auto"/>
              <w:ind w:left="0" w:right="0" w:firstLine="400" w:firstLineChars="200"/>
              <w:textAlignment w:val="baseline"/>
              <w:rPr>
                <w:color w:val="auto"/>
                <w:sz w:val="21"/>
                <w:szCs w:val="21"/>
                <w:highlight w:val="none"/>
              </w:rPr>
            </w:pPr>
            <w:r>
              <w:rPr>
                <w:rFonts w:ascii="Times New Roman" w:hAnsi="Times New Roman" w:eastAsia="Times New Roman" w:cs="Times New Roman"/>
                <w:color w:val="auto"/>
                <w:spacing w:val="-5"/>
                <w:sz w:val="21"/>
                <w:szCs w:val="21"/>
                <w:highlight w:val="none"/>
              </w:rPr>
              <w:t>1</w:t>
            </w:r>
            <w:r>
              <w:rPr>
                <w:rFonts w:ascii="Times New Roman" w:hAnsi="Times New Roman" w:eastAsia="Times New Roman" w:cs="Times New Roman"/>
                <w:color w:val="auto"/>
                <w:spacing w:val="-24"/>
                <w:sz w:val="21"/>
                <w:szCs w:val="21"/>
                <w:highlight w:val="none"/>
              </w:rPr>
              <w:t xml:space="preserve"> </w:t>
            </w:r>
            <w:r>
              <w:rPr>
                <w:i/>
                <w:iCs/>
                <w:color w:val="auto"/>
                <w:spacing w:val="-5"/>
                <w:sz w:val="22"/>
                <w:szCs w:val="22"/>
                <w:highlight w:val="none"/>
              </w:rPr>
              <w:t>．</w:t>
            </w:r>
            <w:r>
              <w:rPr>
                <w:color w:val="auto"/>
                <w:spacing w:val="-5"/>
                <w:sz w:val="21"/>
                <w:szCs w:val="21"/>
                <w:highlight w:val="none"/>
              </w:rPr>
              <w:t>“投标人须知前附表”是对“投标人须知”正文</w:t>
            </w:r>
            <w:r>
              <w:rPr>
                <w:color w:val="auto"/>
                <w:spacing w:val="-6"/>
                <w:sz w:val="21"/>
                <w:szCs w:val="21"/>
                <w:highlight w:val="none"/>
              </w:rPr>
              <w:t>中未</w:t>
            </w:r>
            <w:r>
              <w:rPr>
                <w:color w:val="auto"/>
                <w:sz w:val="21"/>
                <w:szCs w:val="21"/>
                <w:highlight w:val="none"/>
              </w:rPr>
              <w:t xml:space="preserve"> </w:t>
            </w:r>
            <w:r>
              <w:rPr>
                <w:color w:val="auto"/>
                <w:spacing w:val="1"/>
                <w:sz w:val="21"/>
                <w:szCs w:val="21"/>
                <w:highlight w:val="none"/>
              </w:rPr>
              <w:t>尽事宜进一步明确及重点内容的概括，招标人应结合招标</w:t>
            </w:r>
            <w:r>
              <w:rPr>
                <w:color w:val="auto"/>
                <w:spacing w:val="6"/>
                <w:sz w:val="21"/>
                <w:szCs w:val="21"/>
                <w:highlight w:val="none"/>
              </w:rPr>
              <w:t xml:space="preserve"> </w:t>
            </w:r>
            <w:r>
              <w:rPr>
                <w:color w:val="auto"/>
                <w:spacing w:val="1"/>
                <w:sz w:val="21"/>
                <w:szCs w:val="21"/>
                <w:highlight w:val="none"/>
              </w:rPr>
              <w:t>项目具体特点和实际需要编制和填写，但不应与“投标人</w:t>
            </w:r>
            <w:r>
              <w:rPr>
                <w:color w:val="auto"/>
                <w:spacing w:val="6"/>
                <w:sz w:val="21"/>
                <w:szCs w:val="21"/>
                <w:highlight w:val="none"/>
              </w:rPr>
              <w:t xml:space="preserve"> </w:t>
            </w:r>
            <w:r>
              <w:rPr>
                <w:color w:val="auto"/>
                <w:sz w:val="21"/>
                <w:szCs w:val="21"/>
                <w:highlight w:val="none"/>
              </w:rPr>
              <w:t>须知”正文内容相抵触，否则抵触内容无效。</w:t>
            </w:r>
          </w:p>
          <w:p w14:paraId="556354D6">
            <w:pPr>
              <w:pStyle w:val="33"/>
              <w:keepNext w:val="0"/>
              <w:keepLines w:val="0"/>
              <w:pageBreakBefore w:val="0"/>
              <w:widowControl/>
              <w:kinsoku/>
              <w:wordWrap/>
              <w:overflowPunct/>
              <w:topLinePunct w:val="0"/>
              <w:autoSpaceDE w:val="0"/>
              <w:autoSpaceDN w:val="0"/>
              <w:bidi w:val="0"/>
              <w:adjustRightInd w:val="0"/>
              <w:snapToGrid w:val="0"/>
              <w:spacing w:line="269" w:lineRule="auto"/>
              <w:ind w:left="0" w:right="0" w:firstLine="412" w:firstLineChars="200"/>
              <w:textAlignment w:val="baseline"/>
              <w:rPr>
                <w:rFonts w:ascii="Times New Roman" w:hAnsi="Times New Roman" w:eastAsia="Times New Roman" w:cs="Times New Roman"/>
                <w:snapToGrid w:val="0"/>
                <w:color w:val="auto"/>
                <w:kern w:val="0"/>
                <w:sz w:val="21"/>
                <w:szCs w:val="21"/>
                <w:highlight w:val="none"/>
                <w:lang w:val="en-US" w:eastAsia="en-US" w:bidi="ar-SA"/>
              </w:rPr>
            </w:pPr>
            <w:r>
              <w:rPr>
                <w:rFonts w:ascii="Times New Roman" w:hAnsi="Times New Roman" w:eastAsia="Times New Roman" w:cs="Times New Roman"/>
                <w:color w:val="auto"/>
                <w:spacing w:val="-2"/>
                <w:sz w:val="21"/>
                <w:szCs w:val="21"/>
                <w:highlight w:val="none"/>
              </w:rPr>
              <w:t>2</w:t>
            </w:r>
            <w:r>
              <w:rPr>
                <w:rFonts w:ascii="Times New Roman" w:hAnsi="Times New Roman" w:eastAsia="Times New Roman" w:cs="Times New Roman"/>
                <w:color w:val="auto"/>
                <w:spacing w:val="-8"/>
                <w:sz w:val="21"/>
                <w:szCs w:val="21"/>
                <w:highlight w:val="none"/>
              </w:rPr>
              <w:t xml:space="preserve"> </w:t>
            </w:r>
            <w:r>
              <w:rPr>
                <w:color w:val="auto"/>
                <w:spacing w:val="-2"/>
                <w:sz w:val="21"/>
                <w:szCs w:val="21"/>
                <w:highlight w:val="none"/>
              </w:rPr>
              <w:t>．投标人投标函与投标函附录不一致的，以投标人投</w:t>
            </w:r>
            <w:r>
              <w:rPr>
                <w:color w:val="auto"/>
                <w:sz w:val="21"/>
                <w:szCs w:val="21"/>
                <w:highlight w:val="none"/>
              </w:rPr>
              <w:t xml:space="preserve"> </w:t>
            </w:r>
            <w:r>
              <w:rPr>
                <w:color w:val="auto"/>
                <w:spacing w:val="-5"/>
                <w:sz w:val="21"/>
                <w:szCs w:val="21"/>
                <w:highlight w:val="none"/>
              </w:rPr>
              <w:t>标函为准。</w:t>
            </w:r>
          </w:p>
        </w:tc>
      </w:tr>
      <w:tr w14:paraId="398746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953" w:type="dxa"/>
            <w:tcBorders>
              <w:left w:val="single" w:color="000000" w:sz="6" w:space="0"/>
            </w:tcBorders>
            <w:shd w:val="clear" w:color="auto" w:fill="auto"/>
            <w:vAlign w:val="center"/>
          </w:tcPr>
          <w:p w14:paraId="29E91CF5">
            <w:pPr>
              <w:keepNext w:val="0"/>
              <w:keepLines w:val="0"/>
              <w:pageBreakBefore w:val="0"/>
              <w:widowControl/>
              <w:kinsoku/>
              <w:wordWrap/>
              <w:overflowPunct/>
              <w:topLinePunct w:val="0"/>
              <w:autoSpaceDE w:val="0"/>
              <w:autoSpaceDN w:val="0"/>
              <w:bidi w:val="0"/>
              <w:adjustRightInd w:val="0"/>
              <w:snapToGrid w:val="0"/>
              <w:spacing w:line="273" w:lineRule="auto"/>
              <w:ind w:left="0" w:right="0" w:firstLine="420" w:firstLineChars="200"/>
              <w:jc w:val="center"/>
              <w:textAlignment w:val="baseline"/>
              <w:rPr>
                <w:rFonts w:ascii="Arial"/>
                <w:sz w:val="21"/>
              </w:rPr>
            </w:pPr>
          </w:p>
          <w:p w14:paraId="25CB15B7">
            <w:pPr>
              <w:keepNext w:val="0"/>
              <w:keepLines w:val="0"/>
              <w:pageBreakBefore w:val="0"/>
              <w:widowControl/>
              <w:kinsoku/>
              <w:wordWrap/>
              <w:overflowPunct/>
              <w:topLinePunct w:val="0"/>
              <w:autoSpaceDE w:val="0"/>
              <w:autoSpaceDN w:val="0"/>
              <w:bidi w:val="0"/>
              <w:adjustRightInd w:val="0"/>
              <w:snapToGrid w:val="0"/>
              <w:spacing w:line="233" w:lineRule="auto"/>
              <w:ind w:left="0" w:leftChars="0" w:right="0" w:firstLine="400" w:firstLineChars="200"/>
              <w:jc w:val="both"/>
              <w:textAlignment w:val="baseline"/>
              <w:rPr>
                <w:rFonts w:ascii="Times New Roman" w:hAnsi="Times New Roman" w:eastAsia="Times New Roman" w:cs="Times New Roman"/>
                <w:snapToGrid w:val="0"/>
                <w:color w:val="000000"/>
                <w:kern w:val="0"/>
                <w:sz w:val="21"/>
                <w:szCs w:val="21"/>
                <w:lang w:val="en-US" w:eastAsia="en-US" w:bidi="ar-SA"/>
              </w:rPr>
            </w:pPr>
            <w:r>
              <w:rPr>
                <w:rFonts w:ascii="Times New Roman" w:hAnsi="Times New Roman" w:eastAsia="Times New Roman" w:cs="Times New Roman"/>
                <w:spacing w:val="-5"/>
                <w:sz w:val="21"/>
                <w:szCs w:val="21"/>
              </w:rPr>
              <w:t>10.8</w:t>
            </w:r>
          </w:p>
        </w:tc>
        <w:tc>
          <w:tcPr>
            <w:tcW w:w="2444" w:type="dxa"/>
            <w:shd w:val="clear" w:color="auto" w:fill="auto"/>
            <w:vAlign w:val="center"/>
          </w:tcPr>
          <w:p w14:paraId="63365506">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jc w:val="left"/>
              <w:textAlignment w:val="baseline"/>
              <w:rPr>
                <w:color w:val="auto"/>
                <w:spacing w:val="-2"/>
                <w:sz w:val="21"/>
                <w:szCs w:val="21"/>
                <w:highlight w:val="none"/>
                <w:lang w:val="en-US" w:eastAsia="en-US"/>
              </w:rPr>
            </w:pPr>
            <w:r>
              <w:rPr>
                <w:color w:val="auto"/>
                <w:spacing w:val="-2"/>
                <w:sz w:val="21"/>
                <w:szCs w:val="21"/>
                <w:highlight w:val="none"/>
              </w:rPr>
              <w:t>否决投标的情形</w:t>
            </w:r>
          </w:p>
        </w:tc>
        <w:tc>
          <w:tcPr>
            <w:tcW w:w="5503" w:type="dxa"/>
            <w:tcBorders>
              <w:right w:val="single" w:color="000000" w:sz="6" w:space="0"/>
            </w:tcBorders>
            <w:shd w:val="clear" w:color="auto" w:fill="auto"/>
            <w:vAlign w:val="top"/>
          </w:tcPr>
          <w:p w14:paraId="2268AD13">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color w:val="auto"/>
                <w:spacing w:val="-2"/>
                <w:sz w:val="21"/>
                <w:szCs w:val="21"/>
                <w:highlight w:val="none"/>
              </w:rPr>
            </w:pPr>
            <w:r>
              <w:rPr>
                <w:color w:val="auto"/>
                <w:spacing w:val="-2"/>
                <w:sz w:val="21"/>
                <w:szCs w:val="21"/>
                <w:highlight w:val="none"/>
              </w:rPr>
              <w:t>1.  技术符合性审查</w:t>
            </w:r>
          </w:p>
          <w:p w14:paraId="3FFCDEED">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color w:val="auto"/>
                <w:spacing w:val="-2"/>
                <w:sz w:val="21"/>
                <w:szCs w:val="21"/>
                <w:highlight w:val="none"/>
              </w:rPr>
              <w:t>投标文件如存在以下情况之一的，由评标委员会全体成</w:t>
            </w:r>
            <w:r>
              <w:rPr>
                <w:rFonts w:hint="eastAsia"/>
                <w:color w:val="auto"/>
                <w:spacing w:val="-2"/>
                <w:sz w:val="21"/>
                <w:szCs w:val="21"/>
                <w:highlight w:val="none"/>
              </w:rPr>
              <w:t>员按照少数服从多数的原则记名投票（不得弃权）认定，作为技术符合性审查未通过予以否决其投标，不再进行后续评审：</w:t>
            </w:r>
          </w:p>
          <w:p w14:paraId="3BF46A2E">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（1）投标人未按招标文件要求加盖单位印章或投标人的法定代表人（或其委托代理人）未按招标文件要求签字或盖章的。</w:t>
            </w:r>
          </w:p>
          <w:p w14:paraId="107C69BC">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（2）投标人法定代表人授权委托代理人签署投标文件，未提供有效的授权委托书的或投标人法定代表人亲自签署投标文件，未提供法定代表人身份证明的。</w:t>
            </w:r>
          </w:p>
          <w:p w14:paraId="07231B37">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（3）联合体投标未附有效的联合体协议书的。</w:t>
            </w:r>
          </w:p>
          <w:p w14:paraId="42FDC26B">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（4）投标人的投标资格不满足招标文件载明的强制性要求的（以投标人须知前附表第10.3款实质性响应招标文件资料为准），或不满足国家有关规定的。</w:t>
            </w:r>
          </w:p>
          <w:p w14:paraId="66ECC4DD">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（5）项目负责人、技术负责人或</w:t>
            </w:r>
            <w:r>
              <w:rPr>
                <w:rFonts w:hint="eastAsia"/>
                <w:strike/>
                <w:dstrike w:val="0"/>
                <w:color w:val="auto"/>
                <w:spacing w:val="-2"/>
                <w:sz w:val="21"/>
                <w:szCs w:val="21"/>
                <w:highlight w:val="none"/>
              </w:rPr>
              <w:t>副项目负责人（若有）</w:t>
            </w:r>
            <w:r>
              <w:rPr>
                <w:rFonts w:hint="eastAsia"/>
                <w:color w:val="auto"/>
                <w:spacing w:val="-2"/>
                <w:sz w:val="21"/>
                <w:szCs w:val="21"/>
                <w:highlight w:val="none"/>
              </w:rPr>
              <w:t>不明确的。</w:t>
            </w:r>
          </w:p>
          <w:p w14:paraId="543AC037">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eastAsia="宋体"/>
                <w:color w:val="auto"/>
                <w:spacing w:val="-2"/>
                <w:sz w:val="21"/>
                <w:szCs w:val="21"/>
                <w:highlight w:val="none"/>
                <w:lang w:eastAsia="zh-CN"/>
              </w:rPr>
            </w:pPr>
            <w:r>
              <w:rPr>
                <w:rFonts w:hint="eastAsia"/>
                <w:color w:val="auto"/>
                <w:spacing w:val="-2"/>
                <w:sz w:val="21"/>
                <w:szCs w:val="21"/>
                <w:highlight w:val="none"/>
              </w:rPr>
              <w:t>（6）拟实行分包的，其分包的工作不满足招标文件载明的强制性要求的（以投标人须知前附表第1.11款为准）</w:t>
            </w:r>
            <w:r>
              <w:rPr>
                <w:rFonts w:hint="eastAsia"/>
                <w:color w:val="auto"/>
                <w:spacing w:val="-2"/>
                <w:sz w:val="21"/>
                <w:szCs w:val="21"/>
                <w:highlight w:val="none"/>
                <w:lang w:eastAsia="zh-CN"/>
              </w:rPr>
              <w:t>。</w:t>
            </w:r>
          </w:p>
          <w:p w14:paraId="0E6AB09D">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（7）同一投标人提交两个以上不同的投标文件且未声明哪一个有效的（招标文件要求提交备选投标的除外）。</w:t>
            </w:r>
          </w:p>
          <w:p w14:paraId="5E039884">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（8）投标人不以自己的名义或未按招标文件要求提供投标保证金或提供的投标保证金有缺陷而不能接受的。</w:t>
            </w:r>
          </w:p>
          <w:p w14:paraId="037FF840">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（9）投标工期和质量不满足招标文件要求的（以投标人须知前附表第1.3.2 、1.3.3项为准）。</w:t>
            </w:r>
          </w:p>
          <w:p w14:paraId="5F6F4D6C">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eastAsia="宋体"/>
                <w:color w:val="auto"/>
                <w:spacing w:val="-2"/>
                <w:sz w:val="21"/>
                <w:szCs w:val="21"/>
                <w:highlight w:val="none"/>
                <w:lang w:eastAsia="zh-CN"/>
              </w:rPr>
            </w:pPr>
            <w:r>
              <w:rPr>
                <w:rFonts w:hint="eastAsia"/>
                <w:color w:val="auto"/>
                <w:spacing w:val="-2"/>
                <w:sz w:val="21"/>
                <w:szCs w:val="21"/>
                <w:highlight w:val="none"/>
              </w:rPr>
              <w:t>（10）采用的验收标准或主要技术指标达不到国家强制性标准或招标文件以下条款规定的：</w:t>
            </w:r>
            <w:r>
              <w:rPr>
                <w:rFonts w:hint="eastAsia"/>
                <w:color w:val="auto"/>
                <w:spacing w:val="-2"/>
                <w:sz w:val="21"/>
                <w:szCs w:val="21"/>
                <w:highlight w:val="none"/>
                <w:lang w:eastAsia="zh-CN"/>
              </w:rPr>
              <w:t>无</w:t>
            </w:r>
          </w:p>
          <w:p w14:paraId="32EBF863">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（11）采用的施工工艺、方法或质量安全管理措施不能满足国家强制性标准或要求的。</w:t>
            </w:r>
          </w:p>
          <w:p w14:paraId="5A841F08">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（12）投标人存在投标人须知第“1.4.3  投标人不得存在下列情形之一 ”项或投标人须知“9.2  对投标人的纪律要求 ”项规定情形之一的。</w:t>
            </w:r>
          </w:p>
          <w:p w14:paraId="53669F1A">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w:t>
            </w:r>
            <w:r>
              <w:rPr>
                <w:rFonts w:hint="eastAsia"/>
                <w:color w:val="auto"/>
                <w:spacing w:val="-2"/>
                <w:sz w:val="21"/>
                <w:szCs w:val="21"/>
                <w:highlight w:val="none"/>
                <w:lang w:val="en-US" w:eastAsia="zh-CN"/>
              </w:rPr>
              <w:t>3</w:t>
            </w:r>
            <w:r>
              <w:rPr>
                <w:rFonts w:hint="eastAsia"/>
                <w:color w:val="auto"/>
                <w:spacing w:val="-2"/>
                <w:sz w:val="21"/>
                <w:szCs w:val="21"/>
                <w:highlight w:val="none"/>
              </w:rPr>
              <w:t>）存在法律、法规、规章规定的其他无效投标情况的。</w:t>
            </w:r>
          </w:p>
          <w:p w14:paraId="7F4857F2">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2．技术评审</w:t>
            </w:r>
          </w:p>
          <w:p w14:paraId="7A6FB5FE">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如投标文件有以下情况之一的，由评标委员会全体成员按照少数服从多数的原则记名投票（不得弃权）认定，作为技术评审不合格处理予以否决其投标，不再进行后续评审：</w:t>
            </w:r>
          </w:p>
          <w:p w14:paraId="28AC0BD1">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（1）主要的施工技术方案或安全保障措施不可行的。</w:t>
            </w:r>
          </w:p>
          <w:p w14:paraId="4A0213FD">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（2）主要施工机械设备不能满足施工需要的。</w:t>
            </w:r>
          </w:p>
          <w:p w14:paraId="12D47C74">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（3）附有工程无法适用的其他技术和管理条款的。</w:t>
            </w:r>
          </w:p>
          <w:p w14:paraId="34978D92">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3. 资信符合性审查</w:t>
            </w:r>
          </w:p>
          <w:p w14:paraId="576217C4">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投标文件如存在以下情况之一的，由评标委员会全体成员按照少数服从多数的原则记名投票（不得弃权）认定，作为资信符合性审查未通过予以否决其投标，不再进行后续评审：</w:t>
            </w:r>
          </w:p>
          <w:p w14:paraId="14CF4242">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（1）投标人未按招标文件要求加盖单位印章或投标人的法定代表人（或其委托代理人）未按招标文件要求签字或盖章的。</w:t>
            </w:r>
          </w:p>
          <w:p w14:paraId="63A443C9">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w:t>
            </w:r>
            <w:r>
              <w:rPr>
                <w:rFonts w:hint="eastAsia"/>
                <w:color w:val="auto"/>
                <w:spacing w:val="-2"/>
                <w:sz w:val="21"/>
                <w:szCs w:val="21"/>
                <w:highlight w:val="none"/>
                <w:lang w:val="en-US" w:eastAsia="zh-CN"/>
              </w:rPr>
              <w:t>2</w:t>
            </w:r>
            <w:r>
              <w:rPr>
                <w:rFonts w:hint="eastAsia"/>
                <w:color w:val="auto"/>
                <w:spacing w:val="-2"/>
                <w:sz w:val="21"/>
                <w:szCs w:val="21"/>
                <w:highlight w:val="none"/>
              </w:rPr>
              <w:t>）存在法律、法规、规章规定的其他无效投标情况的。</w:t>
            </w:r>
          </w:p>
          <w:p w14:paraId="0616A730">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4. 商务符合性审查</w:t>
            </w:r>
          </w:p>
          <w:p w14:paraId="4BB5719E">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投标文件如存在以下情况之一的，由评标委员会全体成员按照少数服从多数的原则记名投票（不得弃权）认定，作为商务符合性审查未通过予以否决其投标，不再进行后续评审：</w:t>
            </w:r>
          </w:p>
          <w:p w14:paraId="5F5CDC6E">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（1）投标人未按招标文件要求加盖单位印章或投标人的法定代表人（或其委托代理人）未按招标文件要求签字或盖章的</w:t>
            </w:r>
          </w:p>
          <w:p w14:paraId="5BC859F0">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eastAsia="宋体"/>
                <w:color w:val="auto"/>
                <w:spacing w:val="-2"/>
                <w:sz w:val="21"/>
                <w:szCs w:val="21"/>
                <w:highlight w:val="none"/>
                <w:lang w:eastAsia="zh-CN"/>
              </w:rPr>
            </w:pPr>
            <w:r>
              <w:rPr>
                <w:rFonts w:hint="eastAsia"/>
                <w:color w:val="auto"/>
                <w:spacing w:val="-2"/>
                <w:sz w:val="21"/>
                <w:szCs w:val="21"/>
                <w:highlight w:val="none"/>
              </w:rPr>
              <w:t>（2）同一投标人提交两个及以上不同的投标报价且未声明哪一个有效的（招标文件要求提交备选投标的除外）</w:t>
            </w:r>
            <w:r>
              <w:rPr>
                <w:rFonts w:hint="eastAsia"/>
                <w:color w:val="auto"/>
                <w:spacing w:val="-2"/>
                <w:sz w:val="21"/>
                <w:szCs w:val="21"/>
                <w:highlight w:val="none"/>
                <w:lang w:eastAsia="zh-CN"/>
              </w:rPr>
              <w:t>。</w:t>
            </w:r>
          </w:p>
          <w:p w14:paraId="26D1AF8F">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（3）投标函载明的投标工期和质量不满足招标文件要求的(以投标人须知前附表第1.3.2 、1.3.3项为准）。</w:t>
            </w:r>
          </w:p>
          <w:p w14:paraId="5D519BD7">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（4）投标报价高于招标文件设定的最高投标限价的或分项限价的。</w:t>
            </w:r>
          </w:p>
          <w:p w14:paraId="12F70AF6">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（5）改变招标人提供的工程量清单中的项目编码、项目名称、项目主要特征、计量单位、工程数量、主要技术条款编码、预留金或暂估价等内容的（但按照国家规范所作的修改和招标文件另有规定的除外）。</w:t>
            </w:r>
          </w:p>
          <w:p w14:paraId="7F9918FA">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（6）投标人存在投标人须知“9.2 对投标人的纪律要求 ”项规定情形之一的。</w:t>
            </w:r>
          </w:p>
          <w:p w14:paraId="04D1EA83">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w:t>
            </w:r>
            <w:r>
              <w:rPr>
                <w:rFonts w:hint="eastAsia"/>
                <w:color w:val="auto"/>
                <w:spacing w:val="-2"/>
                <w:sz w:val="21"/>
                <w:szCs w:val="21"/>
                <w:highlight w:val="none"/>
                <w:lang w:val="en-US" w:eastAsia="zh-CN"/>
              </w:rPr>
              <w:t>7</w:t>
            </w:r>
            <w:r>
              <w:rPr>
                <w:rFonts w:hint="eastAsia"/>
                <w:color w:val="auto"/>
                <w:spacing w:val="-2"/>
                <w:sz w:val="21"/>
                <w:szCs w:val="21"/>
                <w:highlight w:val="none"/>
              </w:rPr>
              <w:t>）存在法律、法规、规章规定的其他无效投标情况的。</w:t>
            </w:r>
          </w:p>
          <w:p w14:paraId="25C014A9">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5.  商务评审</w:t>
            </w:r>
          </w:p>
          <w:p w14:paraId="63218316">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投标报价如存在以下情况之一的，由评标委员会全体成员按照少数服从多数的原则记名投票（不得弃权）认定，作为按商务评审不合格处理予以否决其投标，不再进行后续评审：</w:t>
            </w:r>
          </w:p>
          <w:p w14:paraId="1DC95DBF">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（1）投标人拒绝修正不平衡报价或拒绝提供报价分析说明和证明材料的。</w:t>
            </w:r>
          </w:p>
          <w:p w14:paraId="2F212C9D">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（2）因投标人自身多算、少算、错算、漏算而造成的错误金额超过投标总价的3%的。</w:t>
            </w:r>
          </w:p>
          <w:p w14:paraId="378C8331">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（3）安全生产措施费低于招标文件规定的。</w:t>
            </w:r>
          </w:p>
          <w:p w14:paraId="0A9CACBE">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rFonts w:hint="eastAsia"/>
                <w:color w:val="auto"/>
                <w:spacing w:val="-2"/>
                <w:sz w:val="21"/>
                <w:szCs w:val="21"/>
                <w:highlight w:val="none"/>
              </w:rPr>
            </w:pPr>
            <w:r>
              <w:rPr>
                <w:rFonts w:hint="eastAsia"/>
                <w:color w:val="auto"/>
                <w:spacing w:val="-2"/>
                <w:sz w:val="21"/>
                <w:szCs w:val="21"/>
                <w:highlight w:val="none"/>
              </w:rPr>
              <w:t>（4）通过商务符合性审查的最低投标评标价低于通过商务符合性审查的次低投标评标价8%，且经询标投标人对其报价不能充分说明理由，或提供的相关材料无法证明报价不低于其成本价的。</w:t>
            </w:r>
          </w:p>
          <w:p w14:paraId="2ACA422E">
            <w:pPr>
              <w:pStyle w:val="33"/>
              <w:keepNext w:val="0"/>
              <w:keepLines w:val="0"/>
              <w:pageBreakBefore w:val="0"/>
              <w:widowControl/>
              <w:kinsoku/>
              <w:wordWrap/>
              <w:overflowPunct/>
              <w:topLinePunct w:val="0"/>
              <w:autoSpaceDE w:val="0"/>
              <w:autoSpaceDN w:val="0"/>
              <w:bidi w:val="0"/>
              <w:adjustRightInd w:val="0"/>
              <w:snapToGrid w:val="0"/>
              <w:spacing w:line="303" w:lineRule="auto"/>
              <w:ind w:left="0" w:right="0" w:firstLine="412" w:firstLineChars="200"/>
              <w:textAlignment w:val="baseline"/>
              <w:rPr>
                <w:color w:val="auto"/>
                <w:spacing w:val="-2"/>
                <w:sz w:val="21"/>
                <w:szCs w:val="21"/>
                <w:highlight w:val="none"/>
                <w:lang w:val="en-US" w:eastAsia="en-US"/>
              </w:rPr>
            </w:pPr>
            <w:r>
              <w:rPr>
                <w:rFonts w:hint="eastAsia"/>
                <w:color w:val="auto"/>
                <w:spacing w:val="-2"/>
                <w:sz w:val="21"/>
                <w:szCs w:val="21"/>
                <w:highlight w:val="none"/>
              </w:rPr>
              <w:t>（5）评标委员会认定属投标人自身原因有重大漏项的</w:t>
            </w:r>
            <w:r>
              <w:rPr>
                <w:rFonts w:hint="eastAsia"/>
                <w:color w:val="auto"/>
                <w:spacing w:val="-2"/>
                <w:sz w:val="21"/>
                <w:szCs w:val="21"/>
                <w:highlight w:val="none"/>
                <w:lang w:eastAsia="zh-CN"/>
              </w:rPr>
              <w:t>。</w:t>
            </w:r>
          </w:p>
        </w:tc>
      </w:tr>
      <w:tr w14:paraId="0D5FB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80" w:hRule="atLeast"/>
        </w:trPr>
        <w:tc>
          <w:tcPr>
            <w:tcW w:w="953" w:type="dxa"/>
            <w:tcBorders>
              <w:left w:val="single" w:color="000000" w:sz="6" w:space="0"/>
              <w:bottom w:val="single" w:color="000000" w:sz="6" w:space="0"/>
            </w:tcBorders>
            <w:shd w:val="clear" w:color="auto" w:fill="auto"/>
            <w:vAlign w:val="center"/>
          </w:tcPr>
          <w:p w14:paraId="5CBA4190">
            <w:pPr>
              <w:keepNext w:val="0"/>
              <w:keepLines w:val="0"/>
              <w:pageBreakBefore w:val="0"/>
              <w:widowControl/>
              <w:kinsoku/>
              <w:wordWrap/>
              <w:overflowPunct/>
              <w:topLinePunct w:val="0"/>
              <w:autoSpaceDE w:val="0"/>
              <w:autoSpaceDN w:val="0"/>
              <w:bidi w:val="0"/>
              <w:adjustRightInd w:val="0"/>
              <w:snapToGrid w:val="0"/>
              <w:spacing w:line="233" w:lineRule="auto"/>
              <w:ind w:left="0" w:leftChars="0" w:right="0" w:firstLine="400" w:firstLineChars="200"/>
              <w:jc w:val="both"/>
              <w:textAlignment w:val="baseline"/>
              <w:rPr>
                <w:rFonts w:hint="default" w:ascii="Times New Roman" w:hAnsi="Times New Roman" w:eastAsia="宋体" w:cs="Times New Roman"/>
                <w:spacing w:val="-5"/>
                <w:sz w:val="21"/>
                <w:szCs w:val="21"/>
                <w:lang w:val="en-US" w:eastAsia="zh-CN"/>
              </w:rPr>
            </w:pPr>
            <w:r>
              <w:rPr>
                <w:rFonts w:hint="eastAsia" w:ascii="Times New Roman" w:hAnsi="Times New Roman" w:eastAsia="宋体" w:cs="Times New Roman"/>
                <w:spacing w:val="-5"/>
                <w:sz w:val="21"/>
                <w:szCs w:val="21"/>
                <w:lang w:val="en-US" w:eastAsia="zh-CN"/>
              </w:rPr>
              <w:t>11</w:t>
            </w:r>
          </w:p>
        </w:tc>
        <w:tc>
          <w:tcPr>
            <w:tcW w:w="2444" w:type="dxa"/>
            <w:tcBorders>
              <w:bottom w:val="single" w:color="000000" w:sz="6" w:space="0"/>
            </w:tcBorders>
            <w:shd w:val="clear" w:color="auto" w:fill="auto"/>
            <w:vAlign w:val="center"/>
          </w:tcPr>
          <w:p w14:paraId="6691029E">
            <w:pPr>
              <w:keepNext w:val="0"/>
              <w:keepLines w:val="0"/>
              <w:pageBreakBefore w:val="0"/>
              <w:widowControl/>
              <w:kinsoku/>
              <w:wordWrap/>
              <w:overflowPunct/>
              <w:topLinePunct w:val="0"/>
              <w:autoSpaceDE w:val="0"/>
              <w:autoSpaceDN w:val="0"/>
              <w:bidi w:val="0"/>
              <w:adjustRightInd w:val="0"/>
              <w:snapToGrid w:val="0"/>
              <w:spacing w:line="233" w:lineRule="auto"/>
              <w:ind w:right="0"/>
              <w:jc w:val="center"/>
              <w:textAlignment w:val="baseline"/>
              <w:rPr>
                <w:rFonts w:hint="eastAsia" w:ascii="Times New Roman" w:hAnsi="Times New Roman" w:eastAsia="宋体" w:cs="Times New Roman"/>
                <w:spacing w:val="-5"/>
                <w:sz w:val="21"/>
                <w:szCs w:val="21"/>
                <w:highlight w:val="yellow"/>
                <w:lang w:val="en-US" w:eastAsia="zh-CN"/>
              </w:rPr>
            </w:pPr>
            <w:r>
              <w:rPr>
                <w:rFonts w:hint="eastAsia" w:ascii="Times New Roman" w:hAnsi="Times New Roman" w:eastAsia="宋体" w:cs="Times New Roman"/>
                <w:spacing w:val="-5"/>
                <w:sz w:val="21"/>
                <w:szCs w:val="21"/>
                <w:highlight w:val="none"/>
                <w:lang w:val="en-US" w:eastAsia="zh-CN"/>
              </w:rPr>
              <w:t>需要补充的内容</w:t>
            </w:r>
          </w:p>
        </w:tc>
        <w:tc>
          <w:tcPr>
            <w:tcW w:w="5503" w:type="dxa"/>
            <w:tcBorders>
              <w:bottom w:val="single" w:color="000000" w:sz="6" w:space="0"/>
              <w:right w:val="single" w:color="000000" w:sz="6" w:space="0"/>
            </w:tcBorders>
            <w:shd w:val="clear" w:color="auto" w:fill="auto"/>
            <w:vAlign w:val="center"/>
          </w:tcPr>
          <w:p w14:paraId="2FB729B2">
            <w:pPr>
              <w:keepNext w:val="0"/>
              <w:keepLines w:val="0"/>
              <w:pageBreakBefore w:val="0"/>
              <w:widowControl/>
              <w:kinsoku/>
              <w:wordWrap/>
              <w:overflowPunct/>
              <w:topLinePunct w:val="0"/>
              <w:autoSpaceDE w:val="0"/>
              <w:autoSpaceDN w:val="0"/>
              <w:bidi w:val="0"/>
              <w:adjustRightInd w:val="0"/>
              <w:snapToGrid w:val="0"/>
              <w:spacing w:line="360" w:lineRule="exact"/>
              <w:ind w:left="0" w:right="0" w:firstLine="400" w:firstLineChars="200"/>
              <w:jc w:val="left"/>
              <w:textAlignment w:val="baseline"/>
              <w:rPr>
                <w:rFonts w:hint="eastAsia" w:ascii="Times New Roman" w:hAnsi="Times New Roman" w:eastAsia="宋体" w:cs="Times New Roman"/>
                <w:spacing w:val="-5"/>
                <w:sz w:val="21"/>
                <w:szCs w:val="21"/>
                <w:highlight w:val="yellow"/>
                <w:lang w:val="en-US" w:eastAsia="en-US"/>
              </w:rPr>
            </w:pPr>
            <w:r>
              <w:rPr>
                <w:rFonts w:hint="eastAsia" w:ascii="Times New Roman" w:hAnsi="Times New Roman" w:eastAsia="宋体" w:cs="Times New Roman"/>
                <w:spacing w:val="-5"/>
                <w:sz w:val="21"/>
                <w:szCs w:val="21"/>
                <w:highlight w:val="none"/>
                <w:lang w:val="en-US" w:eastAsia="zh-CN"/>
              </w:rPr>
              <w:t>投标单位在制作电子投标文件时，投标文件组成的“投标函及投标函附录”中需上传“投标函及投标函附录”和“已标价工程量清单”，如未按此执行，由此产生的后果由投标单位自行负责。</w:t>
            </w:r>
          </w:p>
        </w:tc>
      </w:tr>
    </w:tbl>
    <w:p w14:paraId="0E2741C9">
      <w:pPr>
        <w:pStyle w:val="3"/>
        <w:rPr>
          <w:color w:val="auto"/>
          <w:highlight w:val="none"/>
        </w:rPr>
      </w:pPr>
    </w:p>
    <w:p w14:paraId="6B02ECDA">
      <w:pPr>
        <w:rPr>
          <w:rFonts w:hint="default" w:eastAsia="宋体"/>
          <w:color w:val="auto"/>
          <w:highlight w:val="none"/>
          <w:lang w:val="en-US" w:eastAsia="zh-CN"/>
        </w:rPr>
        <w:sectPr>
          <w:pgSz w:w="11905" w:h="16843"/>
          <w:pgMar w:top="1429" w:right="1361" w:bottom="1253" w:left="1621" w:header="0" w:footer="1094" w:gutter="0"/>
          <w:pgNumType w:fmt="decimal"/>
          <w:cols w:space="0" w:num="1"/>
          <w:rtlGutter w:val="0"/>
          <w:docGrid w:linePitch="0" w:charSpace="0"/>
        </w:sectPr>
      </w:pPr>
    </w:p>
    <w:p w14:paraId="7F56B827">
      <w:pPr>
        <w:spacing w:before="55" w:line="221" w:lineRule="auto"/>
        <w:ind w:left="7"/>
        <w:outlineLvl w:val="1"/>
        <w:rPr>
          <w:rFonts w:ascii="宋体" w:hAnsi="宋体" w:eastAsia="宋体" w:cs="宋体"/>
          <w:color w:val="auto"/>
          <w:sz w:val="28"/>
          <w:szCs w:val="28"/>
          <w:highlight w:val="none"/>
        </w:rPr>
      </w:pPr>
      <w:bookmarkStart w:id="70" w:name="bookmark49"/>
      <w:bookmarkEnd w:id="70"/>
      <w:bookmarkStart w:id="71" w:name="_Toc27836"/>
      <w:bookmarkStart w:id="72" w:name="_Toc155"/>
      <w:r>
        <w:rPr>
          <w:rFonts w:ascii="Times New Roman" w:hAnsi="Times New Roman" w:eastAsia="Times New Roman" w:cs="Times New Roman"/>
          <w:b/>
          <w:bCs/>
          <w:color w:val="auto"/>
          <w:spacing w:val="-11"/>
          <w:sz w:val="28"/>
          <w:szCs w:val="28"/>
          <w:highlight w:val="none"/>
        </w:rPr>
        <w:t>1</w:t>
      </w:r>
      <w:r>
        <w:rPr>
          <w:rFonts w:ascii="Times New Roman" w:hAnsi="Times New Roman" w:eastAsia="Times New Roman" w:cs="Times New Roman"/>
          <w:b/>
          <w:bCs/>
          <w:color w:val="auto"/>
          <w:spacing w:val="9"/>
          <w:sz w:val="28"/>
          <w:szCs w:val="28"/>
          <w:highlight w:val="none"/>
        </w:rPr>
        <w:t xml:space="preserve">  </w:t>
      </w:r>
      <w:r>
        <w:rPr>
          <w:rFonts w:ascii="宋体" w:hAnsi="宋体" w:eastAsia="宋体" w:cs="宋体"/>
          <w:b/>
          <w:bCs/>
          <w:color w:val="auto"/>
          <w:spacing w:val="-11"/>
          <w:sz w:val="28"/>
          <w:szCs w:val="28"/>
          <w:highlight w:val="none"/>
        </w:rPr>
        <w:t>总则</w:t>
      </w:r>
      <w:bookmarkEnd w:id="71"/>
      <w:bookmarkEnd w:id="72"/>
    </w:p>
    <w:p w14:paraId="096F9020">
      <w:pPr>
        <w:pStyle w:val="3"/>
        <w:spacing w:line="244" w:lineRule="auto"/>
        <w:rPr>
          <w:color w:val="auto"/>
          <w:highlight w:val="none"/>
        </w:rPr>
      </w:pPr>
    </w:p>
    <w:p w14:paraId="6832A34B">
      <w:pPr>
        <w:spacing w:before="78" w:line="220" w:lineRule="auto"/>
        <w:ind w:left="4"/>
        <w:outlineLvl w:val="2"/>
        <w:rPr>
          <w:rFonts w:ascii="宋体" w:hAnsi="宋体" w:eastAsia="宋体" w:cs="宋体"/>
          <w:color w:val="auto"/>
          <w:sz w:val="24"/>
          <w:szCs w:val="24"/>
          <w:highlight w:val="none"/>
        </w:rPr>
      </w:pPr>
      <w:bookmarkStart w:id="73" w:name="bookmark51"/>
      <w:bookmarkEnd w:id="73"/>
      <w:bookmarkStart w:id="74" w:name="_Toc13924"/>
      <w:bookmarkStart w:id="75" w:name="_Toc13111"/>
      <w:r>
        <w:rPr>
          <w:rFonts w:ascii="Times New Roman" w:hAnsi="Times New Roman" w:eastAsia="Times New Roman" w:cs="Times New Roman"/>
          <w:b/>
          <w:bCs/>
          <w:color w:val="auto"/>
          <w:spacing w:val="-5"/>
          <w:sz w:val="24"/>
          <w:szCs w:val="24"/>
          <w:highlight w:val="none"/>
        </w:rPr>
        <w:t>1.1</w:t>
      </w:r>
      <w:r>
        <w:rPr>
          <w:rFonts w:ascii="Times New Roman" w:hAnsi="Times New Roman" w:eastAsia="Times New Roman" w:cs="Times New Roman"/>
          <w:b/>
          <w:bCs/>
          <w:color w:val="auto"/>
          <w:spacing w:val="6"/>
          <w:sz w:val="24"/>
          <w:szCs w:val="24"/>
          <w:highlight w:val="none"/>
        </w:rPr>
        <w:t xml:space="preserve">  </w:t>
      </w:r>
      <w:r>
        <w:rPr>
          <w:rFonts w:ascii="宋体" w:hAnsi="宋体" w:eastAsia="宋体" w:cs="宋体"/>
          <w:b/>
          <w:bCs/>
          <w:color w:val="auto"/>
          <w:spacing w:val="-5"/>
          <w:sz w:val="24"/>
          <w:szCs w:val="24"/>
          <w:highlight w:val="none"/>
        </w:rPr>
        <w:t>项目概况</w:t>
      </w:r>
      <w:bookmarkEnd w:id="74"/>
      <w:bookmarkEnd w:id="75"/>
    </w:p>
    <w:p w14:paraId="0574E59E">
      <w:pPr>
        <w:spacing w:before="181" w:line="313" w:lineRule="auto"/>
        <w:ind w:right="3"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4"/>
          <w:sz w:val="24"/>
          <w:szCs w:val="24"/>
          <w:highlight w:val="none"/>
        </w:rPr>
        <w:t xml:space="preserve">1.1.1  </w:t>
      </w:r>
      <w:r>
        <w:rPr>
          <w:rFonts w:ascii="宋体" w:hAnsi="宋体" w:eastAsia="宋体" w:cs="宋体"/>
          <w:color w:val="auto"/>
          <w:spacing w:val="-4"/>
          <w:sz w:val="24"/>
          <w:szCs w:val="24"/>
          <w:highlight w:val="none"/>
        </w:rPr>
        <w:t>根据《</w:t>
      </w:r>
      <w:r>
        <w:rPr>
          <w:rFonts w:ascii="宋体" w:hAnsi="宋体" w:eastAsia="宋体" w:cs="宋体"/>
          <w:color w:val="auto"/>
          <w:spacing w:val="32"/>
          <w:sz w:val="24"/>
          <w:szCs w:val="24"/>
          <w:highlight w:val="none"/>
        </w:rPr>
        <w:t xml:space="preserve"> </w:t>
      </w:r>
      <w:r>
        <w:rPr>
          <w:rFonts w:ascii="宋体" w:hAnsi="宋体" w:eastAsia="宋体" w:cs="宋体"/>
          <w:color w:val="auto"/>
          <w:spacing w:val="-4"/>
          <w:sz w:val="24"/>
          <w:szCs w:val="24"/>
          <w:highlight w:val="none"/>
        </w:rPr>
        <w:t>中华人民共和国招标投标法》、《中华人民共和国招标投标法实施</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条例》等有关法律、法规和规章的规定，本招标项目已具备招标条件，现对本标段施</w:t>
      </w:r>
      <w:r>
        <w:rPr>
          <w:rFonts w:ascii="宋体" w:hAnsi="宋体" w:eastAsia="宋体" w:cs="宋体"/>
          <w:color w:val="auto"/>
          <w:spacing w:val="5"/>
          <w:sz w:val="24"/>
          <w:szCs w:val="24"/>
          <w:highlight w:val="none"/>
        </w:rPr>
        <w:t xml:space="preserve"> </w:t>
      </w:r>
      <w:r>
        <w:rPr>
          <w:rFonts w:ascii="宋体" w:hAnsi="宋体" w:eastAsia="宋体" w:cs="宋体"/>
          <w:color w:val="auto"/>
          <w:spacing w:val="-7"/>
          <w:sz w:val="24"/>
          <w:szCs w:val="24"/>
          <w:highlight w:val="none"/>
        </w:rPr>
        <w:t>工进行招标。</w:t>
      </w:r>
    </w:p>
    <w:p w14:paraId="2D3F307B">
      <w:pPr>
        <w:spacing w:before="179"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1.1.2  </w:t>
      </w:r>
      <w:r>
        <w:rPr>
          <w:rFonts w:ascii="宋体" w:hAnsi="宋体" w:eastAsia="宋体" w:cs="宋体"/>
          <w:color w:val="auto"/>
          <w:spacing w:val="-2"/>
          <w:sz w:val="24"/>
          <w:szCs w:val="24"/>
          <w:highlight w:val="none"/>
        </w:rPr>
        <w:t>本招标项目招标人：见投标人须知前附表。</w:t>
      </w:r>
    </w:p>
    <w:p w14:paraId="3D9AD117">
      <w:pPr>
        <w:spacing w:before="18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1.1.3  </w:t>
      </w:r>
      <w:r>
        <w:rPr>
          <w:rFonts w:ascii="宋体" w:hAnsi="宋体" w:eastAsia="宋体" w:cs="宋体"/>
          <w:color w:val="auto"/>
          <w:spacing w:val="-2"/>
          <w:sz w:val="24"/>
          <w:szCs w:val="24"/>
          <w:highlight w:val="none"/>
        </w:rPr>
        <w:t>本标段招标代理机构：见投标人须知前附表。</w:t>
      </w:r>
    </w:p>
    <w:p w14:paraId="4FA67528">
      <w:pPr>
        <w:spacing w:before="180"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1.1.4  </w:t>
      </w:r>
      <w:r>
        <w:rPr>
          <w:rFonts w:ascii="宋体" w:hAnsi="宋体" w:eastAsia="宋体" w:cs="宋体"/>
          <w:color w:val="auto"/>
          <w:spacing w:val="-2"/>
          <w:sz w:val="24"/>
          <w:szCs w:val="24"/>
          <w:highlight w:val="none"/>
        </w:rPr>
        <w:t>本招标项目名称：见投标人须知前附表。</w:t>
      </w:r>
    </w:p>
    <w:p w14:paraId="02ED0253">
      <w:pPr>
        <w:spacing w:before="184"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1.1.5  </w:t>
      </w:r>
      <w:r>
        <w:rPr>
          <w:rFonts w:ascii="宋体" w:hAnsi="宋体" w:eastAsia="宋体" w:cs="宋体"/>
          <w:color w:val="auto"/>
          <w:spacing w:val="-2"/>
          <w:sz w:val="24"/>
          <w:szCs w:val="24"/>
          <w:highlight w:val="none"/>
        </w:rPr>
        <w:t>本标段建设地点：见投标人须知前附表。</w:t>
      </w:r>
    </w:p>
    <w:p w14:paraId="532308AB">
      <w:pPr>
        <w:spacing w:before="181"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1.1.6  </w:t>
      </w:r>
      <w:r>
        <w:rPr>
          <w:rFonts w:ascii="宋体" w:hAnsi="宋体" w:eastAsia="宋体" w:cs="宋体"/>
          <w:color w:val="auto"/>
          <w:spacing w:val="-2"/>
          <w:sz w:val="24"/>
          <w:szCs w:val="24"/>
          <w:highlight w:val="none"/>
        </w:rPr>
        <w:t>本招标项目现场管理机构：见投标人须知前附表。</w:t>
      </w:r>
    </w:p>
    <w:p w14:paraId="04DC267A">
      <w:pPr>
        <w:spacing w:before="18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1.1.7  </w:t>
      </w:r>
      <w:r>
        <w:rPr>
          <w:rFonts w:ascii="宋体" w:hAnsi="宋体" w:eastAsia="宋体" w:cs="宋体"/>
          <w:color w:val="auto"/>
          <w:spacing w:val="-2"/>
          <w:sz w:val="24"/>
          <w:szCs w:val="24"/>
          <w:highlight w:val="none"/>
        </w:rPr>
        <w:t>本招标项目设计人：见投标人须知前附表。</w:t>
      </w:r>
    </w:p>
    <w:p w14:paraId="25A185AE">
      <w:pPr>
        <w:spacing w:before="181"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1.1.8  </w:t>
      </w:r>
      <w:r>
        <w:rPr>
          <w:rFonts w:ascii="宋体" w:hAnsi="宋体" w:eastAsia="宋体" w:cs="宋体"/>
          <w:color w:val="auto"/>
          <w:spacing w:val="-2"/>
          <w:sz w:val="24"/>
          <w:szCs w:val="24"/>
          <w:highlight w:val="none"/>
        </w:rPr>
        <w:t>本招标项目监理人：见投标人须知前附表。</w:t>
      </w:r>
    </w:p>
    <w:p w14:paraId="3350E224">
      <w:pPr>
        <w:spacing w:before="18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1.1.9  </w:t>
      </w:r>
      <w:r>
        <w:rPr>
          <w:rFonts w:ascii="宋体" w:hAnsi="宋体" w:eastAsia="宋体" w:cs="宋体"/>
          <w:color w:val="auto"/>
          <w:spacing w:val="-2"/>
          <w:sz w:val="24"/>
          <w:szCs w:val="24"/>
          <w:highlight w:val="none"/>
        </w:rPr>
        <w:t>本招标项目代建机构：见投标人须知前附表。</w:t>
      </w:r>
    </w:p>
    <w:p w14:paraId="32502879">
      <w:pPr>
        <w:spacing w:before="181" w:line="220" w:lineRule="auto"/>
        <w:ind w:left="4"/>
        <w:outlineLvl w:val="2"/>
        <w:rPr>
          <w:rFonts w:ascii="宋体" w:hAnsi="宋体" w:eastAsia="宋体" w:cs="宋体"/>
          <w:color w:val="auto"/>
          <w:sz w:val="24"/>
          <w:szCs w:val="24"/>
          <w:highlight w:val="none"/>
        </w:rPr>
      </w:pPr>
      <w:bookmarkStart w:id="76" w:name="bookmark53"/>
      <w:bookmarkEnd w:id="76"/>
      <w:bookmarkStart w:id="77" w:name="_Toc21282"/>
      <w:bookmarkStart w:id="78" w:name="_Toc12299"/>
      <w:r>
        <w:rPr>
          <w:rFonts w:ascii="Times New Roman" w:hAnsi="Times New Roman" w:eastAsia="Times New Roman" w:cs="Times New Roman"/>
          <w:b/>
          <w:bCs/>
          <w:color w:val="auto"/>
          <w:spacing w:val="-3"/>
          <w:sz w:val="24"/>
          <w:szCs w:val="24"/>
          <w:highlight w:val="none"/>
        </w:rPr>
        <w:t xml:space="preserve">1.2  </w:t>
      </w:r>
      <w:r>
        <w:rPr>
          <w:rFonts w:ascii="宋体" w:hAnsi="宋体" w:eastAsia="宋体" w:cs="宋体"/>
          <w:b/>
          <w:bCs/>
          <w:color w:val="auto"/>
          <w:spacing w:val="-3"/>
          <w:sz w:val="24"/>
          <w:szCs w:val="24"/>
          <w:highlight w:val="none"/>
        </w:rPr>
        <w:t>资金来源和落实情况</w:t>
      </w:r>
      <w:bookmarkEnd w:id="77"/>
      <w:bookmarkEnd w:id="78"/>
    </w:p>
    <w:p w14:paraId="10B5C51E">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1.2.1  </w:t>
      </w:r>
      <w:r>
        <w:rPr>
          <w:rFonts w:ascii="宋体" w:hAnsi="宋体" w:eastAsia="宋体" w:cs="宋体"/>
          <w:color w:val="auto"/>
          <w:spacing w:val="-1"/>
          <w:sz w:val="24"/>
          <w:szCs w:val="24"/>
          <w:highlight w:val="none"/>
        </w:rPr>
        <w:t>本招标项目的资金来源及项目的出资</w:t>
      </w:r>
      <w:r>
        <w:rPr>
          <w:rFonts w:ascii="宋体" w:hAnsi="宋体" w:eastAsia="宋体" w:cs="宋体"/>
          <w:color w:val="auto"/>
          <w:spacing w:val="-2"/>
          <w:sz w:val="24"/>
          <w:szCs w:val="24"/>
          <w:highlight w:val="none"/>
        </w:rPr>
        <w:t>比例：见投标人须知前附表。</w:t>
      </w:r>
    </w:p>
    <w:p w14:paraId="2EC21D37">
      <w:pPr>
        <w:spacing w:before="181"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1.2.2  </w:t>
      </w:r>
      <w:r>
        <w:rPr>
          <w:rFonts w:ascii="宋体" w:hAnsi="宋体" w:eastAsia="宋体" w:cs="宋体"/>
          <w:color w:val="auto"/>
          <w:spacing w:val="-2"/>
          <w:sz w:val="24"/>
          <w:szCs w:val="24"/>
          <w:highlight w:val="none"/>
        </w:rPr>
        <w:t>本招标项目的资金落实情况：见投标人须知前附表。</w:t>
      </w:r>
    </w:p>
    <w:p w14:paraId="673AC795">
      <w:pPr>
        <w:spacing w:before="184" w:line="220" w:lineRule="auto"/>
        <w:ind w:left="4"/>
        <w:outlineLvl w:val="2"/>
        <w:rPr>
          <w:rFonts w:ascii="宋体" w:hAnsi="宋体" w:eastAsia="宋体" w:cs="宋体"/>
          <w:color w:val="auto"/>
          <w:sz w:val="24"/>
          <w:szCs w:val="24"/>
          <w:highlight w:val="none"/>
        </w:rPr>
      </w:pPr>
      <w:bookmarkStart w:id="79" w:name="bookmark55"/>
      <w:bookmarkEnd w:id="79"/>
      <w:bookmarkStart w:id="80" w:name="_Toc7041"/>
      <w:bookmarkStart w:id="81" w:name="_Toc10498"/>
      <w:r>
        <w:rPr>
          <w:rFonts w:ascii="Times New Roman" w:hAnsi="Times New Roman" w:eastAsia="Times New Roman" w:cs="Times New Roman"/>
          <w:b/>
          <w:bCs/>
          <w:color w:val="auto"/>
          <w:spacing w:val="-3"/>
          <w:sz w:val="24"/>
          <w:szCs w:val="24"/>
          <w:highlight w:val="none"/>
        </w:rPr>
        <w:t xml:space="preserve">1.3  </w:t>
      </w:r>
      <w:r>
        <w:rPr>
          <w:rFonts w:ascii="宋体" w:hAnsi="宋体" w:eastAsia="宋体" w:cs="宋体"/>
          <w:b/>
          <w:bCs/>
          <w:color w:val="auto"/>
          <w:spacing w:val="-3"/>
          <w:sz w:val="24"/>
          <w:szCs w:val="24"/>
          <w:highlight w:val="none"/>
        </w:rPr>
        <w:t>招标范围、计划工期和质量要求</w:t>
      </w:r>
      <w:bookmarkEnd w:id="80"/>
      <w:bookmarkEnd w:id="81"/>
    </w:p>
    <w:p w14:paraId="24F03283">
      <w:pPr>
        <w:spacing w:before="179"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1.3.1  </w:t>
      </w:r>
      <w:r>
        <w:rPr>
          <w:rFonts w:ascii="宋体" w:hAnsi="宋体" w:eastAsia="宋体" w:cs="宋体"/>
          <w:color w:val="auto"/>
          <w:spacing w:val="-2"/>
          <w:sz w:val="24"/>
          <w:szCs w:val="24"/>
          <w:highlight w:val="none"/>
        </w:rPr>
        <w:t>本次招标范围：见投标人须知前附表。</w:t>
      </w:r>
    </w:p>
    <w:p w14:paraId="78E304E1">
      <w:pPr>
        <w:spacing w:before="18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1.3.2  </w:t>
      </w:r>
      <w:r>
        <w:rPr>
          <w:rFonts w:ascii="宋体" w:hAnsi="宋体" w:eastAsia="宋体" w:cs="宋体"/>
          <w:color w:val="auto"/>
          <w:spacing w:val="-2"/>
          <w:sz w:val="24"/>
          <w:szCs w:val="24"/>
          <w:highlight w:val="none"/>
        </w:rPr>
        <w:t>本标段的计划工期：见投标人须知前附表。</w:t>
      </w:r>
    </w:p>
    <w:p w14:paraId="25559F7F">
      <w:pPr>
        <w:spacing w:before="183"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1.3.3  </w:t>
      </w:r>
      <w:r>
        <w:rPr>
          <w:rFonts w:ascii="宋体" w:hAnsi="宋体" w:eastAsia="宋体" w:cs="宋体"/>
          <w:color w:val="auto"/>
          <w:spacing w:val="-2"/>
          <w:sz w:val="24"/>
          <w:szCs w:val="24"/>
          <w:highlight w:val="none"/>
        </w:rPr>
        <w:t>本标段的质量要求：见投标人须知前附表。</w:t>
      </w:r>
    </w:p>
    <w:p w14:paraId="10C4966C">
      <w:pPr>
        <w:spacing w:before="181" w:line="220" w:lineRule="auto"/>
        <w:ind w:left="4"/>
        <w:outlineLvl w:val="2"/>
        <w:rPr>
          <w:rFonts w:ascii="宋体" w:hAnsi="宋体" w:eastAsia="宋体" w:cs="宋体"/>
          <w:color w:val="auto"/>
          <w:sz w:val="24"/>
          <w:szCs w:val="24"/>
          <w:highlight w:val="none"/>
        </w:rPr>
      </w:pPr>
      <w:bookmarkStart w:id="82" w:name="bookmark57"/>
      <w:bookmarkEnd w:id="82"/>
      <w:bookmarkStart w:id="83" w:name="_Toc10120"/>
      <w:bookmarkStart w:id="84" w:name="_Toc885"/>
      <w:r>
        <w:rPr>
          <w:rFonts w:ascii="Times New Roman" w:hAnsi="Times New Roman" w:eastAsia="Times New Roman" w:cs="Times New Roman"/>
          <w:b/>
          <w:bCs/>
          <w:color w:val="auto"/>
          <w:spacing w:val="-2"/>
          <w:sz w:val="24"/>
          <w:szCs w:val="24"/>
          <w:highlight w:val="none"/>
        </w:rPr>
        <w:t xml:space="preserve">1.4  </w:t>
      </w:r>
      <w:r>
        <w:rPr>
          <w:rFonts w:ascii="宋体" w:hAnsi="宋体" w:eastAsia="宋体" w:cs="宋体"/>
          <w:b/>
          <w:bCs/>
          <w:color w:val="auto"/>
          <w:spacing w:val="-2"/>
          <w:sz w:val="24"/>
          <w:szCs w:val="24"/>
          <w:highlight w:val="none"/>
        </w:rPr>
        <w:t>投标人资格要求（适用于已进行资格预审的）</w:t>
      </w:r>
      <w:bookmarkEnd w:id="83"/>
      <w:bookmarkEnd w:id="84"/>
    </w:p>
    <w:p w14:paraId="16D8A45A">
      <w:pPr>
        <w:spacing w:before="182"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投标人应是收到招标人发出的投标邀请书的单</w:t>
      </w:r>
      <w:r>
        <w:rPr>
          <w:rFonts w:ascii="宋体" w:hAnsi="宋体" w:eastAsia="宋体" w:cs="宋体"/>
          <w:color w:val="auto"/>
          <w:spacing w:val="-3"/>
          <w:sz w:val="24"/>
          <w:szCs w:val="24"/>
          <w:highlight w:val="none"/>
        </w:rPr>
        <w:t>位。</w:t>
      </w:r>
    </w:p>
    <w:p w14:paraId="68B9C629">
      <w:pPr>
        <w:spacing w:before="181" w:line="220" w:lineRule="auto"/>
        <w:ind w:left="4"/>
        <w:outlineLvl w:val="2"/>
        <w:rPr>
          <w:rFonts w:ascii="宋体" w:hAnsi="宋体" w:eastAsia="宋体" w:cs="宋体"/>
          <w:color w:val="auto"/>
          <w:sz w:val="24"/>
          <w:szCs w:val="24"/>
          <w:highlight w:val="none"/>
        </w:rPr>
      </w:pPr>
      <w:bookmarkStart w:id="85" w:name="bookmark59"/>
      <w:bookmarkEnd w:id="85"/>
      <w:bookmarkStart w:id="86" w:name="_Toc24106"/>
      <w:bookmarkStart w:id="87" w:name="_Toc7188"/>
      <w:r>
        <w:rPr>
          <w:rFonts w:ascii="Times New Roman" w:hAnsi="Times New Roman" w:eastAsia="Times New Roman" w:cs="Times New Roman"/>
          <w:b/>
          <w:bCs/>
          <w:color w:val="auto"/>
          <w:spacing w:val="-2"/>
          <w:sz w:val="24"/>
          <w:szCs w:val="24"/>
          <w:highlight w:val="none"/>
        </w:rPr>
        <w:t xml:space="preserve">1.4  </w:t>
      </w:r>
      <w:r>
        <w:rPr>
          <w:rFonts w:ascii="宋体" w:hAnsi="宋体" w:eastAsia="宋体" w:cs="宋体"/>
          <w:b/>
          <w:bCs/>
          <w:color w:val="auto"/>
          <w:spacing w:val="-2"/>
          <w:sz w:val="24"/>
          <w:szCs w:val="24"/>
          <w:highlight w:val="none"/>
        </w:rPr>
        <w:t>投标人资格要求（适用于未进行资格预审的）</w:t>
      </w:r>
      <w:bookmarkEnd w:id="86"/>
      <w:bookmarkEnd w:id="87"/>
    </w:p>
    <w:p w14:paraId="3362194D">
      <w:pPr>
        <w:spacing w:before="182" w:line="219" w:lineRule="auto"/>
        <w:ind w:left="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1.4.1  </w:t>
      </w:r>
      <w:r>
        <w:rPr>
          <w:rFonts w:ascii="宋体" w:hAnsi="宋体" w:eastAsia="宋体" w:cs="宋体"/>
          <w:color w:val="auto"/>
          <w:spacing w:val="-1"/>
          <w:sz w:val="24"/>
          <w:szCs w:val="24"/>
          <w:highlight w:val="none"/>
        </w:rPr>
        <w:t>投标人应具备承担本标段施工的资质条件、能力。</w:t>
      </w:r>
    </w:p>
    <w:p w14:paraId="3A79FF3E">
      <w:pPr>
        <w:spacing w:before="181" w:line="219" w:lineRule="auto"/>
        <w:ind w:left="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）企业要求：见投标人须知前附表。</w:t>
      </w:r>
    </w:p>
    <w:p w14:paraId="082A67D3">
      <w:pPr>
        <w:spacing w:before="183" w:line="219" w:lineRule="auto"/>
        <w:ind w:left="4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）拟派项目组主要人员要求：见投标人须知前附表。</w:t>
      </w:r>
    </w:p>
    <w:p w14:paraId="12DC0B05">
      <w:pPr>
        <w:spacing w:before="181" w:line="219" w:lineRule="auto"/>
        <w:ind w:left="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）其他要求：见投标人须知前附表。</w:t>
      </w:r>
    </w:p>
    <w:p w14:paraId="425B1B43">
      <w:pPr>
        <w:spacing w:before="185" w:line="288" w:lineRule="auto"/>
        <w:ind w:right="3"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1.4.2  </w:t>
      </w:r>
      <w:r>
        <w:rPr>
          <w:rFonts w:ascii="宋体" w:hAnsi="宋体" w:eastAsia="宋体" w:cs="宋体"/>
          <w:color w:val="auto"/>
          <w:sz w:val="24"/>
          <w:szCs w:val="24"/>
          <w:highlight w:val="none"/>
        </w:rPr>
        <w:t>投标人须知前附表规定接受联合体投标的，除应符合本章第</w:t>
      </w:r>
      <w:r>
        <w:rPr>
          <w:rFonts w:ascii="Times New Roman" w:hAnsi="Times New Roman" w:eastAsia="Times New Roman" w:cs="Times New Roman"/>
          <w:color w:val="auto"/>
          <w:sz w:val="24"/>
          <w:szCs w:val="24"/>
          <w:highlight w:val="none"/>
        </w:rPr>
        <w:t>1.4.1</w:t>
      </w:r>
      <w:r>
        <w:rPr>
          <w:rFonts w:ascii="宋体" w:hAnsi="宋体" w:eastAsia="宋体" w:cs="宋体"/>
          <w:color w:val="auto"/>
          <w:sz w:val="24"/>
          <w:szCs w:val="24"/>
          <w:highlight w:val="none"/>
        </w:rPr>
        <w:t>项和投标</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人须知前附表的要求外，还应遵守以下规定。</w:t>
      </w:r>
    </w:p>
    <w:p w14:paraId="38D93A4A">
      <w:pPr>
        <w:spacing w:line="288"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2DE25768">
      <w:pPr>
        <w:spacing w:before="47" w:line="290" w:lineRule="auto"/>
        <w:ind w:left="1" w:right="80" w:firstLine="484"/>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1</w:t>
      </w:r>
      <w:r>
        <w:rPr>
          <w:rFonts w:ascii="宋体" w:hAnsi="宋体" w:eastAsia="宋体" w:cs="宋体"/>
          <w:color w:val="auto"/>
          <w:sz w:val="24"/>
          <w:szCs w:val="24"/>
          <w:highlight w:val="none"/>
        </w:rPr>
        <w:t>）联合体各方应按招标文件提供的格式签订联合体协议书，明确联合</w:t>
      </w:r>
      <w:r>
        <w:rPr>
          <w:rFonts w:ascii="宋体" w:hAnsi="宋体" w:eastAsia="宋体" w:cs="宋体"/>
          <w:color w:val="auto"/>
          <w:spacing w:val="-1"/>
          <w:sz w:val="24"/>
          <w:szCs w:val="24"/>
          <w:highlight w:val="none"/>
        </w:rPr>
        <w:t>体牵头</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人和各方权利义务。</w:t>
      </w:r>
    </w:p>
    <w:p w14:paraId="7D0B7413">
      <w:pPr>
        <w:spacing w:before="179" w:line="220" w:lineRule="auto"/>
        <w:ind w:left="486"/>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2</w:t>
      </w:r>
      <w:r>
        <w:rPr>
          <w:rFonts w:ascii="宋体" w:hAnsi="宋体" w:eastAsia="宋体" w:cs="宋体"/>
          <w:color w:val="auto"/>
          <w:spacing w:val="-7"/>
          <w:sz w:val="24"/>
          <w:szCs w:val="24"/>
          <w:highlight w:val="none"/>
        </w:rPr>
        <w:t>）由同一专业的单位组成的联合体，按照资质等级较低的</w:t>
      </w:r>
      <w:r>
        <w:rPr>
          <w:rFonts w:ascii="宋体" w:hAnsi="宋体" w:eastAsia="宋体" w:cs="宋体"/>
          <w:color w:val="auto"/>
          <w:spacing w:val="-8"/>
          <w:sz w:val="24"/>
          <w:szCs w:val="24"/>
          <w:highlight w:val="none"/>
        </w:rPr>
        <w:t>单位确定资质等级。</w:t>
      </w:r>
    </w:p>
    <w:p w14:paraId="6EC34AC0">
      <w:pPr>
        <w:spacing w:before="182" w:line="220" w:lineRule="auto"/>
        <w:ind w:left="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）联合体各方不得再以自己名义单独或参加其他联</w:t>
      </w:r>
      <w:r>
        <w:rPr>
          <w:rFonts w:ascii="宋体" w:hAnsi="宋体" w:eastAsia="宋体" w:cs="宋体"/>
          <w:color w:val="auto"/>
          <w:spacing w:val="-2"/>
          <w:sz w:val="24"/>
          <w:szCs w:val="24"/>
          <w:highlight w:val="none"/>
        </w:rPr>
        <w:t>合体在同一标段中投标。</w:t>
      </w:r>
    </w:p>
    <w:p w14:paraId="01470CEC">
      <w:pPr>
        <w:spacing w:before="179" w:line="220"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1.4.3  </w:t>
      </w:r>
      <w:r>
        <w:rPr>
          <w:rFonts w:ascii="宋体" w:hAnsi="宋体" w:eastAsia="宋体" w:cs="宋体"/>
          <w:color w:val="auto"/>
          <w:spacing w:val="-1"/>
          <w:sz w:val="24"/>
          <w:szCs w:val="24"/>
          <w:highlight w:val="none"/>
        </w:rPr>
        <w:t>投标人不得存在下列情形之一：</w:t>
      </w:r>
    </w:p>
    <w:p w14:paraId="088BCACE">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）为招标人不具有独立法人资格的附属机构（单位）。</w:t>
      </w:r>
    </w:p>
    <w:p w14:paraId="365CC5D8">
      <w:pPr>
        <w:spacing w:before="180"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）为本标段前期准备提供设计或咨询服务的，但设计施工总承包的除外。</w:t>
      </w:r>
    </w:p>
    <w:p w14:paraId="490EC31D">
      <w:pPr>
        <w:spacing w:before="184" w:line="219" w:lineRule="auto"/>
        <w:ind w:left="486"/>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）为本标段的监理人。</w:t>
      </w:r>
    </w:p>
    <w:p w14:paraId="6AB7D4B1">
      <w:pPr>
        <w:spacing w:before="181" w:line="219" w:lineRule="auto"/>
        <w:ind w:left="486"/>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4</w:t>
      </w:r>
      <w:r>
        <w:rPr>
          <w:rFonts w:ascii="宋体" w:hAnsi="宋体" w:eastAsia="宋体" w:cs="宋体"/>
          <w:color w:val="auto"/>
          <w:spacing w:val="-4"/>
          <w:sz w:val="24"/>
          <w:szCs w:val="24"/>
          <w:highlight w:val="none"/>
        </w:rPr>
        <w:t>）为本标段的代建人。</w:t>
      </w:r>
    </w:p>
    <w:p w14:paraId="4EF06EF3">
      <w:pPr>
        <w:spacing w:before="183" w:line="219"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）为本标段提供招标代理服务的。</w:t>
      </w:r>
    </w:p>
    <w:p w14:paraId="484F8A91">
      <w:pPr>
        <w:spacing w:before="181"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）与本标段的监理人或代建人或招标代理机构同为一个法定代表人的。</w:t>
      </w:r>
    </w:p>
    <w:p w14:paraId="49DA1454">
      <w:pPr>
        <w:spacing w:before="183"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7</w:t>
      </w:r>
      <w:r>
        <w:rPr>
          <w:rFonts w:ascii="宋体" w:hAnsi="宋体" w:eastAsia="宋体" w:cs="宋体"/>
          <w:color w:val="auto"/>
          <w:spacing w:val="-2"/>
          <w:sz w:val="24"/>
          <w:szCs w:val="24"/>
          <w:highlight w:val="none"/>
        </w:rPr>
        <w:t>）与本标段的监理人或代建人或招标代理机构相互控股或参股的。</w:t>
      </w:r>
    </w:p>
    <w:p w14:paraId="6898ADF6">
      <w:pPr>
        <w:spacing w:before="181"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8</w:t>
      </w:r>
      <w:r>
        <w:rPr>
          <w:rFonts w:ascii="宋体" w:hAnsi="宋体" w:eastAsia="宋体" w:cs="宋体"/>
          <w:color w:val="auto"/>
          <w:spacing w:val="-2"/>
          <w:sz w:val="24"/>
          <w:szCs w:val="24"/>
          <w:highlight w:val="none"/>
        </w:rPr>
        <w:t>）与本标段的监理人或代建人或招标代理机构相互任职或工作的。</w:t>
      </w:r>
    </w:p>
    <w:p w14:paraId="7E396ACD">
      <w:pPr>
        <w:spacing w:before="183" w:line="219" w:lineRule="auto"/>
        <w:ind w:left="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9</w:t>
      </w:r>
      <w:r>
        <w:rPr>
          <w:rFonts w:ascii="宋体" w:hAnsi="宋体" w:eastAsia="宋体" w:cs="宋体"/>
          <w:color w:val="auto"/>
          <w:spacing w:val="-5"/>
          <w:sz w:val="24"/>
          <w:szCs w:val="24"/>
          <w:highlight w:val="none"/>
        </w:rPr>
        <w:t>）被责令停业的。</w:t>
      </w:r>
    </w:p>
    <w:p w14:paraId="0B292A8B">
      <w:pPr>
        <w:spacing w:before="181"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10</w:t>
      </w:r>
      <w:r>
        <w:rPr>
          <w:rFonts w:ascii="宋体" w:hAnsi="宋体" w:eastAsia="宋体" w:cs="宋体"/>
          <w:color w:val="auto"/>
          <w:spacing w:val="-2"/>
          <w:sz w:val="24"/>
          <w:szCs w:val="24"/>
          <w:highlight w:val="none"/>
        </w:rPr>
        <w:t>）被项目所在地县（市、区）、地级市和省暂停或取消投标资格的。</w:t>
      </w:r>
    </w:p>
    <w:p w14:paraId="121B36F2">
      <w:pPr>
        <w:spacing w:before="182" w:line="220"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11</w:t>
      </w:r>
      <w:r>
        <w:rPr>
          <w:rFonts w:ascii="宋体" w:hAnsi="宋体" w:eastAsia="宋体" w:cs="宋体"/>
          <w:color w:val="auto"/>
          <w:spacing w:val="-3"/>
          <w:sz w:val="24"/>
          <w:szCs w:val="24"/>
          <w:highlight w:val="none"/>
        </w:rPr>
        <w:t>）财产被接管或全部冻结的。</w:t>
      </w:r>
    </w:p>
    <w:p w14:paraId="2611356E">
      <w:pPr>
        <w:spacing w:before="182"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12</w:t>
      </w:r>
      <w:r>
        <w:rPr>
          <w:rFonts w:ascii="宋体" w:hAnsi="宋体" w:eastAsia="宋体" w:cs="宋体"/>
          <w:color w:val="auto"/>
          <w:spacing w:val="-2"/>
          <w:sz w:val="24"/>
          <w:szCs w:val="24"/>
          <w:highlight w:val="none"/>
        </w:rPr>
        <w:t>）与招标人存在利害关系可能影响招标公正性的法人或者其他组织。</w:t>
      </w:r>
    </w:p>
    <w:p w14:paraId="236C629A">
      <w:pPr>
        <w:spacing w:before="179"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13</w:t>
      </w:r>
      <w:r>
        <w:rPr>
          <w:rFonts w:ascii="宋体" w:hAnsi="宋体" w:eastAsia="宋体" w:cs="宋体"/>
          <w:color w:val="auto"/>
          <w:spacing w:val="-2"/>
          <w:sz w:val="24"/>
          <w:szCs w:val="24"/>
          <w:highlight w:val="none"/>
        </w:rPr>
        <w:t>）单位负责人为同一人或者存在控股、管理关系的不同单位。</w:t>
      </w:r>
    </w:p>
    <w:p w14:paraId="30B3D596">
      <w:pPr>
        <w:spacing w:before="182" w:line="220"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14</w:t>
      </w:r>
      <w:r>
        <w:rPr>
          <w:rFonts w:ascii="宋体" w:hAnsi="宋体" w:eastAsia="宋体" w:cs="宋体"/>
          <w:color w:val="auto"/>
          <w:spacing w:val="-3"/>
          <w:sz w:val="24"/>
          <w:szCs w:val="24"/>
          <w:highlight w:val="none"/>
        </w:rPr>
        <w:t>）其他法律法规规定的情形。</w:t>
      </w:r>
    </w:p>
    <w:p w14:paraId="1DDE7BDC">
      <w:pPr>
        <w:spacing w:before="180" w:line="220" w:lineRule="auto"/>
        <w:ind w:left="6"/>
        <w:outlineLvl w:val="2"/>
        <w:rPr>
          <w:rFonts w:ascii="宋体" w:hAnsi="宋体" w:eastAsia="宋体" w:cs="宋体"/>
          <w:color w:val="auto"/>
          <w:sz w:val="24"/>
          <w:szCs w:val="24"/>
          <w:highlight w:val="none"/>
        </w:rPr>
      </w:pPr>
      <w:bookmarkStart w:id="88" w:name="bookmark61"/>
      <w:bookmarkEnd w:id="88"/>
      <w:bookmarkStart w:id="89" w:name="_Toc6227"/>
      <w:bookmarkStart w:id="90" w:name="_Toc26034"/>
      <w:r>
        <w:rPr>
          <w:rFonts w:ascii="Times New Roman" w:hAnsi="Times New Roman" w:eastAsia="Times New Roman" w:cs="Times New Roman"/>
          <w:b/>
          <w:bCs/>
          <w:color w:val="auto"/>
          <w:spacing w:val="-7"/>
          <w:sz w:val="24"/>
          <w:szCs w:val="24"/>
          <w:highlight w:val="none"/>
        </w:rPr>
        <w:t>1.5</w:t>
      </w:r>
      <w:r>
        <w:rPr>
          <w:rFonts w:ascii="Times New Roman" w:hAnsi="Times New Roman" w:eastAsia="Times New Roman" w:cs="Times New Roman"/>
          <w:b/>
          <w:bCs/>
          <w:color w:val="auto"/>
          <w:spacing w:val="13"/>
          <w:sz w:val="24"/>
          <w:szCs w:val="24"/>
          <w:highlight w:val="none"/>
        </w:rPr>
        <w:t xml:space="preserve">  </w:t>
      </w:r>
      <w:r>
        <w:rPr>
          <w:rFonts w:ascii="宋体" w:hAnsi="宋体" w:eastAsia="宋体" w:cs="宋体"/>
          <w:b/>
          <w:bCs/>
          <w:color w:val="auto"/>
          <w:spacing w:val="-7"/>
          <w:sz w:val="24"/>
          <w:szCs w:val="24"/>
          <w:highlight w:val="none"/>
        </w:rPr>
        <w:t>费用承担</w:t>
      </w:r>
      <w:bookmarkEnd w:id="89"/>
      <w:bookmarkEnd w:id="90"/>
    </w:p>
    <w:p w14:paraId="5476ACD9">
      <w:pPr>
        <w:spacing w:before="181" w:line="345" w:lineRule="auto"/>
        <w:ind w:firstLine="4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投标人准备和参加投标活动发生的费用自理</w:t>
      </w:r>
      <w:r>
        <w:rPr>
          <w:rFonts w:hint="eastAsia" w:ascii="Times New Roman" w:hAnsi="Times New Roman" w:eastAsia="宋体" w:cs="Times New Roman"/>
          <w:color w:val="auto"/>
          <w:spacing w:val="-3"/>
          <w:sz w:val="24"/>
          <w:szCs w:val="24"/>
          <w:highlight w:val="none"/>
          <w:lang w:eastAsia="zh-CN"/>
        </w:rPr>
        <w:t>（中标人需支付本项目评审过程中产生的费用，按实支付，需现金缴纳不开具发票）</w:t>
      </w:r>
      <w:r>
        <w:rPr>
          <w:rFonts w:ascii="宋体" w:hAnsi="宋体" w:eastAsia="宋体" w:cs="宋体"/>
          <w:color w:val="auto"/>
          <w:spacing w:val="-3"/>
          <w:sz w:val="24"/>
          <w:szCs w:val="24"/>
          <w:highlight w:val="none"/>
        </w:rPr>
        <w:t>。</w:t>
      </w:r>
    </w:p>
    <w:p w14:paraId="1099F3C9">
      <w:pPr>
        <w:spacing w:before="180" w:line="220" w:lineRule="auto"/>
        <w:ind w:left="6"/>
        <w:outlineLvl w:val="2"/>
        <w:rPr>
          <w:rFonts w:ascii="宋体" w:hAnsi="宋体" w:eastAsia="宋体" w:cs="宋体"/>
          <w:color w:val="auto"/>
          <w:sz w:val="24"/>
          <w:szCs w:val="24"/>
          <w:highlight w:val="none"/>
        </w:rPr>
      </w:pPr>
      <w:bookmarkStart w:id="91" w:name="bookmark63"/>
      <w:bookmarkEnd w:id="91"/>
      <w:bookmarkStart w:id="92" w:name="_Toc32663"/>
      <w:bookmarkStart w:id="93" w:name="_Toc12698"/>
      <w:r>
        <w:rPr>
          <w:rFonts w:ascii="Times New Roman" w:hAnsi="Times New Roman" w:eastAsia="Times New Roman" w:cs="Times New Roman"/>
          <w:b/>
          <w:bCs/>
          <w:color w:val="auto"/>
          <w:spacing w:val="-5"/>
          <w:sz w:val="24"/>
          <w:szCs w:val="24"/>
          <w:highlight w:val="none"/>
        </w:rPr>
        <w:t>1.6</w:t>
      </w:r>
      <w:r>
        <w:rPr>
          <w:rFonts w:ascii="Times New Roman" w:hAnsi="Times New Roman" w:eastAsia="Times New Roman" w:cs="Times New Roman"/>
          <w:b/>
          <w:bCs/>
          <w:color w:val="auto"/>
          <w:spacing w:val="5"/>
          <w:sz w:val="24"/>
          <w:szCs w:val="24"/>
          <w:highlight w:val="none"/>
        </w:rPr>
        <w:t xml:space="preserve">  </w:t>
      </w:r>
      <w:r>
        <w:rPr>
          <w:rFonts w:ascii="宋体" w:hAnsi="宋体" w:eastAsia="宋体" w:cs="宋体"/>
          <w:b/>
          <w:bCs/>
          <w:color w:val="auto"/>
          <w:spacing w:val="-5"/>
          <w:sz w:val="24"/>
          <w:szCs w:val="24"/>
          <w:highlight w:val="none"/>
        </w:rPr>
        <w:t>保密</w:t>
      </w:r>
      <w:bookmarkEnd w:id="92"/>
      <w:bookmarkEnd w:id="93"/>
    </w:p>
    <w:p w14:paraId="2FF4C4CC">
      <w:pPr>
        <w:spacing w:before="181" w:line="345" w:lineRule="auto"/>
        <w:ind w:firstLine="48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参与招标投标活动的各方应对招标文件和投标文件中的商业和技术等秘密保</w:t>
      </w:r>
      <w:r>
        <w:rPr>
          <w:rFonts w:ascii="宋体" w:hAnsi="宋体" w:eastAsia="宋体" w:cs="宋体"/>
          <w:color w:val="auto"/>
          <w:spacing w:val="-2"/>
          <w:sz w:val="24"/>
          <w:szCs w:val="24"/>
          <w:highlight w:val="none"/>
        </w:rPr>
        <w:t>密，</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违者应对由此造成的后果承担法律责任。</w:t>
      </w:r>
    </w:p>
    <w:p w14:paraId="06EA6D1D">
      <w:pPr>
        <w:spacing w:before="36" w:line="220" w:lineRule="auto"/>
        <w:ind w:left="6"/>
        <w:outlineLvl w:val="2"/>
        <w:rPr>
          <w:rFonts w:ascii="宋体" w:hAnsi="宋体" w:eastAsia="宋体" w:cs="宋体"/>
          <w:color w:val="auto"/>
          <w:sz w:val="24"/>
          <w:szCs w:val="24"/>
          <w:highlight w:val="none"/>
        </w:rPr>
      </w:pPr>
      <w:bookmarkStart w:id="94" w:name="bookmark65"/>
      <w:bookmarkEnd w:id="94"/>
      <w:bookmarkStart w:id="95" w:name="_Toc10418"/>
      <w:bookmarkStart w:id="96" w:name="_Toc31256"/>
      <w:r>
        <w:rPr>
          <w:rFonts w:ascii="Times New Roman" w:hAnsi="Times New Roman" w:eastAsia="Times New Roman" w:cs="Times New Roman"/>
          <w:b/>
          <w:bCs/>
          <w:color w:val="auto"/>
          <w:spacing w:val="-3"/>
          <w:sz w:val="24"/>
          <w:szCs w:val="24"/>
          <w:highlight w:val="none"/>
        </w:rPr>
        <w:t xml:space="preserve">1.7  </w:t>
      </w:r>
      <w:r>
        <w:rPr>
          <w:rFonts w:ascii="宋体" w:hAnsi="宋体" w:eastAsia="宋体" w:cs="宋体"/>
          <w:b/>
          <w:bCs/>
          <w:color w:val="auto"/>
          <w:spacing w:val="-3"/>
          <w:sz w:val="24"/>
          <w:szCs w:val="24"/>
          <w:highlight w:val="none"/>
        </w:rPr>
        <w:t>语言文字</w:t>
      </w:r>
      <w:bookmarkEnd w:id="95"/>
      <w:bookmarkEnd w:id="96"/>
    </w:p>
    <w:p w14:paraId="60C7FC5A">
      <w:pPr>
        <w:spacing w:before="180" w:line="347" w:lineRule="auto"/>
        <w:ind w:right="66" w:firstLine="49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除专用术语外，与招标投标有关的语言均使用中文。必</w:t>
      </w:r>
      <w:r>
        <w:rPr>
          <w:rFonts w:ascii="宋体" w:hAnsi="宋体" w:eastAsia="宋体" w:cs="宋体"/>
          <w:color w:val="auto"/>
          <w:spacing w:val="-4"/>
          <w:sz w:val="24"/>
          <w:szCs w:val="24"/>
          <w:highlight w:val="none"/>
        </w:rPr>
        <w:t>要时专用术语应附有中文</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注释。</w:t>
      </w:r>
    </w:p>
    <w:p w14:paraId="52D8C412">
      <w:pPr>
        <w:spacing w:before="32" w:line="220" w:lineRule="auto"/>
        <w:ind w:left="6"/>
        <w:outlineLvl w:val="2"/>
        <w:rPr>
          <w:rFonts w:ascii="宋体" w:hAnsi="宋体" w:eastAsia="宋体" w:cs="宋体"/>
          <w:color w:val="auto"/>
          <w:sz w:val="24"/>
          <w:szCs w:val="24"/>
          <w:highlight w:val="none"/>
        </w:rPr>
      </w:pPr>
      <w:bookmarkStart w:id="97" w:name="bookmark67"/>
      <w:bookmarkEnd w:id="97"/>
      <w:bookmarkStart w:id="98" w:name="_Toc27666"/>
      <w:bookmarkStart w:id="99" w:name="_Toc27831"/>
      <w:r>
        <w:rPr>
          <w:rFonts w:ascii="Times New Roman" w:hAnsi="Times New Roman" w:eastAsia="Times New Roman" w:cs="Times New Roman"/>
          <w:b/>
          <w:bCs/>
          <w:color w:val="auto"/>
          <w:spacing w:val="-3"/>
          <w:sz w:val="24"/>
          <w:szCs w:val="24"/>
          <w:highlight w:val="none"/>
        </w:rPr>
        <w:t xml:space="preserve">1.8  </w:t>
      </w:r>
      <w:r>
        <w:rPr>
          <w:rFonts w:ascii="宋体" w:hAnsi="宋体" w:eastAsia="宋体" w:cs="宋体"/>
          <w:b/>
          <w:bCs/>
          <w:color w:val="auto"/>
          <w:spacing w:val="-3"/>
          <w:sz w:val="24"/>
          <w:szCs w:val="24"/>
          <w:highlight w:val="none"/>
        </w:rPr>
        <w:t>计量单位</w:t>
      </w:r>
      <w:bookmarkEnd w:id="98"/>
      <w:bookmarkEnd w:id="99"/>
    </w:p>
    <w:p w14:paraId="595C29DC">
      <w:pPr>
        <w:spacing w:before="182"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所有计量均采用中华人民共和国法定计量单</w:t>
      </w:r>
      <w:r>
        <w:rPr>
          <w:rFonts w:ascii="宋体" w:hAnsi="宋体" w:eastAsia="宋体" w:cs="宋体"/>
          <w:color w:val="auto"/>
          <w:spacing w:val="-3"/>
          <w:sz w:val="24"/>
          <w:szCs w:val="24"/>
          <w:highlight w:val="none"/>
        </w:rPr>
        <w:t>位。</w:t>
      </w:r>
    </w:p>
    <w:p w14:paraId="627CBCFC">
      <w:pPr>
        <w:spacing w:before="180" w:line="220" w:lineRule="auto"/>
        <w:ind w:left="6"/>
        <w:outlineLvl w:val="2"/>
        <w:rPr>
          <w:rFonts w:ascii="宋体" w:hAnsi="宋体" w:eastAsia="宋体" w:cs="宋体"/>
          <w:color w:val="auto"/>
          <w:sz w:val="24"/>
          <w:szCs w:val="24"/>
          <w:highlight w:val="none"/>
        </w:rPr>
      </w:pPr>
      <w:bookmarkStart w:id="100" w:name="bookmark69"/>
      <w:bookmarkEnd w:id="100"/>
      <w:bookmarkStart w:id="101" w:name="_Toc32352"/>
      <w:bookmarkStart w:id="102" w:name="_Toc5037"/>
      <w:r>
        <w:rPr>
          <w:rFonts w:ascii="Times New Roman" w:hAnsi="Times New Roman" w:eastAsia="Times New Roman" w:cs="Times New Roman"/>
          <w:b/>
          <w:bCs/>
          <w:color w:val="auto"/>
          <w:spacing w:val="-3"/>
          <w:sz w:val="24"/>
          <w:szCs w:val="24"/>
          <w:highlight w:val="none"/>
        </w:rPr>
        <w:t xml:space="preserve">1.9  </w:t>
      </w:r>
      <w:r>
        <w:rPr>
          <w:rFonts w:ascii="宋体" w:hAnsi="宋体" w:eastAsia="宋体" w:cs="宋体"/>
          <w:b/>
          <w:bCs/>
          <w:color w:val="auto"/>
          <w:spacing w:val="-3"/>
          <w:sz w:val="24"/>
          <w:szCs w:val="24"/>
          <w:highlight w:val="none"/>
        </w:rPr>
        <w:t>踏勘现场</w:t>
      </w:r>
      <w:bookmarkEnd w:id="101"/>
      <w:bookmarkEnd w:id="102"/>
    </w:p>
    <w:p w14:paraId="3F1A8C66">
      <w:pPr>
        <w:spacing w:line="220" w:lineRule="auto"/>
        <w:rPr>
          <w:rFonts w:ascii="宋体" w:hAnsi="宋体" w:eastAsia="宋体" w:cs="宋体"/>
          <w:color w:val="auto"/>
          <w:sz w:val="24"/>
          <w:szCs w:val="24"/>
          <w:highlight w:val="none"/>
        </w:rPr>
      </w:pPr>
    </w:p>
    <w:p w14:paraId="5874B113">
      <w:pPr>
        <w:spacing w:before="47" w:line="290" w:lineRule="auto"/>
        <w:ind w:left="9" w:right="1" w:firstLine="483"/>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1.9.1  </w:t>
      </w:r>
      <w:r>
        <w:rPr>
          <w:rFonts w:ascii="宋体" w:hAnsi="宋体" w:eastAsia="宋体" w:cs="宋体"/>
          <w:color w:val="auto"/>
          <w:sz w:val="24"/>
          <w:szCs w:val="24"/>
          <w:highlight w:val="none"/>
        </w:rPr>
        <w:t>投标人须知前附表规定组织踏勘现场的，招标人按照投标人须知前附表规</w:t>
      </w:r>
      <w:r>
        <w:rPr>
          <w:rFonts w:ascii="宋体" w:hAnsi="宋体" w:eastAsia="宋体" w:cs="宋体"/>
          <w:color w:val="auto"/>
          <w:spacing w:val="9"/>
          <w:sz w:val="24"/>
          <w:szCs w:val="24"/>
          <w:highlight w:val="none"/>
        </w:rPr>
        <w:t xml:space="preserve"> </w:t>
      </w:r>
      <w:r>
        <w:rPr>
          <w:rFonts w:ascii="宋体" w:hAnsi="宋体" w:eastAsia="宋体" w:cs="宋体"/>
          <w:color w:val="auto"/>
          <w:spacing w:val="-4"/>
          <w:sz w:val="24"/>
          <w:szCs w:val="24"/>
          <w:highlight w:val="none"/>
        </w:rPr>
        <w:t>定的时间和地点组织踏勘现场。</w:t>
      </w:r>
    </w:p>
    <w:p w14:paraId="7A5C1F6E">
      <w:pPr>
        <w:spacing w:before="179" w:line="220" w:lineRule="auto"/>
        <w:ind w:left="492"/>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1.9.2  </w:t>
      </w:r>
      <w:r>
        <w:rPr>
          <w:rFonts w:ascii="宋体" w:hAnsi="宋体" w:eastAsia="宋体" w:cs="宋体"/>
          <w:color w:val="auto"/>
          <w:spacing w:val="-3"/>
          <w:sz w:val="24"/>
          <w:szCs w:val="24"/>
          <w:highlight w:val="none"/>
        </w:rPr>
        <w:t>投标人踏勘现场发生的费用自理。</w:t>
      </w:r>
    </w:p>
    <w:p w14:paraId="1446473B">
      <w:pPr>
        <w:spacing w:before="182" w:line="289" w:lineRule="auto"/>
        <w:ind w:left="3" w:right="1" w:firstLine="488"/>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1.9.3  </w:t>
      </w:r>
      <w:r>
        <w:rPr>
          <w:rFonts w:ascii="宋体" w:hAnsi="宋体" w:eastAsia="宋体" w:cs="宋体"/>
          <w:color w:val="auto"/>
          <w:sz w:val="24"/>
          <w:szCs w:val="24"/>
          <w:highlight w:val="none"/>
        </w:rPr>
        <w:t>除招标人的原因外，投标人自行负责在踏勘现场中所发生的人员伤亡和财</w:t>
      </w:r>
      <w:r>
        <w:rPr>
          <w:rFonts w:ascii="宋体" w:hAnsi="宋体" w:eastAsia="宋体" w:cs="宋体"/>
          <w:color w:val="auto"/>
          <w:spacing w:val="9"/>
          <w:sz w:val="24"/>
          <w:szCs w:val="24"/>
          <w:highlight w:val="none"/>
        </w:rPr>
        <w:t xml:space="preserve"> </w:t>
      </w:r>
      <w:r>
        <w:rPr>
          <w:rFonts w:ascii="宋体" w:hAnsi="宋体" w:eastAsia="宋体" w:cs="宋体"/>
          <w:color w:val="auto"/>
          <w:spacing w:val="-9"/>
          <w:sz w:val="24"/>
          <w:szCs w:val="24"/>
          <w:highlight w:val="none"/>
        </w:rPr>
        <w:t>产损失。</w:t>
      </w:r>
    </w:p>
    <w:p w14:paraId="5357CD9D">
      <w:pPr>
        <w:spacing w:before="182" w:line="289" w:lineRule="auto"/>
        <w:ind w:left="5" w:right="1"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1.9.4  </w:t>
      </w:r>
      <w:r>
        <w:rPr>
          <w:rFonts w:ascii="宋体" w:hAnsi="宋体" w:eastAsia="宋体" w:cs="宋体"/>
          <w:color w:val="auto"/>
          <w:sz w:val="24"/>
          <w:szCs w:val="24"/>
          <w:highlight w:val="none"/>
        </w:rPr>
        <w:t>招标人在踏勘现场中介绍的工程场地和相关的周边环境情况，供投标人在</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编制投标文件时参考，招标人不对投标人据此作出的判断和决策负责。</w:t>
      </w:r>
    </w:p>
    <w:p w14:paraId="593AC7E8">
      <w:pPr>
        <w:spacing w:before="182" w:line="219" w:lineRule="auto"/>
        <w:ind w:left="10"/>
        <w:outlineLvl w:val="2"/>
        <w:rPr>
          <w:rFonts w:ascii="宋体" w:hAnsi="宋体" w:eastAsia="宋体" w:cs="宋体"/>
          <w:color w:val="auto"/>
          <w:sz w:val="24"/>
          <w:szCs w:val="24"/>
          <w:highlight w:val="none"/>
        </w:rPr>
      </w:pPr>
      <w:bookmarkStart w:id="103" w:name="bookmark71"/>
      <w:bookmarkEnd w:id="103"/>
      <w:bookmarkStart w:id="104" w:name="_Toc17564"/>
      <w:bookmarkStart w:id="105" w:name="_Toc7427"/>
      <w:r>
        <w:rPr>
          <w:rFonts w:ascii="Times New Roman" w:hAnsi="Times New Roman" w:eastAsia="Times New Roman" w:cs="Times New Roman"/>
          <w:b/>
          <w:bCs/>
          <w:color w:val="auto"/>
          <w:spacing w:val="-3"/>
          <w:sz w:val="24"/>
          <w:szCs w:val="24"/>
          <w:highlight w:val="none"/>
        </w:rPr>
        <w:t xml:space="preserve">1.10  </w:t>
      </w:r>
      <w:r>
        <w:rPr>
          <w:rFonts w:ascii="宋体" w:hAnsi="宋体" w:eastAsia="宋体" w:cs="宋体"/>
          <w:b/>
          <w:bCs/>
          <w:color w:val="auto"/>
          <w:spacing w:val="-3"/>
          <w:sz w:val="24"/>
          <w:szCs w:val="24"/>
          <w:highlight w:val="none"/>
        </w:rPr>
        <w:t>投标预备会</w:t>
      </w:r>
      <w:bookmarkEnd w:id="104"/>
      <w:bookmarkEnd w:id="105"/>
    </w:p>
    <w:p w14:paraId="00580671">
      <w:pPr>
        <w:spacing w:before="182" w:line="289" w:lineRule="auto"/>
        <w:ind w:left="4" w:right="1" w:firstLine="487"/>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1.10.1  </w:t>
      </w:r>
      <w:r>
        <w:rPr>
          <w:rFonts w:ascii="宋体" w:hAnsi="宋体" w:eastAsia="宋体" w:cs="宋体"/>
          <w:color w:val="auto"/>
          <w:spacing w:val="-3"/>
          <w:sz w:val="24"/>
          <w:szCs w:val="24"/>
          <w:highlight w:val="none"/>
        </w:rPr>
        <w:t>投标人须知前附表规定召开投标预备会的，招标人按照投标人须知前附表</w:t>
      </w:r>
      <w:r>
        <w:rPr>
          <w:rFonts w:ascii="宋体" w:hAnsi="宋体" w:eastAsia="宋体" w:cs="宋体"/>
          <w:color w:val="auto"/>
          <w:spacing w:val="9"/>
          <w:sz w:val="24"/>
          <w:szCs w:val="24"/>
          <w:highlight w:val="none"/>
        </w:rPr>
        <w:t xml:space="preserve"> </w:t>
      </w:r>
      <w:r>
        <w:rPr>
          <w:rFonts w:ascii="宋体" w:hAnsi="宋体" w:eastAsia="宋体" w:cs="宋体"/>
          <w:color w:val="auto"/>
          <w:spacing w:val="-3"/>
          <w:sz w:val="24"/>
          <w:szCs w:val="24"/>
          <w:highlight w:val="none"/>
        </w:rPr>
        <w:t>规定的时间和地点召开投标预备会。</w:t>
      </w:r>
    </w:p>
    <w:p w14:paraId="143645D5">
      <w:pPr>
        <w:spacing w:before="180" w:line="290" w:lineRule="auto"/>
        <w:ind w:left="1" w:right="1" w:firstLine="490"/>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1.10.2  </w:t>
      </w:r>
      <w:r>
        <w:rPr>
          <w:rFonts w:ascii="宋体" w:hAnsi="宋体" w:eastAsia="宋体" w:cs="宋体"/>
          <w:color w:val="auto"/>
          <w:spacing w:val="-3"/>
          <w:sz w:val="24"/>
          <w:szCs w:val="24"/>
          <w:highlight w:val="none"/>
        </w:rPr>
        <w:t>在投标预备会召开前，投标人应按投标人须知前附表第</w:t>
      </w:r>
      <w:r>
        <w:rPr>
          <w:rFonts w:ascii="Times New Roman" w:hAnsi="Times New Roman" w:eastAsia="Times New Roman" w:cs="Times New Roman"/>
          <w:color w:val="auto"/>
          <w:spacing w:val="-3"/>
          <w:sz w:val="24"/>
          <w:szCs w:val="24"/>
          <w:highlight w:val="none"/>
        </w:rPr>
        <w:t>2.2.1</w:t>
      </w:r>
      <w:r>
        <w:rPr>
          <w:rFonts w:ascii="宋体" w:hAnsi="宋体" w:eastAsia="宋体" w:cs="宋体"/>
          <w:color w:val="auto"/>
          <w:spacing w:val="-3"/>
          <w:sz w:val="24"/>
          <w:szCs w:val="24"/>
          <w:highlight w:val="none"/>
        </w:rPr>
        <w:t>项规定的形式</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将需要招标人澄清的问题送达招标人。</w:t>
      </w:r>
    </w:p>
    <w:p w14:paraId="0C5B1A9B">
      <w:pPr>
        <w:spacing w:before="178" w:line="313" w:lineRule="auto"/>
        <w:ind w:left="5" w:right="1"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1.10.3  </w:t>
      </w:r>
      <w:r>
        <w:rPr>
          <w:rFonts w:ascii="宋体" w:hAnsi="宋体" w:eastAsia="宋体" w:cs="宋体"/>
          <w:color w:val="auto"/>
          <w:spacing w:val="-3"/>
          <w:sz w:val="24"/>
          <w:szCs w:val="24"/>
          <w:highlight w:val="none"/>
        </w:rPr>
        <w:t>在投标人须知前附表规定的投标截止时间</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日前，招标人将对投标人所提</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问题的澄清，以投标人须知前附表第</w:t>
      </w:r>
      <w:r>
        <w:rPr>
          <w:rFonts w:ascii="Times New Roman" w:hAnsi="Times New Roman" w:eastAsia="Times New Roman" w:cs="Times New Roman"/>
          <w:color w:val="auto"/>
          <w:spacing w:val="-3"/>
          <w:sz w:val="24"/>
          <w:szCs w:val="24"/>
          <w:highlight w:val="none"/>
        </w:rPr>
        <w:t>2.2.2</w:t>
      </w:r>
      <w:r>
        <w:rPr>
          <w:rFonts w:ascii="宋体" w:hAnsi="宋体" w:eastAsia="宋体" w:cs="宋体"/>
          <w:color w:val="auto"/>
          <w:spacing w:val="-3"/>
          <w:sz w:val="24"/>
          <w:szCs w:val="24"/>
          <w:highlight w:val="none"/>
        </w:rPr>
        <w:t>项规定的方式通知所有获取招标文件的投标</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人。该澄清通知为招标文件的组成部分。</w:t>
      </w:r>
    </w:p>
    <w:p w14:paraId="050281EA">
      <w:pPr>
        <w:spacing w:before="183" w:line="220" w:lineRule="auto"/>
        <w:ind w:left="10"/>
        <w:outlineLvl w:val="2"/>
        <w:rPr>
          <w:rFonts w:ascii="宋体" w:hAnsi="宋体" w:eastAsia="宋体" w:cs="宋体"/>
          <w:color w:val="auto"/>
          <w:sz w:val="24"/>
          <w:szCs w:val="24"/>
          <w:highlight w:val="none"/>
        </w:rPr>
      </w:pPr>
      <w:bookmarkStart w:id="106" w:name="bookmark73"/>
      <w:bookmarkEnd w:id="106"/>
      <w:bookmarkStart w:id="107" w:name="_Toc21939"/>
      <w:bookmarkStart w:id="108" w:name="_Toc956"/>
      <w:r>
        <w:rPr>
          <w:rFonts w:ascii="Times New Roman" w:hAnsi="Times New Roman" w:eastAsia="Times New Roman" w:cs="Times New Roman"/>
          <w:b/>
          <w:bCs/>
          <w:color w:val="auto"/>
          <w:spacing w:val="-5"/>
          <w:sz w:val="24"/>
          <w:szCs w:val="24"/>
          <w:highlight w:val="none"/>
        </w:rPr>
        <w:t>1.11</w:t>
      </w:r>
      <w:r>
        <w:rPr>
          <w:rFonts w:ascii="Times New Roman" w:hAnsi="Times New Roman" w:eastAsia="Times New Roman" w:cs="Times New Roman"/>
          <w:b/>
          <w:bCs/>
          <w:color w:val="auto"/>
          <w:spacing w:val="7"/>
          <w:sz w:val="24"/>
          <w:szCs w:val="24"/>
          <w:highlight w:val="none"/>
        </w:rPr>
        <w:t xml:space="preserve">  </w:t>
      </w:r>
      <w:r>
        <w:rPr>
          <w:rFonts w:ascii="宋体" w:hAnsi="宋体" w:eastAsia="宋体" w:cs="宋体"/>
          <w:b/>
          <w:bCs/>
          <w:color w:val="auto"/>
          <w:spacing w:val="-5"/>
          <w:sz w:val="24"/>
          <w:szCs w:val="24"/>
          <w:highlight w:val="none"/>
        </w:rPr>
        <w:t>分包</w:t>
      </w:r>
      <w:bookmarkEnd w:id="107"/>
      <w:bookmarkEnd w:id="108"/>
    </w:p>
    <w:p w14:paraId="68B4228D">
      <w:pPr>
        <w:spacing w:before="180" w:line="354" w:lineRule="auto"/>
        <w:ind w:left="6" w:right="1"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投标人须知前附表规定允许分包的，分包的内容、分包金额、接受分包的第三人</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资质要求见投标人须知前附表。投标人应在投标文件中明确是否在中标后将中标项目</w:t>
      </w:r>
      <w:r>
        <w:rPr>
          <w:rFonts w:ascii="宋体" w:hAnsi="宋体" w:eastAsia="宋体" w:cs="宋体"/>
          <w:color w:val="auto"/>
          <w:spacing w:val="6"/>
          <w:sz w:val="24"/>
          <w:szCs w:val="24"/>
          <w:highlight w:val="none"/>
        </w:rPr>
        <w:t xml:space="preserve"> </w:t>
      </w:r>
      <w:r>
        <w:rPr>
          <w:rFonts w:ascii="宋体" w:hAnsi="宋体" w:eastAsia="宋体" w:cs="宋体"/>
          <w:color w:val="auto"/>
          <w:spacing w:val="-6"/>
          <w:sz w:val="24"/>
          <w:szCs w:val="24"/>
          <w:highlight w:val="none"/>
        </w:rPr>
        <w:t>的部分非主体、非关键性工作进行分包。投标人拟分包时， 分包人应具备与分包工程</w:t>
      </w:r>
      <w:r>
        <w:rPr>
          <w:rFonts w:ascii="宋体" w:hAnsi="宋体" w:eastAsia="宋体" w:cs="宋体"/>
          <w:color w:val="auto"/>
          <w:spacing w:val="1"/>
          <w:sz w:val="24"/>
          <w:szCs w:val="24"/>
          <w:highlight w:val="none"/>
        </w:rPr>
        <w:t xml:space="preserve"> </w:t>
      </w:r>
      <w:r>
        <w:rPr>
          <w:rFonts w:ascii="宋体" w:hAnsi="宋体" w:eastAsia="宋体" w:cs="宋体"/>
          <w:color w:val="auto"/>
          <w:spacing w:val="-3"/>
          <w:sz w:val="24"/>
          <w:szCs w:val="24"/>
          <w:highlight w:val="none"/>
        </w:rPr>
        <w:t>的标准和规模相适应的资质和业绩，在人力、设备、资金等方面具有承担分包工程施</w:t>
      </w:r>
      <w:r>
        <w:rPr>
          <w:rFonts w:ascii="宋体" w:hAnsi="宋体" w:eastAsia="宋体" w:cs="宋体"/>
          <w:color w:val="auto"/>
          <w:spacing w:val="6"/>
          <w:sz w:val="24"/>
          <w:szCs w:val="24"/>
          <w:highlight w:val="none"/>
        </w:rPr>
        <w:t xml:space="preserve"> </w:t>
      </w:r>
      <w:r>
        <w:rPr>
          <w:rFonts w:ascii="宋体" w:hAnsi="宋体" w:eastAsia="宋体" w:cs="宋体"/>
          <w:color w:val="auto"/>
          <w:spacing w:val="-8"/>
          <w:sz w:val="24"/>
          <w:szCs w:val="24"/>
          <w:highlight w:val="none"/>
        </w:rPr>
        <w:t>工的能力。</w:t>
      </w:r>
    </w:p>
    <w:p w14:paraId="1ECE3192">
      <w:pPr>
        <w:spacing w:before="33" w:line="220" w:lineRule="auto"/>
        <w:ind w:left="10"/>
        <w:outlineLvl w:val="2"/>
        <w:rPr>
          <w:rFonts w:ascii="宋体" w:hAnsi="宋体" w:eastAsia="宋体" w:cs="宋体"/>
          <w:color w:val="auto"/>
          <w:sz w:val="24"/>
          <w:szCs w:val="24"/>
          <w:highlight w:val="none"/>
        </w:rPr>
      </w:pPr>
      <w:bookmarkStart w:id="109" w:name="bookmark75"/>
      <w:bookmarkEnd w:id="109"/>
      <w:bookmarkStart w:id="110" w:name="_Toc32650"/>
      <w:bookmarkStart w:id="111" w:name="_Toc13570"/>
      <w:r>
        <w:rPr>
          <w:rFonts w:ascii="Times New Roman" w:hAnsi="Times New Roman" w:eastAsia="Times New Roman" w:cs="Times New Roman"/>
          <w:b/>
          <w:bCs/>
          <w:color w:val="auto"/>
          <w:spacing w:val="-5"/>
          <w:sz w:val="24"/>
          <w:szCs w:val="24"/>
          <w:highlight w:val="none"/>
        </w:rPr>
        <w:t>1.12</w:t>
      </w:r>
      <w:r>
        <w:rPr>
          <w:rFonts w:ascii="Times New Roman" w:hAnsi="Times New Roman" w:eastAsia="Times New Roman" w:cs="Times New Roman"/>
          <w:b/>
          <w:bCs/>
          <w:color w:val="auto"/>
          <w:spacing w:val="7"/>
          <w:sz w:val="24"/>
          <w:szCs w:val="24"/>
          <w:highlight w:val="none"/>
        </w:rPr>
        <w:t xml:space="preserve">  </w:t>
      </w:r>
      <w:r>
        <w:rPr>
          <w:rFonts w:ascii="宋体" w:hAnsi="宋体" w:eastAsia="宋体" w:cs="宋体"/>
          <w:b/>
          <w:bCs/>
          <w:color w:val="auto"/>
          <w:spacing w:val="-5"/>
          <w:sz w:val="24"/>
          <w:szCs w:val="24"/>
          <w:highlight w:val="none"/>
        </w:rPr>
        <w:t>偏离</w:t>
      </w:r>
      <w:bookmarkEnd w:id="110"/>
      <w:bookmarkEnd w:id="111"/>
    </w:p>
    <w:p w14:paraId="27F4801C">
      <w:pPr>
        <w:spacing w:before="183" w:line="344" w:lineRule="auto"/>
        <w:ind w:left="23" w:right="1" w:firstLine="46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投标文件不允许偏离招标文件的实质性要求和条件。允许投标文件偏离招标文件</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的非实质性要求和条件的，其偏离内容、范围和幅度见投标人须知前附表。</w:t>
      </w:r>
    </w:p>
    <w:p w14:paraId="311A7DA8">
      <w:pPr>
        <w:spacing w:before="165" w:line="220" w:lineRule="auto"/>
        <w:outlineLvl w:val="1"/>
        <w:rPr>
          <w:rFonts w:ascii="宋体" w:hAnsi="宋体" w:eastAsia="宋体" w:cs="宋体"/>
          <w:color w:val="auto"/>
          <w:sz w:val="28"/>
          <w:szCs w:val="28"/>
          <w:highlight w:val="none"/>
        </w:rPr>
      </w:pPr>
      <w:bookmarkStart w:id="112" w:name="bookmark77"/>
      <w:bookmarkEnd w:id="112"/>
      <w:bookmarkStart w:id="113" w:name="_Toc26609"/>
      <w:bookmarkStart w:id="114" w:name="_Toc4417"/>
      <w:r>
        <w:rPr>
          <w:rFonts w:ascii="Times New Roman" w:hAnsi="Times New Roman" w:eastAsia="Times New Roman" w:cs="Times New Roman"/>
          <w:b/>
          <w:bCs/>
          <w:color w:val="auto"/>
          <w:spacing w:val="-5"/>
          <w:sz w:val="28"/>
          <w:szCs w:val="28"/>
          <w:highlight w:val="none"/>
        </w:rPr>
        <w:t>2</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5"/>
          <w:sz w:val="28"/>
          <w:szCs w:val="28"/>
          <w:highlight w:val="none"/>
        </w:rPr>
        <w:t>招标文件</w:t>
      </w:r>
      <w:bookmarkEnd w:id="113"/>
      <w:bookmarkEnd w:id="114"/>
    </w:p>
    <w:p w14:paraId="79FB932D">
      <w:pPr>
        <w:pStyle w:val="3"/>
        <w:spacing w:line="245" w:lineRule="auto"/>
        <w:rPr>
          <w:color w:val="auto"/>
          <w:highlight w:val="none"/>
        </w:rPr>
      </w:pPr>
    </w:p>
    <w:p w14:paraId="7386584A">
      <w:pPr>
        <w:spacing w:before="78" w:line="220" w:lineRule="auto"/>
        <w:outlineLvl w:val="2"/>
        <w:rPr>
          <w:rFonts w:ascii="宋体" w:hAnsi="宋体" w:eastAsia="宋体" w:cs="宋体"/>
          <w:color w:val="auto"/>
          <w:sz w:val="24"/>
          <w:szCs w:val="24"/>
          <w:highlight w:val="none"/>
        </w:rPr>
      </w:pPr>
      <w:bookmarkStart w:id="115" w:name="bookmark79"/>
      <w:bookmarkEnd w:id="115"/>
      <w:bookmarkStart w:id="116" w:name="_Toc19859"/>
      <w:bookmarkStart w:id="117" w:name="_Toc719"/>
      <w:r>
        <w:rPr>
          <w:rFonts w:ascii="Times New Roman" w:hAnsi="Times New Roman" w:eastAsia="Times New Roman" w:cs="Times New Roman"/>
          <w:b/>
          <w:bCs/>
          <w:color w:val="auto"/>
          <w:spacing w:val="-2"/>
          <w:sz w:val="24"/>
          <w:szCs w:val="24"/>
          <w:highlight w:val="none"/>
        </w:rPr>
        <w:t xml:space="preserve">2.1  </w:t>
      </w:r>
      <w:r>
        <w:rPr>
          <w:rFonts w:ascii="宋体" w:hAnsi="宋体" w:eastAsia="宋体" w:cs="宋体"/>
          <w:b/>
          <w:bCs/>
          <w:color w:val="auto"/>
          <w:spacing w:val="-2"/>
          <w:sz w:val="24"/>
          <w:szCs w:val="24"/>
          <w:highlight w:val="none"/>
        </w:rPr>
        <w:t>招标文件的组成</w:t>
      </w:r>
      <w:bookmarkEnd w:id="116"/>
      <w:bookmarkEnd w:id="117"/>
    </w:p>
    <w:p w14:paraId="35393A4B">
      <w:pPr>
        <w:spacing w:before="180" w:line="219" w:lineRule="auto"/>
        <w:ind w:left="48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本招标文件包括下列内容：</w:t>
      </w:r>
    </w:p>
    <w:p w14:paraId="10639830">
      <w:pPr>
        <w:spacing w:before="184" w:line="218" w:lineRule="auto"/>
        <w:ind w:left="49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）招标公告（或投标邀请书）。</w:t>
      </w:r>
    </w:p>
    <w:p w14:paraId="7017F28A">
      <w:pPr>
        <w:spacing w:before="182" w:line="220" w:lineRule="auto"/>
        <w:ind w:left="49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2</w:t>
      </w:r>
      <w:r>
        <w:rPr>
          <w:rFonts w:ascii="宋体" w:hAnsi="宋体" w:eastAsia="宋体" w:cs="宋体"/>
          <w:color w:val="auto"/>
          <w:spacing w:val="-6"/>
          <w:sz w:val="24"/>
          <w:szCs w:val="24"/>
          <w:highlight w:val="none"/>
        </w:rPr>
        <w:t>）投标人须知。</w:t>
      </w:r>
    </w:p>
    <w:p w14:paraId="05242CC5">
      <w:pPr>
        <w:spacing w:line="220" w:lineRule="auto"/>
        <w:rPr>
          <w:rFonts w:ascii="宋体" w:hAnsi="宋体" w:eastAsia="宋体" w:cs="宋体"/>
          <w:color w:val="auto"/>
          <w:sz w:val="24"/>
          <w:szCs w:val="24"/>
          <w:highlight w:val="none"/>
        </w:rPr>
      </w:pPr>
    </w:p>
    <w:p w14:paraId="2B655F63">
      <w:pPr>
        <w:spacing w:before="47" w:line="220" w:lineRule="auto"/>
        <w:ind w:left="49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）评标定标办法。</w:t>
      </w:r>
    </w:p>
    <w:p w14:paraId="15441962">
      <w:pPr>
        <w:spacing w:before="182"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4</w:t>
      </w:r>
      <w:r>
        <w:rPr>
          <w:rFonts w:ascii="宋体" w:hAnsi="宋体" w:eastAsia="宋体" w:cs="宋体"/>
          <w:color w:val="auto"/>
          <w:spacing w:val="-5"/>
          <w:sz w:val="24"/>
          <w:szCs w:val="24"/>
          <w:highlight w:val="none"/>
        </w:rPr>
        <w:t>）合同条款及格式。</w:t>
      </w:r>
    </w:p>
    <w:p w14:paraId="42E020EE">
      <w:pPr>
        <w:spacing w:before="180" w:line="220" w:lineRule="auto"/>
        <w:ind w:left="49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5</w:t>
      </w:r>
      <w:r>
        <w:rPr>
          <w:rFonts w:ascii="宋体" w:hAnsi="宋体" w:eastAsia="宋体" w:cs="宋体"/>
          <w:color w:val="auto"/>
          <w:spacing w:val="-6"/>
          <w:sz w:val="24"/>
          <w:szCs w:val="24"/>
          <w:highlight w:val="none"/>
        </w:rPr>
        <w:t>）工程量清单。</w:t>
      </w:r>
    </w:p>
    <w:p w14:paraId="37BDD03D">
      <w:pPr>
        <w:spacing w:before="181" w:line="221" w:lineRule="auto"/>
        <w:ind w:left="49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6</w:t>
      </w:r>
      <w:r>
        <w:rPr>
          <w:rFonts w:ascii="宋体" w:hAnsi="宋体" w:eastAsia="宋体" w:cs="宋体"/>
          <w:color w:val="auto"/>
          <w:spacing w:val="-7"/>
          <w:sz w:val="24"/>
          <w:szCs w:val="24"/>
          <w:highlight w:val="none"/>
        </w:rPr>
        <w:t>）图纸。</w:t>
      </w:r>
    </w:p>
    <w:p w14:paraId="6B0BB495">
      <w:pPr>
        <w:spacing w:before="177"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7</w:t>
      </w:r>
      <w:r>
        <w:rPr>
          <w:rFonts w:ascii="宋体" w:hAnsi="宋体" w:eastAsia="宋体" w:cs="宋体"/>
          <w:color w:val="auto"/>
          <w:spacing w:val="-5"/>
          <w:sz w:val="24"/>
          <w:szCs w:val="24"/>
          <w:highlight w:val="none"/>
        </w:rPr>
        <w:t>）技术标准和要求。</w:t>
      </w:r>
    </w:p>
    <w:p w14:paraId="66E8EE76">
      <w:pPr>
        <w:spacing w:before="182"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8</w:t>
      </w:r>
      <w:r>
        <w:rPr>
          <w:rFonts w:ascii="宋体" w:hAnsi="宋体" w:eastAsia="宋体" w:cs="宋体"/>
          <w:color w:val="auto"/>
          <w:spacing w:val="-5"/>
          <w:sz w:val="24"/>
          <w:szCs w:val="24"/>
          <w:highlight w:val="none"/>
        </w:rPr>
        <w:t>）投标文件格式。</w:t>
      </w:r>
    </w:p>
    <w:p w14:paraId="4F734B9F">
      <w:pPr>
        <w:spacing w:before="180" w:line="219" w:lineRule="auto"/>
        <w:ind w:left="49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9</w:t>
      </w:r>
      <w:r>
        <w:rPr>
          <w:rFonts w:ascii="宋体" w:hAnsi="宋体" w:eastAsia="宋体" w:cs="宋体"/>
          <w:color w:val="auto"/>
          <w:spacing w:val="-3"/>
          <w:sz w:val="24"/>
          <w:szCs w:val="24"/>
          <w:highlight w:val="none"/>
        </w:rPr>
        <w:t>）投标人须知前附表规定的其他材料。</w:t>
      </w:r>
    </w:p>
    <w:p w14:paraId="0C0BE729">
      <w:pPr>
        <w:spacing w:before="183" w:line="345" w:lineRule="auto"/>
        <w:ind w:left="2" w:right="1" w:firstLine="48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根据本章第</w:t>
      </w:r>
      <w:r>
        <w:rPr>
          <w:rFonts w:ascii="Times New Roman" w:hAnsi="Times New Roman" w:eastAsia="Times New Roman" w:cs="Times New Roman"/>
          <w:color w:val="auto"/>
          <w:spacing w:val="-6"/>
          <w:sz w:val="24"/>
          <w:szCs w:val="24"/>
          <w:highlight w:val="none"/>
        </w:rPr>
        <w:t>1.10</w:t>
      </w:r>
      <w:r>
        <w:rPr>
          <w:rFonts w:ascii="宋体" w:hAnsi="宋体" w:eastAsia="宋体" w:cs="宋体"/>
          <w:color w:val="auto"/>
          <w:spacing w:val="-6"/>
          <w:sz w:val="24"/>
          <w:szCs w:val="24"/>
          <w:highlight w:val="none"/>
        </w:rPr>
        <w:t>款、第</w:t>
      </w:r>
      <w:r>
        <w:rPr>
          <w:rFonts w:ascii="Times New Roman" w:hAnsi="Times New Roman" w:eastAsia="Times New Roman" w:cs="Times New Roman"/>
          <w:color w:val="auto"/>
          <w:spacing w:val="-6"/>
          <w:sz w:val="24"/>
          <w:szCs w:val="24"/>
          <w:highlight w:val="none"/>
        </w:rPr>
        <w:t>2.2</w:t>
      </w:r>
      <w:r>
        <w:rPr>
          <w:rFonts w:ascii="宋体" w:hAnsi="宋体" w:eastAsia="宋体" w:cs="宋体"/>
          <w:color w:val="auto"/>
          <w:spacing w:val="-6"/>
          <w:sz w:val="24"/>
          <w:szCs w:val="24"/>
          <w:highlight w:val="none"/>
        </w:rPr>
        <w:t>款和第</w:t>
      </w:r>
      <w:r>
        <w:rPr>
          <w:rFonts w:ascii="Times New Roman" w:hAnsi="Times New Roman" w:eastAsia="Times New Roman" w:cs="Times New Roman"/>
          <w:color w:val="auto"/>
          <w:spacing w:val="-6"/>
          <w:sz w:val="24"/>
          <w:szCs w:val="24"/>
          <w:highlight w:val="none"/>
        </w:rPr>
        <w:t>2.3</w:t>
      </w:r>
      <w:r>
        <w:rPr>
          <w:rFonts w:ascii="宋体" w:hAnsi="宋体" w:eastAsia="宋体" w:cs="宋体"/>
          <w:color w:val="auto"/>
          <w:spacing w:val="-6"/>
          <w:sz w:val="24"/>
          <w:szCs w:val="24"/>
          <w:highlight w:val="none"/>
        </w:rPr>
        <w:t>款对招标文件所作的澄清、修改，</w:t>
      </w:r>
      <w:r>
        <w:rPr>
          <w:rFonts w:ascii="宋体" w:hAnsi="宋体" w:eastAsia="宋体" w:cs="宋体"/>
          <w:color w:val="auto"/>
          <w:spacing w:val="-36"/>
          <w:sz w:val="24"/>
          <w:szCs w:val="24"/>
          <w:highlight w:val="none"/>
        </w:rPr>
        <w:t xml:space="preserve"> </w:t>
      </w:r>
      <w:r>
        <w:rPr>
          <w:rFonts w:ascii="宋体" w:hAnsi="宋体" w:eastAsia="宋体" w:cs="宋体"/>
          <w:color w:val="auto"/>
          <w:spacing w:val="-6"/>
          <w:sz w:val="24"/>
          <w:szCs w:val="24"/>
          <w:highlight w:val="none"/>
        </w:rPr>
        <w:t>构成招标文</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件的组成部分。</w:t>
      </w:r>
    </w:p>
    <w:p w14:paraId="15CEB4F3">
      <w:pPr>
        <w:spacing w:before="36" w:line="220" w:lineRule="auto"/>
        <w:outlineLvl w:val="2"/>
        <w:rPr>
          <w:rFonts w:ascii="宋体" w:hAnsi="宋体" w:eastAsia="宋体" w:cs="宋体"/>
          <w:color w:val="auto"/>
          <w:sz w:val="24"/>
          <w:szCs w:val="24"/>
          <w:highlight w:val="none"/>
        </w:rPr>
      </w:pPr>
      <w:bookmarkStart w:id="118" w:name="bookmark81"/>
      <w:bookmarkEnd w:id="118"/>
      <w:bookmarkStart w:id="119" w:name="_Toc16225"/>
      <w:bookmarkStart w:id="120" w:name="_Toc9901"/>
      <w:r>
        <w:rPr>
          <w:rFonts w:ascii="Times New Roman" w:hAnsi="Times New Roman" w:eastAsia="Times New Roman" w:cs="Times New Roman"/>
          <w:b/>
          <w:bCs/>
          <w:color w:val="auto"/>
          <w:spacing w:val="-2"/>
          <w:sz w:val="24"/>
          <w:szCs w:val="24"/>
          <w:highlight w:val="none"/>
        </w:rPr>
        <w:t xml:space="preserve">2.2  </w:t>
      </w:r>
      <w:r>
        <w:rPr>
          <w:rFonts w:ascii="宋体" w:hAnsi="宋体" w:eastAsia="宋体" w:cs="宋体"/>
          <w:b/>
          <w:bCs/>
          <w:color w:val="auto"/>
          <w:spacing w:val="-2"/>
          <w:sz w:val="24"/>
          <w:szCs w:val="24"/>
          <w:highlight w:val="none"/>
        </w:rPr>
        <w:t>招标文件的澄清</w:t>
      </w:r>
      <w:bookmarkEnd w:id="119"/>
      <w:bookmarkEnd w:id="120"/>
    </w:p>
    <w:p w14:paraId="35F1AF4E">
      <w:pPr>
        <w:spacing w:before="179" w:line="313" w:lineRule="auto"/>
        <w:ind w:left="3" w:right="1" w:firstLine="478"/>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2.2.1  </w:t>
      </w:r>
      <w:r>
        <w:rPr>
          <w:rFonts w:ascii="宋体" w:hAnsi="宋体" w:eastAsia="宋体" w:cs="宋体"/>
          <w:color w:val="auto"/>
          <w:sz w:val="24"/>
          <w:szCs w:val="24"/>
          <w:highlight w:val="none"/>
        </w:rPr>
        <w:t>投标人应仔细阅读和检查招标文件的全部内容。如发现缺页或附件不全，</w:t>
      </w:r>
      <w:r>
        <w:rPr>
          <w:rFonts w:ascii="宋体" w:hAnsi="宋体" w:eastAsia="宋体" w:cs="宋体"/>
          <w:color w:val="auto"/>
          <w:spacing w:val="17"/>
          <w:sz w:val="24"/>
          <w:szCs w:val="24"/>
          <w:highlight w:val="none"/>
        </w:rPr>
        <w:t xml:space="preserve"> </w:t>
      </w:r>
      <w:r>
        <w:rPr>
          <w:rFonts w:ascii="宋体" w:hAnsi="宋体" w:eastAsia="宋体" w:cs="宋体"/>
          <w:color w:val="auto"/>
          <w:spacing w:val="-6"/>
          <w:sz w:val="24"/>
          <w:szCs w:val="24"/>
          <w:highlight w:val="none"/>
        </w:rPr>
        <w:t>应及时向招标人提出，以便补齐。如有疑问， 应在投标人须知前附表规定的时间前以</w:t>
      </w:r>
      <w:r>
        <w:rPr>
          <w:rFonts w:ascii="宋体" w:hAnsi="宋体" w:eastAsia="宋体" w:cs="宋体"/>
          <w:color w:val="auto"/>
          <w:spacing w:val="6"/>
          <w:sz w:val="24"/>
          <w:szCs w:val="24"/>
          <w:highlight w:val="none"/>
        </w:rPr>
        <w:t xml:space="preserve"> </w:t>
      </w:r>
      <w:r>
        <w:rPr>
          <w:rFonts w:ascii="宋体" w:hAnsi="宋体" w:eastAsia="宋体" w:cs="宋体"/>
          <w:color w:val="auto"/>
          <w:spacing w:val="-2"/>
          <w:sz w:val="24"/>
          <w:szCs w:val="24"/>
          <w:highlight w:val="none"/>
        </w:rPr>
        <w:t>规定的形式提出澄清申请，要求招标人对招标文件予以澄清。</w:t>
      </w:r>
    </w:p>
    <w:p w14:paraId="3332D47D">
      <w:pPr>
        <w:spacing w:before="183" w:line="331" w:lineRule="auto"/>
        <w:ind w:left="2" w:right="1" w:firstLine="47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2.2.2  </w:t>
      </w:r>
      <w:r>
        <w:rPr>
          <w:rFonts w:ascii="宋体" w:hAnsi="宋体" w:eastAsia="宋体" w:cs="宋体"/>
          <w:color w:val="auto"/>
          <w:spacing w:val="1"/>
          <w:sz w:val="24"/>
          <w:szCs w:val="24"/>
          <w:highlight w:val="none"/>
        </w:rPr>
        <w:t>招标人可以对已发出的招标</w:t>
      </w:r>
      <w:r>
        <w:rPr>
          <w:rFonts w:ascii="宋体" w:hAnsi="宋体" w:eastAsia="宋体" w:cs="宋体"/>
          <w:color w:val="auto"/>
          <w:sz w:val="24"/>
          <w:szCs w:val="24"/>
          <w:highlight w:val="none"/>
        </w:rPr>
        <w:t>文件进行必要的澄清，但不指明澄清问题的来 源。修改招标文件的时间距投标截止时间不足</w:t>
      </w:r>
      <w:r>
        <w:rPr>
          <w:rFonts w:ascii="Times New Roman" w:hAnsi="Times New Roman" w:eastAsia="Times New Roman" w:cs="Times New Roman"/>
          <w:b/>
          <w:bCs/>
          <w:color w:val="auto"/>
          <w:sz w:val="24"/>
          <w:szCs w:val="24"/>
          <w:highlight w:val="none"/>
        </w:rPr>
        <w:t>7</w:t>
      </w:r>
      <w:r>
        <w:rPr>
          <w:rFonts w:ascii="宋体" w:hAnsi="宋体" w:eastAsia="宋体" w:cs="宋体"/>
          <w:color w:val="auto"/>
          <w:sz w:val="24"/>
          <w:szCs w:val="24"/>
          <w:highlight w:val="none"/>
        </w:rPr>
        <w:t>日的，相应延长投标截止时间。澄清</w:t>
      </w:r>
      <w:r>
        <w:rPr>
          <w:rFonts w:ascii="宋体" w:hAnsi="宋体" w:eastAsia="宋体" w:cs="宋体"/>
          <w:color w:val="auto"/>
          <w:spacing w:val="14"/>
          <w:sz w:val="24"/>
          <w:szCs w:val="24"/>
          <w:highlight w:val="none"/>
        </w:rPr>
        <w:t xml:space="preserve"> </w:t>
      </w:r>
      <w:r>
        <w:rPr>
          <w:rFonts w:ascii="宋体" w:hAnsi="宋体" w:eastAsia="宋体" w:cs="宋体"/>
          <w:color w:val="auto"/>
          <w:spacing w:val="-3"/>
          <w:sz w:val="24"/>
          <w:szCs w:val="24"/>
          <w:highlight w:val="none"/>
        </w:rPr>
        <w:t>的内容可能影响投标文件编制的，招标人应当在投标截止时间至少</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日前，以投标人</w:t>
      </w:r>
      <w:r>
        <w:rPr>
          <w:rFonts w:ascii="宋体" w:hAnsi="宋体" w:eastAsia="宋体" w:cs="宋体"/>
          <w:color w:val="auto"/>
          <w:spacing w:val="13"/>
          <w:sz w:val="24"/>
          <w:szCs w:val="24"/>
          <w:highlight w:val="none"/>
        </w:rPr>
        <w:t xml:space="preserve"> </w:t>
      </w:r>
      <w:r>
        <w:rPr>
          <w:rFonts w:ascii="宋体" w:hAnsi="宋体" w:eastAsia="宋体" w:cs="宋体"/>
          <w:color w:val="auto"/>
          <w:spacing w:val="-3"/>
          <w:sz w:val="24"/>
          <w:szCs w:val="24"/>
          <w:highlight w:val="none"/>
        </w:rPr>
        <w:t>须知前附表规定的形式通知所有获取招标文件的潜在投标人，不足</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日的，招标人应</w:t>
      </w:r>
      <w:r>
        <w:rPr>
          <w:rFonts w:ascii="宋体" w:hAnsi="宋体" w:eastAsia="宋体" w:cs="宋体"/>
          <w:color w:val="auto"/>
          <w:spacing w:val="13"/>
          <w:sz w:val="24"/>
          <w:szCs w:val="24"/>
          <w:highlight w:val="none"/>
        </w:rPr>
        <w:t xml:space="preserve"> </w:t>
      </w:r>
      <w:r>
        <w:rPr>
          <w:rFonts w:ascii="宋体" w:hAnsi="宋体" w:eastAsia="宋体" w:cs="宋体"/>
          <w:color w:val="auto"/>
          <w:spacing w:val="-3"/>
          <w:sz w:val="24"/>
          <w:szCs w:val="24"/>
          <w:highlight w:val="none"/>
        </w:rPr>
        <w:t>当顺延提交投标文件的截止时间。</w:t>
      </w:r>
    </w:p>
    <w:p w14:paraId="03CD0106">
      <w:pPr>
        <w:spacing w:before="182"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2.2.3  </w:t>
      </w:r>
      <w:r>
        <w:rPr>
          <w:rFonts w:ascii="宋体" w:hAnsi="宋体" w:eastAsia="宋体" w:cs="宋体"/>
          <w:color w:val="auto"/>
          <w:spacing w:val="-2"/>
          <w:sz w:val="24"/>
          <w:szCs w:val="24"/>
          <w:highlight w:val="none"/>
        </w:rPr>
        <w:t>投标人在收到澄清通知后，无需确认。</w:t>
      </w:r>
    </w:p>
    <w:p w14:paraId="0121A0D8">
      <w:pPr>
        <w:spacing w:before="180" w:line="220" w:lineRule="auto"/>
        <w:outlineLvl w:val="2"/>
        <w:rPr>
          <w:rFonts w:ascii="宋体" w:hAnsi="宋体" w:eastAsia="宋体" w:cs="宋体"/>
          <w:color w:val="auto"/>
          <w:sz w:val="24"/>
          <w:szCs w:val="24"/>
          <w:highlight w:val="none"/>
        </w:rPr>
      </w:pPr>
      <w:bookmarkStart w:id="121" w:name="bookmark83"/>
      <w:bookmarkEnd w:id="121"/>
      <w:bookmarkStart w:id="122" w:name="_Toc2531"/>
      <w:bookmarkStart w:id="123" w:name="_Toc10650"/>
      <w:r>
        <w:rPr>
          <w:rFonts w:ascii="Times New Roman" w:hAnsi="Times New Roman" w:eastAsia="Times New Roman" w:cs="Times New Roman"/>
          <w:b/>
          <w:bCs/>
          <w:color w:val="auto"/>
          <w:spacing w:val="-2"/>
          <w:sz w:val="24"/>
          <w:szCs w:val="24"/>
          <w:highlight w:val="none"/>
        </w:rPr>
        <w:t xml:space="preserve">2.3  </w:t>
      </w:r>
      <w:r>
        <w:rPr>
          <w:rFonts w:ascii="宋体" w:hAnsi="宋体" w:eastAsia="宋体" w:cs="宋体"/>
          <w:b/>
          <w:bCs/>
          <w:color w:val="auto"/>
          <w:spacing w:val="-2"/>
          <w:sz w:val="24"/>
          <w:szCs w:val="24"/>
          <w:highlight w:val="none"/>
        </w:rPr>
        <w:t>招标文件的修改</w:t>
      </w:r>
      <w:bookmarkEnd w:id="122"/>
      <w:bookmarkEnd w:id="123"/>
    </w:p>
    <w:p w14:paraId="30A3E509">
      <w:pPr>
        <w:spacing w:before="180" w:line="332" w:lineRule="auto"/>
        <w:ind w:left="3" w:right="1" w:firstLine="47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2.3.1  </w:t>
      </w:r>
      <w:r>
        <w:rPr>
          <w:rFonts w:ascii="宋体" w:hAnsi="宋体" w:eastAsia="宋体" w:cs="宋体"/>
          <w:color w:val="auto"/>
          <w:spacing w:val="1"/>
          <w:sz w:val="24"/>
          <w:szCs w:val="24"/>
          <w:highlight w:val="none"/>
        </w:rPr>
        <w:t>招标人可以对已发出的招标</w:t>
      </w:r>
      <w:r>
        <w:rPr>
          <w:rFonts w:ascii="宋体" w:hAnsi="宋体" w:eastAsia="宋体" w:cs="宋体"/>
          <w:color w:val="auto"/>
          <w:sz w:val="24"/>
          <w:szCs w:val="24"/>
          <w:highlight w:val="none"/>
        </w:rPr>
        <w:t>文件进行必要的修改。修改招标文件的时间距 投标截止时间不足</w:t>
      </w:r>
      <w:r>
        <w:rPr>
          <w:rFonts w:ascii="Times New Roman" w:hAnsi="Times New Roman" w:eastAsia="Times New Roman" w:cs="Times New Roman"/>
          <w:b/>
          <w:bCs/>
          <w:color w:val="auto"/>
          <w:sz w:val="24"/>
          <w:szCs w:val="24"/>
          <w:highlight w:val="none"/>
        </w:rPr>
        <w:t>7</w:t>
      </w:r>
      <w:r>
        <w:rPr>
          <w:rFonts w:ascii="宋体" w:hAnsi="宋体" w:eastAsia="宋体" w:cs="宋体"/>
          <w:color w:val="auto"/>
          <w:sz w:val="24"/>
          <w:szCs w:val="24"/>
          <w:highlight w:val="none"/>
        </w:rPr>
        <w:t>日的，相应延长投标截止时间。修改的内容可能影响投标文件编</w:t>
      </w:r>
      <w:r>
        <w:rPr>
          <w:rFonts w:ascii="宋体" w:hAnsi="宋体" w:eastAsia="宋体" w:cs="宋体"/>
          <w:color w:val="auto"/>
          <w:spacing w:val="13"/>
          <w:sz w:val="24"/>
          <w:szCs w:val="24"/>
          <w:highlight w:val="none"/>
        </w:rPr>
        <w:t xml:space="preserve"> </w:t>
      </w:r>
      <w:r>
        <w:rPr>
          <w:rFonts w:ascii="宋体" w:hAnsi="宋体" w:eastAsia="宋体" w:cs="宋体"/>
          <w:color w:val="auto"/>
          <w:spacing w:val="-3"/>
          <w:sz w:val="24"/>
          <w:szCs w:val="24"/>
          <w:highlight w:val="none"/>
        </w:rPr>
        <w:t>制的，招标人应当在投标截止时间至少</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日前，以投标人须知前附表规定的形式通知</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所有获取招标文件的潜在投标人，不足</w:t>
      </w:r>
      <w:r>
        <w:rPr>
          <w:rFonts w:ascii="Times New Roman" w:hAnsi="Times New Roman" w:eastAsia="Times New Roman" w:cs="Times New Roman"/>
          <w:color w:val="auto"/>
          <w:spacing w:val="-3"/>
          <w:sz w:val="24"/>
          <w:szCs w:val="24"/>
          <w:highlight w:val="none"/>
        </w:rPr>
        <w:t>15</w:t>
      </w:r>
      <w:r>
        <w:rPr>
          <w:rFonts w:ascii="宋体" w:hAnsi="宋体" w:eastAsia="宋体" w:cs="宋体"/>
          <w:color w:val="auto"/>
          <w:spacing w:val="-3"/>
          <w:sz w:val="24"/>
          <w:szCs w:val="24"/>
          <w:highlight w:val="none"/>
        </w:rPr>
        <w:t>日的，招标人应当顺延提交投标文件的截止</w:t>
      </w:r>
      <w:r>
        <w:rPr>
          <w:rFonts w:ascii="宋体" w:hAnsi="宋体" w:eastAsia="宋体" w:cs="宋体"/>
          <w:color w:val="auto"/>
          <w:spacing w:val="12"/>
          <w:sz w:val="24"/>
          <w:szCs w:val="24"/>
          <w:highlight w:val="none"/>
        </w:rPr>
        <w:t xml:space="preserve"> </w:t>
      </w:r>
      <w:r>
        <w:rPr>
          <w:rFonts w:ascii="宋体" w:hAnsi="宋体" w:eastAsia="宋体" w:cs="宋体"/>
          <w:color w:val="auto"/>
          <w:spacing w:val="-10"/>
          <w:sz w:val="24"/>
          <w:szCs w:val="24"/>
          <w:highlight w:val="none"/>
        </w:rPr>
        <w:t>时间。</w:t>
      </w:r>
    </w:p>
    <w:p w14:paraId="1CCD187A">
      <w:pPr>
        <w:spacing w:before="177"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2.3.2  </w:t>
      </w:r>
      <w:r>
        <w:rPr>
          <w:rFonts w:ascii="宋体" w:hAnsi="宋体" w:eastAsia="宋体" w:cs="宋体"/>
          <w:color w:val="auto"/>
          <w:spacing w:val="-2"/>
          <w:sz w:val="24"/>
          <w:szCs w:val="24"/>
          <w:highlight w:val="none"/>
        </w:rPr>
        <w:t>投标人收到修改通知后，无需确认。</w:t>
      </w:r>
    </w:p>
    <w:p w14:paraId="34907036">
      <w:pPr>
        <w:spacing w:before="182" w:line="324" w:lineRule="auto"/>
        <w:ind w:left="4" w:right="1" w:firstLine="477"/>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2.3.3</w:t>
      </w:r>
      <w:r>
        <w:rPr>
          <w:rFonts w:ascii="宋体" w:hAnsi="宋体" w:eastAsia="宋体" w:cs="宋体"/>
          <w:color w:val="auto"/>
          <w:spacing w:val="-3"/>
          <w:sz w:val="24"/>
          <w:szCs w:val="24"/>
          <w:highlight w:val="none"/>
        </w:rPr>
        <w:t>潜在投标人或者其他利害关系人对招标文件有异议的，应当在投标截止时间</w:t>
      </w:r>
      <w:r>
        <w:rPr>
          <w:rFonts w:ascii="宋体" w:hAnsi="宋体" w:eastAsia="宋体" w:cs="宋体"/>
          <w:color w:val="auto"/>
          <w:spacing w:val="13"/>
          <w:sz w:val="24"/>
          <w:szCs w:val="24"/>
          <w:highlight w:val="none"/>
        </w:rPr>
        <w:t xml:space="preserve"> </w:t>
      </w:r>
      <w:r>
        <w:rPr>
          <w:rFonts w:ascii="Times New Roman" w:hAnsi="Times New Roman" w:eastAsia="Times New Roman" w:cs="Times New Roman"/>
          <w:color w:val="auto"/>
          <w:sz w:val="24"/>
          <w:szCs w:val="24"/>
          <w:highlight w:val="none"/>
        </w:rPr>
        <w:t>10</w:t>
      </w:r>
      <w:r>
        <w:rPr>
          <w:rFonts w:ascii="宋体" w:hAnsi="宋体" w:eastAsia="宋体" w:cs="宋体"/>
          <w:color w:val="auto"/>
          <w:sz w:val="24"/>
          <w:szCs w:val="24"/>
          <w:highlight w:val="none"/>
        </w:rPr>
        <w:t>日前提出。招标人应当自收到异议之日起</w:t>
      </w:r>
      <w:r>
        <w:rPr>
          <w:rFonts w:ascii="Times New Roman" w:hAnsi="Times New Roman" w:eastAsia="Times New Roman" w:cs="Times New Roman"/>
          <w:color w:val="auto"/>
          <w:sz w:val="24"/>
          <w:szCs w:val="24"/>
          <w:highlight w:val="none"/>
        </w:rPr>
        <w:t>3</w:t>
      </w:r>
      <w:r>
        <w:rPr>
          <w:rFonts w:ascii="宋体" w:hAnsi="宋体" w:eastAsia="宋体" w:cs="宋体"/>
          <w:color w:val="auto"/>
          <w:sz w:val="24"/>
          <w:szCs w:val="24"/>
          <w:highlight w:val="none"/>
        </w:rPr>
        <w:t>日内作出答复；作出答复前，应当暂停</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招标投标活动。提出异议与作出答复均应通过下载招标文件的电子招标投标交易平台</w:t>
      </w:r>
      <w:r>
        <w:rPr>
          <w:rFonts w:ascii="宋体" w:hAnsi="宋体" w:eastAsia="宋体" w:cs="宋体"/>
          <w:color w:val="auto"/>
          <w:spacing w:val="8"/>
          <w:sz w:val="24"/>
          <w:szCs w:val="24"/>
          <w:highlight w:val="none"/>
        </w:rPr>
        <w:t xml:space="preserve"> </w:t>
      </w:r>
      <w:r>
        <w:rPr>
          <w:rFonts w:ascii="宋体" w:hAnsi="宋体" w:eastAsia="宋体" w:cs="宋体"/>
          <w:color w:val="auto"/>
          <w:spacing w:val="-11"/>
          <w:sz w:val="24"/>
          <w:szCs w:val="24"/>
          <w:highlight w:val="none"/>
        </w:rPr>
        <w:t>完成。</w:t>
      </w:r>
    </w:p>
    <w:p w14:paraId="368C30F7">
      <w:pPr>
        <w:spacing w:before="56" w:line="220" w:lineRule="auto"/>
        <w:ind w:left="11"/>
        <w:outlineLvl w:val="1"/>
        <w:rPr>
          <w:rFonts w:ascii="宋体" w:hAnsi="宋体" w:eastAsia="宋体" w:cs="宋体"/>
          <w:color w:val="auto"/>
          <w:sz w:val="28"/>
          <w:szCs w:val="28"/>
          <w:highlight w:val="none"/>
        </w:rPr>
      </w:pPr>
      <w:bookmarkStart w:id="124" w:name="bookmark85"/>
      <w:bookmarkEnd w:id="124"/>
      <w:bookmarkStart w:id="125" w:name="_Toc29907"/>
      <w:bookmarkStart w:id="126" w:name="_Toc2721"/>
      <w:r>
        <w:rPr>
          <w:rFonts w:ascii="Times New Roman" w:hAnsi="Times New Roman" w:eastAsia="Times New Roman" w:cs="Times New Roman"/>
          <w:b/>
          <w:bCs/>
          <w:color w:val="auto"/>
          <w:spacing w:val="-5"/>
          <w:sz w:val="28"/>
          <w:szCs w:val="28"/>
          <w:highlight w:val="none"/>
        </w:rPr>
        <w:t>3</w:t>
      </w:r>
      <w:r>
        <w:rPr>
          <w:rFonts w:ascii="Times New Roman" w:hAnsi="Times New Roman" w:eastAsia="Times New Roman" w:cs="Times New Roman"/>
          <w:b/>
          <w:bCs/>
          <w:color w:val="auto"/>
          <w:spacing w:val="7"/>
          <w:sz w:val="28"/>
          <w:szCs w:val="28"/>
          <w:highlight w:val="none"/>
        </w:rPr>
        <w:t xml:space="preserve">  </w:t>
      </w:r>
      <w:r>
        <w:rPr>
          <w:rFonts w:ascii="宋体" w:hAnsi="宋体" w:eastAsia="宋体" w:cs="宋体"/>
          <w:b/>
          <w:bCs/>
          <w:color w:val="auto"/>
          <w:spacing w:val="-5"/>
          <w:sz w:val="28"/>
          <w:szCs w:val="28"/>
          <w:highlight w:val="none"/>
        </w:rPr>
        <w:t>投标文件</w:t>
      </w:r>
      <w:bookmarkEnd w:id="125"/>
      <w:bookmarkEnd w:id="126"/>
    </w:p>
    <w:p w14:paraId="26DE1D5B">
      <w:pPr>
        <w:pStyle w:val="3"/>
        <w:spacing w:line="245" w:lineRule="auto"/>
        <w:rPr>
          <w:color w:val="auto"/>
          <w:highlight w:val="none"/>
        </w:rPr>
      </w:pPr>
    </w:p>
    <w:p w14:paraId="76E0BF4A">
      <w:pPr>
        <w:spacing w:before="78" w:line="220" w:lineRule="auto"/>
        <w:ind w:left="11"/>
        <w:outlineLvl w:val="2"/>
        <w:rPr>
          <w:rFonts w:ascii="宋体" w:hAnsi="宋体" w:eastAsia="宋体" w:cs="宋体"/>
          <w:color w:val="auto"/>
          <w:sz w:val="24"/>
          <w:szCs w:val="24"/>
          <w:highlight w:val="none"/>
        </w:rPr>
      </w:pPr>
      <w:bookmarkStart w:id="127" w:name="bookmark87"/>
      <w:bookmarkEnd w:id="127"/>
      <w:bookmarkStart w:id="128" w:name="_Toc26483"/>
      <w:bookmarkStart w:id="129" w:name="_Toc30827"/>
      <w:r>
        <w:rPr>
          <w:rFonts w:ascii="Times New Roman" w:hAnsi="Times New Roman" w:eastAsia="Times New Roman" w:cs="Times New Roman"/>
          <w:b/>
          <w:bCs/>
          <w:color w:val="auto"/>
          <w:spacing w:val="-2"/>
          <w:sz w:val="24"/>
          <w:szCs w:val="24"/>
          <w:highlight w:val="none"/>
        </w:rPr>
        <w:t xml:space="preserve">3.1  </w:t>
      </w:r>
      <w:r>
        <w:rPr>
          <w:rFonts w:ascii="宋体" w:hAnsi="宋体" w:eastAsia="宋体" w:cs="宋体"/>
          <w:b/>
          <w:bCs/>
          <w:color w:val="auto"/>
          <w:spacing w:val="-2"/>
          <w:sz w:val="24"/>
          <w:szCs w:val="24"/>
          <w:highlight w:val="none"/>
        </w:rPr>
        <w:t>投标文件的组成</w:t>
      </w:r>
      <w:bookmarkEnd w:id="128"/>
      <w:bookmarkEnd w:id="129"/>
    </w:p>
    <w:p w14:paraId="44518522">
      <w:pPr>
        <w:spacing w:before="182" w:line="324" w:lineRule="auto"/>
        <w:ind w:left="4" w:right="1" w:firstLine="477"/>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3.1.1  </w:t>
      </w:r>
      <w:r>
        <w:rPr>
          <w:rFonts w:ascii="宋体" w:hAnsi="宋体" w:eastAsia="宋体" w:cs="宋体"/>
          <w:color w:val="auto"/>
          <w:spacing w:val="-2"/>
          <w:sz w:val="24"/>
          <w:szCs w:val="24"/>
          <w:highlight w:val="none"/>
        </w:rPr>
        <w:t>投标文件应包括下列内容，投标文件包括下列内容：</w:t>
      </w:r>
      <w:r>
        <w:rPr>
          <w:rFonts w:ascii="宋体" w:hAnsi="宋体" w:eastAsia="宋体" w:cs="宋体"/>
          <w:color w:val="auto"/>
          <w:sz w:val="24"/>
          <w:szCs w:val="24"/>
          <w:highlight w:val="none"/>
        </w:rPr>
        <w:t xml:space="preserve"> </w:t>
      </w:r>
    </w:p>
    <w:p w14:paraId="2AC92585">
      <w:pPr>
        <w:spacing w:before="165" w:line="233" w:lineRule="auto"/>
        <w:ind w:left="507"/>
        <w:rPr>
          <w:rFonts w:ascii="Times New Roman" w:hAnsi="Times New Roman" w:eastAsia="Times New Roman" w:cs="Times New Roman"/>
          <w:sz w:val="24"/>
          <w:szCs w:val="24"/>
        </w:rPr>
      </w:pPr>
      <w:r>
        <w:rPr>
          <w:rFonts w:ascii="宋体" w:hAnsi="宋体" w:eastAsia="宋体" w:cs="宋体"/>
          <w:spacing w:val="-3"/>
          <w:sz w:val="24"/>
          <w:szCs w:val="24"/>
        </w:rPr>
        <w:t>资格审查资料</w:t>
      </w:r>
      <w:r>
        <w:rPr>
          <w:rFonts w:ascii="Times New Roman" w:hAnsi="Times New Roman" w:eastAsia="Times New Roman" w:cs="Times New Roman"/>
          <w:spacing w:val="-3"/>
          <w:sz w:val="24"/>
          <w:szCs w:val="24"/>
        </w:rPr>
        <w:t>:</w:t>
      </w:r>
    </w:p>
    <w:p w14:paraId="1D653C9B">
      <w:pPr>
        <w:spacing w:before="164" w:line="219" w:lineRule="auto"/>
        <w:ind w:left="500"/>
        <w:rPr>
          <w:rFonts w:ascii="宋体" w:hAnsi="宋体" w:eastAsia="宋体" w:cs="宋体"/>
          <w:sz w:val="24"/>
          <w:szCs w:val="24"/>
        </w:rPr>
      </w:pPr>
      <w:r>
        <w:rPr>
          <w:rFonts w:ascii="宋体" w:hAnsi="宋体" w:eastAsia="宋体" w:cs="宋体"/>
          <w:spacing w:val="-2"/>
          <w:sz w:val="24"/>
          <w:szCs w:val="24"/>
        </w:rPr>
        <w:t>一、法定代表人身份证明、授权委托书（若有）</w:t>
      </w:r>
    </w:p>
    <w:p w14:paraId="6AE21BAF">
      <w:pPr>
        <w:spacing w:before="181" w:line="219" w:lineRule="auto"/>
        <w:ind w:left="500"/>
        <w:rPr>
          <w:rFonts w:ascii="宋体" w:hAnsi="宋体" w:eastAsia="宋体" w:cs="宋体"/>
          <w:strike/>
          <w:dstrike w:val="0"/>
          <w:sz w:val="24"/>
          <w:szCs w:val="24"/>
        </w:rPr>
      </w:pPr>
      <w:r>
        <w:rPr>
          <w:rFonts w:ascii="宋体" w:hAnsi="宋体" w:eastAsia="宋体" w:cs="宋体"/>
          <w:strike/>
          <w:dstrike w:val="0"/>
          <w:spacing w:val="-2"/>
          <w:sz w:val="24"/>
          <w:szCs w:val="24"/>
        </w:rPr>
        <w:t>二、联合体协议书</w:t>
      </w:r>
    </w:p>
    <w:p w14:paraId="5F482F75">
      <w:pPr>
        <w:spacing w:before="184" w:line="220" w:lineRule="auto"/>
        <w:ind w:left="496"/>
        <w:rPr>
          <w:rFonts w:ascii="宋体" w:hAnsi="宋体" w:eastAsia="宋体" w:cs="宋体"/>
          <w:sz w:val="24"/>
          <w:szCs w:val="24"/>
        </w:rPr>
      </w:pPr>
      <w:r>
        <w:rPr>
          <w:rFonts w:ascii="宋体" w:hAnsi="宋体" w:eastAsia="宋体" w:cs="宋体"/>
          <w:spacing w:val="-1"/>
          <w:sz w:val="24"/>
          <w:szCs w:val="24"/>
        </w:rPr>
        <w:t>三、投标保证金</w:t>
      </w:r>
    </w:p>
    <w:p w14:paraId="406EAC19">
      <w:pPr>
        <w:spacing w:before="179" w:line="220" w:lineRule="auto"/>
        <w:ind w:left="519"/>
        <w:rPr>
          <w:rFonts w:ascii="宋体" w:hAnsi="宋体" w:eastAsia="宋体" w:cs="宋体"/>
          <w:sz w:val="24"/>
          <w:szCs w:val="24"/>
        </w:rPr>
      </w:pPr>
      <w:r>
        <w:rPr>
          <w:rFonts w:ascii="宋体" w:hAnsi="宋体" w:eastAsia="宋体" w:cs="宋体"/>
          <w:spacing w:val="-4"/>
          <w:sz w:val="24"/>
          <w:szCs w:val="24"/>
        </w:rPr>
        <w:t>四、资格审查资料</w:t>
      </w:r>
    </w:p>
    <w:p w14:paraId="6A7C0D54">
      <w:pPr>
        <w:spacing w:before="182" w:line="219" w:lineRule="auto"/>
        <w:ind w:left="500"/>
        <w:rPr>
          <w:rFonts w:ascii="宋体" w:hAnsi="宋体" w:eastAsia="宋体" w:cs="宋体"/>
          <w:color w:val="auto"/>
          <w:spacing w:val="-13"/>
          <w:sz w:val="24"/>
          <w:szCs w:val="24"/>
          <w:highlight w:val="none"/>
        </w:rPr>
      </w:pPr>
      <w:r>
        <w:rPr>
          <w:rFonts w:ascii="宋体" w:hAnsi="宋体" w:eastAsia="宋体" w:cs="宋体"/>
          <w:spacing w:val="-6"/>
          <w:sz w:val="24"/>
          <w:szCs w:val="24"/>
        </w:rPr>
        <w:t>五、其他材料。</w:t>
      </w:r>
    </w:p>
    <w:p w14:paraId="6B54985D">
      <w:pPr>
        <w:spacing w:before="182" w:line="324" w:lineRule="auto"/>
        <w:ind w:left="4" w:right="1" w:firstLine="477"/>
        <w:rPr>
          <w:rFonts w:ascii="宋体" w:hAnsi="宋体" w:eastAsia="宋体" w:cs="宋体"/>
          <w:color w:val="auto"/>
          <w:sz w:val="24"/>
          <w:szCs w:val="24"/>
          <w:highlight w:val="none"/>
        </w:rPr>
      </w:pPr>
      <w:r>
        <w:rPr>
          <w:rFonts w:ascii="宋体" w:hAnsi="宋体" w:eastAsia="宋体" w:cs="宋体"/>
          <w:color w:val="auto"/>
          <w:spacing w:val="-13"/>
          <w:sz w:val="24"/>
          <w:szCs w:val="24"/>
          <w:highlight w:val="none"/>
        </w:rPr>
        <w:t>技术标：</w:t>
      </w:r>
    </w:p>
    <w:p w14:paraId="2CE6F34C">
      <w:pPr>
        <w:spacing w:before="184" w:line="220" w:lineRule="auto"/>
        <w:ind w:left="50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w:t>
      </w:r>
      <w:r>
        <w:rPr>
          <w:rFonts w:ascii="宋体" w:hAnsi="宋体" w:eastAsia="宋体" w:cs="宋体"/>
          <w:color w:val="auto"/>
          <w:spacing w:val="-5"/>
          <w:sz w:val="24"/>
          <w:szCs w:val="24"/>
          <w:highlight w:val="none"/>
        </w:rPr>
        <w:t>施工组织设计。</w:t>
      </w:r>
    </w:p>
    <w:p w14:paraId="74EC4E0D">
      <w:pPr>
        <w:spacing w:before="180" w:line="219" w:lineRule="auto"/>
        <w:ind w:left="50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hint="eastAsia" w:ascii="Times New Roman" w:hAnsi="Times New Roman" w:eastAsia="宋体" w:cs="Times New Roman"/>
          <w:strike/>
          <w:dstrike w:val="0"/>
          <w:color w:val="auto"/>
          <w:spacing w:val="-4"/>
          <w:sz w:val="24"/>
          <w:szCs w:val="24"/>
          <w:highlight w:val="none"/>
          <w:lang w:val="en-US" w:eastAsia="zh-CN"/>
        </w:rPr>
        <w:t>2</w:t>
      </w:r>
      <w:r>
        <w:rPr>
          <w:rFonts w:ascii="宋体" w:hAnsi="宋体" w:eastAsia="宋体" w:cs="宋体"/>
          <w:strike/>
          <w:dstrike w:val="0"/>
          <w:color w:val="auto"/>
          <w:spacing w:val="-4"/>
          <w:sz w:val="24"/>
          <w:szCs w:val="24"/>
          <w:highlight w:val="none"/>
        </w:rPr>
        <w:t>）拟分包项目情况表。</w:t>
      </w:r>
    </w:p>
    <w:p w14:paraId="421DF1FB">
      <w:pPr>
        <w:spacing w:before="182" w:line="219" w:lineRule="auto"/>
        <w:ind w:left="503"/>
        <w:rPr>
          <w:rFonts w:ascii="Times New Roman" w:hAnsi="Times New Roman" w:eastAsia="Times New Roman" w:cs="Times New Roman"/>
          <w:color w:val="auto"/>
          <w:sz w:val="24"/>
          <w:szCs w:val="24"/>
          <w:highlight w:val="none"/>
        </w:rPr>
      </w:pPr>
      <w:r>
        <w:rPr>
          <w:rFonts w:ascii="宋体" w:hAnsi="宋体" w:eastAsia="宋体" w:cs="宋体"/>
          <w:color w:val="auto"/>
          <w:spacing w:val="4"/>
          <w:sz w:val="24"/>
          <w:szCs w:val="24"/>
          <w:highlight w:val="none"/>
        </w:rPr>
        <w:t xml:space="preserve"> </w:t>
      </w:r>
      <w:r>
        <w:rPr>
          <w:rFonts w:ascii="宋体" w:hAnsi="宋体" w:eastAsia="宋体" w:cs="宋体"/>
          <w:color w:val="auto"/>
          <w:spacing w:val="-5"/>
          <w:sz w:val="24"/>
          <w:szCs w:val="24"/>
          <w:highlight w:val="none"/>
        </w:rPr>
        <w:t>资信标</w:t>
      </w:r>
      <w:r>
        <w:rPr>
          <w:rFonts w:ascii="Times New Roman" w:hAnsi="Times New Roman" w:eastAsia="Times New Roman" w:cs="Times New Roman"/>
          <w:color w:val="auto"/>
          <w:spacing w:val="-5"/>
          <w:sz w:val="24"/>
          <w:szCs w:val="24"/>
          <w:highlight w:val="none"/>
        </w:rPr>
        <w:t>:</w:t>
      </w:r>
    </w:p>
    <w:p w14:paraId="16E44ACE">
      <w:pPr>
        <w:spacing w:before="182" w:line="220" w:lineRule="auto"/>
        <w:ind w:left="503"/>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1</w:t>
      </w:r>
      <w:r>
        <w:rPr>
          <w:rFonts w:ascii="宋体" w:hAnsi="宋体" w:eastAsia="宋体" w:cs="宋体"/>
          <w:color w:val="auto"/>
          <w:spacing w:val="-5"/>
          <w:sz w:val="24"/>
          <w:szCs w:val="24"/>
          <w:highlight w:val="none"/>
        </w:rPr>
        <w:t>）企业信用等级。</w:t>
      </w:r>
    </w:p>
    <w:p w14:paraId="22B6F6D9">
      <w:pPr>
        <w:spacing w:before="181" w:line="220" w:lineRule="auto"/>
        <w:ind w:left="50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）评审打分业绩。</w:t>
      </w:r>
    </w:p>
    <w:p w14:paraId="382F6730">
      <w:pPr>
        <w:spacing w:before="182" w:line="220" w:lineRule="auto"/>
        <w:ind w:left="503"/>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3</w:t>
      </w:r>
      <w:r>
        <w:rPr>
          <w:rFonts w:ascii="宋体" w:hAnsi="宋体" w:eastAsia="宋体" w:cs="宋体"/>
          <w:color w:val="auto"/>
          <w:spacing w:val="-6"/>
          <w:sz w:val="24"/>
          <w:szCs w:val="24"/>
          <w:highlight w:val="none"/>
        </w:rPr>
        <w:t>）其他资料。</w:t>
      </w:r>
    </w:p>
    <w:p w14:paraId="13C496C0">
      <w:pPr>
        <w:spacing w:before="182" w:line="219" w:lineRule="auto"/>
        <w:ind w:left="503"/>
        <w:rPr>
          <w:rFonts w:ascii="宋体" w:hAnsi="宋体" w:eastAsia="宋体" w:cs="宋体"/>
          <w:color w:val="auto"/>
          <w:spacing w:val="-6"/>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4</w:t>
      </w:r>
      <w:r>
        <w:rPr>
          <w:rFonts w:ascii="宋体" w:hAnsi="宋体" w:eastAsia="宋体" w:cs="宋体"/>
          <w:color w:val="auto"/>
          <w:spacing w:val="-6"/>
          <w:sz w:val="24"/>
          <w:szCs w:val="24"/>
          <w:highlight w:val="none"/>
        </w:rPr>
        <w:t>）原件的复制件。</w:t>
      </w:r>
    </w:p>
    <w:p w14:paraId="5B686141">
      <w:pPr>
        <w:spacing w:before="182" w:line="219" w:lineRule="auto"/>
        <w:ind w:left="503"/>
        <w:rPr>
          <w:rFonts w:ascii="Times New Roman" w:hAnsi="Times New Roman" w:eastAsia="Times New Roman" w:cs="Times New Roman"/>
          <w:color w:val="auto"/>
          <w:sz w:val="24"/>
          <w:szCs w:val="24"/>
          <w:highlight w:val="none"/>
        </w:rPr>
      </w:pPr>
      <w:r>
        <w:rPr>
          <w:rFonts w:ascii="宋体" w:hAnsi="宋体" w:eastAsia="宋体" w:cs="宋体"/>
          <w:color w:val="auto"/>
          <w:spacing w:val="8"/>
          <w:sz w:val="24"/>
          <w:szCs w:val="24"/>
          <w:highlight w:val="none"/>
        </w:rPr>
        <w:t xml:space="preserve"> </w:t>
      </w:r>
      <w:r>
        <w:rPr>
          <w:rFonts w:ascii="宋体" w:hAnsi="宋体" w:eastAsia="宋体" w:cs="宋体"/>
          <w:color w:val="auto"/>
          <w:spacing w:val="-4"/>
          <w:sz w:val="24"/>
          <w:szCs w:val="24"/>
          <w:highlight w:val="none"/>
        </w:rPr>
        <w:t>商务标</w:t>
      </w:r>
      <w:r>
        <w:rPr>
          <w:rFonts w:ascii="Times New Roman" w:hAnsi="Times New Roman" w:eastAsia="Times New Roman" w:cs="Times New Roman"/>
          <w:color w:val="auto"/>
          <w:spacing w:val="-4"/>
          <w:sz w:val="24"/>
          <w:szCs w:val="24"/>
          <w:highlight w:val="none"/>
        </w:rPr>
        <w:t>:</w:t>
      </w:r>
    </w:p>
    <w:p w14:paraId="3A79D8D9">
      <w:pPr>
        <w:spacing w:before="180" w:line="219" w:lineRule="auto"/>
        <w:ind w:left="50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 投标函及投标函附录。</w:t>
      </w:r>
    </w:p>
    <w:p w14:paraId="0C7E8263">
      <w:pPr>
        <w:spacing w:before="184" w:line="218" w:lineRule="auto"/>
        <w:ind w:left="503"/>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2</w:t>
      </w:r>
      <w:r>
        <w:rPr>
          <w:rFonts w:ascii="宋体" w:hAnsi="宋体" w:eastAsia="宋体" w:cs="宋体"/>
          <w:color w:val="auto"/>
          <w:spacing w:val="-6"/>
          <w:sz w:val="24"/>
          <w:szCs w:val="24"/>
          <w:highlight w:val="none"/>
        </w:rPr>
        <w:t>）</w:t>
      </w:r>
      <w:r>
        <w:rPr>
          <w:rFonts w:ascii="宋体" w:hAnsi="宋体" w:eastAsia="宋体" w:cs="宋体"/>
          <w:color w:val="auto"/>
          <w:spacing w:val="37"/>
          <w:sz w:val="24"/>
          <w:szCs w:val="24"/>
          <w:highlight w:val="none"/>
        </w:rPr>
        <w:t xml:space="preserve"> </w:t>
      </w:r>
      <w:r>
        <w:rPr>
          <w:rFonts w:ascii="宋体" w:hAnsi="宋体" w:eastAsia="宋体" w:cs="宋体"/>
          <w:color w:val="auto"/>
          <w:spacing w:val="-6"/>
          <w:sz w:val="24"/>
          <w:szCs w:val="24"/>
          <w:highlight w:val="none"/>
        </w:rPr>
        <w:t>已标价工程量清单。</w:t>
      </w:r>
    </w:p>
    <w:p w14:paraId="52CDB8C2">
      <w:pPr>
        <w:spacing w:before="184" w:line="219" w:lineRule="auto"/>
        <w:ind w:left="503"/>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3</w:t>
      </w:r>
      <w:r>
        <w:rPr>
          <w:rFonts w:ascii="宋体" w:hAnsi="宋体" w:eastAsia="宋体" w:cs="宋体"/>
          <w:color w:val="auto"/>
          <w:spacing w:val="-5"/>
          <w:sz w:val="24"/>
          <w:szCs w:val="24"/>
          <w:highlight w:val="none"/>
        </w:rPr>
        <w:t>） 其他材料。</w:t>
      </w:r>
    </w:p>
    <w:p w14:paraId="1BC9A1A7">
      <w:pPr>
        <w:spacing w:before="182" w:line="289" w:lineRule="auto"/>
        <w:ind w:left="19" w:firstLine="474"/>
        <w:rPr>
          <w:rFonts w:ascii="宋体" w:hAnsi="宋体" w:eastAsia="宋体" w:cs="宋体"/>
          <w:color w:val="auto"/>
          <w:sz w:val="24"/>
          <w:szCs w:val="24"/>
          <w:highlight w:val="none"/>
        </w:rPr>
      </w:pPr>
      <w:r>
        <w:rPr>
          <w:rFonts w:ascii="Times New Roman" w:hAnsi="Times New Roman" w:eastAsia="Times New Roman" w:cs="Times New Roman"/>
          <w:b/>
          <w:bCs/>
          <w:color w:val="auto"/>
          <w:spacing w:val="-4"/>
          <w:sz w:val="24"/>
          <w:szCs w:val="24"/>
          <w:highlight w:val="none"/>
        </w:rPr>
        <w:t xml:space="preserve">3.1.2  </w:t>
      </w:r>
      <w:r>
        <w:rPr>
          <w:rFonts w:ascii="宋体" w:hAnsi="宋体" w:eastAsia="宋体" w:cs="宋体"/>
          <w:color w:val="auto"/>
          <w:spacing w:val="-4"/>
          <w:sz w:val="24"/>
          <w:szCs w:val="24"/>
          <w:highlight w:val="none"/>
        </w:rPr>
        <w:t>投标人须知前附表规定不接受联合体投标的，或投标人没有组成联合体的，</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投标文件不包括本章第</w:t>
      </w:r>
      <w:r>
        <w:rPr>
          <w:rFonts w:ascii="Times New Roman" w:hAnsi="Times New Roman" w:eastAsia="Times New Roman" w:cs="Times New Roman"/>
          <w:color w:val="auto"/>
          <w:spacing w:val="-2"/>
          <w:sz w:val="24"/>
          <w:szCs w:val="24"/>
          <w:highlight w:val="none"/>
        </w:rPr>
        <w:t>3.1.1</w:t>
      </w:r>
      <w:r>
        <w:rPr>
          <w:rFonts w:ascii="宋体" w:hAnsi="宋体" w:eastAsia="宋体" w:cs="宋体"/>
          <w:color w:val="auto"/>
          <w:spacing w:val="-2"/>
          <w:sz w:val="24"/>
          <w:szCs w:val="24"/>
          <w:highlight w:val="none"/>
        </w:rPr>
        <w:t>所指的联合体协议书。</w:t>
      </w:r>
    </w:p>
    <w:p w14:paraId="39BEA1C7">
      <w:pPr>
        <w:spacing w:before="182" w:line="218" w:lineRule="auto"/>
        <w:ind w:left="11"/>
        <w:outlineLvl w:val="2"/>
        <w:rPr>
          <w:rFonts w:ascii="宋体" w:hAnsi="宋体" w:eastAsia="宋体" w:cs="宋体"/>
          <w:color w:val="auto"/>
          <w:sz w:val="24"/>
          <w:szCs w:val="24"/>
          <w:highlight w:val="none"/>
        </w:rPr>
      </w:pPr>
      <w:bookmarkStart w:id="130" w:name="bookmark89"/>
      <w:bookmarkEnd w:id="130"/>
      <w:bookmarkStart w:id="131" w:name="_Toc29960"/>
      <w:bookmarkStart w:id="132" w:name="_Toc22862"/>
      <w:r>
        <w:rPr>
          <w:rFonts w:ascii="Times New Roman" w:hAnsi="Times New Roman" w:eastAsia="Times New Roman" w:cs="Times New Roman"/>
          <w:b/>
          <w:bCs/>
          <w:color w:val="auto"/>
          <w:spacing w:val="-4"/>
          <w:sz w:val="24"/>
          <w:szCs w:val="24"/>
          <w:highlight w:val="none"/>
        </w:rPr>
        <w:t>3.2</w:t>
      </w:r>
      <w:r>
        <w:rPr>
          <w:rFonts w:ascii="Times New Roman" w:hAnsi="Times New Roman" w:eastAsia="Times New Roman" w:cs="Times New Roman"/>
          <w:b/>
          <w:bCs/>
          <w:color w:val="auto"/>
          <w:spacing w:val="8"/>
          <w:sz w:val="24"/>
          <w:szCs w:val="24"/>
          <w:highlight w:val="none"/>
        </w:rPr>
        <w:t xml:space="preserve">  </w:t>
      </w:r>
      <w:r>
        <w:rPr>
          <w:rFonts w:ascii="宋体" w:hAnsi="宋体" w:eastAsia="宋体" w:cs="宋体"/>
          <w:b/>
          <w:bCs/>
          <w:color w:val="auto"/>
          <w:spacing w:val="-4"/>
          <w:sz w:val="24"/>
          <w:szCs w:val="24"/>
          <w:highlight w:val="none"/>
        </w:rPr>
        <w:t>投标报价</w:t>
      </w:r>
      <w:bookmarkEnd w:id="131"/>
      <w:bookmarkEnd w:id="132"/>
    </w:p>
    <w:p w14:paraId="55E48146">
      <w:pPr>
        <w:spacing w:before="184" w:line="219" w:lineRule="auto"/>
        <w:ind w:left="493"/>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3.2.1  </w:t>
      </w:r>
      <w:r>
        <w:rPr>
          <w:rFonts w:ascii="宋体" w:hAnsi="宋体" w:eastAsia="宋体" w:cs="宋体"/>
          <w:color w:val="auto"/>
          <w:spacing w:val="-1"/>
          <w:sz w:val="24"/>
          <w:szCs w:val="24"/>
          <w:highlight w:val="none"/>
        </w:rPr>
        <w:t>投标人应按第五章“工程量清单”的要求填</w:t>
      </w:r>
      <w:r>
        <w:rPr>
          <w:rFonts w:ascii="宋体" w:hAnsi="宋体" w:eastAsia="宋体" w:cs="宋体"/>
          <w:color w:val="auto"/>
          <w:spacing w:val="-2"/>
          <w:sz w:val="24"/>
          <w:szCs w:val="24"/>
          <w:highlight w:val="none"/>
        </w:rPr>
        <w:t>写相应表格。</w:t>
      </w:r>
    </w:p>
    <w:p w14:paraId="3D3F352D">
      <w:pPr>
        <w:spacing w:before="181" w:line="289" w:lineRule="auto"/>
        <w:ind w:right="66" w:firstLine="493"/>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3.2.2  </w:t>
      </w:r>
      <w:r>
        <w:rPr>
          <w:rFonts w:ascii="宋体" w:hAnsi="宋体" w:eastAsia="宋体" w:cs="宋体"/>
          <w:color w:val="auto"/>
          <w:spacing w:val="1"/>
          <w:sz w:val="24"/>
          <w:szCs w:val="24"/>
          <w:highlight w:val="none"/>
        </w:rPr>
        <w:t>投标人在投标截止时间前修改投</w:t>
      </w:r>
      <w:r>
        <w:rPr>
          <w:rFonts w:ascii="宋体" w:hAnsi="宋体" w:eastAsia="宋体" w:cs="宋体"/>
          <w:color w:val="auto"/>
          <w:sz w:val="24"/>
          <w:szCs w:val="24"/>
          <w:highlight w:val="none"/>
        </w:rPr>
        <w:t xml:space="preserve">标函中的投标总报价，应同时修改第五章 </w:t>
      </w:r>
      <w:r>
        <w:rPr>
          <w:rFonts w:ascii="宋体" w:hAnsi="宋体" w:eastAsia="宋体" w:cs="宋体"/>
          <w:color w:val="auto"/>
          <w:spacing w:val="-1"/>
          <w:sz w:val="24"/>
          <w:szCs w:val="24"/>
          <w:highlight w:val="none"/>
        </w:rPr>
        <w:t>“工程量清单”中的相应报价。此修改须符合本章第</w:t>
      </w:r>
      <w:r>
        <w:rPr>
          <w:rFonts w:ascii="Times New Roman" w:hAnsi="Times New Roman" w:eastAsia="Times New Roman" w:cs="Times New Roman"/>
          <w:color w:val="auto"/>
          <w:spacing w:val="-1"/>
          <w:sz w:val="24"/>
          <w:szCs w:val="24"/>
          <w:highlight w:val="none"/>
        </w:rPr>
        <w:t>4.3</w:t>
      </w:r>
      <w:r>
        <w:rPr>
          <w:rFonts w:ascii="宋体" w:hAnsi="宋体" w:eastAsia="宋体" w:cs="宋体"/>
          <w:color w:val="auto"/>
          <w:spacing w:val="-1"/>
          <w:sz w:val="24"/>
          <w:szCs w:val="24"/>
          <w:highlight w:val="none"/>
        </w:rPr>
        <w:t>款的有关要求。</w:t>
      </w:r>
    </w:p>
    <w:p w14:paraId="65F78993">
      <w:pPr>
        <w:spacing w:before="183" w:line="220" w:lineRule="auto"/>
        <w:ind w:left="11"/>
        <w:outlineLvl w:val="2"/>
        <w:rPr>
          <w:rFonts w:ascii="宋体" w:hAnsi="宋体" w:eastAsia="宋体" w:cs="宋体"/>
          <w:color w:val="auto"/>
          <w:sz w:val="24"/>
          <w:szCs w:val="24"/>
          <w:highlight w:val="none"/>
        </w:rPr>
      </w:pPr>
      <w:bookmarkStart w:id="133" w:name="bookmark91"/>
      <w:bookmarkEnd w:id="133"/>
      <w:bookmarkStart w:id="134" w:name="_Toc884"/>
      <w:bookmarkStart w:id="135" w:name="_Toc14972"/>
      <w:r>
        <w:rPr>
          <w:rFonts w:ascii="Times New Roman" w:hAnsi="Times New Roman" w:eastAsia="Times New Roman" w:cs="Times New Roman"/>
          <w:b/>
          <w:bCs/>
          <w:color w:val="auto"/>
          <w:spacing w:val="-2"/>
          <w:sz w:val="24"/>
          <w:szCs w:val="24"/>
          <w:highlight w:val="none"/>
        </w:rPr>
        <w:t xml:space="preserve">3.3  </w:t>
      </w:r>
      <w:r>
        <w:rPr>
          <w:rFonts w:ascii="宋体" w:hAnsi="宋体" w:eastAsia="宋体" w:cs="宋体"/>
          <w:b/>
          <w:bCs/>
          <w:color w:val="auto"/>
          <w:spacing w:val="-2"/>
          <w:sz w:val="24"/>
          <w:szCs w:val="24"/>
          <w:highlight w:val="none"/>
        </w:rPr>
        <w:t>投标有效期</w:t>
      </w:r>
      <w:bookmarkEnd w:id="134"/>
      <w:bookmarkEnd w:id="135"/>
    </w:p>
    <w:p w14:paraId="3A844C47">
      <w:pPr>
        <w:spacing w:before="181" w:line="345" w:lineRule="auto"/>
        <w:ind w:left="19" w:right="66" w:firstLine="474"/>
        <w:rPr>
          <w:rFonts w:ascii="宋体" w:hAnsi="宋体" w:eastAsia="宋体" w:cs="宋体"/>
          <w:color w:val="auto"/>
          <w:spacing w:val="-8"/>
          <w:sz w:val="24"/>
          <w:szCs w:val="24"/>
          <w:highlight w:val="none"/>
        </w:rPr>
      </w:pPr>
      <w:r>
        <w:rPr>
          <w:rFonts w:ascii="Times New Roman" w:hAnsi="Times New Roman" w:eastAsia="Times New Roman" w:cs="Times New Roman"/>
          <w:b/>
          <w:bCs/>
          <w:color w:val="auto"/>
          <w:spacing w:val="1"/>
          <w:sz w:val="24"/>
          <w:szCs w:val="24"/>
          <w:highlight w:val="none"/>
        </w:rPr>
        <w:t xml:space="preserve">3.3.1  </w:t>
      </w:r>
      <w:r>
        <w:rPr>
          <w:rFonts w:ascii="宋体" w:hAnsi="宋体" w:eastAsia="宋体" w:cs="宋体"/>
          <w:color w:val="auto"/>
          <w:spacing w:val="1"/>
          <w:sz w:val="24"/>
          <w:szCs w:val="24"/>
          <w:highlight w:val="none"/>
        </w:rPr>
        <w:t>在投标人须知前附表规定的投标</w:t>
      </w:r>
      <w:r>
        <w:rPr>
          <w:rFonts w:ascii="宋体" w:hAnsi="宋体" w:eastAsia="宋体" w:cs="宋体"/>
          <w:color w:val="auto"/>
          <w:sz w:val="24"/>
          <w:szCs w:val="24"/>
          <w:highlight w:val="none"/>
        </w:rPr>
        <w:t xml:space="preserve">有效期内，投标人不得要求撤销或修改其 </w:t>
      </w:r>
      <w:r>
        <w:rPr>
          <w:rFonts w:ascii="宋体" w:hAnsi="宋体" w:eastAsia="宋体" w:cs="宋体"/>
          <w:color w:val="auto"/>
          <w:spacing w:val="-8"/>
          <w:sz w:val="24"/>
          <w:szCs w:val="24"/>
          <w:highlight w:val="none"/>
        </w:rPr>
        <w:t>投标文件。</w:t>
      </w:r>
    </w:p>
    <w:p w14:paraId="2452DBBC">
      <w:pPr>
        <w:spacing w:before="181" w:line="345" w:lineRule="auto"/>
        <w:ind w:left="19" w:right="66" w:firstLine="474"/>
        <w:rPr>
          <w:rFonts w:ascii="宋体" w:hAnsi="宋体" w:eastAsia="宋体" w:cs="宋体"/>
          <w:strike w:val="0"/>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3.3.2  </w:t>
      </w:r>
      <w:r>
        <w:rPr>
          <w:rFonts w:ascii="宋体" w:hAnsi="宋体" w:eastAsia="宋体" w:cs="宋体"/>
          <w:color w:val="auto"/>
          <w:spacing w:val="1"/>
          <w:sz w:val="24"/>
          <w:szCs w:val="24"/>
          <w:highlight w:val="none"/>
        </w:rPr>
        <w:t>出现特殊情况需要延长投标有效</w:t>
      </w:r>
      <w:r>
        <w:rPr>
          <w:rFonts w:ascii="宋体" w:hAnsi="宋体" w:eastAsia="宋体" w:cs="宋体"/>
          <w:color w:val="auto"/>
          <w:sz w:val="24"/>
          <w:szCs w:val="24"/>
          <w:highlight w:val="none"/>
        </w:rPr>
        <w:t xml:space="preserve">期的，招标人以书面形式通知所有投标人 </w:t>
      </w:r>
      <w:r>
        <w:rPr>
          <w:rFonts w:ascii="宋体" w:hAnsi="宋体" w:eastAsia="宋体" w:cs="宋体"/>
          <w:color w:val="auto"/>
          <w:spacing w:val="-6"/>
          <w:sz w:val="24"/>
          <w:szCs w:val="24"/>
          <w:highlight w:val="none"/>
        </w:rPr>
        <w:t>延长投标有效期。投标人同意延长的，应相应延长其投标保证金的有效期，但不得要</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求或被允许修改或撤销其投标文件；投标人拒绝延长的，其投标失效，但投标人有权</w:t>
      </w:r>
      <w:r>
        <w:rPr>
          <w:rFonts w:ascii="宋体" w:hAnsi="宋体" w:eastAsia="宋体" w:cs="宋体"/>
          <w:color w:val="auto"/>
          <w:spacing w:val="-1"/>
          <w:sz w:val="24"/>
          <w:szCs w:val="24"/>
          <w:highlight w:val="none"/>
        </w:rPr>
        <w:t>收回其投标保证金</w:t>
      </w:r>
      <w:r>
        <w:rPr>
          <w:rFonts w:ascii="宋体" w:hAnsi="宋体" w:eastAsia="宋体" w:cs="宋体"/>
          <w:strike w:val="0"/>
          <w:dstrike w:val="0"/>
          <w:color w:val="auto"/>
          <w:spacing w:val="-1"/>
          <w:sz w:val="24"/>
          <w:szCs w:val="24"/>
          <w:highlight w:val="none"/>
        </w:rPr>
        <w:t>及银行活期存款利息。</w:t>
      </w:r>
    </w:p>
    <w:p w14:paraId="1880141A">
      <w:pPr>
        <w:spacing w:before="33" w:line="220" w:lineRule="auto"/>
        <w:outlineLvl w:val="2"/>
        <w:rPr>
          <w:rFonts w:ascii="宋体" w:hAnsi="宋体" w:eastAsia="宋体" w:cs="宋体"/>
          <w:strike w:val="0"/>
          <w:color w:val="auto"/>
          <w:sz w:val="24"/>
          <w:szCs w:val="24"/>
          <w:highlight w:val="none"/>
        </w:rPr>
      </w:pPr>
      <w:bookmarkStart w:id="136" w:name="bookmark93"/>
      <w:bookmarkEnd w:id="136"/>
      <w:bookmarkStart w:id="137" w:name="_Toc15380"/>
      <w:bookmarkStart w:id="138" w:name="_Toc17316"/>
      <w:r>
        <w:rPr>
          <w:rFonts w:ascii="Times New Roman" w:hAnsi="Times New Roman" w:eastAsia="Times New Roman" w:cs="Times New Roman"/>
          <w:b/>
          <w:bCs/>
          <w:strike w:val="0"/>
          <w:color w:val="auto"/>
          <w:spacing w:val="-2"/>
          <w:sz w:val="24"/>
          <w:szCs w:val="24"/>
          <w:highlight w:val="none"/>
        </w:rPr>
        <w:t xml:space="preserve">3.4  </w:t>
      </w:r>
      <w:r>
        <w:rPr>
          <w:rFonts w:ascii="宋体" w:hAnsi="宋体" w:eastAsia="宋体" w:cs="宋体"/>
          <w:b/>
          <w:bCs/>
          <w:strike w:val="0"/>
          <w:color w:val="auto"/>
          <w:spacing w:val="-2"/>
          <w:sz w:val="24"/>
          <w:szCs w:val="24"/>
          <w:highlight w:val="none"/>
        </w:rPr>
        <w:t>投标保证金</w:t>
      </w:r>
      <w:bookmarkEnd w:id="137"/>
      <w:bookmarkEnd w:id="138"/>
    </w:p>
    <w:p w14:paraId="391F3BA3">
      <w:pPr>
        <w:spacing w:before="180" w:line="324" w:lineRule="auto"/>
        <w:ind w:left="6" w:right="2" w:firstLine="475"/>
        <w:rPr>
          <w:rFonts w:ascii="宋体" w:hAnsi="宋体" w:eastAsia="宋体" w:cs="宋体"/>
          <w:strike w:val="0"/>
          <w:color w:val="auto"/>
          <w:sz w:val="24"/>
          <w:szCs w:val="24"/>
          <w:highlight w:val="none"/>
        </w:rPr>
      </w:pPr>
      <w:r>
        <w:rPr>
          <w:rFonts w:ascii="Times New Roman" w:hAnsi="Times New Roman" w:eastAsia="Times New Roman" w:cs="Times New Roman"/>
          <w:b/>
          <w:bCs/>
          <w:strike w:val="0"/>
          <w:color w:val="auto"/>
          <w:spacing w:val="1"/>
          <w:sz w:val="24"/>
          <w:szCs w:val="24"/>
          <w:highlight w:val="none"/>
        </w:rPr>
        <w:t xml:space="preserve">3.4.1  </w:t>
      </w:r>
      <w:r>
        <w:rPr>
          <w:rFonts w:ascii="宋体" w:hAnsi="宋体" w:eastAsia="宋体" w:cs="宋体"/>
          <w:strike w:val="0"/>
          <w:color w:val="auto"/>
          <w:spacing w:val="1"/>
          <w:sz w:val="24"/>
          <w:szCs w:val="24"/>
          <w:highlight w:val="none"/>
        </w:rPr>
        <w:t>投标人在递交投标文件的同时，</w:t>
      </w:r>
      <w:r>
        <w:rPr>
          <w:rFonts w:ascii="宋体" w:hAnsi="宋体" w:eastAsia="宋体" w:cs="宋体"/>
          <w:strike w:val="0"/>
          <w:color w:val="auto"/>
          <w:sz w:val="24"/>
          <w:szCs w:val="24"/>
          <w:highlight w:val="none"/>
        </w:rPr>
        <w:t xml:space="preserve">应按投标人须知前附表规定的金额、担保 </w:t>
      </w:r>
      <w:r>
        <w:rPr>
          <w:rFonts w:ascii="宋体" w:hAnsi="宋体" w:eastAsia="宋体" w:cs="宋体"/>
          <w:strike w:val="0"/>
          <w:color w:val="auto"/>
          <w:spacing w:val="-3"/>
          <w:sz w:val="24"/>
          <w:szCs w:val="24"/>
          <w:highlight w:val="none"/>
        </w:rPr>
        <w:t>形式和第八章“投标文件格式”规定的投标保证金格式递交投标保证金，并作为其投</w:t>
      </w:r>
      <w:r>
        <w:rPr>
          <w:rFonts w:ascii="宋体" w:hAnsi="宋体" w:eastAsia="宋体" w:cs="宋体"/>
          <w:strike w:val="0"/>
          <w:color w:val="auto"/>
          <w:spacing w:val="6"/>
          <w:sz w:val="24"/>
          <w:szCs w:val="24"/>
          <w:highlight w:val="none"/>
        </w:rPr>
        <w:t xml:space="preserve"> </w:t>
      </w:r>
      <w:r>
        <w:rPr>
          <w:rFonts w:ascii="宋体" w:hAnsi="宋体" w:eastAsia="宋体" w:cs="宋体"/>
          <w:strike w:val="0"/>
          <w:color w:val="auto"/>
          <w:spacing w:val="-6"/>
          <w:sz w:val="24"/>
          <w:szCs w:val="24"/>
          <w:highlight w:val="none"/>
        </w:rPr>
        <w:t>标文件的组成部分。联合体投标的，其投标保证金由牵头人递交，并应符合投标人须</w:t>
      </w:r>
      <w:r>
        <w:rPr>
          <w:rFonts w:ascii="宋体" w:hAnsi="宋体" w:eastAsia="宋体" w:cs="宋体"/>
          <w:strike w:val="0"/>
          <w:color w:val="auto"/>
          <w:spacing w:val="3"/>
          <w:sz w:val="24"/>
          <w:szCs w:val="24"/>
          <w:highlight w:val="none"/>
        </w:rPr>
        <w:t xml:space="preserve"> </w:t>
      </w:r>
      <w:r>
        <w:rPr>
          <w:rFonts w:ascii="宋体" w:hAnsi="宋体" w:eastAsia="宋体" w:cs="宋体"/>
          <w:strike w:val="0"/>
          <w:color w:val="auto"/>
          <w:spacing w:val="-5"/>
          <w:sz w:val="24"/>
          <w:szCs w:val="24"/>
          <w:highlight w:val="none"/>
        </w:rPr>
        <w:t>知前附表的规定。</w:t>
      </w:r>
    </w:p>
    <w:p w14:paraId="34F3B708">
      <w:pPr>
        <w:spacing w:before="183" w:line="289" w:lineRule="auto"/>
        <w:ind w:left="9" w:right="4" w:firstLine="473"/>
        <w:rPr>
          <w:rFonts w:ascii="宋体" w:hAnsi="宋体" w:eastAsia="宋体" w:cs="宋体"/>
          <w:strike w:val="0"/>
          <w:color w:val="auto"/>
          <w:sz w:val="24"/>
          <w:szCs w:val="24"/>
          <w:highlight w:val="none"/>
        </w:rPr>
      </w:pPr>
      <w:r>
        <w:rPr>
          <w:rFonts w:ascii="Times New Roman" w:hAnsi="Times New Roman" w:eastAsia="Times New Roman" w:cs="Times New Roman"/>
          <w:b/>
          <w:bCs/>
          <w:strike w:val="0"/>
          <w:color w:val="auto"/>
          <w:spacing w:val="1"/>
          <w:sz w:val="24"/>
          <w:szCs w:val="24"/>
          <w:highlight w:val="none"/>
        </w:rPr>
        <w:t xml:space="preserve">3.4.2  </w:t>
      </w:r>
      <w:r>
        <w:rPr>
          <w:rFonts w:ascii="宋体" w:hAnsi="宋体" w:eastAsia="宋体" w:cs="宋体"/>
          <w:strike w:val="0"/>
          <w:color w:val="auto"/>
          <w:spacing w:val="1"/>
          <w:sz w:val="24"/>
          <w:szCs w:val="24"/>
          <w:highlight w:val="none"/>
        </w:rPr>
        <w:t>投标人不按本章第</w:t>
      </w:r>
      <w:r>
        <w:rPr>
          <w:rFonts w:ascii="Times New Roman" w:hAnsi="Times New Roman" w:eastAsia="Times New Roman" w:cs="Times New Roman"/>
          <w:strike w:val="0"/>
          <w:color w:val="auto"/>
          <w:spacing w:val="1"/>
          <w:sz w:val="24"/>
          <w:szCs w:val="24"/>
          <w:highlight w:val="none"/>
        </w:rPr>
        <w:t>3.4.</w:t>
      </w:r>
      <w:r>
        <w:rPr>
          <w:rFonts w:ascii="Times New Roman" w:hAnsi="Times New Roman" w:eastAsia="Times New Roman" w:cs="Times New Roman"/>
          <w:strike w:val="0"/>
          <w:color w:val="auto"/>
          <w:sz w:val="24"/>
          <w:szCs w:val="24"/>
          <w:highlight w:val="none"/>
        </w:rPr>
        <w:t>1</w:t>
      </w:r>
      <w:r>
        <w:rPr>
          <w:rFonts w:ascii="宋体" w:hAnsi="宋体" w:eastAsia="宋体" w:cs="宋体"/>
          <w:strike w:val="0"/>
          <w:color w:val="auto"/>
          <w:sz w:val="24"/>
          <w:szCs w:val="24"/>
          <w:highlight w:val="none"/>
        </w:rPr>
        <w:t xml:space="preserve">项要求提交投标保证金，或不是通过投标人的基本 </w:t>
      </w:r>
      <w:r>
        <w:rPr>
          <w:rFonts w:ascii="宋体" w:hAnsi="宋体" w:eastAsia="宋体" w:cs="宋体"/>
          <w:strike w:val="0"/>
          <w:color w:val="auto"/>
          <w:spacing w:val="-3"/>
          <w:sz w:val="24"/>
          <w:szCs w:val="24"/>
          <w:highlight w:val="none"/>
        </w:rPr>
        <w:t>账户缴纳的，其投标文件将被否决。</w:t>
      </w:r>
    </w:p>
    <w:p w14:paraId="3C426A79">
      <w:pPr>
        <w:spacing w:before="183" w:line="312" w:lineRule="auto"/>
        <w:ind w:left="4" w:firstLine="477"/>
        <w:rPr>
          <w:rFonts w:ascii="宋体" w:hAnsi="宋体" w:eastAsia="宋体" w:cs="宋体"/>
          <w:strike w:val="0"/>
          <w:color w:val="auto"/>
          <w:sz w:val="24"/>
          <w:szCs w:val="24"/>
          <w:highlight w:val="none"/>
        </w:rPr>
      </w:pPr>
      <w:r>
        <w:rPr>
          <w:rFonts w:ascii="Times New Roman" w:hAnsi="Times New Roman" w:eastAsia="Times New Roman" w:cs="Times New Roman"/>
          <w:b/>
          <w:bCs/>
          <w:strike w:val="0"/>
          <w:color w:val="auto"/>
          <w:spacing w:val="4"/>
          <w:sz w:val="24"/>
          <w:szCs w:val="24"/>
          <w:highlight w:val="none"/>
        </w:rPr>
        <w:t xml:space="preserve">3.4.3  </w:t>
      </w:r>
      <w:r>
        <w:rPr>
          <w:rFonts w:ascii="宋体" w:hAnsi="宋体" w:eastAsia="宋体" w:cs="宋体"/>
          <w:strike w:val="0"/>
          <w:color w:val="auto"/>
          <w:spacing w:val="4"/>
          <w:sz w:val="24"/>
          <w:szCs w:val="24"/>
          <w:highlight w:val="none"/>
        </w:rPr>
        <w:t>非中标候选人的投标保证金</w:t>
      </w:r>
      <w:r>
        <w:rPr>
          <w:rFonts w:ascii="宋体" w:hAnsi="宋体" w:eastAsia="宋体" w:cs="宋体"/>
          <w:strike w:val="0"/>
          <w:dstrike w:val="0"/>
          <w:color w:val="auto"/>
          <w:spacing w:val="4"/>
          <w:sz w:val="24"/>
          <w:szCs w:val="24"/>
          <w:highlight w:val="none"/>
        </w:rPr>
        <w:t>及银行活期存款</w:t>
      </w:r>
      <w:r>
        <w:rPr>
          <w:rFonts w:ascii="宋体" w:hAnsi="宋体" w:eastAsia="宋体" w:cs="宋体"/>
          <w:strike w:val="0"/>
          <w:dstrike w:val="0"/>
          <w:color w:val="auto"/>
          <w:spacing w:val="3"/>
          <w:sz w:val="24"/>
          <w:szCs w:val="24"/>
          <w:highlight w:val="none"/>
        </w:rPr>
        <w:t>利息</w:t>
      </w:r>
      <w:r>
        <w:rPr>
          <w:rFonts w:ascii="宋体" w:hAnsi="宋体" w:eastAsia="宋体" w:cs="宋体"/>
          <w:strike w:val="0"/>
          <w:color w:val="auto"/>
          <w:spacing w:val="3"/>
          <w:sz w:val="24"/>
          <w:szCs w:val="24"/>
          <w:highlight w:val="none"/>
        </w:rPr>
        <w:t>在中标通知书发出后</w:t>
      </w:r>
      <w:r>
        <w:rPr>
          <w:rFonts w:ascii="Times New Roman" w:hAnsi="Times New Roman" w:eastAsia="Times New Roman" w:cs="Times New Roman"/>
          <w:strike w:val="0"/>
          <w:color w:val="auto"/>
          <w:spacing w:val="3"/>
          <w:sz w:val="24"/>
          <w:szCs w:val="24"/>
          <w:highlight w:val="none"/>
        </w:rPr>
        <w:t>5</w:t>
      </w:r>
      <w:r>
        <w:rPr>
          <w:rFonts w:ascii="宋体" w:hAnsi="宋体" w:eastAsia="宋体" w:cs="宋体"/>
          <w:strike w:val="0"/>
          <w:color w:val="auto"/>
          <w:spacing w:val="3"/>
          <w:sz w:val="24"/>
          <w:szCs w:val="24"/>
          <w:highlight w:val="none"/>
        </w:rPr>
        <w:t>日</w:t>
      </w:r>
      <w:r>
        <w:rPr>
          <w:rFonts w:ascii="宋体" w:hAnsi="宋体" w:eastAsia="宋体" w:cs="宋体"/>
          <w:strike w:val="0"/>
          <w:color w:val="auto"/>
          <w:sz w:val="24"/>
          <w:szCs w:val="24"/>
          <w:highlight w:val="none"/>
        </w:rPr>
        <w:t xml:space="preserve"> </w:t>
      </w:r>
      <w:r>
        <w:rPr>
          <w:rFonts w:ascii="宋体" w:hAnsi="宋体" w:eastAsia="宋体" w:cs="宋体"/>
          <w:strike w:val="0"/>
          <w:color w:val="auto"/>
          <w:spacing w:val="-3"/>
          <w:sz w:val="24"/>
          <w:szCs w:val="24"/>
          <w:highlight w:val="none"/>
        </w:rPr>
        <w:t>内退回（当地交易平台或行政监督部门另有规定的除外）。中标候选人的投标保证金</w:t>
      </w:r>
      <w:r>
        <w:rPr>
          <w:rFonts w:ascii="宋体" w:hAnsi="宋体" w:eastAsia="宋体" w:cs="宋体"/>
          <w:strike w:val="0"/>
          <w:color w:val="auto"/>
          <w:spacing w:val="10"/>
          <w:sz w:val="24"/>
          <w:szCs w:val="24"/>
          <w:highlight w:val="none"/>
        </w:rPr>
        <w:t xml:space="preserve"> </w:t>
      </w:r>
      <w:r>
        <w:rPr>
          <w:rFonts w:ascii="宋体" w:hAnsi="宋体" w:eastAsia="宋体" w:cs="宋体"/>
          <w:strike w:val="0"/>
          <w:dstrike w:val="0"/>
          <w:color w:val="auto"/>
          <w:spacing w:val="-1"/>
          <w:sz w:val="24"/>
          <w:szCs w:val="24"/>
          <w:highlight w:val="none"/>
        </w:rPr>
        <w:t>及银行活期存款利息</w:t>
      </w:r>
      <w:r>
        <w:rPr>
          <w:rFonts w:ascii="宋体" w:hAnsi="宋体" w:eastAsia="宋体" w:cs="宋体"/>
          <w:strike w:val="0"/>
          <w:color w:val="auto"/>
          <w:spacing w:val="-1"/>
          <w:sz w:val="24"/>
          <w:szCs w:val="24"/>
          <w:highlight w:val="none"/>
        </w:rPr>
        <w:t>在招标人与中标人签订书面合</w:t>
      </w:r>
      <w:r>
        <w:rPr>
          <w:rFonts w:ascii="宋体" w:hAnsi="宋体" w:eastAsia="宋体" w:cs="宋体"/>
          <w:strike w:val="0"/>
          <w:color w:val="auto"/>
          <w:spacing w:val="-2"/>
          <w:sz w:val="24"/>
          <w:szCs w:val="24"/>
          <w:highlight w:val="none"/>
        </w:rPr>
        <w:t>同后</w:t>
      </w:r>
      <w:r>
        <w:rPr>
          <w:rFonts w:ascii="Times New Roman" w:hAnsi="Times New Roman" w:eastAsia="Times New Roman" w:cs="Times New Roman"/>
          <w:strike w:val="0"/>
          <w:color w:val="auto"/>
          <w:spacing w:val="-2"/>
          <w:sz w:val="24"/>
          <w:szCs w:val="24"/>
          <w:highlight w:val="none"/>
        </w:rPr>
        <w:t>5</w:t>
      </w:r>
      <w:r>
        <w:rPr>
          <w:rFonts w:ascii="宋体" w:hAnsi="宋体" w:eastAsia="宋体" w:cs="宋体"/>
          <w:strike w:val="0"/>
          <w:color w:val="auto"/>
          <w:spacing w:val="-2"/>
          <w:sz w:val="24"/>
          <w:szCs w:val="24"/>
          <w:highlight w:val="none"/>
        </w:rPr>
        <w:t>日内退回。</w:t>
      </w:r>
    </w:p>
    <w:p w14:paraId="7A570345">
      <w:pPr>
        <w:spacing w:before="180"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strike w:val="0"/>
          <w:color w:val="auto"/>
          <w:spacing w:val="-2"/>
          <w:sz w:val="24"/>
          <w:szCs w:val="24"/>
          <w:highlight w:val="none"/>
        </w:rPr>
        <w:t xml:space="preserve">3.4.4  </w:t>
      </w:r>
      <w:r>
        <w:rPr>
          <w:rFonts w:ascii="宋体" w:hAnsi="宋体" w:eastAsia="宋体" w:cs="宋体"/>
          <w:strike w:val="0"/>
          <w:color w:val="auto"/>
          <w:spacing w:val="-2"/>
          <w:sz w:val="24"/>
          <w:szCs w:val="24"/>
          <w:highlight w:val="none"/>
        </w:rPr>
        <w:t>有下列情形之一的，投标保证</w:t>
      </w:r>
      <w:r>
        <w:rPr>
          <w:rFonts w:ascii="宋体" w:hAnsi="宋体" w:eastAsia="宋体" w:cs="宋体"/>
          <w:color w:val="auto"/>
          <w:spacing w:val="-2"/>
          <w:sz w:val="24"/>
          <w:szCs w:val="24"/>
          <w:highlight w:val="none"/>
        </w:rPr>
        <w:t>金将不予退</w:t>
      </w:r>
      <w:r>
        <w:rPr>
          <w:rFonts w:ascii="宋体" w:hAnsi="宋体" w:eastAsia="宋体" w:cs="宋体"/>
          <w:color w:val="auto"/>
          <w:spacing w:val="-3"/>
          <w:sz w:val="24"/>
          <w:szCs w:val="24"/>
          <w:highlight w:val="none"/>
        </w:rPr>
        <w:t>还：</w:t>
      </w:r>
    </w:p>
    <w:p w14:paraId="63E89917">
      <w:pPr>
        <w:spacing w:before="182" w:line="220" w:lineRule="auto"/>
        <w:ind w:left="49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）投标人在规定的投标有效期内撤销或修改其投标文件。</w:t>
      </w:r>
    </w:p>
    <w:p w14:paraId="5B2BDD8D">
      <w:pPr>
        <w:spacing w:before="184" w:line="289" w:lineRule="auto"/>
        <w:ind w:left="6" w:right="12"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）中标人在收到中标通知书后，无正当理由拒签合同协议书或未按招标文件</w:t>
      </w:r>
      <w:r>
        <w:rPr>
          <w:rFonts w:ascii="宋体" w:hAnsi="宋体" w:eastAsia="宋体" w:cs="宋体"/>
          <w:color w:val="auto"/>
          <w:spacing w:val="1"/>
          <w:sz w:val="24"/>
          <w:szCs w:val="24"/>
          <w:highlight w:val="none"/>
        </w:rPr>
        <w:t xml:space="preserve"> </w:t>
      </w:r>
      <w:r>
        <w:rPr>
          <w:rFonts w:ascii="宋体" w:hAnsi="宋体" w:eastAsia="宋体" w:cs="宋体"/>
          <w:color w:val="auto"/>
          <w:spacing w:val="-5"/>
          <w:sz w:val="24"/>
          <w:szCs w:val="24"/>
          <w:highlight w:val="none"/>
        </w:rPr>
        <w:t>规定提交履约担保。</w:t>
      </w:r>
    </w:p>
    <w:p w14:paraId="2F1D5F0F">
      <w:pPr>
        <w:spacing w:before="181" w:line="219" w:lineRule="auto"/>
        <w:ind w:left="49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）投标人须知前附表规定的其他情形。</w:t>
      </w:r>
    </w:p>
    <w:p w14:paraId="3DDCEBB3">
      <w:pPr>
        <w:spacing w:before="181" w:line="220" w:lineRule="auto"/>
        <w:outlineLvl w:val="2"/>
        <w:rPr>
          <w:rFonts w:ascii="宋体" w:hAnsi="宋体" w:eastAsia="宋体" w:cs="宋体"/>
          <w:strike w:val="0"/>
          <w:dstrike w:val="0"/>
          <w:color w:val="auto"/>
          <w:sz w:val="24"/>
          <w:szCs w:val="24"/>
          <w:highlight w:val="none"/>
        </w:rPr>
      </w:pPr>
      <w:bookmarkStart w:id="139" w:name="bookmark95"/>
      <w:bookmarkEnd w:id="139"/>
      <w:bookmarkStart w:id="140" w:name="_Toc28485"/>
      <w:bookmarkStart w:id="141" w:name="_Toc21629"/>
      <w:r>
        <w:rPr>
          <w:rFonts w:ascii="Times New Roman" w:hAnsi="Times New Roman" w:eastAsia="Times New Roman" w:cs="Times New Roman"/>
          <w:b/>
          <w:bCs/>
          <w:strike w:val="0"/>
          <w:dstrike w:val="0"/>
          <w:color w:val="auto"/>
          <w:spacing w:val="-2"/>
          <w:sz w:val="24"/>
          <w:szCs w:val="24"/>
          <w:highlight w:val="none"/>
        </w:rPr>
        <w:t xml:space="preserve">3.5  </w:t>
      </w:r>
      <w:r>
        <w:rPr>
          <w:rFonts w:ascii="宋体" w:hAnsi="宋体" w:eastAsia="宋体" w:cs="宋体"/>
          <w:b/>
          <w:bCs/>
          <w:strike w:val="0"/>
          <w:dstrike w:val="0"/>
          <w:color w:val="auto"/>
          <w:spacing w:val="-2"/>
          <w:sz w:val="24"/>
          <w:szCs w:val="24"/>
          <w:highlight w:val="none"/>
        </w:rPr>
        <w:t>资格审查资料（适用于已进行资格预审的）</w:t>
      </w:r>
      <w:bookmarkEnd w:id="140"/>
      <w:bookmarkEnd w:id="141"/>
    </w:p>
    <w:p w14:paraId="10E7FB6B">
      <w:pPr>
        <w:spacing w:before="182" w:line="352" w:lineRule="auto"/>
        <w:ind w:left="6" w:right="2" w:firstLine="481"/>
        <w:jc w:val="both"/>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3"/>
          <w:sz w:val="24"/>
          <w:szCs w:val="24"/>
          <w:highlight w:val="none"/>
        </w:rPr>
        <w:t>投标人在编制投标文件时，如果投标人在资质条件、组织机构、财务能力、</w:t>
      </w:r>
      <w:r>
        <w:rPr>
          <w:rFonts w:ascii="宋体" w:hAnsi="宋体" w:eastAsia="宋体" w:cs="宋体"/>
          <w:strike w:val="0"/>
          <w:dstrike w:val="0"/>
          <w:color w:val="auto"/>
          <w:spacing w:val="-4"/>
          <w:sz w:val="24"/>
          <w:szCs w:val="24"/>
          <w:highlight w:val="none"/>
        </w:rPr>
        <w:t>信誉</w:t>
      </w:r>
      <w:r>
        <w:rPr>
          <w:rFonts w:ascii="宋体" w:hAnsi="宋体" w:eastAsia="宋体" w:cs="宋体"/>
          <w:strike w:val="0"/>
          <w:dstrike w:val="0"/>
          <w:color w:val="auto"/>
          <w:sz w:val="24"/>
          <w:szCs w:val="24"/>
          <w:highlight w:val="none"/>
        </w:rPr>
        <w:t xml:space="preserve"> </w:t>
      </w:r>
      <w:r>
        <w:rPr>
          <w:rFonts w:ascii="宋体" w:hAnsi="宋体" w:eastAsia="宋体" w:cs="宋体"/>
          <w:strike w:val="0"/>
          <w:dstrike w:val="0"/>
          <w:color w:val="auto"/>
          <w:spacing w:val="-3"/>
          <w:sz w:val="24"/>
          <w:szCs w:val="24"/>
          <w:highlight w:val="none"/>
        </w:rPr>
        <w:t>等资格条件与资格预审时提交的资格预审申请文件相比较发生变化的，应按新情况更</w:t>
      </w:r>
      <w:r>
        <w:rPr>
          <w:rFonts w:ascii="宋体" w:hAnsi="宋体" w:eastAsia="宋体" w:cs="宋体"/>
          <w:strike w:val="0"/>
          <w:dstrike w:val="0"/>
          <w:color w:val="auto"/>
          <w:spacing w:val="8"/>
          <w:sz w:val="24"/>
          <w:szCs w:val="24"/>
          <w:highlight w:val="none"/>
        </w:rPr>
        <w:t xml:space="preserve"> </w:t>
      </w:r>
      <w:r>
        <w:rPr>
          <w:rFonts w:ascii="宋体" w:hAnsi="宋体" w:eastAsia="宋体" w:cs="宋体"/>
          <w:strike w:val="0"/>
          <w:dstrike w:val="0"/>
          <w:color w:val="auto"/>
          <w:spacing w:val="-3"/>
          <w:sz w:val="24"/>
          <w:szCs w:val="24"/>
          <w:highlight w:val="none"/>
        </w:rPr>
        <w:t>新或补充其在资格预审申请文件中提供的资料，以证实其各项资格条件仍能继续满足</w:t>
      </w:r>
      <w:r>
        <w:rPr>
          <w:rFonts w:ascii="宋体" w:hAnsi="宋体" w:eastAsia="宋体" w:cs="宋体"/>
          <w:strike w:val="0"/>
          <w:dstrike w:val="0"/>
          <w:color w:val="auto"/>
          <w:spacing w:val="8"/>
          <w:sz w:val="24"/>
          <w:szCs w:val="24"/>
          <w:highlight w:val="none"/>
        </w:rPr>
        <w:t xml:space="preserve"> </w:t>
      </w:r>
      <w:r>
        <w:rPr>
          <w:rFonts w:ascii="宋体" w:hAnsi="宋体" w:eastAsia="宋体" w:cs="宋体"/>
          <w:strike w:val="0"/>
          <w:dstrike w:val="0"/>
          <w:color w:val="auto"/>
          <w:spacing w:val="-2"/>
          <w:sz w:val="24"/>
          <w:szCs w:val="24"/>
          <w:highlight w:val="none"/>
        </w:rPr>
        <w:t>资格预审文件的要求，具备承担本标段施工的资质条件、能力和信誉。</w:t>
      </w:r>
    </w:p>
    <w:p w14:paraId="48B5D125">
      <w:pPr>
        <w:spacing w:before="36" w:line="220" w:lineRule="auto"/>
        <w:ind w:left="486"/>
        <w:rPr>
          <w:rFonts w:ascii="宋体" w:hAnsi="宋体" w:eastAsia="宋体" w:cs="宋体"/>
          <w:strike/>
          <w:dstrike w:val="0"/>
          <w:color w:val="auto"/>
          <w:sz w:val="24"/>
          <w:szCs w:val="24"/>
          <w:highlight w:val="none"/>
        </w:rPr>
      </w:pPr>
      <w:r>
        <w:rPr>
          <w:rFonts w:ascii="宋体" w:hAnsi="宋体" w:eastAsia="宋体" w:cs="宋体"/>
          <w:strike w:val="0"/>
          <w:dstrike w:val="0"/>
          <w:color w:val="auto"/>
          <w:spacing w:val="-2"/>
          <w:sz w:val="24"/>
          <w:szCs w:val="24"/>
          <w:highlight w:val="none"/>
        </w:rPr>
        <w:t>若无更新或补充，可不必提交与资格预审申请文件中相同的资料。</w:t>
      </w:r>
    </w:p>
    <w:p w14:paraId="5C94E23F">
      <w:pPr>
        <w:spacing w:before="180" w:line="220" w:lineRule="auto"/>
        <w:outlineLvl w:val="2"/>
        <w:rPr>
          <w:rFonts w:ascii="宋体" w:hAnsi="宋体" w:eastAsia="宋体" w:cs="宋体"/>
          <w:color w:val="auto"/>
          <w:sz w:val="24"/>
          <w:szCs w:val="24"/>
          <w:highlight w:val="none"/>
        </w:rPr>
      </w:pPr>
      <w:bookmarkStart w:id="142" w:name="bookmark97"/>
      <w:bookmarkEnd w:id="142"/>
      <w:bookmarkStart w:id="143" w:name="_Toc28545"/>
      <w:bookmarkStart w:id="144" w:name="_Toc15001"/>
      <w:r>
        <w:rPr>
          <w:rFonts w:ascii="Times New Roman" w:hAnsi="Times New Roman" w:eastAsia="Times New Roman" w:cs="Times New Roman"/>
          <w:b/>
          <w:bCs/>
          <w:color w:val="auto"/>
          <w:spacing w:val="-2"/>
          <w:sz w:val="24"/>
          <w:szCs w:val="24"/>
          <w:highlight w:val="none"/>
        </w:rPr>
        <w:t xml:space="preserve">3.5  </w:t>
      </w:r>
      <w:r>
        <w:rPr>
          <w:rFonts w:ascii="宋体" w:hAnsi="宋体" w:eastAsia="宋体" w:cs="宋体"/>
          <w:b/>
          <w:bCs/>
          <w:color w:val="auto"/>
          <w:spacing w:val="-2"/>
          <w:sz w:val="24"/>
          <w:szCs w:val="24"/>
          <w:highlight w:val="none"/>
        </w:rPr>
        <w:t>资格审查资料（适用于未进行资格预审的）</w:t>
      </w:r>
      <w:bookmarkEnd w:id="143"/>
      <w:bookmarkEnd w:id="144"/>
    </w:p>
    <w:p w14:paraId="258ACA66">
      <w:pPr>
        <w:spacing w:before="184" w:line="288" w:lineRule="auto"/>
        <w:ind w:left="7" w:right="2" w:firstLine="47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3.5.1</w:t>
      </w:r>
      <w:r>
        <w:rPr>
          <w:rFonts w:ascii="Times New Roman" w:hAnsi="Times New Roman" w:eastAsia="Times New Roman" w:cs="Times New Roman"/>
          <w:b/>
          <w:bCs/>
          <w:color w:val="auto"/>
          <w:sz w:val="24"/>
          <w:szCs w:val="24"/>
          <w:highlight w:val="none"/>
        </w:rPr>
        <w:t xml:space="preserve">  </w:t>
      </w:r>
      <w:r>
        <w:rPr>
          <w:rFonts w:ascii="宋体" w:hAnsi="宋体" w:eastAsia="宋体" w:cs="宋体"/>
          <w:color w:val="auto"/>
          <w:spacing w:val="1"/>
          <w:sz w:val="24"/>
          <w:szCs w:val="24"/>
          <w:highlight w:val="none"/>
        </w:rPr>
        <w:t>“投标人基本情况表”应附投标人营</w:t>
      </w:r>
      <w:r>
        <w:rPr>
          <w:rFonts w:ascii="宋体" w:hAnsi="宋体" w:eastAsia="宋体" w:cs="宋体"/>
          <w:color w:val="auto"/>
          <w:sz w:val="24"/>
          <w:szCs w:val="24"/>
          <w:highlight w:val="none"/>
        </w:rPr>
        <w:t xml:space="preserve">业执照、资质证书和安全生产许可证 </w:t>
      </w:r>
      <w:r>
        <w:rPr>
          <w:rFonts w:ascii="宋体" w:hAnsi="宋体" w:eastAsia="宋体" w:cs="宋体"/>
          <w:color w:val="auto"/>
          <w:spacing w:val="-6"/>
          <w:sz w:val="24"/>
          <w:szCs w:val="24"/>
          <w:highlight w:val="none"/>
        </w:rPr>
        <w:t>等材料的复制件。</w:t>
      </w:r>
    </w:p>
    <w:p w14:paraId="6C806F61">
      <w:pPr>
        <w:spacing w:before="184" w:line="288" w:lineRule="auto"/>
        <w:ind w:left="7" w:right="2" w:firstLine="474"/>
        <w:rPr>
          <w:rFonts w:ascii="宋体" w:hAnsi="宋体" w:eastAsia="宋体" w:cs="宋体"/>
          <w:strike w:val="0"/>
          <w:dstrike w:val="0"/>
          <w:color w:val="auto"/>
          <w:spacing w:val="-3"/>
          <w:sz w:val="24"/>
          <w:szCs w:val="24"/>
          <w:highlight w:val="none"/>
        </w:rPr>
      </w:pPr>
      <w:r>
        <w:rPr>
          <w:rFonts w:ascii="Times New Roman" w:hAnsi="Times New Roman" w:eastAsia="Times New Roman" w:cs="Times New Roman"/>
          <w:b/>
          <w:bCs/>
          <w:strike w:val="0"/>
          <w:dstrike w:val="0"/>
          <w:color w:val="auto"/>
          <w:spacing w:val="1"/>
          <w:sz w:val="24"/>
          <w:szCs w:val="24"/>
          <w:highlight w:val="none"/>
        </w:rPr>
        <w:t>3.5.2</w:t>
      </w:r>
      <w:r>
        <w:rPr>
          <w:rFonts w:ascii="Times New Roman" w:hAnsi="Times New Roman" w:eastAsia="Times New Roman" w:cs="Times New Roman"/>
          <w:b/>
          <w:bCs/>
          <w:strike w:val="0"/>
          <w:dstrike w:val="0"/>
          <w:color w:val="auto"/>
          <w:sz w:val="24"/>
          <w:szCs w:val="24"/>
          <w:highlight w:val="none"/>
        </w:rPr>
        <w:t xml:space="preserve">  </w:t>
      </w:r>
      <w:r>
        <w:rPr>
          <w:rFonts w:ascii="宋体" w:hAnsi="宋体" w:eastAsia="宋体" w:cs="宋体"/>
          <w:strike w:val="0"/>
          <w:dstrike w:val="0"/>
          <w:color w:val="auto"/>
          <w:spacing w:val="1"/>
          <w:sz w:val="24"/>
          <w:szCs w:val="24"/>
          <w:highlight w:val="none"/>
        </w:rPr>
        <w:t>“近年财务状况”应附经会计师</w:t>
      </w:r>
      <w:r>
        <w:rPr>
          <w:rFonts w:ascii="宋体" w:hAnsi="宋体" w:eastAsia="宋体" w:cs="宋体"/>
          <w:strike w:val="0"/>
          <w:dstrike w:val="0"/>
          <w:color w:val="auto"/>
          <w:sz w:val="24"/>
          <w:szCs w:val="24"/>
          <w:highlight w:val="none"/>
        </w:rPr>
        <w:t xml:space="preserve">事务所或审计机构审计的财务会计报表， </w:t>
      </w:r>
      <w:r>
        <w:rPr>
          <w:rFonts w:ascii="宋体" w:hAnsi="宋体" w:eastAsia="宋体" w:cs="宋体"/>
          <w:strike w:val="0"/>
          <w:dstrike w:val="0"/>
          <w:color w:val="auto"/>
          <w:spacing w:val="-3"/>
          <w:sz w:val="24"/>
          <w:szCs w:val="24"/>
          <w:highlight w:val="none"/>
        </w:rPr>
        <w:t>包括资产负债表、现金流量表、利润表和财务情况说明书（或财务报表附注）的复制</w:t>
      </w:r>
    </w:p>
    <w:p w14:paraId="31A16182">
      <w:pPr>
        <w:spacing w:before="47" w:line="219" w:lineRule="auto"/>
        <w:ind w:left="4"/>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3"/>
          <w:sz w:val="24"/>
          <w:szCs w:val="24"/>
          <w:highlight w:val="none"/>
        </w:rPr>
        <w:t>件，具体年份要求见投标人须知前附表。</w:t>
      </w:r>
    </w:p>
    <w:p w14:paraId="380B6B76">
      <w:pPr>
        <w:spacing w:before="184" w:line="288" w:lineRule="auto"/>
        <w:ind w:left="10" w:right="54" w:firstLine="464"/>
        <w:rPr>
          <w:rFonts w:ascii="宋体" w:hAnsi="宋体" w:eastAsia="宋体" w:cs="宋体"/>
          <w:strike w:val="0"/>
          <w:dstrike w:val="0"/>
          <w:color w:val="auto"/>
          <w:sz w:val="24"/>
          <w:szCs w:val="24"/>
          <w:highlight w:val="none"/>
        </w:rPr>
      </w:pPr>
      <w:r>
        <w:rPr>
          <w:rFonts w:ascii="Times New Roman" w:hAnsi="Times New Roman" w:eastAsia="Times New Roman" w:cs="Times New Roman"/>
          <w:b/>
          <w:bCs/>
          <w:strike w:val="0"/>
          <w:dstrike w:val="0"/>
          <w:color w:val="auto"/>
          <w:spacing w:val="-4"/>
          <w:sz w:val="24"/>
          <w:szCs w:val="24"/>
          <w:highlight w:val="none"/>
        </w:rPr>
        <w:t>3.5.3</w:t>
      </w:r>
      <w:r>
        <w:rPr>
          <w:rFonts w:ascii="宋体" w:hAnsi="宋体" w:eastAsia="宋体" w:cs="宋体"/>
          <w:strike w:val="0"/>
          <w:dstrike w:val="0"/>
          <w:color w:val="auto"/>
          <w:spacing w:val="-4"/>
          <w:sz w:val="24"/>
          <w:szCs w:val="24"/>
          <w:highlight w:val="none"/>
        </w:rPr>
        <w:t>“近年完成的类似项目情况表”应附招标公告规定的业绩证明材料复制件，</w:t>
      </w:r>
      <w:r>
        <w:rPr>
          <w:rFonts w:ascii="宋体" w:hAnsi="宋体" w:eastAsia="宋体" w:cs="宋体"/>
          <w:strike w:val="0"/>
          <w:dstrike w:val="0"/>
          <w:color w:val="auto"/>
          <w:spacing w:val="7"/>
          <w:sz w:val="24"/>
          <w:szCs w:val="24"/>
          <w:highlight w:val="none"/>
        </w:rPr>
        <w:t xml:space="preserve"> </w:t>
      </w:r>
      <w:r>
        <w:rPr>
          <w:rFonts w:ascii="宋体" w:hAnsi="宋体" w:eastAsia="宋体" w:cs="宋体"/>
          <w:strike w:val="0"/>
          <w:dstrike w:val="0"/>
          <w:color w:val="auto"/>
          <w:spacing w:val="-1"/>
          <w:sz w:val="24"/>
          <w:szCs w:val="24"/>
          <w:highlight w:val="none"/>
        </w:rPr>
        <w:t>具体年份要求见投标人须知前附表。每张表格只</w:t>
      </w:r>
      <w:r>
        <w:rPr>
          <w:rFonts w:ascii="宋体" w:hAnsi="宋体" w:eastAsia="宋体" w:cs="宋体"/>
          <w:strike w:val="0"/>
          <w:dstrike w:val="0"/>
          <w:color w:val="auto"/>
          <w:spacing w:val="-2"/>
          <w:sz w:val="24"/>
          <w:szCs w:val="24"/>
          <w:highlight w:val="none"/>
        </w:rPr>
        <w:t>填写一个项目，并标明序号。</w:t>
      </w:r>
    </w:p>
    <w:p w14:paraId="55A7750B">
      <w:pPr>
        <w:spacing w:before="183" w:line="289" w:lineRule="auto"/>
        <w:ind w:left="5" w:right="38" w:firstLine="476"/>
        <w:rPr>
          <w:rFonts w:ascii="宋体" w:hAnsi="宋体" w:eastAsia="宋体" w:cs="宋体"/>
          <w:strike w:val="0"/>
          <w:dstrike w:val="0"/>
          <w:color w:val="auto"/>
          <w:sz w:val="24"/>
          <w:szCs w:val="24"/>
          <w:highlight w:val="none"/>
        </w:rPr>
      </w:pPr>
      <w:r>
        <w:rPr>
          <w:rFonts w:ascii="Times New Roman" w:hAnsi="Times New Roman" w:eastAsia="Times New Roman" w:cs="Times New Roman"/>
          <w:b/>
          <w:bCs/>
          <w:strike w:val="0"/>
          <w:dstrike w:val="0"/>
          <w:color w:val="auto"/>
          <w:spacing w:val="-4"/>
          <w:sz w:val="24"/>
          <w:szCs w:val="24"/>
          <w:highlight w:val="none"/>
        </w:rPr>
        <w:t>3.5.4</w:t>
      </w:r>
      <w:r>
        <w:rPr>
          <w:rFonts w:ascii="宋体" w:hAnsi="宋体" w:eastAsia="宋体" w:cs="宋体"/>
          <w:strike w:val="0"/>
          <w:dstrike w:val="0"/>
          <w:color w:val="auto"/>
          <w:spacing w:val="-4"/>
          <w:sz w:val="24"/>
          <w:szCs w:val="24"/>
          <w:highlight w:val="none"/>
        </w:rPr>
        <w:t>“正在施工和新承接的项目情况表”应附中标通知书或合同协议书复制件。</w:t>
      </w:r>
      <w:r>
        <w:rPr>
          <w:rFonts w:ascii="宋体" w:hAnsi="宋体" w:eastAsia="宋体" w:cs="宋体"/>
          <w:strike w:val="0"/>
          <w:dstrike w:val="0"/>
          <w:color w:val="auto"/>
          <w:spacing w:val="16"/>
          <w:sz w:val="24"/>
          <w:szCs w:val="24"/>
          <w:highlight w:val="none"/>
        </w:rPr>
        <w:t xml:space="preserve"> </w:t>
      </w:r>
      <w:r>
        <w:rPr>
          <w:rFonts w:ascii="宋体" w:hAnsi="宋体" w:eastAsia="宋体" w:cs="宋体"/>
          <w:strike w:val="0"/>
          <w:dstrike w:val="0"/>
          <w:color w:val="auto"/>
          <w:spacing w:val="-3"/>
          <w:sz w:val="24"/>
          <w:szCs w:val="24"/>
          <w:highlight w:val="none"/>
        </w:rPr>
        <w:t>每张表格只填写一个项目，并标明序号。</w:t>
      </w:r>
    </w:p>
    <w:p w14:paraId="774AD503">
      <w:pPr>
        <w:spacing w:before="182" w:line="289" w:lineRule="auto"/>
        <w:ind w:left="4" w:right="1" w:firstLine="477"/>
        <w:rPr>
          <w:rFonts w:ascii="宋体" w:hAnsi="宋体" w:eastAsia="宋体" w:cs="宋体"/>
          <w:strike w:val="0"/>
          <w:dstrike w:val="0"/>
          <w:color w:val="auto"/>
          <w:sz w:val="24"/>
          <w:szCs w:val="24"/>
          <w:highlight w:val="none"/>
        </w:rPr>
      </w:pPr>
      <w:r>
        <w:rPr>
          <w:rFonts w:ascii="Times New Roman" w:hAnsi="Times New Roman" w:eastAsia="Times New Roman" w:cs="Times New Roman"/>
          <w:b/>
          <w:bCs/>
          <w:strike w:val="0"/>
          <w:dstrike w:val="0"/>
          <w:color w:val="auto"/>
          <w:spacing w:val="-2"/>
          <w:sz w:val="24"/>
          <w:szCs w:val="24"/>
          <w:highlight w:val="none"/>
        </w:rPr>
        <w:t>3.5.5</w:t>
      </w:r>
      <w:r>
        <w:rPr>
          <w:rFonts w:ascii="宋体" w:hAnsi="宋体" w:eastAsia="宋体" w:cs="宋体"/>
          <w:strike w:val="0"/>
          <w:dstrike w:val="0"/>
          <w:color w:val="auto"/>
          <w:spacing w:val="-2"/>
          <w:sz w:val="24"/>
          <w:szCs w:val="24"/>
          <w:highlight w:val="none"/>
        </w:rPr>
        <w:t>投标人须知前附表规定接受联合体投标的，本章第</w:t>
      </w:r>
      <w:r>
        <w:rPr>
          <w:rFonts w:ascii="Times New Roman" w:hAnsi="Times New Roman" w:eastAsia="Times New Roman" w:cs="Times New Roman"/>
          <w:strike w:val="0"/>
          <w:dstrike w:val="0"/>
          <w:color w:val="auto"/>
          <w:spacing w:val="-2"/>
          <w:sz w:val="24"/>
          <w:szCs w:val="24"/>
          <w:highlight w:val="none"/>
        </w:rPr>
        <w:t>3.5.1</w:t>
      </w:r>
      <w:r>
        <w:rPr>
          <w:rFonts w:ascii="宋体" w:hAnsi="宋体" w:eastAsia="宋体" w:cs="宋体"/>
          <w:strike w:val="0"/>
          <w:dstrike w:val="0"/>
          <w:color w:val="auto"/>
          <w:spacing w:val="-2"/>
          <w:sz w:val="24"/>
          <w:szCs w:val="24"/>
          <w:highlight w:val="none"/>
        </w:rPr>
        <w:t>项</w:t>
      </w:r>
      <w:r>
        <w:rPr>
          <w:rFonts w:ascii="宋体" w:hAnsi="宋体" w:eastAsia="宋体" w:cs="宋体"/>
          <w:strike w:val="0"/>
          <w:dstrike w:val="0"/>
          <w:color w:val="auto"/>
          <w:spacing w:val="-3"/>
          <w:sz w:val="24"/>
          <w:szCs w:val="24"/>
          <w:highlight w:val="none"/>
        </w:rPr>
        <w:t>～第</w:t>
      </w:r>
      <w:r>
        <w:rPr>
          <w:rFonts w:ascii="Times New Roman" w:hAnsi="Times New Roman" w:eastAsia="Times New Roman" w:cs="Times New Roman"/>
          <w:strike w:val="0"/>
          <w:dstrike w:val="0"/>
          <w:color w:val="auto"/>
          <w:spacing w:val="-3"/>
          <w:sz w:val="24"/>
          <w:szCs w:val="24"/>
          <w:highlight w:val="none"/>
        </w:rPr>
        <w:t>3.5.4</w:t>
      </w:r>
      <w:r>
        <w:rPr>
          <w:rFonts w:ascii="宋体" w:hAnsi="宋体" w:eastAsia="宋体" w:cs="宋体"/>
          <w:strike w:val="0"/>
          <w:dstrike w:val="0"/>
          <w:color w:val="auto"/>
          <w:spacing w:val="-3"/>
          <w:sz w:val="24"/>
          <w:szCs w:val="24"/>
          <w:highlight w:val="none"/>
        </w:rPr>
        <w:t>项规定的</w:t>
      </w:r>
      <w:r>
        <w:rPr>
          <w:rFonts w:ascii="宋体" w:hAnsi="宋体" w:eastAsia="宋体" w:cs="宋体"/>
          <w:strike w:val="0"/>
          <w:dstrike w:val="0"/>
          <w:color w:val="auto"/>
          <w:sz w:val="24"/>
          <w:szCs w:val="24"/>
          <w:highlight w:val="none"/>
        </w:rPr>
        <w:t xml:space="preserve"> </w:t>
      </w:r>
      <w:r>
        <w:rPr>
          <w:rFonts w:ascii="宋体" w:hAnsi="宋体" w:eastAsia="宋体" w:cs="宋体"/>
          <w:strike w:val="0"/>
          <w:dstrike w:val="0"/>
          <w:color w:val="auto"/>
          <w:spacing w:val="-3"/>
          <w:sz w:val="24"/>
          <w:szCs w:val="24"/>
          <w:highlight w:val="none"/>
        </w:rPr>
        <w:t>表格和资料应包括联合体各方相关情况。</w:t>
      </w:r>
    </w:p>
    <w:p w14:paraId="4CBAA567">
      <w:pPr>
        <w:spacing w:before="182" w:line="220" w:lineRule="auto"/>
        <w:outlineLvl w:val="2"/>
        <w:rPr>
          <w:rFonts w:ascii="宋体" w:hAnsi="宋体" w:eastAsia="宋体" w:cs="宋体"/>
          <w:color w:val="auto"/>
          <w:sz w:val="24"/>
          <w:szCs w:val="24"/>
          <w:highlight w:val="none"/>
        </w:rPr>
      </w:pPr>
      <w:bookmarkStart w:id="145" w:name="bookmark99"/>
      <w:bookmarkEnd w:id="145"/>
      <w:bookmarkStart w:id="146" w:name="_Toc7202"/>
      <w:bookmarkStart w:id="147" w:name="_Toc22442"/>
      <w:r>
        <w:rPr>
          <w:rFonts w:ascii="Times New Roman" w:hAnsi="Times New Roman" w:eastAsia="Times New Roman" w:cs="Times New Roman"/>
          <w:b/>
          <w:bCs/>
          <w:color w:val="auto"/>
          <w:spacing w:val="-2"/>
          <w:sz w:val="24"/>
          <w:szCs w:val="24"/>
          <w:highlight w:val="none"/>
        </w:rPr>
        <w:t xml:space="preserve">3.6  </w:t>
      </w:r>
      <w:r>
        <w:rPr>
          <w:rFonts w:ascii="宋体" w:hAnsi="宋体" w:eastAsia="宋体" w:cs="宋体"/>
          <w:b/>
          <w:bCs/>
          <w:color w:val="auto"/>
          <w:spacing w:val="-2"/>
          <w:sz w:val="24"/>
          <w:szCs w:val="24"/>
          <w:highlight w:val="none"/>
        </w:rPr>
        <w:t>备选投标方案</w:t>
      </w:r>
      <w:bookmarkEnd w:id="146"/>
      <w:bookmarkEnd w:id="147"/>
    </w:p>
    <w:p w14:paraId="00EF4B53">
      <w:pPr>
        <w:spacing w:before="179" w:line="353" w:lineRule="auto"/>
        <w:ind w:left="4" w:right="1" w:firstLine="485"/>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除投标人须知前附表另有规定外，投标人不得递交备选投标方案。允许投标</w:t>
      </w:r>
      <w:r>
        <w:rPr>
          <w:rFonts w:ascii="宋体" w:hAnsi="宋体" w:eastAsia="宋体" w:cs="宋体"/>
          <w:color w:val="auto"/>
          <w:spacing w:val="-4"/>
          <w:sz w:val="24"/>
          <w:szCs w:val="24"/>
          <w:highlight w:val="none"/>
        </w:rPr>
        <w:t>人递</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交备选投标方案，只有中标人所递交的备选投标方案方可予以考虑。评标委员会认为</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中标人递交的备选投标方案优于其按照招标文件要求编制的投标方案时，招标人可以</w:t>
      </w:r>
      <w:r>
        <w:rPr>
          <w:rFonts w:ascii="宋体" w:hAnsi="宋体" w:eastAsia="宋体" w:cs="宋体"/>
          <w:color w:val="auto"/>
          <w:spacing w:val="10"/>
          <w:sz w:val="24"/>
          <w:szCs w:val="24"/>
          <w:highlight w:val="none"/>
        </w:rPr>
        <w:t xml:space="preserve"> </w:t>
      </w:r>
      <w:r>
        <w:rPr>
          <w:rFonts w:ascii="宋体" w:hAnsi="宋体" w:eastAsia="宋体" w:cs="宋体"/>
          <w:color w:val="auto"/>
          <w:spacing w:val="-4"/>
          <w:sz w:val="24"/>
          <w:szCs w:val="24"/>
          <w:highlight w:val="none"/>
        </w:rPr>
        <w:t>接受该备选投标方案。</w:t>
      </w:r>
    </w:p>
    <w:p w14:paraId="15CA5E55">
      <w:pPr>
        <w:spacing w:before="32" w:line="220" w:lineRule="auto"/>
        <w:outlineLvl w:val="2"/>
        <w:rPr>
          <w:rFonts w:ascii="宋体" w:hAnsi="宋体" w:eastAsia="宋体" w:cs="宋体"/>
          <w:color w:val="auto"/>
          <w:sz w:val="24"/>
          <w:szCs w:val="24"/>
          <w:highlight w:val="none"/>
        </w:rPr>
      </w:pPr>
      <w:bookmarkStart w:id="148" w:name="bookmark101"/>
      <w:bookmarkEnd w:id="148"/>
      <w:bookmarkStart w:id="149" w:name="_Toc14837"/>
      <w:bookmarkStart w:id="150" w:name="_Toc10797"/>
      <w:r>
        <w:rPr>
          <w:rFonts w:ascii="Times New Roman" w:hAnsi="Times New Roman" w:eastAsia="Times New Roman" w:cs="Times New Roman"/>
          <w:b/>
          <w:bCs/>
          <w:color w:val="auto"/>
          <w:spacing w:val="-2"/>
          <w:sz w:val="24"/>
          <w:szCs w:val="24"/>
          <w:highlight w:val="none"/>
        </w:rPr>
        <w:t xml:space="preserve">3.7  </w:t>
      </w:r>
      <w:r>
        <w:rPr>
          <w:rFonts w:ascii="宋体" w:hAnsi="宋体" w:eastAsia="宋体" w:cs="宋体"/>
          <w:b/>
          <w:bCs/>
          <w:color w:val="auto"/>
          <w:spacing w:val="-2"/>
          <w:sz w:val="24"/>
          <w:szCs w:val="24"/>
          <w:highlight w:val="none"/>
        </w:rPr>
        <w:t>投标文件的编制</w:t>
      </w:r>
      <w:bookmarkEnd w:id="149"/>
      <w:bookmarkEnd w:id="150"/>
    </w:p>
    <w:p w14:paraId="7C7BB857">
      <w:pPr>
        <w:spacing w:before="180" w:line="313" w:lineRule="auto"/>
        <w:ind w:left="7" w:right="1" w:firstLine="47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3.7.1  </w:t>
      </w:r>
      <w:r>
        <w:rPr>
          <w:rFonts w:ascii="宋体" w:hAnsi="宋体" w:eastAsia="宋体" w:cs="宋体"/>
          <w:color w:val="auto"/>
          <w:spacing w:val="1"/>
          <w:sz w:val="24"/>
          <w:szCs w:val="24"/>
          <w:highlight w:val="none"/>
        </w:rPr>
        <w:t>投标文件应按第八章“投标文件</w:t>
      </w:r>
      <w:r>
        <w:rPr>
          <w:rFonts w:ascii="宋体" w:hAnsi="宋体" w:eastAsia="宋体" w:cs="宋体"/>
          <w:color w:val="auto"/>
          <w:sz w:val="24"/>
          <w:szCs w:val="24"/>
          <w:highlight w:val="none"/>
        </w:rPr>
        <w:t xml:space="preserve">格式”进行编写，如有必要，可以增加附 </w:t>
      </w:r>
      <w:r>
        <w:rPr>
          <w:rFonts w:ascii="宋体" w:hAnsi="宋体" w:eastAsia="宋体" w:cs="宋体"/>
          <w:color w:val="auto"/>
          <w:spacing w:val="-6"/>
          <w:sz w:val="24"/>
          <w:szCs w:val="24"/>
          <w:highlight w:val="none"/>
        </w:rPr>
        <w:t>页，作为投标文件的组成部分。其中，投标函附录在满足招标文件实质性要求的基础</w:t>
      </w:r>
      <w:r>
        <w:rPr>
          <w:rFonts w:ascii="宋体" w:hAnsi="宋体" w:eastAsia="宋体" w:cs="宋体"/>
          <w:color w:val="auto"/>
          <w:spacing w:val="-2"/>
          <w:sz w:val="24"/>
          <w:szCs w:val="24"/>
          <w:highlight w:val="none"/>
        </w:rPr>
        <w:t>上</w:t>
      </w:r>
      <w:r>
        <w:rPr>
          <w:rFonts w:hint="eastAsia" w:ascii="宋体" w:hAnsi="宋体" w:eastAsia="宋体" w:cs="宋体"/>
          <w:color w:val="auto"/>
          <w:spacing w:val="-2"/>
          <w:sz w:val="24"/>
          <w:szCs w:val="24"/>
          <w:highlight w:val="none"/>
          <w:lang w:eastAsia="zh-CN"/>
        </w:rPr>
        <w:t>，</w:t>
      </w:r>
      <w:r>
        <w:rPr>
          <w:rFonts w:ascii="宋体" w:hAnsi="宋体" w:eastAsia="宋体" w:cs="宋体"/>
          <w:color w:val="auto"/>
          <w:spacing w:val="-2"/>
          <w:sz w:val="24"/>
          <w:szCs w:val="24"/>
          <w:highlight w:val="none"/>
        </w:rPr>
        <w:t>可以提出比招标文件要求更有利于招标人的承诺。</w:t>
      </w:r>
    </w:p>
    <w:p w14:paraId="7C856712">
      <w:pPr>
        <w:spacing w:before="183" w:line="289" w:lineRule="auto"/>
        <w:ind w:left="6" w:right="1" w:firstLine="475"/>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3.7.2  </w:t>
      </w:r>
      <w:r>
        <w:rPr>
          <w:rFonts w:ascii="宋体" w:hAnsi="宋体" w:eastAsia="宋体" w:cs="宋体"/>
          <w:color w:val="auto"/>
          <w:spacing w:val="1"/>
          <w:sz w:val="24"/>
          <w:szCs w:val="24"/>
          <w:highlight w:val="none"/>
        </w:rPr>
        <w:t>投标文件应当对招标文件有关工</w:t>
      </w:r>
      <w:r>
        <w:rPr>
          <w:rFonts w:ascii="宋体" w:hAnsi="宋体" w:eastAsia="宋体" w:cs="宋体"/>
          <w:color w:val="auto"/>
          <w:sz w:val="24"/>
          <w:szCs w:val="24"/>
          <w:highlight w:val="none"/>
        </w:rPr>
        <w:t xml:space="preserve">期、投标有效期、质量要求、技术标准和 </w:t>
      </w:r>
      <w:r>
        <w:rPr>
          <w:rFonts w:ascii="宋体" w:hAnsi="宋体" w:eastAsia="宋体" w:cs="宋体"/>
          <w:color w:val="auto"/>
          <w:spacing w:val="-3"/>
          <w:sz w:val="24"/>
          <w:szCs w:val="24"/>
          <w:highlight w:val="none"/>
        </w:rPr>
        <w:t>要求、招标范围等实质性内容作出响应。</w:t>
      </w:r>
    </w:p>
    <w:p w14:paraId="73F4E7C6">
      <w:pPr>
        <w:spacing w:before="182" w:line="219"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3.7.3  </w:t>
      </w:r>
      <w:r>
        <w:rPr>
          <w:rFonts w:ascii="宋体" w:hAnsi="宋体" w:eastAsia="宋体" w:cs="宋体"/>
          <w:color w:val="auto"/>
          <w:spacing w:val="-2"/>
          <w:sz w:val="24"/>
          <w:szCs w:val="24"/>
          <w:highlight w:val="none"/>
        </w:rPr>
        <w:t>投标文件制作具体要求见投标人须知前附表。</w:t>
      </w:r>
    </w:p>
    <w:p w14:paraId="2EB5B6EE">
      <w:pPr>
        <w:spacing w:before="181" w:line="219"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3.7.4  </w:t>
      </w:r>
      <w:r>
        <w:rPr>
          <w:rFonts w:ascii="宋体" w:hAnsi="宋体" w:eastAsia="宋体" w:cs="宋体"/>
          <w:color w:val="auto"/>
          <w:spacing w:val="-2"/>
          <w:sz w:val="24"/>
          <w:szCs w:val="24"/>
          <w:highlight w:val="none"/>
        </w:rPr>
        <w:t>投标文件份数的具体要求见投标人须知前附表。</w:t>
      </w:r>
    </w:p>
    <w:p w14:paraId="6A5F0DB1">
      <w:pPr>
        <w:spacing w:before="309" w:line="221" w:lineRule="auto"/>
        <w:ind w:left="3"/>
        <w:outlineLvl w:val="1"/>
        <w:rPr>
          <w:rFonts w:ascii="宋体" w:hAnsi="宋体" w:eastAsia="宋体" w:cs="宋体"/>
          <w:color w:val="auto"/>
          <w:sz w:val="28"/>
          <w:szCs w:val="28"/>
          <w:highlight w:val="none"/>
        </w:rPr>
      </w:pPr>
      <w:bookmarkStart w:id="151" w:name="bookmark103"/>
      <w:bookmarkEnd w:id="151"/>
      <w:bookmarkStart w:id="152" w:name="_Toc12403"/>
      <w:bookmarkStart w:id="153" w:name="_Toc12172"/>
      <w:r>
        <w:rPr>
          <w:rFonts w:ascii="Times New Roman" w:hAnsi="Times New Roman" w:eastAsia="Times New Roman" w:cs="Times New Roman"/>
          <w:b/>
          <w:bCs/>
          <w:color w:val="auto"/>
          <w:spacing w:val="-7"/>
          <w:sz w:val="28"/>
          <w:szCs w:val="28"/>
          <w:highlight w:val="none"/>
        </w:rPr>
        <w:t>4</w:t>
      </w:r>
      <w:r>
        <w:rPr>
          <w:rFonts w:ascii="Times New Roman" w:hAnsi="Times New Roman" w:eastAsia="Times New Roman" w:cs="Times New Roman"/>
          <w:b/>
          <w:bCs/>
          <w:color w:val="auto"/>
          <w:spacing w:val="7"/>
          <w:sz w:val="28"/>
          <w:szCs w:val="28"/>
          <w:highlight w:val="none"/>
        </w:rPr>
        <w:t xml:space="preserve">  </w:t>
      </w:r>
      <w:r>
        <w:rPr>
          <w:rFonts w:ascii="宋体" w:hAnsi="宋体" w:eastAsia="宋体" w:cs="宋体"/>
          <w:b/>
          <w:bCs/>
          <w:color w:val="auto"/>
          <w:spacing w:val="-7"/>
          <w:sz w:val="28"/>
          <w:szCs w:val="28"/>
          <w:highlight w:val="none"/>
        </w:rPr>
        <w:t>投标</w:t>
      </w:r>
      <w:bookmarkEnd w:id="152"/>
      <w:bookmarkEnd w:id="153"/>
    </w:p>
    <w:p w14:paraId="27B997AE">
      <w:pPr>
        <w:pStyle w:val="3"/>
        <w:spacing w:line="244" w:lineRule="auto"/>
        <w:rPr>
          <w:color w:val="auto"/>
          <w:highlight w:val="none"/>
        </w:rPr>
      </w:pPr>
    </w:p>
    <w:p w14:paraId="2572F6D0">
      <w:pPr>
        <w:spacing w:before="78" w:line="220" w:lineRule="auto"/>
        <w:ind w:left="2"/>
        <w:outlineLvl w:val="2"/>
        <w:rPr>
          <w:rFonts w:ascii="宋体" w:hAnsi="宋体" w:eastAsia="宋体" w:cs="宋体"/>
          <w:color w:val="auto"/>
          <w:sz w:val="24"/>
          <w:szCs w:val="24"/>
          <w:highlight w:val="none"/>
        </w:rPr>
      </w:pPr>
      <w:bookmarkStart w:id="154" w:name="bookmark105"/>
      <w:bookmarkEnd w:id="154"/>
      <w:bookmarkStart w:id="155" w:name="_Toc2009"/>
      <w:bookmarkStart w:id="156" w:name="_Toc24208"/>
      <w:r>
        <w:rPr>
          <w:rFonts w:ascii="Times New Roman" w:hAnsi="Times New Roman" w:eastAsia="Times New Roman" w:cs="Times New Roman"/>
          <w:b/>
          <w:bCs/>
          <w:color w:val="auto"/>
          <w:spacing w:val="-2"/>
          <w:sz w:val="24"/>
          <w:szCs w:val="24"/>
          <w:highlight w:val="none"/>
        </w:rPr>
        <w:t xml:space="preserve">4.1  </w:t>
      </w:r>
      <w:r>
        <w:rPr>
          <w:rFonts w:ascii="宋体" w:hAnsi="宋体" w:eastAsia="宋体" w:cs="宋体"/>
          <w:b/>
          <w:bCs/>
          <w:color w:val="auto"/>
          <w:spacing w:val="-2"/>
          <w:sz w:val="24"/>
          <w:szCs w:val="24"/>
          <w:highlight w:val="none"/>
        </w:rPr>
        <w:t>投标文件的密封和标识</w:t>
      </w:r>
      <w:bookmarkEnd w:id="155"/>
      <w:bookmarkEnd w:id="156"/>
    </w:p>
    <w:p w14:paraId="5C318B82">
      <w:pPr>
        <w:spacing w:before="179" w:line="347" w:lineRule="auto"/>
        <w:ind w:left="8" w:right="1" w:firstLine="480"/>
        <w:rPr>
          <w:rFonts w:ascii="宋体" w:hAnsi="宋体" w:eastAsia="宋体" w:cs="宋体"/>
          <w:strike w:val="0"/>
          <w:color w:val="auto"/>
          <w:sz w:val="24"/>
          <w:szCs w:val="24"/>
          <w:highlight w:val="none"/>
        </w:rPr>
      </w:pPr>
      <w:r>
        <w:rPr>
          <w:rFonts w:ascii="宋体" w:hAnsi="宋体" w:eastAsia="宋体" w:cs="宋体"/>
          <w:color w:val="auto"/>
          <w:sz w:val="24"/>
          <w:szCs w:val="24"/>
          <w:highlight w:val="none"/>
        </w:rPr>
        <w:t>投标文件应按照本章第</w:t>
      </w:r>
      <w:r>
        <w:rPr>
          <w:rFonts w:ascii="Times New Roman" w:hAnsi="Times New Roman" w:eastAsia="Times New Roman" w:cs="Times New Roman"/>
          <w:color w:val="auto"/>
          <w:sz w:val="24"/>
          <w:szCs w:val="24"/>
          <w:highlight w:val="none"/>
        </w:rPr>
        <w:t xml:space="preserve">3.7.3  </w:t>
      </w:r>
      <w:r>
        <w:rPr>
          <w:rFonts w:ascii="宋体" w:hAnsi="宋体" w:eastAsia="宋体" w:cs="宋体"/>
          <w:color w:val="auto"/>
          <w:sz w:val="24"/>
          <w:szCs w:val="24"/>
          <w:highlight w:val="none"/>
        </w:rPr>
        <w:t>项要求制作投标文件</w:t>
      </w:r>
      <w:r>
        <w:rPr>
          <w:rFonts w:ascii="宋体" w:hAnsi="宋体" w:eastAsia="宋体" w:cs="宋体"/>
          <w:strike w:val="0"/>
          <w:dstrike w:val="0"/>
          <w:color w:val="auto"/>
          <w:sz w:val="24"/>
          <w:szCs w:val="24"/>
          <w:highlight w:val="none"/>
        </w:rPr>
        <w:t>，并在投标时上传加密的电子</w:t>
      </w:r>
      <w:r>
        <w:rPr>
          <w:rFonts w:ascii="宋体" w:hAnsi="宋体" w:eastAsia="宋体" w:cs="宋体"/>
          <w:strike w:val="0"/>
          <w:dstrike w:val="0"/>
          <w:color w:val="auto"/>
          <w:spacing w:val="15"/>
          <w:sz w:val="24"/>
          <w:szCs w:val="24"/>
          <w:highlight w:val="none"/>
        </w:rPr>
        <w:t xml:space="preserve"> </w:t>
      </w:r>
      <w:r>
        <w:rPr>
          <w:rFonts w:ascii="宋体" w:hAnsi="宋体" w:eastAsia="宋体" w:cs="宋体"/>
          <w:strike w:val="0"/>
          <w:dstrike w:val="0"/>
          <w:color w:val="auto"/>
          <w:spacing w:val="-9"/>
          <w:sz w:val="24"/>
          <w:szCs w:val="24"/>
          <w:highlight w:val="none"/>
        </w:rPr>
        <w:t>投标文件。未按要求加密的投标文件，招标人（</w:t>
      </w:r>
      <w:r>
        <w:rPr>
          <w:rFonts w:ascii="Times New Roman" w:hAnsi="Times New Roman" w:eastAsia="Times New Roman" w:cs="Times New Roman"/>
          <w:strike w:val="0"/>
          <w:dstrike w:val="0"/>
          <w:color w:val="auto"/>
          <w:spacing w:val="-9"/>
          <w:sz w:val="24"/>
          <w:szCs w:val="24"/>
          <w:highlight w:val="none"/>
        </w:rPr>
        <w:t>“</w:t>
      </w:r>
      <w:r>
        <w:rPr>
          <w:rFonts w:ascii="宋体" w:hAnsi="宋体" w:eastAsia="宋体" w:cs="宋体"/>
          <w:strike w:val="0"/>
          <w:dstrike w:val="0"/>
          <w:color w:val="auto"/>
          <w:spacing w:val="-9"/>
          <w:sz w:val="24"/>
          <w:szCs w:val="24"/>
          <w:highlight w:val="none"/>
        </w:rPr>
        <w:t>电子交易平台</w:t>
      </w:r>
      <w:r>
        <w:rPr>
          <w:rFonts w:ascii="Times New Roman" w:hAnsi="Times New Roman" w:eastAsia="Times New Roman" w:cs="Times New Roman"/>
          <w:strike w:val="0"/>
          <w:dstrike w:val="0"/>
          <w:color w:val="auto"/>
          <w:spacing w:val="-9"/>
          <w:sz w:val="24"/>
          <w:szCs w:val="24"/>
          <w:highlight w:val="none"/>
        </w:rPr>
        <w:t>”</w:t>
      </w:r>
      <w:r>
        <w:rPr>
          <w:rFonts w:ascii="宋体" w:hAnsi="宋体" w:eastAsia="宋体" w:cs="宋体"/>
          <w:strike w:val="0"/>
          <w:dstrike w:val="0"/>
          <w:color w:val="auto"/>
          <w:spacing w:val="-9"/>
          <w:sz w:val="24"/>
          <w:szCs w:val="24"/>
          <w:highlight w:val="none"/>
        </w:rPr>
        <w:t>）将拒绝接收并提示。</w:t>
      </w:r>
    </w:p>
    <w:p w14:paraId="40627498">
      <w:pPr>
        <w:spacing w:before="32" w:line="220" w:lineRule="auto"/>
        <w:ind w:left="2"/>
        <w:outlineLvl w:val="2"/>
        <w:rPr>
          <w:rFonts w:ascii="宋体" w:hAnsi="宋体" w:eastAsia="宋体" w:cs="宋体"/>
          <w:color w:val="auto"/>
          <w:sz w:val="24"/>
          <w:szCs w:val="24"/>
          <w:highlight w:val="none"/>
        </w:rPr>
      </w:pPr>
      <w:bookmarkStart w:id="157" w:name="bookmark107"/>
      <w:bookmarkEnd w:id="157"/>
      <w:bookmarkStart w:id="158" w:name="_Toc12953"/>
      <w:bookmarkStart w:id="159" w:name="_Toc4273"/>
      <w:r>
        <w:rPr>
          <w:rFonts w:ascii="Times New Roman" w:hAnsi="Times New Roman" w:eastAsia="Times New Roman" w:cs="Times New Roman"/>
          <w:b/>
          <w:bCs/>
          <w:color w:val="auto"/>
          <w:spacing w:val="-2"/>
          <w:sz w:val="24"/>
          <w:szCs w:val="24"/>
          <w:highlight w:val="none"/>
        </w:rPr>
        <w:t xml:space="preserve">4.2  </w:t>
      </w:r>
      <w:r>
        <w:rPr>
          <w:rFonts w:ascii="宋体" w:hAnsi="宋体" w:eastAsia="宋体" w:cs="宋体"/>
          <w:b/>
          <w:bCs/>
          <w:color w:val="auto"/>
          <w:spacing w:val="-2"/>
          <w:sz w:val="24"/>
          <w:szCs w:val="24"/>
          <w:highlight w:val="none"/>
        </w:rPr>
        <w:t>投标文件的递交</w:t>
      </w:r>
      <w:bookmarkEnd w:id="158"/>
      <w:bookmarkEnd w:id="159"/>
    </w:p>
    <w:p w14:paraId="16145714">
      <w:pPr>
        <w:spacing w:before="182"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4.2.1  </w:t>
      </w:r>
      <w:r>
        <w:rPr>
          <w:rFonts w:ascii="宋体" w:hAnsi="宋体" w:eastAsia="宋体" w:cs="宋体"/>
          <w:color w:val="auto"/>
          <w:spacing w:val="-1"/>
          <w:sz w:val="24"/>
          <w:szCs w:val="24"/>
          <w:highlight w:val="none"/>
        </w:rPr>
        <w:t>投标人应在本章第</w:t>
      </w:r>
      <w:r>
        <w:rPr>
          <w:rFonts w:ascii="Times New Roman" w:hAnsi="Times New Roman" w:eastAsia="Times New Roman" w:cs="Times New Roman"/>
          <w:color w:val="auto"/>
          <w:spacing w:val="-1"/>
          <w:sz w:val="24"/>
          <w:szCs w:val="24"/>
          <w:highlight w:val="none"/>
        </w:rPr>
        <w:t>1.10.3</w:t>
      </w:r>
      <w:r>
        <w:rPr>
          <w:rFonts w:ascii="宋体" w:hAnsi="宋体" w:eastAsia="宋体" w:cs="宋体"/>
          <w:color w:val="auto"/>
          <w:spacing w:val="-1"/>
          <w:sz w:val="24"/>
          <w:szCs w:val="24"/>
          <w:highlight w:val="none"/>
        </w:rPr>
        <w:t>项规定的投标截止时间前递交投标文件。</w:t>
      </w:r>
    </w:p>
    <w:p w14:paraId="53C490D6">
      <w:pPr>
        <w:spacing w:before="181"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4.2.2  </w:t>
      </w:r>
      <w:r>
        <w:rPr>
          <w:rFonts w:ascii="宋体" w:hAnsi="宋体" w:eastAsia="宋体" w:cs="宋体"/>
          <w:color w:val="auto"/>
          <w:spacing w:val="-1"/>
          <w:sz w:val="24"/>
          <w:szCs w:val="24"/>
          <w:highlight w:val="none"/>
        </w:rPr>
        <w:t>投标人递交投标文件的方式和地点见投</w:t>
      </w:r>
      <w:r>
        <w:rPr>
          <w:rFonts w:ascii="宋体" w:hAnsi="宋体" w:eastAsia="宋体" w:cs="宋体"/>
          <w:color w:val="auto"/>
          <w:spacing w:val="-2"/>
          <w:sz w:val="24"/>
          <w:szCs w:val="24"/>
          <w:highlight w:val="none"/>
        </w:rPr>
        <w:t>标人须知前附表。</w:t>
      </w:r>
    </w:p>
    <w:p w14:paraId="343E2855">
      <w:pPr>
        <w:spacing w:before="183" w:line="220"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4.2.3  </w:t>
      </w:r>
      <w:r>
        <w:rPr>
          <w:rFonts w:ascii="宋体" w:hAnsi="宋体" w:eastAsia="宋体" w:cs="宋体"/>
          <w:color w:val="auto"/>
          <w:spacing w:val="-2"/>
          <w:sz w:val="24"/>
          <w:szCs w:val="24"/>
          <w:highlight w:val="none"/>
        </w:rPr>
        <w:t>投标人所递交的投标文件不予退还。</w:t>
      </w:r>
    </w:p>
    <w:p w14:paraId="5A1BC85B">
      <w:pPr>
        <w:spacing w:before="47" w:line="219" w:lineRule="auto"/>
        <w:ind w:left="26" w:firstLine="484" w:firstLineChars="200"/>
        <w:rPr>
          <w:rFonts w:ascii="宋体" w:hAnsi="宋体" w:eastAsia="宋体" w:cs="宋体"/>
          <w:strike w:val="0"/>
          <w:dstrike w:val="0"/>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4.2.4 </w:t>
      </w:r>
      <w:r>
        <w:rPr>
          <w:rFonts w:ascii="Times New Roman" w:hAnsi="Times New Roman" w:eastAsia="Times New Roman" w:cs="Times New Roman"/>
          <w:b/>
          <w:bCs/>
          <w:strike w:val="0"/>
          <w:dstrike w:val="0"/>
          <w:color w:val="auto"/>
          <w:spacing w:val="1"/>
          <w:sz w:val="24"/>
          <w:szCs w:val="24"/>
          <w:highlight w:val="none"/>
        </w:rPr>
        <w:t xml:space="preserve"> </w:t>
      </w:r>
      <w:r>
        <w:rPr>
          <w:rFonts w:ascii="宋体" w:hAnsi="宋体" w:eastAsia="宋体" w:cs="宋体"/>
          <w:strike w:val="0"/>
          <w:dstrike w:val="0"/>
          <w:color w:val="auto"/>
          <w:spacing w:val="1"/>
          <w:sz w:val="24"/>
          <w:szCs w:val="24"/>
          <w:highlight w:val="none"/>
        </w:rPr>
        <w:t>投标人完成电子投标文件上</w:t>
      </w:r>
      <w:r>
        <w:rPr>
          <w:rFonts w:ascii="宋体" w:hAnsi="宋体" w:eastAsia="宋体" w:cs="宋体"/>
          <w:strike w:val="0"/>
          <w:dstrike w:val="0"/>
          <w:color w:val="auto"/>
          <w:sz w:val="24"/>
          <w:szCs w:val="24"/>
          <w:highlight w:val="none"/>
        </w:rPr>
        <w:t>传后，电子招标投标交易平台即时向投标人发</w:t>
      </w:r>
    </w:p>
    <w:p w14:paraId="1BF461B7">
      <w:pPr>
        <w:spacing w:before="47" w:line="219" w:lineRule="auto"/>
        <w:ind w:left="26"/>
        <w:rPr>
          <w:rFonts w:ascii="宋体" w:hAnsi="宋体" w:eastAsia="宋体" w:cs="宋体"/>
          <w:strike w:val="0"/>
          <w:dstrike w:val="0"/>
          <w:color w:val="auto"/>
          <w:sz w:val="24"/>
          <w:szCs w:val="24"/>
          <w:highlight w:val="none"/>
        </w:rPr>
      </w:pPr>
      <w:r>
        <w:rPr>
          <w:rFonts w:ascii="宋体" w:hAnsi="宋体" w:eastAsia="宋体" w:cs="宋体"/>
          <w:strike w:val="0"/>
          <w:dstrike w:val="0"/>
          <w:color w:val="auto"/>
          <w:spacing w:val="-2"/>
          <w:sz w:val="24"/>
          <w:szCs w:val="24"/>
          <w:highlight w:val="none"/>
        </w:rPr>
        <w:t>出递交回执通知。递交时间以递交回执通知载明的传输完成时间为</w:t>
      </w:r>
      <w:r>
        <w:rPr>
          <w:rFonts w:ascii="宋体" w:hAnsi="宋体" w:eastAsia="宋体" w:cs="宋体"/>
          <w:strike w:val="0"/>
          <w:dstrike w:val="0"/>
          <w:color w:val="auto"/>
          <w:spacing w:val="-3"/>
          <w:sz w:val="24"/>
          <w:szCs w:val="24"/>
          <w:highlight w:val="none"/>
        </w:rPr>
        <w:t>准。</w:t>
      </w:r>
    </w:p>
    <w:p w14:paraId="007B54C2">
      <w:pPr>
        <w:spacing w:before="183"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4.2.5  </w:t>
      </w:r>
      <w:r>
        <w:rPr>
          <w:rFonts w:ascii="宋体" w:hAnsi="宋体" w:eastAsia="宋体" w:cs="宋体"/>
          <w:color w:val="auto"/>
          <w:spacing w:val="-1"/>
          <w:sz w:val="24"/>
          <w:szCs w:val="24"/>
          <w:highlight w:val="none"/>
        </w:rPr>
        <w:t>当出现投标人须知前附表规定的任何一种情形的，其投标文件将被拒收。</w:t>
      </w:r>
    </w:p>
    <w:p w14:paraId="7DA83D8D">
      <w:pPr>
        <w:spacing w:before="180" w:line="220" w:lineRule="auto"/>
        <w:ind w:left="2"/>
        <w:outlineLvl w:val="2"/>
        <w:rPr>
          <w:rFonts w:ascii="宋体" w:hAnsi="宋体" w:eastAsia="宋体" w:cs="宋体"/>
          <w:color w:val="auto"/>
          <w:sz w:val="24"/>
          <w:szCs w:val="24"/>
          <w:highlight w:val="none"/>
        </w:rPr>
      </w:pPr>
      <w:bookmarkStart w:id="160" w:name="bookmark109"/>
      <w:bookmarkEnd w:id="160"/>
      <w:bookmarkStart w:id="161" w:name="_Toc8191"/>
      <w:bookmarkStart w:id="162" w:name="_Toc8689"/>
      <w:r>
        <w:rPr>
          <w:rFonts w:ascii="Times New Roman" w:hAnsi="Times New Roman" w:eastAsia="Times New Roman" w:cs="Times New Roman"/>
          <w:b/>
          <w:bCs/>
          <w:color w:val="auto"/>
          <w:spacing w:val="-2"/>
          <w:sz w:val="24"/>
          <w:szCs w:val="24"/>
          <w:highlight w:val="none"/>
        </w:rPr>
        <w:t xml:space="preserve">4.3  </w:t>
      </w:r>
      <w:r>
        <w:rPr>
          <w:rFonts w:ascii="宋体" w:hAnsi="宋体" w:eastAsia="宋体" w:cs="宋体"/>
          <w:b/>
          <w:bCs/>
          <w:color w:val="auto"/>
          <w:spacing w:val="-2"/>
          <w:sz w:val="24"/>
          <w:szCs w:val="24"/>
          <w:highlight w:val="none"/>
        </w:rPr>
        <w:t>投标文件的修改与撤回</w:t>
      </w:r>
      <w:bookmarkEnd w:id="161"/>
      <w:bookmarkEnd w:id="162"/>
    </w:p>
    <w:p w14:paraId="1A34D32D">
      <w:pPr>
        <w:spacing w:before="182" w:line="289" w:lineRule="auto"/>
        <w:ind w:left="8" w:right="4" w:firstLine="476"/>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4.3.1  </w:t>
      </w:r>
      <w:r>
        <w:rPr>
          <w:rFonts w:ascii="宋体" w:hAnsi="宋体" w:eastAsia="宋体" w:cs="宋体"/>
          <w:color w:val="auto"/>
          <w:spacing w:val="-2"/>
          <w:sz w:val="24"/>
          <w:szCs w:val="24"/>
          <w:highlight w:val="none"/>
        </w:rPr>
        <w:t>在本章第</w:t>
      </w:r>
      <w:r>
        <w:rPr>
          <w:rFonts w:ascii="Times New Roman" w:hAnsi="Times New Roman" w:eastAsia="Times New Roman" w:cs="Times New Roman"/>
          <w:color w:val="auto"/>
          <w:spacing w:val="-2"/>
          <w:sz w:val="24"/>
          <w:szCs w:val="24"/>
          <w:highlight w:val="none"/>
        </w:rPr>
        <w:t>1.10.3</w:t>
      </w:r>
      <w:r>
        <w:rPr>
          <w:rFonts w:ascii="宋体" w:hAnsi="宋体" w:eastAsia="宋体" w:cs="宋体"/>
          <w:color w:val="auto"/>
          <w:spacing w:val="-2"/>
          <w:sz w:val="24"/>
          <w:szCs w:val="24"/>
          <w:highlight w:val="none"/>
        </w:rPr>
        <w:t>项规定的投标截止时间前</w:t>
      </w:r>
      <w:r>
        <w:rPr>
          <w:rFonts w:ascii="宋体" w:hAnsi="宋体" w:eastAsia="宋体" w:cs="宋体"/>
          <w:color w:val="auto"/>
          <w:spacing w:val="-3"/>
          <w:sz w:val="24"/>
          <w:szCs w:val="24"/>
          <w:highlight w:val="none"/>
        </w:rPr>
        <w:t>，投标人可以修改或撤回已递交的</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投标文件。</w:t>
      </w:r>
    </w:p>
    <w:p w14:paraId="1E99A375">
      <w:pPr>
        <w:spacing w:before="180" w:line="313" w:lineRule="auto"/>
        <w:ind w:left="6" w:firstLine="478"/>
        <w:rPr>
          <w:rFonts w:ascii="宋体" w:hAnsi="宋体" w:eastAsia="宋体" w:cs="宋体"/>
          <w:color w:val="auto"/>
          <w:sz w:val="24"/>
          <w:szCs w:val="24"/>
          <w:highlight w:val="none"/>
        </w:rPr>
      </w:pPr>
      <w:r>
        <w:rPr>
          <w:rFonts w:ascii="Times New Roman" w:hAnsi="Times New Roman" w:eastAsia="Times New Roman" w:cs="Times New Roman"/>
          <w:b/>
          <w:bCs/>
          <w:strike w:val="0"/>
          <w:dstrike w:val="0"/>
          <w:color w:val="auto"/>
          <w:spacing w:val="1"/>
          <w:sz w:val="24"/>
          <w:szCs w:val="24"/>
          <w:highlight w:val="none"/>
        </w:rPr>
        <w:t xml:space="preserve">4.3.2  </w:t>
      </w:r>
      <w:r>
        <w:rPr>
          <w:rFonts w:ascii="宋体" w:hAnsi="宋体" w:eastAsia="宋体" w:cs="宋体"/>
          <w:strike w:val="0"/>
          <w:dstrike w:val="0"/>
          <w:color w:val="auto"/>
          <w:spacing w:val="1"/>
          <w:sz w:val="24"/>
          <w:szCs w:val="24"/>
          <w:highlight w:val="none"/>
        </w:rPr>
        <w:t>投标人修改已递交投标文件时，应先在</w:t>
      </w:r>
      <w:r>
        <w:rPr>
          <w:rFonts w:ascii="宋体" w:hAnsi="宋体" w:eastAsia="宋体" w:cs="宋体"/>
          <w:strike w:val="0"/>
          <w:dstrike w:val="0"/>
          <w:color w:val="auto"/>
          <w:sz w:val="24"/>
          <w:szCs w:val="24"/>
          <w:highlight w:val="none"/>
        </w:rPr>
        <w:t xml:space="preserve">交易平台对原投标文件进行撤回操 </w:t>
      </w:r>
      <w:r>
        <w:rPr>
          <w:rFonts w:ascii="宋体" w:hAnsi="宋体" w:eastAsia="宋体" w:cs="宋体"/>
          <w:strike w:val="0"/>
          <w:dstrike w:val="0"/>
          <w:color w:val="auto"/>
          <w:spacing w:val="-3"/>
          <w:sz w:val="24"/>
          <w:szCs w:val="24"/>
          <w:highlight w:val="none"/>
        </w:rPr>
        <w:t>作，修改完成后再重新上传已修改的投标文件，交易平台将完整记录投标人的撤回修</w:t>
      </w:r>
      <w:r>
        <w:rPr>
          <w:rFonts w:ascii="宋体" w:hAnsi="宋体" w:eastAsia="宋体" w:cs="宋体"/>
          <w:strike w:val="0"/>
          <w:dstrike w:val="0"/>
          <w:color w:val="auto"/>
          <w:spacing w:val="8"/>
          <w:sz w:val="24"/>
          <w:szCs w:val="24"/>
          <w:highlight w:val="none"/>
        </w:rPr>
        <w:t xml:space="preserve"> </w:t>
      </w:r>
      <w:r>
        <w:rPr>
          <w:rFonts w:ascii="宋体" w:hAnsi="宋体" w:eastAsia="宋体" w:cs="宋体"/>
          <w:strike w:val="0"/>
          <w:dstrike w:val="0"/>
          <w:color w:val="auto"/>
          <w:spacing w:val="-9"/>
          <w:sz w:val="24"/>
          <w:szCs w:val="24"/>
          <w:highlight w:val="none"/>
        </w:rPr>
        <w:t>改情况。</w:t>
      </w:r>
    </w:p>
    <w:p w14:paraId="3E35C2E7">
      <w:pPr>
        <w:spacing w:before="180" w:line="290" w:lineRule="auto"/>
        <w:ind w:right="23" w:firstLine="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4.3.3  </w:t>
      </w:r>
      <w:r>
        <w:rPr>
          <w:rFonts w:ascii="宋体" w:hAnsi="宋体" w:eastAsia="宋体" w:cs="宋体"/>
          <w:color w:val="auto"/>
          <w:spacing w:val="-3"/>
          <w:sz w:val="24"/>
          <w:szCs w:val="24"/>
          <w:highlight w:val="none"/>
        </w:rPr>
        <w:t>修改的内容为投标文件的组成部分。修改的投标文件应按照本章第</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节、第</w:t>
      </w:r>
      <w:r>
        <w:rPr>
          <w:rFonts w:ascii="宋体" w:hAnsi="宋体" w:eastAsia="宋体" w:cs="宋体"/>
          <w:color w:val="auto"/>
          <w:spacing w:val="1"/>
          <w:sz w:val="24"/>
          <w:szCs w:val="24"/>
          <w:highlight w:val="none"/>
        </w:rPr>
        <w:t xml:space="preserve"> </w:t>
      </w:r>
      <w:r>
        <w:rPr>
          <w:rFonts w:ascii="Times New Roman" w:hAnsi="Times New Roman" w:eastAsia="Times New Roman" w:cs="Times New Roman"/>
          <w:color w:val="auto"/>
          <w:spacing w:val="-3"/>
          <w:sz w:val="24"/>
          <w:szCs w:val="24"/>
          <w:highlight w:val="none"/>
        </w:rPr>
        <w:t>4</w:t>
      </w:r>
      <w:r>
        <w:rPr>
          <w:rFonts w:ascii="宋体" w:hAnsi="宋体" w:eastAsia="宋体" w:cs="宋体"/>
          <w:color w:val="auto"/>
          <w:spacing w:val="-3"/>
          <w:sz w:val="24"/>
          <w:szCs w:val="24"/>
          <w:highlight w:val="none"/>
        </w:rPr>
        <w:t>节规定进行编制并递交。</w:t>
      </w:r>
    </w:p>
    <w:p w14:paraId="32DFFFAE">
      <w:pPr>
        <w:spacing w:before="179" w:line="290" w:lineRule="auto"/>
        <w:ind w:left="4" w:right="4" w:firstLine="48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4.3.4  </w:t>
      </w:r>
      <w:r>
        <w:rPr>
          <w:rFonts w:ascii="宋体" w:hAnsi="宋体" w:eastAsia="宋体" w:cs="宋体"/>
          <w:color w:val="auto"/>
          <w:spacing w:val="-2"/>
          <w:sz w:val="24"/>
          <w:szCs w:val="24"/>
          <w:highlight w:val="none"/>
        </w:rPr>
        <w:t>投标人撤回投标文件的，招</w:t>
      </w:r>
      <w:r>
        <w:rPr>
          <w:rFonts w:ascii="宋体" w:hAnsi="宋体" w:eastAsia="宋体" w:cs="宋体"/>
          <w:color w:val="auto"/>
          <w:spacing w:val="-3"/>
          <w:sz w:val="24"/>
          <w:szCs w:val="24"/>
          <w:highlight w:val="none"/>
        </w:rPr>
        <w:t>标人自收到投标人书面撤回通知之日起</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日内退</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还已收取的投标保证金及银行活期存款利息。</w:t>
      </w:r>
    </w:p>
    <w:p w14:paraId="7FAEBC4C">
      <w:pPr>
        <w:spacing w:before="306" w:line="221" w:lineRule="auto"/>
        <w:ind w:left="5"/>
        <w:outlineLvl w:val="1"/>
        <w:rPr>
          <w:rFonts w:ascii="宋体" w:hAnsi="宋体" w:eastAsia="宋体" w:cs="宋体"/>
          <w:color w:val="auto"/>
          <w:sz w:val="28"/>
          <w:szCs w:val="28"/>
          <w:highlight w:val="none"/>
        </w:rPr>
      </w:pPr>
      <w:bookmarkStart w:id="163" w:name="bookmark111"/>
      <w:bookmarkEnd w:id="163"/>
      <w:bookmarkStart w:id="164" w:name="_Toc9597"/>
      <w:bookmarkStart w:id="165" w:name="_Toc12228"/>
      <w:r>
        <w:rPr>
          <w:rFonts w:ascii="Times New Roman" w:hAnsi="Times New Roman" w:eastAsia="Times New Roman" w:cs="Times New Roman"/>
          <w:b/>
          <w:bCs/>
          <w:color w:val="auto"/>
          <w:spacing w:val="-7"/>
          <w:sz w:val="28"/>
          <w:szCs w:val="28"/>
          <w:highlight w:val="none"/>
        </w:rPr>
        <w:t>5</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7"/>
          <w:sz w:val="28"/>
          <w:szCs w:val="28"/>
          <w:highlight w:val="none"/>
        </w:rPr>
        <w:t>开标</w:t>
      </w:r>
      <w:bookmarkEnd w:id="164"/>
      <w:bookmarkEnd w:id="165"/>
    </w:p>
    <w:p w14:paraId="711D7C16">
      <w:pPr>
        <w:pStyle w:val="3"/>
        <w:spacing w:line="245" w:lineRule="auto"/>
        <w:rPr>
          <w:color w:val="auto"/>
          <w:highlight w:val="none"/>
        </w:rPr>
      </w:pPr>
    </w:p>
    <w:p w14:paraId="793835C7">
      <w:pPr>
        <w:spacing w:before="78" w:line="220" w:lineRule="auto"/>
        <w:ind w:left="4"/>
        <w:outlineLvl w:val="2"/>
        <w:rPr>
          <w:rFonts w:ascii="宋体" w:hAnsi="宋体" w:eastAsia="宋体" w:cs="宋体"/>
          <w:color w:val="auto"/>
          <w:sz w:val="24"/>
          <w:szCs w:val="24"/>
          <w:highlight w:val="none"/>
        </w:rPr>
      </w:pPr>
      <w:bookmarkStart w:id="166" w:name="bookmark113"/>
      <w:bookmarkEnd w:id="166"/>
      <w:bookmarkStart w:id="167" w:name="_Toc10832"/>
      <w:bookmarkStart w:id="168" w:name="_Toc21971"/>
      <w:r>
        <w:rPr>
          <w:rFonts w:ascii="Times New Roman" w:hAnsi="Times New Roman" w:eastAsia="Times New Roman" w:cs="Times New Roman"/>
          <w:b/>
          <w:bCs/>
          <w:color w:val="auto"/>
          <w:spacing w:val="-2"/>
          <w:sz w:val="24"/>
          <w:szCs w:val="24"/>
          <w:highlight w:val="none"/>
        </w:rPr>
        <w:t>5.1</w:t>
      </w:r>
      <w:r>
        <w:rPr>
          <w:rFonts w:ascii="宋体" w:hAnsi="宋体" w:eastAsia="宋体" w:cs="宋体"/>
          <w:b/>
          <w:bCs/>
          <w:color w:val="auto"/>
          <w:spacing w:val="-2"/>
          <w:sz w:val="24"/>
          <w:szCs w:val="24"/>
          <w:highlight w:val="none"/>
        </w:rPr>
        <w:t>开标时间和地点</w:t>
      </w:r>
      <w:bookmarkEnd w:id="167"/>
      <w:bookmarkEnd w:id="168"/>
    </w:p>
    <w:p w14:paraId="1BA26966">
      <w:pPr>
        <w:spacing w:before="183" w:line="344" w:lineRule="auto"/>
        <w:ind w:left="10" w:right="7" w:firstLine="476"/>
        <w:rPr>
          <w:rFonts w:ascii="宋体" w:hAnsi="宋体" w:eastAsia="宋体" w:cs="宋体"/>
          <w:color w:val="auto"/>
          <w:sz w:val="24"/>
          <w:szCs w:val="24"/>
          <w:highlight w:val="none"/>
        </w:rPr>
      </w:pPr>
      <w:r>
        <w:rPr>
          <w:rFonts w:ascii="宋体" w:hAnsi="宋体" w:eastAsia="宋体" w:cs="宋体"/>
          <w:color w:val="auto"/>
          <w:sz w:val="24"/>
          <w:szCs w:val="24"/>
          <w:highlight w:val="none"/>
        </w:rPr>
        <w:t>招标人在本章第</w:t>
      </w:r>
      <w:r>
        <w:rPr>
          <w:rFonts w:ascii="Times New Roman" w:hAnsi="Times New Roman" w:eastAsia="Times New Roman" w:cs="Times New Roman"/>
          <w:color w:val="auto"/>
          <w:sz w:val="24"/>
          <w:szCs w:val="24"/>
          <w:highlight w:val="none"/>
        </w:rPr>
        <w:t>1.10.3</w:t>
      </w:r>
      <w:r>
        <w:rPr>
          <w:rFonts w:ascii="宋体" w:hAnsi="宋体" w:eastAsia="宋体" w:cs="宋体"/>
          <w:color w:val="auto"/>
          <w:sz w:val="24"/>
          <w:szCs w:val="24"/>
          <w:highlight w:val="none"/>
        </w:rPr>
        <w:t>项规定的投标截止时间（开标时间</w:t>
      </w:r>
      <w:r>
        <w:rPr>
          <w:rFonts w:ascii="宋体" w:hAnsi="宋体" w:eastAsia="宋体" w:cs="宋体"/>
          <w:color w:val="auto"/>
          <w:spacing w:val="7"/>
          <w:sz w:val="24"/>
          <w:szCs w:val="24"/>
          <w:highlight w:val="none"/>
        </w:rPr>
        <w:t>），</w:t>
      </w:r>
      <w:r>
        <w:rPr>
          <w:rFonts w:ascii="宋体" w:hAnsi="宋体" w:eastAsia="宋体" w:cs="宋体"/>
          <w:strike w:val="0"/>
          <w:dstrike w:val="0"/>
          <w:color w:val="auto"/>
          <w:sz w:val="24"/>
          <w:szCs w:val="24"/>
          <w:highlight w:val="none"/>
        </w:rPr>
        <w:t>通过电子招标投标</w:t>
      </w:r>
      <w:r>
        <w:rPr>
          <w:rFonts w:ascii="宋体" w:hAnsi="宋体" w:eastAsia="宋体" w:cs="宋体"/>
          <w:strike w:val="0"/>
          <w:dstrike w:val="0"/>
          <w:color w:val="auto"/>
          <w:spacing w:val="1"/>
          <w:sz w:val="24"/>
          <w:szCs w:val="24"/>
          <w:highlight w:val="none"/>
        </w:rPr>
        <w:t xml:space="preserve"> </w:t>
      </w:r>
      <w:r>
        <w:rPr>
          <w:rFonts w:ascii="宋体" w:hAnsi="宋体" w:eastAsia="宋体" w:cs="宋体"/>
          <w:strike w:val="0"/>
          <w:dstrike w:val="0"/>
          <w:color w:val="auto"/>
          <w:spacing w:val="-2"/>
          <w:sz w:val="24"/>
          <w:szCs w:val="24"/>
          <w:highlight w:val="none"/>
        </w:rPr>
        <w:t>交易平台</w:t>
      </w:r>
      <w:r>
        <w:rPr>
          <w:rFonts w:ascii="宋体" w:hAnsi="宋体" w:eastAsia="宋体" w:cs="宋体"/>
          <w:color w:val="auto"/>
          <w:spacing w:val="-2"/>
          <w:sz w:val="24"/>
          <w:szCs w:val="24"/>
          <w:highlight w:val="none"/>
        </w:rPr>
        <w:t>公开开标，具体要求见投标人须知前附表规定。</w:t>
      </w:r>
    </w:p>
    <w:p w14:paraId="1FFBB7FC">
      <w:pPr>
        <w:spacing w:before="38" w:line="220" w:lineRule="auto"/>
        <w:ind w:left="4"/>
        <w:outlineLvl w:val="2"/>
        <w:rPr>
          <w:rFonts w:ascii="宋体" w:hAnsi="宋体" w:eastAsia="宋体" w:cs="宋体"/>
          <w:color w:val="auto"/>
          <w:sz w:val="24"/>
          <w:szCs w:val="24"/>
          <w:highlight w:val="none"/>
        </w:rPr>
      </w:pPr>
      <w:bookmarkStart w:id="169" w:name="bookmark115"/>
      <w:bookmarkEnd w:id="169"/>
      <w:bookmarkStart w:id="170" w:name="_Toc30783"/>
      <w:bookmarkStart w:id="171" w:name="_Toc8421"/>
      <w:r>
        <w:rPr>
          <w:rFonts w:ascii="Times New Roman" w:hAnsi="Times New Roman" w:eastAsia="Times New Roman" w:cs="Times New Roman"/>
          <w:b/>
          <w:bCs/>
          <w:color w:val="auto"/>
          <w:spacing w:val="-2"/>
          <w:sz w:val="24"/>
          <w:szCs w:val="24"/>
          <w:highlight w:val="none"/>
        </w:rPr>
        <w:t xml:space="preserve">5.2  </w:t>
      </w:r>
      <w:r>
        <w:rPr>
          <w:rFonts w:ascii="宋体" w:hAnsi="宋体" w:eastAsia="宋体" w:cs="宋体"/>
          <w:b/>
          <w:bCs/>
          <w:color w:val="auto"/>
          <w:spacing w:val="-2"/>
          <w:sz w:val="24"/>
          <w:szCs w:val="24"/>
          <w:highlight w:val="none"/>
        </w:rPr>
        <w:t>开标程序</w:t>
      </w:r>
      <w:bookmarkEnd w:id="170"/>
      <w:bookmarkEnd w:id="171"/>
    </w:p>
    <w:p w14:paraId="5723D533">
      <w:pPr>
        <w:spacing w:before="179" w:line="219" w:lineRule="auto"/>
        <w:ind w:left="49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开标程序见投标人须知前附表。</w:t>
      </w:r>
    </w:p>
    <w:p w14:paraId="1B2A49BD">
      <w:pPr>
        <w:spacing w:before="183" w:line="220" w:lineRule="auto"/>
        <w:ind w:left="4"/>
        <w:outlineLvl w:val="2"/>
        <w:rPr>
          <w:rFonts w:ascii="宋体" w:hAnsi="宋体" w:eastAsia="宋体" w:cs="宋体"/>
          <w:color w:val="auto"/>
          <w:sz w:val="24"/>
          <w:szCs w:val="24"/>
          <w:highlight w:val="none"/>
        </w:rPr>
      </w:pPr>
      <w:bookmarkStart w:id="172" w:name="bookmark117"/>
      <w:bookmarkEnd w:id="172"/>
      <w:bookmarkStart w:id="173" w:name="_Toc21795"/>
      <w:bookmarkStart w:id="174" w:name="_Toc21419"/>
      <w:r>
        <w:rPr>
          <w:rFonts w:ascii="Times New Roman" w:hAnsi="Times New Roman" w:eastAsia="Times New Roman" w:cs="Times New Roman"/>
          <w:b/>
          <w:bCs/>
          <w:color w:val="auto"/>
          <w:spacing w:val="-2"/>
          <w:sz w:val="24"/>
          <w:szCs w:val="24"/>
          <w:highlight w:val="none"/>
        </w:rPr>
        <w:t xml:space="preserve">5.3  </w:t>
      </w:r>
      <w:r>
        <w:rPr>
          <w:rFonts w:ascii="宋体" w:hAnsi="宋体" w:eastAsia="宋体" w:cs="宋体"/>
          <w:b/>
          <w:bCs/>
          <w:color w:val="auto"/>
          <w:spacing w:val="-2"/>
          <w:sz w:val="24"/>
          <w:szCs w:val="24"/>
          <w:highlight w:val="none"/>
        </w:rPr>
        <w:t>特殊情况处置</w:t>
      </w:r>
      <w:bookmarkEnd w:id="173"/>
      <w:bookmarkEnd w:id="174"/>
    </w:p>
    <w:p w14:paraId="1674704D">
      <w:pPr>
        <w:spacing w:before="183" w:line="219" w:lineRule="auto"/>
        <w:ind w:left="49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特殊情况处置见投标人须知前附表。</w:t>
      </w:r>
    </w:p>
    <w:p w14:paraId="63EB11EB">
      <w:pPr>
        <w:spacing w:before="180" w:line="220" w:lineRule="auto"/>
        <w:ind w:left="4"/>
        <w:outlineLvl w:val="2"/>
        <w:rPr>
          <w:rFonts w:ascii="宋体" w:hAnsi="宋体" w:eastAsia="宋体" w:cs="宋体"/>
          <w:color w:val="auto"/>
          <w:sz w:val="24"/>
          <w:szCs w:val="24"/>
          <w:highlight w:val="none"/>
        </w:rPr>
      </w:pPr>
      <w:bookmarkStart w:id="175" w:name="bookmark119"/>
      <w:bookmarkEnd w:id="175"/>
      <w:bookmarkStart w:id="176" w:name="_Toc18100"/>
      <w:bookmarkStart w:id="177" w:name="_Toc11310"/>
      <w:r>
        <w:rPr>
          <w:rFonts w:ascii="Times New Roman" w:hAnsi="Times New Roman" w:eastAsia="Times New Roman" w:cs="Times New Roman"/>
          <w:b/>
          <w:bCs/>
          <w:color w:val="auto"/>
          <w:spacing w:val="-2"/>
          <w:sz w:val="24"/>
          <w:szCs w:val="24"/>
          <w:highlight w:val="none"/>
        </w:rPr>
        <w:t xml:space="preserve">5.4  </w:t>
      </w:r>
      <w:r>
        <w:rPr>
          <w:rFonts w:ascii="宋体" w:hAnsi="宋体" w:eastAsia="宋体" w:cs="宋体"/>
          <w:b/>
          <w:bCs/>
          <w:color w:val="auto"/>
          <w:spacing w:val="-2"/>
          <w:sz w:val="24"/>
          <w:szCs w:val="24"/>
          <w:highlight w:val="none"/>
        </w:rPr>
        <w:t>开标异议</w:t>
      </w:r>
      <w:bookmarkEnd w:id="176"/>
      <w:bookmarkEnd w:id="177"/>
    </w:p>
    <w:p w14:paraId="505B12F0">
      <w:pPr>
        <w:spacing w:before="182" w:line="345" w:lineRule="auto"/>
        <w:ind w:left="11" w:right="4" w:firstLine="47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投标人对开标有异议的，应当通过电子招标投标交易平台提出，招标人将在开标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结束前通过电子招标投标交易平台作出答复。</w:t>
      </w:r>
    </w:p>
    <w:p w14:paraId="6964C590">
      <w:pPr>
        <w:spacing w:before="163" w:line="221" w:lineRule="auto"/>
        <w:ind w:left="6"/>
        <w:outlineLvl w:val="1"/>
        <w:rPr>
          <w:rFonts w:ascii="宋体" w:hAnsi="宋体" w:eastAsia="宋体" w:cs="宋体"/>
          <w:color w:val="auto"/>
          <w:sz w:val="28"/>
          <w:szCs w:val="28"/>
          <w:highlight w:val="none"/>
        </w:rPr>
      </w:pPr>
      <w:bookmarkStart w:id="178" w:name="bookmark121"/>
      <w:bookmarkEnd w:id="178"/>
      <w:bookmarkStart w:id="179" w:name="_Toc28507"/>
      <w:bookmarkStart w:id="180" w:name="_Toc7865"/>
      <w:r>
        <w:rPr>
          <w:rFonts w:ascii="Times New Roman" w:hAnsi="Times New Roman" w:eastAsia="Times New Roman" w:cs="Times New Roman"/>
          <w:b/>
          <w:bCs/>
          <w:color w:val="auto"/>
          <w:spacing w:val="-7"/>
          <w:sz w:val="28"/>
          <w:szCs w:val="28"/>
          <w:highlight w:val="none"/>
        </w:rPr>
        <w:t>6</w:t>
      </w:r>
      <w:r>
        <w:rPr>
          <w:rFonts w:ascii="Times New Roman" w:hAnsi="Times New Roman" w:eastAsia="Times New Roman" w:cs="Times New Roman"/>
          <w:b/>
          <w:bCs/>
          <w:color w:val="auto"/>
          <w:spacing w:val="5"/>
          <w:sz w:val="28"/>
          <w:szCs w:val="28"/>
          <w:highlight w:val="none"/>
        </w:rPr>
        <w:t xml:space="preserve">  </w:t>
      </w:r>
      <w:r>
        <w:rPr>
          <w:rFonts w:ascii="宋体" w:hAnsi="宋体" w:eastAsia="宋体" w:cs="宋体"/>
          <w:b/>
          <w:bCs/>
          <w:color w:val="auto"/>
          <w:spacing w:val="-7"/>
          <w:sz w:val="28"/>
          <w:szCs w:val="28"/>
          <w:highlight w:val="none"/>
        </w:rPr>
        <w:t>评标</w:t>
      </w:r>
      <w:bookmarkEnd w:id="179"/>
      <w:bookmarkEnd w:id="180"/>
    </w:p>
    <w:p w14:paraId="6D3CB841">
      <w:pPr>
        <w:pStyle w:val="3"/>
        <w:spacing w:line="244" w:lineRule="auto"/>
        <w:rPr>
          <w:color w:val="auto"/>
          <w:highlight w:val="none"/>
        </w:rPr>
      </w:pPr>
    </w:p>
    <w:p w14:paraId="0E87372C">
      <w:pPr>
        <w:spacing w:before="78" w:line="219" w:lineRule="auto"/>
        <w:ind w:left="5"/>
        <w:outlineLvl w:val="2"/>
        <w:rPr>
          <w:rFonts w:ascii="宋体" w:hAnsi="宋体" w:eastAsia="宋体" w:cs="宋体"/>
          <w:color w:val="auto"/>
          <w:sz w:val="24"/>
          <w:szCs w:val="24"/>
          <w:highlight w:val="none"/>
        </w:rPr>
      </w:pPr>
      <w:bookmarkStart w:id="181" w:name="bookmark123"/>
      <w:bookmarkEnd w:id="181"/>
      <w:bookmarkStart w:id="182" w:name="_Toc18878"/>
      <w:bookmarkStart w:id="183" w:name="_Toc22680"/>
      <w:r>
        <w:rPr>
          <w:rFonts w:ascii="Times New Roman" w:hAnsi="Times New Roman" w:eastAsia="Times New Roman" w:cs="Times New Roman"/>
          <w:b/>
          <w:bCs/>
          <w:color w:val="auto"/>
          <w:spacing w:val="-2"/>
          <w:sz w:val="24"/>
          <w:szCs w:val="24"/>
          <w:highlight w:val="none"/>
        </w:rPr>
        <w:t xml:space="preserve">6.1  </w:t>
      </w:r>
      <w:r>
        <w:rPr>
          <w:rFonts w:ascii="宋体" w:hAnsi="宋体" w:eastAsia="宋体" w:cs="宋体"/>
          <w:b/>
          <w:bCs/>
          <w:color w:val="auto"/>
          <w:spacing w:val="-2"/>
          <w:sz w:val="24"/>
          <w:szCs w:val="24"/>
          <w:highlight w:val="none"/>
        </w:rPr>
        <w:t>评标委员会</w:t>
      </w:r>
      <w:bookmarkEnd w:id="182"/>
      <w:bookmarkEnd w:id="183"/>
    </w:p>
    <w:p w14:paraId="5158B484">
      <w:pPr>
        <w:spacing w:before="181" w:line="350" w:lineRule="auto"/>
        <w:ind w:left="4" w:right="4" w:firstLine="482"/>
        <w:jc w:val="both"/>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6.1.1  </w:t>
      </w:r>
      <w:r>
        <w:rPr>
          <w:rFonts w:ascii="宋体" w:hAnsi="宋体" w:eastAsia="宋体" w:cs="宋体"/>
          <w:color w:val="auto"/>
          <w:sz w:val="24"/>
          <w:szCs w:val="24"/>
          <w:highlight w:val="none"/>
        </w:rPr>
        <w:t>评标由招标人依法组建的评标委员会负责。评标委员会由招标人或其委托</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的招标代理机构熟悉相关业务的代表，以及有关技术、经济等方面的专家组成。评标</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委员会成员人数以及技术、经济等方面专家的确定方式见</w:t>
      </w:r>
      <w:r>
        <w:rPr>
          <w:rFonts w:ascii="宋体" w:hAnsi="宋体" w:eastAsia="宋体" w:cs="宋体"/>
          <w:color w:val="auto"/>
          <w:spacing w:val="-2"/>
          <w:sz w:val="24"/>
          <w:szCs w:val="24"/>
          <w:highlight w:val="none"/>
        </w:rPr>
        <w:t>投标人须知前附表。</w:t>
      </w:r>
    </w:p>
    <w:p w14:paraId="30E0DA50">
      <w:pPr>
        <w:spacing w:before="47" w:line="219" w:lineRule="auto"/>
        <w:ind w:left="483"/>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6.1.2  </w:t>
      </w:r>
      <w:r>
        <w:rPr>
          <w:rFonts w:ascii="宋体" w:hAnsi="宋体" w:eastAsia="宋体" w:cs="宋体"/>
          <w:color w:val="auto"/>
          <w:spacing w:val="-2"/>
          <w:sz w:val="24"/>
          <w:szCs w:val="24"/>
          <w:highlight w:val="none"/>
        </w:rPr>
        <w:t>评标委员会成员有下列情形之一的，应当回</w:t>
      </w:r>
      <w:r>
        <w:rPr>
          <w:rFonts w:ascii="宋体" w:hAnsi="宋体" w:eastAsia="宋体" w:cs="宋体"/>
          <w:color w:val="auto"/>
          <w:spacing w:val="-3"/>
          <w:sz w:val="24"/>
          <w:szCs w:val="24"/>
          <w:highlight w:val="none"/>
        </w:rPr>
        <w:t>避：</w:t>
      </w:r>
    </w:p>
    <w:p w14:paraId="0A244A10">
      <w:pPr>
        <w:spacing w:before="182" w:line="220"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）投标人或投标人的主要负责人的近亲属。</w:t>
      </w:r>
    </w:p>
    <w:p w14:paraId="7666BC23">
      <w:pPr>
        <w:spacing w:before="179" w:line="220"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）项目主管部门或者行政监督部门的人员。</w:t>
      </w:r>
    </w:p>
    <w:p w14:paraId="48596C16">
      <w:pPr>
        <w:spacing w:before="183"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）与投标人有经济利益关系，可能影响对投标公正评审的。</w:t>
      </w:r>
    </w:p>
    <w:p w14:paraId="033BE77A">
      <w:pPr>
        <w:spacing w:before="179" w:line="290" w:lineRule="auto"/>
        <w:ind w:right="92"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4</w:t>
      </w:r>
      <w:r>
        <w:rPr>
          <w:rFonts w:ascii="宋体" w:hAnsi="宋体" w:eastAsia="宋体" w:cs="宋体"/>
          <w:color w:val="auto"/>
          <w:sz w:val="24"/>
          <w:szCs w:val="24"/>
          <w:highlight w:val="none"/>
        </w:rPr>
        <w:t xml:space="preserve">）曾因在招标、评标以及其他与招标投标有关活动中从事违法行为而受过行 </w:t>
      </w:r>
      <w:r>
        <w:rPr>
          <w:rFonts w:ascii="宋体" w:hAnsi="宋体" w:eastAsia="宋体" w:cs="宋体"/>
          <w:color w:val="auto"/>
          <w:spacing w:val="-4"/>
          <w:sz w:val="24"/>
          <w:szCs w:val="24"/>
          <w:highlight w:val="none"/>
        </w:rPr>
        <w:t>政处罚或刑事处罚的。</w:t>
      </w:r>
    </w:p>
    <w:p w14:paraId="47F95CB2">
      <w:pPr>
        <w:spacing w:before="179" w:line="219"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）法律、法规、规章规定应当回避的其</w:t>
      </w:r>
      <w:r>
        <w:rPr>
          <w:rFonts w:ascii="宋体" w:hAnsi="宋体" w:eastAsia="宋体" w:cs="宋体"/>
          <w:color w:val="auto"/>
          <w:spacing w:val="-3"/>
          <w:sz w:val="24"/>
          <w:szCs w:val="24"/>
          <w:highlight w:val="none"/>
        </w:rPr>
        <w:t>他情形。</w:t>
      </w:r>
    </w:p>
    <w:p w14:paraId="0C7EA648">
      <w:pPr>
        <w:spacing w:before="184" w:line="220" w:lineRule="auto"/>
        <w:outlineLvl w:val="2"/>
        <w:rPr>
          <w:rFonts w:ascii="宋体" w:hAnsi="宋体" w:eastAsia="宋体" w:cs="宋体"/>
          <w:color w:val="auto"/>
          <w:sz w:val="24"/>
          <w:szCs w:val="24"/>
          <w:highlight w:val="none"/>
        </w:rPr>
      </w:pPr>
      <w:bookmarkStart w:id="184" w:name="bookmark125"/>
      <w:bookmarkEnd w:id="184"/>
      <w:bookmarkStart w:id="185" w:name="_Toc8585"/>
      <w:bookmarkStart w:id="186" w:name="_Toc9340"/>
      <w:r>
        <w:rPr>
          <w:rFonts w:ascii="Times New Roman" w:hAnsi="Times New Roman" w:eastAsia="Times New Roman" w:cs="Times New Roman"/>
          <w:b/>
          <w:bCs/>
          <w:color w:val="auto"/>
          <w:spacing w:val="-2"/>
          <w:sz w:val="24"/>
          <w:szCs w:val="24"/>
          <w:highlight w:val="none"/>
        </w:rPr>
        <w:t xml:space="preserve">6.2  </w:t>
      </w:r>
      <w:r>
        <w:rPr>
          <w:rFonts w:ascii="宋体" w:hAnsi="宋体" w:eastAsia="宋体" w:cs="宋体"/>
          <w:b/>
          <w:bCs/>
          <w:color w:val="auto"/>
          <w:spacing w:val="-2"/>
          <w:sz w:val="24"/>
          <w:szCs w:val="24"/>
          <w:highlight w:val="none"/>
        </w:rPr>
        <w:t>评标原则</w:t>
      </w:r>
      <w:bookmarkEnd w:id="185"/>
      <w:bookmarkEnd w:id="186"/>
    </w:p>
    <w:p w14:paraId="43376CA0">
      <w:pPr>
        <w:spacing w:before="179"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评标活动遵循公平、公正、科学和择优的原则。</w:t>
      </w:r>
    </w:p>
    <w:p w14:paraId="2F6E7A43">
      <w:pPr>
        <w:spacing w:before="184" w:line="219" w:lineRule="auto"/>
        <w:outlineLvl w:val="2"/>
        <w:rPr>
          <w:rFonts w:ascii="宋体" w:hAnsi="宋体" w:eastAsia="宋体" w:cs="宋体"/>
          <w:color w:val="auto"/>
          <w:sz w:val="24"/>
          <w:szCs w:val="24"/>
          <w:highlight w:val="none"/>
        </w:rPr>
      </w:pPr>
      <w:bookmarkStart w:id="187" w:name="bookmark127"/>
      <w:bookmarkEnd w:id="187"/>
      <w:bookmarkStart w:id="188" w:name="_Toc24316"/>
      <w:bookmarkStart w:id="189" w:name="_Toc8684"/>
      <w:r>
        <w:rPr>
          <w:rFonts w:ascii="Times New Roman" w:hAnsi="Times New Roman" w:eastAsia="Times New Roman" w:cs="Times New Roman"/>
          <w:b/>
          <w:bCs/>
          <w:color w:val="auto"/>
          <w:spacing w:val="-2"/>
          <w:sz w:val="24"/>
          <w:szCs w:val="24"/>
          <w:highlight w:val="none"/>
        </w:rPr>
        <w:t xml:space="preserve">6.3  </w:t>
      </w:r>
      <w:r>
        <w:rPr>
          <w:rFonts w:ascii="宋体" w:hAnsi="宋体" w:eastAsia="宋体" w:cs="宋体"/>
          <w:b/>
          <w:bCs/>
          <w:color w:val="auto"/>
          <w:spacing w:val="-2"/>
          <w:sz w:val="24"/>
          <w:szCs w:val="24"/>
          <w:highlight w:val="none"/>
        </w:rPr>
        <w:t>评标办法与中标候选人推荐</w:t>
      </w:r>
      <w:bookmarkEnd w:id="188"/>
      <w:bookmarkEnd w:id="189"/>
    </w:p>
    <w:p w14:paraId="5A16601A">
      <w:pPr>
        <w:spacing w:before="181" w:line="350" w:lineRule="auto"/>
        <w:ind w:left="4" w:right="80" w:firstLine="476"/>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评标委员会按照第三章“评标定标办法”规定的方法、评审因素、标准和程序对</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rPr>
        <w:t>投标文件进行评审并推荐中标候选人，中标候选人数量详见投标人须知前附表。第</w:t>
      </w:r>
      <w:r>
        <w:rPr>
          <w:rFonts w:ascii="Times New Roman" w:hAnsi="Times New Roman" w:eastAsia="Times New Roman" w:cs="Times New Roman"/>
          <w:color w:val="auto"/>
          <w:sz w:val="24"/>
          <w:szCs w:val="24"/>
          <w:highlight w:val="none"/>
        </w:rPr>
        <w:t>3</w:t>
      </w:r>
      <w:r>
        <w:rPr>
          <w:rFonts w:ascii="Times New Roman" w:hAnsi="Times New Roman" w:eastAsia="Times New Roman" w:cs="Times New Roman"/>
          <w:color w:val="auto"/>
          <w:spacing w:val="10"/>
          <w:sz w:val="24"/>
          <w:szCs w:val="24"/>
          <w:highlight w:val="none"/>
        </w:rPr>
        <w:t xml:space="preserve"> </w:t>
      </w:r>
      <w:r>
        <w:rPr>
          <w:rFonts w:ascii="宋体" w:hAnsi="宋体" w:eastAsia="宋体" w:cs="宋体"/>
          <w:color w:val="auto"/>
          <w:spacing w:val="-1"/>
          <w:sz w:val="24"/>
          <w:szCs w:val="24"/>
          <w:highlight w:val="none"/>
        </w:rPr>
        <w:t>章“评标定标办法”没有规定的方法、评审</w:t>
      </w:r>
      <w:r>
        <w:rPr>
          <w:rFonts w:ascii="宋体" w:hAnsi="宋体" w:eastAsia="宋体" w:cs="宋体"/>
          <w:color w:val="auto"/>
          <w:spacing w:val="-2"/>
          <w:sz w:val="24"/>
          <w:szCs w:val="24"/>
          <w:highlight w:val="none"/>
        </w:rPr>
        <w:t>因素和标准，不作为评标依据。</w:t>
      </w:r>
    </w:p>
    <w:p w14:paraId="021A7FE8">
      <w:pPr>
        <w:spacing w:before="36" w:line="219" w:lineRule="auto"/>
        <w:outlineLvl w:val="2"/>
        <w:rPr>
          <w:rFonts w:ascii="宋体" w:hAnsi="宋体" w:eastAsia="宋体" w:cs="宋体"/>
          <w:color w:val="auto"/>
          <w:sz w:val="24"/>
          <w:szCs w:val="24"/>
          <w:highlight w:val="none"/>
        </w:rPr>
      </w:pPr>
      <w:bookmarkStart w:id="190" w:name="bookmark129"/>
      <w:bookmarkEnd w:id="190"/>
      <w:bookmarkStart w:id="191" w:name="_Toc5009"/>
      <w:bookmarkStart w:id="192" w:name="_Toc32353"/>
      <w:r>
        <w:rPr>
          <w:rFonts w:ascii="Times New Roman" w:hAnsi="Times New Roman" w:eastAsia="Times New Roman" w:cs="Times New Roman"/>
          <w:b/>
          <w:bCs/>
          <w:color w:val="auto"/>
          <w:spacing w:val="-5"/>
          <w:sz w:val="24"/>
          <w:szCs w:val="24"/>
          <w:highlight w:val="none"/>
        </w:rPr>
        <w:t>6.4</w:t>
      </w:r>
      <w:r>
        <w:rPr>
          <w:rFonts w:ascii="Times New Roman" w:hAnsi="Times New Roman" w:eastAsia="Times New Roman" w:cs="Times New Roman"/>
          <w:b/>
          <w:bCs/>
          <w:color w:val="auto"/>
          <w:spacing w:val="19"/>
          <w:w w:val="101"/>
          <w:sz w:val="24"/>
          <w:szCs w:val="24"/>
          <w:highlight w:val="none"/>
        </w:rPr>
        <w:t xml:space="preserve">  </w:t>
      </w:r>
      <w:r>
        <w:rPr>
          <w:rFonts w:ascii="宋体" w:hAnsi="宋体" w:eastAsia="宋体" w:cs="宋体"/>
          <w:b/>
          <w:bCs/>
          <w:color w:val="auto"/>
          <w:spacing w:val="-5"/>
          <w:sz w:val="24"/>
          <w:szCs w:val="24"/>
          <w:highlight w:val="none"/>
        </w:rPr>
        <w:t>中标候选人公示及媒介</w:t>
      </w:r>
      <w:bookmarkEnd w:id="191"/>
      <w:bookmarkEnd w:id="192"/>
    </w:p>
    <w:p w14:paraId="0B6C67D1">
      <w:pPr>
        <w:spacing w:before="180" w:line="351" w:lineRule="auto"/>
        <w:ind w:left="6" w:right="80" w:firstLine="47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招标人自确定中标候选人之日起</w:t>
      </w:r>
      <w:r>
        <w:rPr>
          <w:rFonts w:ascii="Times New Roman" w:hAnsi="Times New Roman" w:eastAsia="Times New Roman" w:cs="Times New Roman"/>
          <w:color w:val="auto"/>
          <w:sz w:val="24"/>
          <w:szCs w:val="24"/>
          <w:highlight w:val="none"/>
        </w:rPr>
        <w:t>3</w:t>
      </w:r>
      <w:r>
        <w:rPr>
          <w:rFonts w:ascii="宋体" w:hAnsi="宋体" w:eastAsia="宋体" w:cs="宋体"/>
          <w:color w:val="auto"/>
          <w:sz w:val="24"/>
          <w:szCs w:val="24"/>
          <w:highlight w:val="none"/>
        </w:rPr>
        <w:t>日内，认真审查评标委员会提交的书面评标报</w:t>
      </w:r>
      <w:r>
        <w:rPr>
          <w:rFonts w:ascii="宋体" w:hAnsi="宋体" w:eastAsia="宋体" w:cs="宋体"/>
          <w:color w:val="auto"/>
          <w:spacing w:val="17"/>
          <w:sz w:val="24"/>
          <w:szCs w:val="24"/>
          <w:highlight w:val="none"/>
        </w:rPr>
        <w:t xml:space="preserve"> </w:t>
      </w:r>
      <w:r>
        <w:rPr>
          <w:rFonts w:ascii="宋体" w:hAnsi="宋体" w:eastAsia="宋体" w:cs="宋体"/>
          <w:color w:val="auto"/>
          <w:spacing w:val="-3"/>
          <w:sz w:val="24"/>
          <w:szCs w:val="24"/>
          <w:highlight w:val="none"/>
        </w:rPr>
        <w:t>告，发现异常情形的，依法依规进行复核和纠正，应在原发布招标公告或资格预审公</w:t>
      </w:r>
      <w:r>
        <w:rPr>
          <w:rFonts w:ascii="宋体" w:hAnsi="宋体" w:eastAsia="宋体" w:cs="宋体"/>
          <w:color w:val="auto"/>
          <w:spacing w:val="3"/>
          <w:sz w:val="24"/>
          <w:szCs w:val="24"/>
          <w:highlight w:val="none"/>
        </w:rPr>
        <w:t xml:space="preserve"> </w:t>
      </w:r>
      <w:r>
        <w:rPr>
          <w:rFonts w:ascii="宋体" w:hAnsi="宋体" w:eastAsia="宋体" w:cs="宋体"/>
          <w:color w:val="auto"/>
          <w:spacing w:val="-1"/>
          <w:sz w:val="24"/>
          <w:szCs w:val="24"/>
          <w:highlight w:val="none"/>
        </w:rPr>
        <w:t>告的媒介上发布中标公示 ，公示期为</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日</w:t>
      </w:r>
      <w:r>
        <w:rPr>
          <w:rFonts w:ascii="宋体" w:hAnsi="宋体" w:eastAsia="宋体" w:cs="宋体"/>
          <w:color w:val="auto"/>
          <w:spacing w:val="-2"/>
          <w:sz w:val="24"/>
          <w:szCs w:val="24"/>
          <w:highlight w:val="none"/>
        </w:rPr>
        <w:t>，公示媒介见投标人须知前附表。</w:t>
      </w:r>
    </w:p>
    <w:p w14:paraId="6C50F7C6">
      <w:pPr>
        <w:spacing w:before="160" w:line="221" w:lineRule="auto"/>
        <w:ind w:left="1"/>
        <w:outlineLvl w:val="1"/>
        <w:rPr>
          <w:rFonts w:ascii="宋体" w:hAnsi="宋体" w:eastAsia="宋体" w:cs="宋体"/>
          <w:color w:val="auto"/>
          <w:sz w:val="28"/>
          <w:szCs w:val="28"/>
          <w:highlight w:val="none"/>
        </w:rPr>
      </w:pPr>
      <w:bookmarkStart w:id="193" w:name="bookmark131"/>
      <w:bookmarkEnd w:id="193"/>
      <w:bookmarkStart w:id="194" w:name="_Toc5940"/>
      <w:bookmarkStart w:id="195" w:name="_Toc6379"/>
      <w:r>
        <w:rPr>
          <w:rFonts w:ascii="Times New Roman" w:hAnsi="Times New Roman" w:eastAsia="Times New Roman" w:cs="Times New Roman"/>
          <w:b/>
          <w:bCs/>
          <w:color w:val="auto"/>
          <w:spacing w:val="-6"/>
          <w:sz w:val="28"/>
          <w:szCs w:val="28"/>
          <w:highlight w:val="none"/>
        </w:rPr>
        <w:t>7</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6"/>
          <w:sz w:val="28"/>
          <w:szCs w:val="28"/>
          <w:highlight w:val="none"/>
        </w:rPr>
        <w:t>合同授予</w:t>
      </w:r>
      <w:bookmarkEnd w:id="194"/>
      <w:bookmarkEnd w:id="195"/>
    </w:p>
    <w:p w14:paraId="1C119D51">
      <w:pPr>
        <w:pStyle w:val="3"/>
        <w:spacing w:line="243" w:lineRule="auto"/>
        <w:rPr>
          <w:color w:val="auto"/>
          <w:highlight w:val="none"/>
        </w:rPr>
      </w:pPr>
    </w:p>
    <w:p w14:paraId="195E0B94">
      <w:pPr>
        <w:spacing w:before="79" w:line="220" w:lineRule="auto"/>
        <w:outlineLvl w:val="2"/>
        <w:rPr>
          <w:rFonts w:ascii="宋体" w:hAnsi="宋体" w:eastAsia="宋体" w:cs="宋体"/>
          <w:color w:val="auto"/>
          <w:sz w:val="24"/>
          <w:szCs w:val="24"/>
          <w:highlight w:val="none"/>
        </w:rPr>
      </w:pPr>
      <w:bookmarkStart w:id="196" w:name="bookmark133"/>
      <w:bookmarkEnd w:id="196"/>
      <w:bookmarkStart w:id="197" w:name="_Toc8690"/>
      <w:bookmarkStart w:id="198" w:name="_Toc31913"/>
      <w:r>
        <w:rPr>
          <w:rFonts w:ascii="Times New Roman" w:hAnsi="Times New Roman" w:eastAsia="Times New Roman" w:cs="Times New Roman"/>
          <w:b/>
          <w:bCs/>
          <w:color w:val="auto"/>
          <w:spacing w:val="-5"/>
          <w:sz w:val="24"/>
          <w:szCs w:val="24"/>
          <w:highlight w:val="none"/>
        </w:rPr>
        <w:t>7.1</w:t>
      </w:r>
      <w:r>
        <w:rPr>
          <w:rFonts w:ascii="Times New Roman" w:hAnsi="Times New Roman" w:eastAsia="Times New Roman" w:cs="Times New Roman"/>
          <w:b/>
          <w:bCs/>
          <w:color w:val="auto"/>
          <w:spacing w:val="10"/>
          <w:sz w:val="24"/>
          <w:szCs w:val="24"/>
          <w:highlight w:val="none"/>
        </w:rPr>
        <w:t xml:space="preserve">  </w:t>
      </w:r>
      <w:r>
        <w:rPr>
          <w:rFonts w:ascii="宋体" w:hAnsi="宋体" w:eastAsia="宋体" w:cs="宋体"/>
          <w:b/>
          <w:bCs/>
          <w:color w:val="auto"/>
          <w:spacing w:val="-5"/>
          <w:sz w:val="24"/>
          <w:szCs w:val="24"/>
          <w:highlight w:val="none"/>
        </w:rPr>
        <w:t>定标方式</w:t>
      </w:r>
      <w:bookmarkEnd w:id="197"/>
      <w:bookmarkEnd w:id="198"/>
    </w:p>
    <w:p w14:paraId="22078554">
      <w:pPr>
        <w:spacing w:before="180" w:line="332" w:lineRule="auto"/>
        <w:ind w:firstLine="480"/>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 xml:space="preserve">7.1.1  </w:t>
      </w:r>
      <w:r>
        <w:rPr>
          <w:rFonts w:ascii="宋体" w:hAnsi="宋体" w:eastAsia="宋体" w:cs="宋体"/>
          <w:color w:val="auto"/>
          <w:sz w:val="24"/>
          <w:szCs w:val="24"/>
          <w:highlight w:val="none"/>
        </w:rPr>
        <w:t>除投标人须知前附表规定评标委员会直接确定中标人外，招标人依据评标</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委员会推荐的中标候选人确定中标人。采用评定分离的，由招标人在投标人须知前附</w:t>
      </w:r>
      <w:r>
        <w:rPr>
          <w:rFonts w:ascii="宋体" w:hAnsi="宋体" w:eastAsia="宋体" w:cs="宋体"/>
          <w:color w:val="auto"/>
          <w:spacing w:val="10"/>
          <w:sz w:val="24"/>
          <w:szCs w:val="24"/>
          <w:highlight w:val="none"/>
        </w:rPr>
        <w:t xml:space="preserve"> </w:t>
      </w:r>
      <w:r>
        <w:rPr>
          <w:rFonts w:ascii="宋体" w:hAnsi="宋体" w:eastAsia="宋体" w:cs="宋体"/>
          <w:color w:val="auto"/>
          <w:sz w:val="24"/>
          <w:szCs w:val="24"/>
          <w:highlight w:val="none"/>
        </w:rPr>
        <w:t>表</w:t>
      </w:r>
      <w:r>
        <w:rPr>
          <w:rFonts w:ascii="Times New Roman" w:hAnsi="Times New Roman" w:eastAsia="Times New Roman" w:cs="Times New Roman"/>
          <w:color w:val="auto"/>
          <w:sz w:val="24"/>
          <w:szCs w:val="24"/>
          <w:highlight w:val="none"/>
        </w:rPr>
        <w:t>7.1.1</w:t>
      </w:r>
      <w:r>
        <w:rPr>
          <w:rFonts w:ascii="宋体" w:hAnsi="宋体" w:eastAsia="宋体" w:cs="宋体"/>
          <w:color w:val="auto"/>
          <w:sz w:val="24"/>
          <w:szCs w:val="24"/>
          <w:highlight w:val="none"/>
        </w:rPr>
        <w:t>项中明确。定标前，招标人可</w:t>
      </w:r>
      <w:r>
        <w:rPr>
          <w:rFonts w:ascii="宋体" w:hAnsi="宋体" w:eastAsia="宋体" w:cs="宋体"/>
          <w:color w:val="auto"/>
          <w:spacing w:val="-1"/>
          <w:sz w:val="24"/>
          <w:szCs w:val="24"/>
          <w:highlight w:val="none"/>
        </w:rPr>
        <w:t>对中标候选人的证书、业绩、诚信等进行核查。</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评定分离的定标办法按本章</w:t>
      </w:r>
      <w:r>
        <w:rPr>
          <w:rFonts w:ascii="Times New Roman" w:hAnsi="Times New Roman" w:eastAsia="Times New Roman" w:cs="Times New Roman"/>
          <w:color w:val="auto"/>
          <w:spacing w:val="-2"/>
          <w:sz w:val="24"/>
          <w:szCs w:val="24"/>
          <w:highlight w:val="none"/>
        </w:rPr>
        <w:t>7.1.7</w:t>
      </w:r>
      <w:r>
        <w:rPr>
          <w:rFonts w:ascii="宋体" w:hAnsi="宋体" w:eastAsia="宋体" w:cs="宋体"/>
          <w:color w:val="auto"/>
          <w:spacing w:val="-2"/>
          <w:sz w:val="24"/>
          <w:szCs w:val="24"/>
          <w:highlight w:val="none"/>
        </w:rPr>
        <w:t>项规</w:t>
      </w:r>
      <w:r>
        <w:rPr>
          <w:rFonts w:ascii="宋体" w:hAnsi="宋体" w:eastAsia="宋体" w:cs="宋体"/>
          <w:color w:val="auto"/>
          <w:spacing w:val="-3"/>
          <w:sz w:val="24"/>
          <w:szCs w:val="24"/>
          <w:highlight w:val="none"/>
        </w:rPr>
        <w:t>定的定标程序和方法，组建定标委员会确定中标</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人。</w:t>
      </w:r>
    </w:p>
    <w:p w14:paraId="535241D6">
      <w:pPr>
        <w:spacing w:before="175" w:line="313" w:lineRule="auto"/>
        <w:ind w:right="80" w:firstLine="480"/>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 xml:space="preserve">7.1.2  </w:t>
      </w:r>
      <w:r>
        <w:rPr>
          <w:rFonts w:ascii="宋体" w:hAnsi="宋体" w:eastAsia="宋体" w:cs="宋体"/>
          <w:color w:val="auto"/>
          <w:sz w:val="24"/>
          <w:szCs w:val="24"/>
          <w:highlight w:val="none"/>
        </w:rPr>
        <w:t>依法必须招标的项目，中标候选人放弃中标、因不可抗力提出不能履行合</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同，或者招标文件规定应当提交履约担保而在规定的期限内未能提交，或者被查实存</w:t>
      </w:r>
      <w:r>
        <w:rPr>
          <w:rFonts w:ascii="宋体" w:hAnsi="宋体" w:eastAsia="宋体" w:cs="宋体"/>
          <w:color w:val="auto"/>
          <w:spacing w:val="10"/>
          <w:sz w:val="24"/>
          <w:szCs w:val="24"/>
          <w:highlight w:val="none"/>
        </w:rPr>
        <w:t xml:space="preserve"> </w:t>
      </w:r>
      <w:r>
        <w:rPr>
          <w:rFonts w:ascii="宋体" w:hAnsi="宋体" w:eastAsia="宋体" w:cs="宋体"/>
          <w:color w:val="auto"/>
          <w:sz w:val="24"/>
          <w:szCs w:val="24"/>
          <w:highlight w:val="none"/>
        </w:rPr>
        <w:t>在影响中标结果的违法行为等情形，不符合中标条件</w:t>
      </w:r>
      <w:r>
        <w:rPr>
          <w:rFonts w:ascii="宋体" w:hAnsi="宋体" w:eastAsia="宋体" w:cs="宋体"/>
          <w:color w:val="auto"/>
          <w:spacing w:val="-1"/>
          <w:sz w:val="24"/>
          <w:szCs w:val="24"/>
          <w:highlight w:val="none"/>
        </w:rPr>
        <w:t>的，取消其中标资格。</w:t>
      </w:r>
    </w:p>
    <w:p w14:paraId="23782A46">
      <w:pPr>
        <w:spacing w:before="184" w:line="288" w:lineRule="auto"/>
        <w:ind w:left="2" w:right="80" w:firstLine="478"/>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 xml:space="preserve">7.1.3  </w:t>
      </w:r>
      <w:r>
        <w:rPr>
          <w:rFonts w:ascii="宋体" w:hAnsi="宋体" w:eastAsia="宋体" w:cs="宋体"/>
          <w:color w:val="auto"/>
          <w:sz w:val="24"/>
          <w:szCs w:val="24"/>
          <w:highlight w:val="none"/>
        </w:rPr>
        <w:t>招标人在定标前，应通过中国裁判文书网查询中标候选人及其法定代表人</w:t>
      </w:r>
      <w:r>
        <w:rPr>
          <w:rFonts w:ascii="宋体" w:hAnsi="宋体" w:eastAsia="宋体" w:cs="宋体"/>
          <w:color w:val="auto"/>
          <w:spacing w:val="18"/>
          <w:sz w:val="24"/>
          <w:szCs w:val="24"/>
          <w:highlight w:val="none"/>
        </w:rPr>
        <w:t xml:space="preserve"> </w:t>
      </w:r>
      <w:r>
        <w:rPr>
          <w:rFonts w:ascii="宋体" w:hAnsi="宋体" w:eastAsia="宋体" w:cs="宋体"/>
          <w:color w:val="auto"/>
          <w:spacing w:val="-3"/>
          <w:sz w:val="24"/>
          <w:szCs w:val="24"/>
          <w:highlight w:val="none"/>
        </w:rPr>
        <w:t>和拟派项目负责人有无行贿犯罪记录，若发现有未如实填报或隐瞒不报情况的，一律</w:t>
      </w:r>
    </w:p>
    <w:p w14:paraId="4468F215">
      <w:pPr>
        <w:spacing w:before="47" w:line="220" w:lineRule="auto"/>
        <w:ind w:left="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取消其中标资格并上报行政主管部门，由行</w:t>
      </w:r>
      <w:r>
        <w:rPr>
          <w:rFonts w:ascii="宋体" w:hAnsi="宋体" w:eastAsia="宋体" w:cs="宋体"/>
          <w:color w:val="auto"/>
          <w:spacing w:val="-2"/>
          <w:sz w:val="24"/>
          <w:szCs w:val="24"/>
          <w:highlight w:val="none"/>
        </w:rPr>
        <w:t>政主管部门列为不良行为记录。</w:t>
      </w:r>
    </w:p>
    <w:p w14:paraId="3D3C52FD">
      <w:pPr>
        <w:spacing w:before="182" w:line="219" w:lineRule="auto"/>
        <w:ind w:left="480"/>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 xml:space="preserve">7.1.4  </w:t>
      </w:r>
      <w:r>
        <w:rPr>
          <w:rFonts w:ascii="宋体" w:hAnsi="宋体" w:eastAsia="宋体" w:cs="宋体"/>
          <w:color w:val="auto"/>
          <w:sz w:val="24"/>
          <w:szCs w:val="24"/>
          <w:highlight w:val="none"/>
        </w:rPr>
        <w:t>招标人在定标前，应查询中标候选人及其法定代表人和拟派项目负责人的</w:t>
      </w:r>
    </w:p>
    <w:p w14:paraId="7CEFC284">
      <w:pPr>
        <w:spacing w:before="145" w:line="466" w:lineRule="exact"/>
        <w:ind w:left="6"/>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eastAsia="宋体" w:cs="宋体"/>
          <w:color w:val="auto"/>
          <w:spacing w:val="-1"/>
          <w:position w:val="7"/>
          <w:sz w:val="24"/>
          <w:szCs w:val="24"/>
          <w:highlight w:val="none"/>
        </w:rPr>
        <w:t>失信被执行人名单[以“信用中国”网站（</w:t>
      </w:r>
      <w:r>
        <w:rPr>
          <w:rFonts w:ascii="Times New Roman" w:hAnsi="Times New Roman" w:eastAsia="Times New Roman" w:cs="Times New Roman"/>
          <w:color w:val="auto"/>
          <w:spacing w:val="-1"/>
          <w:position w:val="7"/>
          <w:sz w:val="24"/>
          <w:szCs w:val="24"/>
          <w:highlight w:val="none"/>
        </w:rPr>
        <w:t>www.creditchina.gov.cn</w:t>
      </w:r>
      <w:r>
        <w:rPr>
          <w:rFonts w:ascii="宋体" w:hAnsi="宋体" w:eastAsia="宋体" w:cs="宋体"/>
          <w:color w:val="auto"/>
          <w:spacing w:val="-1"/>
          <w:position w:val="7"/>
          <w:sz w:val="24"/>
          <w:szCs w:val="24"/>
          <w:highlight w:val="none"/>
        </w:rPr>
        <w:t>）</w:t>
      </w:r>
      <w:r>
        <w:rPr>
          <w:rFonts w:ascii="宋体" w:hAnsi="宋体" w:eastAsia="宋体" w:cs="宋体"/>
          <w:color w:val="auto"/>
          <w:spacing w:val="-2"/>
          <w:position w:val="7"/>
          <w:sz w:val="24"/>
          <w:szCs w:val="24"/>
          <w:highlight w:val="none"/>
        </w:rPr>
        <w:t>查询为准]</w:t>
      </w:r>
      <w:r>
        <w:rPr>
          <w:rFonts w:ascii="宋体" w:hAnsi="宋体" w:eastAsia="宋体" w:cs="宋体"/>
          <w:color w:val="auto"/>
          <w:spacing w:val="-2"/>
          <w:position w:val="7"/>
          <w:sz w:val="24"/>
          <w:szCs w:val="24"/>
          <w:highlight w:val="none"/>
        </w:rPr>
        <w:fldChar w:fldCharType="end"/>
      </w:r>
      <w:r>
        <w:rPr>
          <w:rFonts w:ascii="宋体" w:hAnsi="宋体" w:eastAsia="宋体" w:cs="宋体"/>
          <w:color w:val="auto"/>
          <w:spacing w:val="-2"/>
          <w:position w:val="7"/>
          <w:sz w:val="24"/>
          <w:szCs w:val="24"/>
          <w:highlight w:val="none"/>
        </w:rPr>
        <w:t>，若发</w:t>
      </w:r>
    </w:p>
    <w:p w14:paraId="66FB4353">
      <w:pPr>
        <w:spacing w:before="36" w:line="345" w:lineRule="auto"/>
        <w:ind w:right="120" w:firstLine="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现有未如实填报或隐瞒不报情况的，一律取消其中标资格并上报行政主管部门，由行</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政主管部门列为不良行为记录。</w:t>
      </w:r>
    </w:p>
    <w:p w14:paraId="502D1C15">
      <w:pPr>
        <w:spacing w:before="37" w:line="324" w:lineRule="auto"/>
        <w:ind w:firstLine="480"/>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 xml:space="preserve">7.1.5  </w:t>
      </w:r>
      <w:r>
        <w:rPr>
          <w:rFonts w:ascii="宋体" w:hAnsi="宋体" w:eastAsia="宋体" w:cs="宋体"/>
          <w:color w:val="auto"/>
          <w:sz w:val="24"/>
          <w:szCs w:val="24"/>
          <w:highlight w:val="none"/>
        </w:rPr>
        <w:t>招标人在定标前，应查询中标候选人资质动态核查处于“合格”状态（根</w:t>
      </w:r>
      <w:r>
        <w:rPr>
          <w:rFonts w:ascii="宋体" w:hAnsi="宋体" w:eastAsia="宋体" w:cs="宋体"/>
          <w:color w:val="auto"/>
          <w:spacing w:val="4"/>
          <w:sz w:val="24"/>
          <w:szCs w:val="24"/>
          <w:highlight w:val="none"/>
        </w:rPr>
        <w:t xml:space="preserve">  </w:t>
      </w:r>
      <w:r>
        <w:rPr>
          <w:rFonts w:ascii="宋体" w:hAnsi="宋体" w:eastAsia="宋体" w:cs="宋体"/>
          <w:color w:val="auto"/>
          <w:spacing w:val="-1"/>
          <w:sz w:val="24"/>
          <w:szCs w:val="24"/>
          <w:highlight w:val="none"/>
        </w:rPr>
        <w:t>据相关文件要求进行核查</w:t>
      </w:r>
      <w:r>
        <w:rPr>
          <w:rFonts w:ascii="宋体" w:hAnsi="宋体" w:eastAsia="宋体" w:cs="宋体"/>
          <w:color w:val="auto"/>
          <w:spacing w:val="-26"/>
          <w:sz w:val="24"/>
          <w:szCs w:val="24"/>
          <w:highlight w:val="none"/>
        </w:rPr>
        <w:t>），</w:t>
      </w:r>
      <w:r>
        <w:rPr>
          <w:rFonts w:ascii="宋体" w:hAnsi="宋体" w:eastAsia="宋体" w:cs="宋体"/>
          <w:color w:val="auto"/>
          <w:spacing w:val="-1"/>
          <w:sz w:val="24"/>
          <w:szCs w:val="24"/>
          <w:highlight w:val="none"/>
        </w:rPr>
        <w:t>若发现有未如实填报</w:t>
      </w:r>
      <w:r>
        <w:rPr>
          <w:rFonts w:ascii="宋体" w:hAnsi="宋体" w:eastAsia="宋体" w:cs="宋体"/>
          <w:color w:val="auto"/>
          <w:spacing w:val="-2"/>
          <w:sz w:val="24"/>
          <w:szCs w:val="24"/>
          <w:highlight w:val="none"/>
        </w:rPr>
        <w:t>或隐瞒不报情况的，一律取消其中</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标资格并上报行政主管部门，由行政主管部门列为不良行为记录；核查结果“不合格”</w:t>
      </w:r>
      <w:r>
        <w:rPr>
          <w:rFonts w:ascii="宋体" w:hAnsi="宋体" w:eastAsia="宋体" w:cs="宋体"/>
          <w:color w:val="auto"/>
          <w:spacing w:val="7"/>
          <w:sz w:val="24"/>
          <w:szCs w:val="24"/>
          <w:highlight w:val="none"/>
        </w:rPr>
        <w:t xml:space="preserve"> </w:t>
      </w:r>
      <w:r>
        <w:rPr>
          <w:rFonts w:ascii="宋体" w:hAnsi="宋体" w:eastAsia="宋体" w:cs="宋体"/>
          <w:color w:val="auto"/>
          <w:spacing w:val="-4"/>
          <w:sz w:val="24"/>
          <w:szCs w:val="24"/>
          <w:highlight w:val="none"/>
        </w:rPr>
        <w:t>的，取消其中标资格。</w:t>
      </w:r>
    </w:p>
    <w:p w14:paraId="331D30EC">
      <w:pPr>
        <w:spacing w:before="184" w:line="312" w:lineRule="auto"/>
        <w:ind w:left="1" w:right="120" w:firstLine="478"/>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 xml:space="preserve">7.1.6  </w:t>
      </w:r>
      <w:r>
        <w:rPr>
          <w:rFonts w:ascii="宋体" w:hAnsi="宋体" w:eastAsia="宋体" w:cs="宋体"/>
          <w:color w:val="auto"/>
          <w:sz w:val="24"/>
          <w:szCs w:val="24"/>
          <w:highlight w:val="none"/>
        </w:rPr>
        <w:t>出现本章第</w:t>
      </w:r>
      <w:r>
        <w:rPr>
          <w:rFonts w:ascii="Times New Roman" w:hAnsi="Times New Roman" w:eastAsia="Times New Roman" w:cs="Times New Roman"/>
          <w:color w:val="auto"/>
          <w:sz w:val="24"/>
          <w:szCs w:val="24"/>
          <w:highlight w:val="none"/>
        </w:rPr>
        <w:t>7.1.2</w:t>
      </w:r>
      <w:r>
        <w:rPr>
          <w:rFonts w:ascii="宋体" w:hAnsi="宋体" w:eastAsia="宋体" w:cs="宋体"/>
          <w:color w:val="auto"/>
          <w:sz w:val="24"/>
          <w:szCs w:val="24"/>
          <w:highlight w:val="none"/>
        </w:rPr>
        <w:t>项～第</w:t>
      </w:r>
      <w:r>
        <w:rPr>
          <w:rFonts w:ascii="Times New Roman" w:hAnsi="Times New Roman" w:eastAsia="Times New Roman" w:cs="Times New Roman"/>
          <w:color w:val="auto"/>
          <w:sz w:val="24"/>
          <w:szCs w:val="24"/>
          <w:highlight w:val="none"/>
        </w:rPr>
        <w:t>7.1.5</w:t>
      </w:r>
      <w:r>
        <w:rPr>
          <w:rFonts w:ascii="宋体" w:hAnsi="宋体" w:eastAsia="宋体" w:cs="宋体"/>
          <w:color w:val="auto"/>
          <w:sz w:val="24"/>
          <w:szCs w:val="24"/>
          <w:highlight w:val="none"/>
        </w:rPr>
        <w:t>项情形被取消中标资格的，招标人可以按照评</w:t>
      </w:r>
      <w:r>
        <w:rPr>
          <w:rFonts w:ascii="宋体" w:hAnsi="宋体" w:eastAsia="宋体" w:cs="宋体"/>
          <w:color w:val="auto"/>
          <w:spacing w:val="16"/>
          <w:sz w:val="24"/>
          <w:szCs w:val="24"/>
          <w:highlight w:val="none"/>
        </w:rPr>
        <w:t xml:space="preserve"> </w:t>
      </w:r>
      <w:r>
        <w:rPr>
          <w:rFonts w:ascii="宋体" w:hAnsi="宋体" w:eastAsia="宋体" w:cs="宋体"/>
          <w:color w:val="auto"/>
          <w:spacing w:val="-3"/>
          <w:sz w:val="24"/>
          <w:szCs w:val="24"/>
          <w:highlight w:val="none"/>
        </w:rPr>
        <w:t>标委员会提出的中标候选人名单排序依次确定其他中标候选人为中标人（采用“评定</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分离”的，在剩余推荐名单的中标候选人确定为中标人</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也</w:t>
      </w:r>
      <w:r>
        <w:rPr>
          <w:rFonts w:ascii="宋体" w:hAnsi="宋体" w:eastAsia="宋体" w:cs="宋体"/>
          <w:color w:val="auto"/>
          <w:spacing w:val="-2"/>
          <w:sz w:val="24"/>
          <w:szCs w:val="24"/>
          <w:highlight w:val="none"/>
        </w:rPr>
        <w:t>可以重新招标。</w:t>
      </w:r>
    </w:p>
    <w:p w14:paraId="0436933A">
      <w:pPr>
        <w:spacing w:before="180" w:line="220" w:lineRule="auto"/>
        <w:ind w:left="48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7.1.7  </w:t>
      </w:r>
      <w:r>
        <w:rPr>
          <w:rFonts w:ascii="宋体" w:hAnsi="宋体" w:eastAsia="宋体" w:cs="宋体"/>
          <w:color w:val="auto"/>
          <w:spacing w:val="-1"/>
          <w:sz w:val="24"/>
          <w:szCs w:val="24"/>
          <w:highlight w:val="none"/>
        </w:rPr>
        <w:t>评定分离定标办法</w:t>
      </w:r>
    </w:p>
    <w:p w14:paraId="665AD18E">
      <w:pPr>
        <w:spacing w:before="183" w:line="220" w:lineRule="auto"/>
        <w:ind w:left="48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1</w:t>
      </w:r>
      <w:r>
        <w:rPr>
          <w:rFonts w:ascii="宋体" w:hAnsi="宋体" w:eastAsia="宋体" w:cs="宋体"/>
          <w:color w:val="auto"/>
          <w:spacing w:val="-5"/>
          <w:sz w:val="24"/>
          <w:szCs w:val="24"/>
          <w:highlight w:val="none"/>
        </w:rPr>
        <w:t>）定标原则</w:t>
      </w:r>
    </w:p>
    <w:p w14:paraId="6C0F3BF5">
      <w:pPr>
        <w:spacing w:before="180" w:line="218"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定标应遵循招标人负责制、兼顾择优和竞价、公平竞争的原则。</w:t>
      </w:r>
    </w:p>
    <w:p w14:paraId="0B4FB488">
      <w:pPr>
        <w:spacing w:before="184" w:line="220"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）评定分离定标组织</w:t>
      </w:r>
    </w:p>
    <w:p w14:paraId="707DC71C">
      <w:pPr>
        <w:spacing w:before="183" w:line="344" w:lineRule="auto"/>
        <w:ind w:right="120" w:firstLine="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定标工作由招标人组建的定标委员会负责，定标委员会的组建见投标人须</w:t>
      </w:r>
      <w:r>
        <w:rPr>
          <w:rFonts w:ascii="宋体" w:hAnsi="宋体" w:eastAsia="宋体" w:cs="宋体"/>
          <w:color w:val="auto"/>
          <w:spacing w:val="-4"/>
          <w:sz w:val="24"/>
          <w:szCs w:val="24"/>
          <w:highlight w:val="none"/>
        </w:rPr>
        <w:t>知前附</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表，定标委员会成员为不少于</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人的单数。</w:t>
      </w:r>
    </w:p>
    <w:p w14:paraId="7127B2F5">
      <w:pPr>
        <w:spacing w:before="41" w:line="354" w:lineRule="auto"/>
        <w:ind w:right="120" w:firstLine="486"/>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定标委员会成员一般由招标人代表、项目业主代表和项目使用单位代表组</w:t>
      </w:r>
      <w:r>
        <w:rPr>
          <w:rFonts w:ascii="宋体" w:hAnsi="宋体" w:eastAsia="宋体" w:cs="宋体"/>
          <w:color w:val="auto"/>
          <w:spacing w:val="-4"/>
          <w:sz w:val="24"/>
          <w:szCs w:val="24"/>
          <w:highlight w:val="none"/>
        </w:rPr>
        <w:t>成。确</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有需要的，招标人可邀请外部专家担任定标委员会成员，但邀请的外部成员人数不得</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超过定标委员会成员总人数的二分之一。评标委员会成员原则上不得担任定标委员会</w:t>
      </w:r>
      <w:r>
        <w:rPr>
          <w:rFonts w:ascii="宋体" w:hAnsi="宋体" w:eastAsia="宋体" w:cs="宋体"/>
          <w:color w:val="auto"/>
          <w:spacing w:val="10"/>
          <w:sz w:val="24"/>
          <w:szCs w:val="24"/>
          <w:highlight w:val="none"/>
        </w:rPr>
        <w:t xml:space="preserve"> </w:t>
      </w:r>
      <w:r>
        <w:rPr>
          <w:rFonts w:ascii="宋体" w:hAnsi="宋体" w:eastAsia="宋体" w:cs="宋体"/>
          <w:color w:val="auto"/>
          <w:spacing w:val="-5"/>
          <w:sz w:val="24"/>
          <w:szCs w:val="24"/>
          <w:highlight w:val="none"/>
        </w:rPr>
        <w:t>成员。招标人的法定代表人或主要负责人或分管负责人应进入定标委员会，</w:t>
      </w:r>
      <w:r>
        <w:rPr>
          <w:rFonts w:ascii="宋体" w:hAnsi="宋体" w:eastAsia="宋体" w:cs="宋体"/>
          <w:color w:val="auto"/>
          <w:spacing w:val="-36"/>
          <w:sz w:val="24"/>
          <w:szCs w:val="24"/>
          <w:highlight w:val="none"/>
        </w:rPr>
        <w:t xml:space="preserve"> </w:t>
      </w:r>
      <w:r>
        <w:rPr>
          <w:rFonts w:ascii="宋体" w:hAnsi="宋体" w:eastAsia="宋体" w:cs="宋体"/>
          <w:color w:val="auto"/>
          <w:spacing w:val="-5"/>
          <w:sz w:val="24"/>
          <w:szCs w:val="24"/>
          <w:highlight w:val="none"/>
        </w:rPr>
        <w:t>并担任组</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长，主持定标会议。招标人的法定代表人、主要负责人、分管负责人均进入定标委员</w:t>
      </w:r>
      <w:r>
        <w:rPr>
          <w:rFonts w:ascii="宋体" w:hAnsi="宋体" w:eastAsia="宋体" w:cs="宋体"/>
          <w:color w:val="auto"/>
          <w:spacing w:val="8"/>
          <w:sz w:val="24"/>
          <w:szCs w:val="24"/>
          <w:highlight w:val="none"/>
        </w:rPr>
        <w:t xml:space="preserve"> </w:t>
      </w:r>
      <w:r>
        <w:rPr>
          <w:rFonts w:ascii="宋体" w:hAnsi="宋体" w:eastAsia="宋体" w:cs="宋体"/>
          <w:color w:val="auto"/>
          <w:spacing w:val="-1"/>
          <w:sz w:val="24"/>
          <w:szCs w:val="24"/>
          <w:highlight w:val="none"/>
        </w:rPr>
        <w:t>会的，或其中两人进入定标委员会的，应从其中</w:t>
      </w:r>
      <w:r>
        <w:rPr>
          <w:rFonts w:ascii="宋体" w:hAnsi="宋体" w:eastAsia="宋体" w:cs="宋体"/>
          <w:color w:val="auto"/>
          <w:spacing w:val="-2"/>
          <w:sz w:val="24"/>
          <w:szCs w:val="24"/>
          <w:highlight w:val="none"/>
        </w:rPr>
        <w:t>推选一人担任组长。</w:t>
      </w:r>
    </w:p>
    <w:p w14:paraId="377A473D">
      <w:pPr>
        <w:spacing w:before="38" w:line="344" w:lineRule="auto"/>
        <w:ind w:left="486" w:right="1263"/>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定标委员会成员与中标候选人有利害关系的应主动说明并申请回避。</w:t>
      </w:r>
      <w:r>
        <w:rPr>
          <w:rFonts w:ascii="宋体" w:hAnsi="宋体" w:eastAsia="宋体" w:cs="宋体"/>
          <w:color w:val="auto"/>
          <w:spacing w:val="9"/>
          <w:sz w:val="24"/>
          <w:szCs w:val="24"/>
          <w:highlight w:val="none"/>
        </w:rPr>
        <w:t xml:space="preserve"> </w:t>
      </w:r>
      <w:r>
        <w:rPr>
          <w:rFonts w:ascii="宋体" w:hAnsi="宋体" w:eastAsia="宋体" w:cs="宋体"/>
          <w:color w:val="auto"/>
          <w:spacing w:val="-3"/>
          <w:sz w:val="24"/>
          <w:szCs w:val="24"/>
          <w:highlight w:val="none"/>
        </w:rPr>
        <w:t>定标委员会名单在中标结果确定前应保密。</w:t>
      </w:r>
    </w:p>
    <w:p w14:paraId="4E308089">
      <w:pPr>
        <w:spacing w:before="38" w:line="350" w:lineRule="auto"/>
        <w:ind w:right="20" w:firstLine="485"/>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定标委员会应推举产生</w:t>
      </w:r>
      <w:r>
        <w:rPr>
          <w:rFonts w:ascii="Times New Roman" w:hAnsi="Times New Roman" w:eastAsia="Times New Roman" w:cs="Times New Roman"/>
          <w:color w:val="auto"/>
          <w:sz w:val="24"/>
          <w:szCs w:val="24"/>
          <w:highlight w:val="none"/>
        </w:rPr>
        <w:t>1</w:t>
      </w:r>
      <w:r>
        <w:rPr>
          <w:rFonts w:ascii="宋体" w:hAnsi="宋体" w:eastAsia="宋体" w:cs="宋体"/>
          <w:color w:val="auto"/>
          <w:sz w:val="24"/>
          <w:szCs w:val="24"/>
          <w:highlight w:val="none"/>
        </w:rPr>
        <w:t>名定标委员会组长。定标委员会组长负责组织定标、掌</w:t>
      </w:r>
      <w:r>
        <w:rPr>
          <w:rFonts w:ascii="宋体" w:hAnsi="宋体" w:eastAsia="宋体" w:cs="宋体"/>
          <w:color w:val="auto"/>
          <w:spacing w:val="12"/>
          <w:sz w:val="24"/>
          <w:szCs w:val="24"/>
          <w:highlight w:val="none"/>
        </w:rPr>
        <w:t xml:space="preserve"> </w:t>
      </w:r>
      <w:r>
        <w:rPr>
          <w:rFonts w:ascii="宋体" w:hAnsi="宋体" w:eastAsia="宋体" w:cs="宋体"/>
          <w:color w:val="auto"/>
          <w:sz w:val="24"/>
          <w:szCs w:val="24"/>
          <w:highlight w:val="none"/>
        </w:rPr>
        <w:t>握定标进程、现场面试、编写定标报告等工作，定标委员会组长（集体议事法</w:t>
      </w:r>
      <w:r>
        <w:rPr>
          <w:rFonts w:ascii="宋体" w:hAnsi="宋体" w:eastAsia="宋体" w:cs="宋体"/>
          <w:color w:val="auto"/>
          <w:spacing w:val="-1"/>
          <w:sz w:val="24"/>
          <w:szCs w:val="24"/>
          <w:highlight w:val="none"/>
        </w:rPr>
        <w:t>除外）</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与其他成员具有同等的权利。定标委员会成员对所提出</w:t>
      </w:r>
      <w:r>
        <w:rPr>
          <w:rFonts w:ascii="宋体" w:hAnsi="宋体" w:eastAsia="宋体" w:cs="宋体"/>
          <w:color w:val="auto"/>
          <w:spacing w:val="-2"/>
          <w:sz w:val="24"/>
          <w:szCs w:val="24"/>
          <w:highlight w:val="none"/>
        </w:rPr>
        <w:t>的意见承担个人责任。</w:t>
      </w:r>
    </w:p>
    <w:p w14:paraId="2758296F">
      <w:pPr>
        <w:spacing w:before="34" w:line="219"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定标委员会应当按照招标文件确定的定标标准和方法，客观、公正定标，招标文</w:t>
      </w:r>
    </w:p>
    <w:p w14:paraId="483FFD87">
      <w:pPr>
        <w:spacing w:before="47"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件没有规定的定标标准和方法不得作为定标的依据。</w:t>
      </w:r>
    </w:p>
    <w:p w14:paraId="365B5A97">
      <w:pPr>
        <w:spacing w:before="183" w:line="219" w:lineRule="auto"/>
        <w:ind w:left="48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）定标会议时间和地点见投标人须知前附表。</w:t>
      </w:r>
    </w:p>
    <w:p w14:paraId="2C34E468">
      <w:pPr>
        <w:spacing w:before="183" w:line="331" w:lineRule="auto"/>
        <w:ind w:right="3" w:firstLine="48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4</w:t>
      </w:r>
      <w:r>
        <w:rPr>
          <w:rFonts w:ascii="宋体" w:hAnsi="宋体" w:eastAsia="宋体" w:cs="宋体"/>
          <w:color w:val="auto"/>
          <w:spacing w:val="-1"/>
          <w:sz w:val="24"/>
          <w:szCs w:val="24"/>
          <w:highlight w:val="none"/>
        </w:rPr>
        <w:t>）招标人可在投标人须知前附表规定的时间前对所有中标候选人进行考察、</w:t>
      </w:r>
      <w:r>
        <w:rPr>
          <w:rFonts w:ascii="宋体" w:hAnsi="宋体" w:eastAsia="宋体" w:cs="宋体"/>
          <w:color w:val="auto"/>
          <w:spacing w:val="12"/>
          <w:sz w:val="24"/>
          <w:szCs w:val="24"/>
          <w:highlight w:val="none"/>
        </w:rPr>
        <w:t xml:space="preserve"> </w:t>
      </w:r>
      <w:r>
        <w:rPr>
          <w:rFonts w:ascii="宋体" w:hAnsi="宋体" w:eastAsia="宋体" w:cs="宋体"/>
          <w:color w:val="auto"/>
          <w:sz w:val="24"/>
          <w:szCs w:val="24"/>
          <w:highlight w:val="none"/>
        </w:rPr>
        <w:t>质询。考察、质询小组应由投标须知前附表规定的人数组成。考察、质询小组应由</w:t>
      </w:r>
      <w:r>
        <w:rPr>
          <w:rFonts w:ascii="Times New Roman" w:hAnsi="Times New Roman" w:eastAsia="Times New Roman" w:cs="Times New Roman"/>
          <w:color w:val="auto"/>
          <w:sz w:val="24"/>
          <w:szCs w:val="24"/>
          <w:highlight w:val="none"/>
        </w:rPr>
        <w:t>3</w:t>
      </w:r>
      <w:r>
        <w:rPr>
          <w:rFonts w:ascii="Times New Roman" w:hAnsi="Times New Roman" w:eastAsia="Times New Roman" w:cs="Times New Roman"/>
          <w:color w:val="auto"/>
          <w:spacing w:val="17"/>
          <w:w w:val="101"/>
          <w:sz w:val="24"/>
          <w:szCs w:val="24"/>
          <w:highlight w:val="none"/>
        </w:rPr>
        <w:t xml:space="preserve"> </w:t>
      </w:r>
      <w:r>
        <w:rPr>
          <w:rFonts w:ascii="宋体" w:hAnsi="宋体" w:eastAsia="宋体" w:cs="宋体"/>
          <w:color w:val="auto"/>
          <w:spacing w:val="-6"/>
          <w:sz w:val="24"/>
          <w:szCs w:val="24"/>
          <w:highlight w:val="none"/>
        </w:rPr>
        <w:t>人及以上单数组成。考察、质询小组应如实记录考察、质询情况， 并出具考察、质询</w:t>
      </w:r>
      <w:r>
        <w:rPr>
          <w:rFonts w:ascii="宋体" w:hAnsi="宋体" w:eastAsia="宋体" w:cs="宋体"/>
          <w:color w:val="auto"/>
          <w:spacing w:val="5"/>
          <w:sz w:val="24"/>
          <w:szCs w:val="24"/>
          <w:highlight w:val="none"/>
        </w:rPr>
        <w:t xml:space="preserve"> </w:t>
      </w:r>
      <w:r>
        <w:rPr>
          <w:rFonts w:ascii="宋体" w:hAnsi="宋体" w:eastAsia="宋体" w:cs="宋体"/>
          <w:color w:val="auto"/>
          <w:spacing w:val="-3"/>
          <w:sz w:val="24"/>
          <w:szCs w:val="24"/>
          <w:highlight w:val="none"/>
        </w:rPr>
        <w:t>报告作为定标要素之一。考察、质询报告应客观公正，不得有明示或暗示中标人的内</w:t>
      </w:r>
      <w:r>
        <w:rPr>
          <w:rFonts w:ascii="宋体" w:hAnsi="宋体" w:eastAsia="宋体" w:cs="宋体"/>
          <w:color w:val="auto"/>
          <w:spacing w:val="8"/>
          <w:sz w:val="24"/>
          <w:szCs w:val="24"/>
          <w:highlight w:val="none"/>
        </w:rPr>
        <w:t xml:space="preserve"> </w:t>
      </w:r>
      <w:r>
        <w:rPr>
          <w:rFonts w:ascii="宋体" w:hAnsi="宋体" w:eastAsia="宋体" w:cs="宋体"/>
          <w:color w:val="auto"/>
          <w:spacing w:val="-11"/>
          <w:sz w:val="24"/>
          <w:szCs w:val="24"/>
          <w:highlight w:val="none"/>
        </w:rPr>
        <w:t>容。</w:t>
      </w:r>
    </w:p>
    <w:p w14:paraId="08B09A54">
      <w:pPr>
        <w:spacing w:before="182" w:line="288" w:lineRule="auto"/>
        <w:ind w:right="1" w:firstLine="487"/>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5</w:t>
      </w:r>
      <w:r>
        <w:rPr>
          <w:rFonts w:ascii="宋体" w:hAnsi="宋体" w:eastAsia="宋体" w:cs="宋体"/>
          <w:color w:val="auto"/>
          <w:sz w:val="24"/>
          <w:szCs w:val="24"/>
          <w:highlight w:val="none"/>
        </w:rPr>
        <w:t>）现场面试见投标人须知前附表。招标人在定标阶段对中标候选人的法定代</w:t>
      </w:r>
      <w:r>
        <w:rPr>
          <w:rFonts w:ascii="宋体" w:hAnsi="宋体" w:eastAsia="宋体" w:cs="宋体"/>
          <w:color w:val="auto"/>
          <w:spacing w:val="11"/>
          <w:sz w:val="24"/>
          <w:szCs w:val="24"/>
          <w:highlight w:val="none"/>
        </w:rPr>
        <w:t xml:space="preserve"> </w:t>
      </w:r>
      <w:r>
        <w:rPr>
          <w:rFonts w:ascii="宋体" w:hAnsi="宋体" w:eastAsia="宋体" w:cs="宋体"/>
          <w:color w:val="auto"/>
          <w:spacing w:val="-1"/>
          <w:sz w:val="24"/>
          <w:szCs w:val="24"/>
          <w:highlight w:val="none"/>
        </w:rPr>
        <w:t>表人、拟派项目负责人开展现场面试。现场面试</w:t>
      </w:r>
      <w:r>
        <w:rPr>
          <w:rFonts w:ascii="宋体" w:hAnsi="宋体" w:eastAsia="宋体" w:cs="宋体"/>
          <w:color w:val="auto"/>
          <w:spacing w:val="-2"/>
          <w:sz w:val="24"/>
          <w:szCs w:val="24"/>
          <w:highlight w:val="none"/>
        </w:rPr>
        <w:t>由定标委员会具体实施。</w:t>
      </w:r>
    </w:p>
    <w:p w14:paraId="396A014A">
      <w:pPr>
        <w:spacing w:before="182" w:line="290" w:lineRule="auto"/>
        <w:ind w:left="2" w:right="1"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w:t>
      </w:r>
      <w:r>
        <w:rPr>
          <w:rFonts w:ascii="Times New Roman" w:hAnsi="Times New Roman" w:eastAsia="Times New Roman" w:cs="Times New Roman"/>
          <w:color w:val="auto"/>
          <w:sz w:val="24"/>
          <w:szCs w:val="24"/>
          <w:highlight w:val="none"/>
        </w:rPr>
        <w:t>6</w:t>
      </w:r>
      <w:r>
        <w:rPr>
          <w:rFonts w:ascii="宋体" w:hAnsi="宋体" w:eastAsia="宋体" w:cs="宋体"/>
          <w:color w:val="auto"/>
          <w:sz w:val="24"/>
          <w:szCs w:val="24"/>
          <w:highlight w:val="none"/>
        </w:rPr>
        <w:t>）定标因素由招标人在投标人须知前附表中根据项目实际情况进行调整并细</w:t>
      </w:r>
      <w:r>
        <w:rPr>
          <w:rFonts w:ascii="宋体" w:hAnsi="宋体" w:eastAsia="宋体" w:cs="宋体"/>
          <w:color w:val="auto"/>
          <w:spacing w:val="11"/>
          <w:sz w:val="24"/>
          <w:szCs w:val="24"/>
          <w:highlight w:val="none"/>
        </w:rPr>
        <w:t xml:space="preserve"> </w:t>
      </w:r>
      <w:r>
        <w:rPr>
          <w:rFonts w:ascii="宋体" w:hAnsi="宋体" w:eastAsia="宋体" w:cs="宋体"/>
          <w:color w:val="auto"/>
          <w:spacing w:val="-12"/>
          <w:sz w:val="24"/>
          <w:szCs w:val="24"/>
          <w:highlight w:val="none"/>
        </w:rPr>
        <w:t>化。</w:t>
      </w:r>
    </w:p>
    <w:p w14:paraId="029945A7">
      <w:pPr>
        <w:spacing w:before="181" w:line="219" w:lineRule="auto"/>
        <w:ind w:left="48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7</w:t>
      </w:r>
      <w:r>
        <w:rPr>
          <w:rFonts w:ascii="宋体" w:hAnsi="宋体" w:eastAsia="宋体" w:cs="宋体"/>
          <w:color w:val="auto"/>
          <w:spacing w:val="-3"/>
          <w:sz w:val="24"/>
          <w:szCs w:val="24"/>
          <w:highlight w:val="none"/>
        </w:rPr>
        <w:t>）定标方法可采用下列方法或者下列方法的组合：</w:t>
      </w:r>
    </w:p>
    <w:p w14:paraId="7D1D53AE">
      <w:pPr>
        <w:spacing w:before="180" w:line="219" w:lineRule="auto"/>
        <w:ind w:left="500"/>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）票决法，由定标委员会直接票决方式确定中标人。</w:t>
      </w:r>
    </w:p>
    <w:p w14:paraId="07F260F7">
      <w:pPr>
        <w:spacing w:before="185" w:line="312" w:lineRule="auto"/>
        <w:ind w:right="1" w:firstLine="476"/>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）集体议事法，由定标委员会集体商议，在</w:t>
      </w:r>
      <w:r>
        <w:rPr>
          <w:rFonts w:ascii="宋体" w:hAnsi="宋体" w:eastAsia="宋体" w:cs="宋体"/>
          <w:color w:val="auto"/>
          <w:sz w:val="24"/>
          <w:szCs w:val="24"/>
          <w:highlight w:val="none"/>
        </w:rPr>
        <w:t xml:space="preserve">组成成员各自发表意见的基础上， </w:t>
      </w:r>
      <w:r>
        <w:rPr>
          <w:rFonts w:ascii="宋体" w:hAnsi="宋体" w:eastAsia="宋体" w:cs="宋体"/>
          <w:color w:val="auto"/>
          <w:spacing w:val="-3"/>
          <w:sz w:val="24"/>
          <w:szCs w:val="24"/>
          <w:highlight w:val="none"/>
        </w:rPr>
        <w:t>由定标委员会组长最终确定中标人。所有参加会议的定标委员会成员的意见应作书面</w:t>
      </w:r>
      <w:r>
        <w:rPr>
          <w:rFonts w:ascii="宋体" w:hAnsi="宋体" w:eastAsia="宋体" w:cs="宋体"/>
          <w:color w:val="auto"/>
          <w:spacing w:val="10"/>
          <w:sz w:val="24"/>
          <w:szCs w:val="24"/>
          <w:highlight w:val="none"/>
        </w:rPr>
        <w:t xml:space="preserve"> </w:t>
      </w:r>
      <w:r>
        <w:rPr>
          <w:rFonts w:ascii="宋体" w:hAnsi="宋体" w:eastAsia="宋体" w:cs="宋体"/>
          <w:color w:val="auto"/>
          <w:spacing w:val="-4"/>
          <w:sz w:val="24"/>
          <w:szCs w:val="24"/>
          <w:highlight w:val="none"/>
        </w:rPr>
        <w:t>记录，并由本人签字确认。</w:t>
      </w:r>
    </w:p>
    <w:p w14:paraId="24585715">
      <w:pPr>
        <w:spacing w:before="184" w:line="219" w:lineRule="auto"/>
        <w:ind w:left="482"/>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）投标须知前附表规定的其他定标办法。</w:t>
      </w:r>
    </w:p>
    <w:p w14:paraId="3772AD0A">
      <w:pPr>
        <w:spacing w:before="180" w:line="290" w:lineRule="auto"/>
        <w:ind w:left="3" w:right="30" w:firstLine="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8</w:t>
      </w:r>
      <w:r>
        <w:rPr>
          <w:rFonts w:ascii="宋体" w:hAnsi="宋体" w:eastAsia="宋体" w:cs="宋体"/>
          <w:color w:val="auto"/>
          <w:spacing w:val="-1"/>
          <w:sz w:val="24"/>
          <w:szCs w:val="24"/>
          <w:highlight w:val="none"/>
        </w:rPr>
        <w:t>）定标后有下列情形之一的，招标人可以组织原定标委员会从其他中标候选</w:t>
      </w:r>
      <w:r>
        <w:rPr>
          <w:rFonts w:ascii="宋体" w:hAnsi="宋体" w:eastAsia="宋体" w:cs="宋体"/>
          <w:color w:val="auto"/>
          <w:spacing w:val="18"/>
          <w:sz w:val="24"/>
          <w:szCs w:val="24"/>
          <w:highlight w:val="none"/>
        </w:rPr>
        <w:t xml:space="preserve"> </w:t>
      </w:r>
      <w:r>
        <w:rPr>
          <w:rFonts w:ascii="宋体" w:hAnsi="宋体" w:eastAsia="宋体" w:cs="宋体"/>
          <w:color w:val="auto"/>
          <w:spacing w:val="-5"/>
          <w:sz w:val="24"/>
          <w:szCs w:val="24"/>
          <w:highlight w:val="none"/>
        </w:rPr>
        <w:t>人中按原定标方法确定中标人：</w:t>
      </w:r>
    </w:p>
    <w:p w14:paraId="183467B3">
      <w:pPr>
        <w:spacing w:before="180" w:line="220" w:lineRule="auto"/>
        <w:ind w:left="500"/>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）中标人放弃中标资格或者拒不签订合同的；</w:t>
      </w:r>
    </w:p>
    <w:p w14:paraId="363ABCC7">
      <w:pPr>
        <w:spacing w:before="182" w:line="220" w:lineRule="auto"/>
        <w:ind w:left="477"/>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）中标人被查实存在违法行为影响中标结果的；</w:t>
      </w:r>
    </w:p>
    <w:p w14:paraId="1652A358">
      <w:pPr>
        <w:spacing w:before="180" w:line="219" w:lineRule="auto"/>
        <w:ind w:left="482"/>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）投标须知前附表规定的其他情形。</w:t>
      </w:r>
    </w:p>
    <w:p w14:paraId="0D5C8A11">
      <w:pPr>
        <w:spacing w:before="184" w:line="220" w:lineRule="auto"/>
        <w:ind w:left="4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9</w:t>
      </w:r>
      <w:r>
        <w:rPr>
          <w:rFonts w:ascii="宋体" w:hAnsi="宋体" w:eastAsia="宋体" w:cs="宋体"/>
          <w:color w:val="auto"/>
          <w:spacing w:val="-4"/>
          <w:sz w:val="24"/>
          <w:szCs w:val="24"/>
          <w:highlight w:val="none"/>
        </w:rPr>
        <w:t>）定标后有下列情形之一的，应重新定标：</w:t>
      </w:r>
    </w:p>
    <w:p w14:paraId="37EE572A">
      <w:pPr>
        <w:spacing w:before="179" w:line="219" w:lineRule="auto"/>
        <w:ind w:left="500"/>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）查实定标委员会未按定标办法公正履职的；</w:t>
      </w:r>
    </w:p>
    <w:p w14:paraId="577AD646">
      <w:pPr>
        <w:spacing w:before="183" w:line="219" w:lineRule="auto"/>
        <w:ind w:left="477"/>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）有定标委员会成员与中标候选人有利害关系且未申请回</w:t>
      </w:r>
      <w:r>
        <w:rPr>
          <w:rFonts w:ascii="宋体" w:hAnsi="宋体" w:eastAsia="宋体" w:cs="宋体"/>
          <w:color w:val="auto"/>
          <w:spacing w:val="-3"/>
          <w:sz w:val="24"/>
          <w:szCs w:val="24"/>
          <w:highlight w:val="none"/>
        </w:rPr>
        <w:t>避的；</w:t>
      </w:r>
    </w:p>
    <w:p w14:paraId="59B55D62">
      <w:pPr>
        <w:spacing w:before="181" w:line="219" w:lineRule="auto"/>
        <w:ind w:left="482"/>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）投标须知前附表规定的其他情形。</w:t>
      </w:r>
    </w:p>
    <w:p w14:paraId="21DA5886">
      <w:pPr>
        <w:spacing w:before="184" w:line="220" w:lineRule="auto"/>
        <w:outlineLvl w:val="2"/>
        <w:rPr>
          <w:rFonts w:ascii="宋体" w:hAnsi="宋体" w:eastAsia="宋体" w:cs="宋体"/>
          <w:color w:val="auto"/>
          <w:sz w:val="24"/>
          <w:szCs w:val="24"/>
          <w:highlight w:val="none"/>
        </w:rPr>
      </w:pPr>
      <w:bookmarkStart w:id="199" w:name="bookmark135"/>
      <w:bookmarkEnd w:id="199"/>
      <w:bookmarkStart w:id="200" w:name="_Toc15790"/>
      <w:bookmarkStart w:id="201" w:name="_Toc976"/>
      <w:r>
        <w:rPr>
          <w:rFonts w:ascii="Times New Roman" w:hAnsi="Times New Roman" w:eastAsia="Times New Roman" w:cs="Times New Roman"/>
          <w:b/>
          <w:bCs/>
          <w:color w:val="auto"/>
          <w:spacing w:val="-7"/>
          <w:sz w:val="24"/>
          <w:szCs w:val="24"/>
          <w:highlight w:val="none"/>
        </w:rPr>
        <w:t>7.2</w:t>
      </w:r>
      <w:r>
        <w:rPr>
          <w:rFonts w:ascii="Times New Roman" w:hAnsi="Times New Roman" w:eastAsia="Times New Roman" w:cs="Times New Roman"/>
          <w:b/>
          <w:bCs/>
          <w:color w:val="auto"/>
          <w:spacing w:val="17"/>
          <w:sz w:val="24"/>
          <w:szCs w:val="24"/>
          <w:highlight w:val="none"/>
        </w:rPr>
        <w:t xml:space="preserve">  </w:t>
      </w:r>
      <w:r>
        <w:rPr>
          <w:rFonts w:ascii="宋体" w:hAnsi="宋体" w:eastAsia="宋体" w:cs="宋体"/>
          <w:b/>
          <w:bCs/>
          <w:color w:val="auto"/>
          <w:spacing w:val="-7"/>
          <w:sz w:val="24"/>
          <w:szCs w:val="24"/>
          <w:highlight w:val="none"/>
        </w:rPr>
        <w:t>中标通知</w:t>
      </w:r>
      <w:bookmarkEnd w:id="200"/>
      <w:bookmarkEnd w:id="201"/>
    </w:p>
    <w:p w14:paraId="3DAE64DB">
      <w:pPr>
        <w:spacing w:before="180" w:line="346" w:lineRule="auto"/>
        <w:ind w:right="3" w:firstLine="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在本章第</w:t>
      </w:r>
      <w:r>
        <w:rPr>
          <w:rFonts w:ascii="Times New Roman" w:hAnsi="Times New Roman" w:eastAsia="Times New Roman" w:cs="Times New Roman"/>
          <w:color w:val="auto"/>
          <w:spacing w:val="2"/>
          <w:sz w:val="24"/>
          <w:szCs w:val="24"/>
          <w:highlight w:val="none"/>
        </w:rPr>
        <w:t>3.3</w:t>
      </w:r>
      <w:r>
        <w:rPr>
          <w:rFonts w:ascii="宋体" w:hAnsi="宋体" w:eastAsia="宋体" w:cs="宋体"/>
          <w:color w:val="auto"/>
          <w:spacing w:val="2"/>
          <w:sz w:val="24"/>
          <w:szCs w:val="24"/>
          <w:highlight w:val="none"/>
        </w:rPr>
        <w:t>款规定的投标有效期内，招标人应通过电子招标投标交易平台以数</w:t>
      </w:r>
      <w:r>
        <w:rPr>
          <w:rFonts w:ascii="宋体" w:hAnsi="宋体" w:eastAsia="宋体" w:cs="宋体"/>
          <w:color w:val="auto"/>
          <w:spacing w:val="5"/>
          <w:sz w:val="24"/>
          <w:szCs w:val="24"/>
          <w:highlight w:val="none"/>
        </w:rPr>
        <w:t xml:space="preserve"> </w:t>
      </w:r>
      <w:r>
        <w:rPr>
          <w:rFonts w:ascii="宋体" w:hAnsi="宋体" w:eastAsia="宋体" w:cs="宋体"/>
          <w:color w:val="auto"/>
          <w:spacing w:val="-1"/>
          <w:sz w:val="24"/>
          <w:szCs w:val="24"/>
          <w:highlight w:val="none"/>
        </w:rPr>
        <w:t>据电文形式向中标人发出中标通知书，同时将中标结果通</w:t>
      </w:r>
      <w:r>
        <w:rPr>
          <w:rFonts w:ascii="宋体" w:hAnsi="宋体" w:eastAsia="宋体" w:cs="宋体"/>
          <w:color w:val="auto"/>
          <w:spacing w:val="-2"/>
          <w:sz w:val="24"/>
          <w:szCs w:val="24"/>
          <w:highlight w:val="none"/>
        </w:rPr>
        <w:t>知未中标的投标人。</w:t>
      </w:r>
      <w:r>
        <w:rPr>
          <w:rFonts w:ascii="宋体" w:hAnsi="宋体" w:eastAsia="宋体" w:cs="宋体"/>
          <w:spacing w:val="-2"/>
          <w:sz w:val="24"/>
          <w:szCs w:val="24"/>
        </w:rPr>
        <w:t>招标人应当及时将中标结果（定标结果）进行中标公告。</w:t>
      </w:r>
    </w:p>
    <w:p w14:paraId="6F7C810D">
      <w:pPr>
        <w:spacing w:before="33" w:line="220" w:lineRule="auto"/>
        <w:outlineLvl w:val="2"/>
        <w:rPr>
          <w:rFonts w:ascii="宋体" w:hAnsi="宋体" w:eastAsia="宋体" w:cs="宋体"/>
          <w:color w:val="auto"/>
          <w:sz w:val="24"/>
          <w:szCs w:val="24"/>
          <w:highlight w:val="none"/>
        </w:rPr>
      </w:pPr>
      <w:bookmarkStart w:id="202" w:name="bookmark137"/>
      <w:bookmarkEnd w:id="202"/>
      <w:bookmarkStart w:id="203" w:name="_Toc25313"/>
      <w:bookmarkStart w:id="204" w:name="_Toc20172"/>
      <w:r>
        <w:rPr>
          <w:rFonts w:ascii="Times New Roman" w:hAnsi="Times New Roman" w:eastAsia="Times New Roman" w:cs="Times New Roman"/>
          <w:b/>
          <w:bCs/>
          <w:color w:val="auto"/>
          <w:spacing w:val="-4"/>
          <w:sz w:val="24"/>
          <w:szCs w:val="24"/>
          <w:highlight w:val="none"/>
        </w:rPr>
        <w:t>7.3</w:t>
      </w:r>
      <w:r>
        <w:rPr>
          <w:rFonts w:ascii="Times New Roman" w:hAnsi="Times New Roman" w:eastAsia="Times New Roman" w:cs="Times New Roman"/>
          <w:b/>
          <w:bCs/>
          <w:color w:val="auto"/>
          <w:spacing w:val="6"/>
          <w:sz w:val="24"/>
          <w:szCs w:val="24"/>
          <w:highlight w:val="none"/>
        </w:rPr>
        <w:t xml:space="preserve">  </w:t>
      </w:r>
      <w:r>
        <w:rPr>
          <w:rFonts w:ascii="宋体" w:hAnsi="宋体" w:eastAsia="宋体" w:cs="宋体"/>
          <w:b/>
          <w:bCs/>
          <w:color w:val="auto"/>
          <w:spacing w:val="-4"/>
          <w:sz w:val="24"/>
          <w:szCs w:val="24"/>
          <w:highlight w:val="none"/>
        </w:rPr>
        <w:t>履约担保</w:t>
      </w:r>
      <w:bookmarkEnd w:id="203"/>
      <w:bookmarkEnd w:id="204"/>
    </w:p>
    <w:p w14:paraId="357F53DC">
      <w:pPr>
        <w:spacing w:before="49" w:line="324" w:lineRule="auto"/>
        <w:ind w:left="1" w:right="1" w:firstLine="481"/>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7.3.1  </w:t>
      </w:r>
      <w:r>
        <w:rPr>
          <w:rFonts w:ascii="宋体" w:hAnsi="宋体" w:eastAsia="宋体" w:cs="宋体"/>
          <w:color w:val="auto"/>
          <w:sz w:val="24"/>
          <w:szCs w:val="24"/>
          <w:highlight w:val="none"/>
        </w:rPr>
        <w:t>在签订合同前，中标人应按投标人须知前附表规定的金额、担保形式和招</w:t>
      </w:r>
      <w:r>
        <w:rPr>
          <w:rFonts w:ascii="宋体" w:hAnsi="宋体" w:eastAsia="宋体" w:cs="宋体"/>
          <w:color w:val="auto"/>
          <w:spacing w:val="17"/>
          <w:sz w:val="24"/>
          <w:szCs w:val="24"/>
          <w:highlight w:val="none"/>
        </w:rPr>
        <w:t xml:space="preserve"> </w:t>
      </w:r>
      <w:r>
        <w:rPr>
          <w:rFonts w:ascii="宋体" w:hAnsi="宋体" w:eastAsia="宋体" w:cs="宋体"/>
          <w:color w:val="auto"/>
          <w:spacing w:val="-3"/>
          <w:sz w:val="24"/>
          <w:szCs w:val="24"/>
          <w:highlight w:val="none"/>
        </w:rPr>
        <w:t>标文件第四章“合同条款及格式”规定的履约担保格式向招标人提交履约担保。联合</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体中标的，其履约担保由牵头人递交，并应符合投标人须知前附表规定的金额、担保</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形式和招标文件第四章“合同条款及格式”规定的履约担保格式要求。</w:t>
      </w:r>
    </w:p>
    <w:p w14:paraId="22836F04">
      <w:pPr>
        <w:spacing w:before="179" w:line="313" w:lineRule="auto"/>
        <w:ind w:left="2" w:right="1" w:firstLine="480"/>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7.3.2</w:t>
      </w:r>
      <w:r>
        <w:rPr>
          <w:rFonts w:ascii="Times New Roman" w:hAnsi="Times New Roman" w:eastAsia="Times New Roman" w:cs="Times New Roman"/>
          <w:b/>
          <w:bCs/>
          <w:color w:val="auto"/>
          <w:spacing w:val="16"/>
          <w:sz w:val="24"/>
          <w:szCs w:val="24"/>
          <w:highlight w:val="none"/>
        </w:rPr>
        <w:t xml:space="preserve">  </w:t>
      </w:r>
      <w:r>
        <w:rPr>
          <w:rFonts w:ascii="宋体" w:hAnsi="宋体" w:eastAsia="宋体" w:cs="宋体"/>
          <w:color w:val="auto"/>
          <w:sz w:val="24"/>
          <w:szCs w:val="24"/>
          <w:highlight w:val="none"/>
        </w:rPr>
        <w:t>中标人不能按本章第</w:t>
      </w:r>
      <w:r>
        <w:rPr>
          <w:rFonts w:ascii="Times New Roman" w:hAnsi="Times New Roman" w:eastAsia="Times New Roman" w:cs="Times New Roman"/>
          <w:color w:val="auto"/>
          <w:sz w:val="24"/>
          <w:szCs w:val="24"/>
          <w:highlight w:val="none"/>
        </w:rPr>
        <w:t>7.3.1</w:t>
      </w:r>
      <w:r>
        <w:rPr>
          <w:rFonts w:ascii="宋体" w:hAnsi="宋体" w:eastAsia="宋体" w:cs="宋体"/>
          <w:color w:val="auto"/>
          <w:sz w:val="24"/>
          <w:szCs w:val="24"/>
          <w:highlight w:val="none"/>
        </w:rPr>
        <w:t>项要求</w:t>
      </w:r>
      <w:r>
        <w:rPr>
          <w:rFonts w:ascii="宋体" w:hAnsi="宋体" w:eastAsia="宋体" w:cs="宋体"/>
          <w:color w:val="auto"/>
          <w:spacing w:val="-1"/>
          <w:sz w:val="24"/>
          <w:szCs w:val="24"/>
          <w:highlight w:val="none"/>
        </w:rPr>
        <w:t>提交履约担保的，视为放弃中标，其投标</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保证金不予退还，给招标人造成的损失超过投标保证金数额的，中标人还应当对超过</w:t>
      </w:r>
      <w:r>
        <w:rPr>
          <w:rFonts w:ascii="宋体" w:hAnsi="宋体" w:eastAsia="宋体" w:cs="宋体"/>
          <w:color w:val="auto"/>
          <w:spacing w:val="8"/>
          <w:sz w:val="24"/>
          <w:szCs w:val="24"/>
          <w:highlight w:val="none"/>
        </w:rPr>
        <w:t xml:space="preserve"> </w:t>
      </w:r>
      <w:r>
        <w:rPr>
          <w:rFonts w:ascii="宋体" w:hAnsi="宋体" w:eastAsia="宋体" w:cs="宋体"/>
          <w:color w:val="auto"/>
          <w:spacing w:val="-6"/>
          <w:sz w:val="24"/>
          <w:szCs w:val="24"/>
          <w:highlight w:val="none"/>
        </w:rPr>
        <w:t>部分予以赔偿。</w:t>
      </w:r>
    </w:p>
    <w:p w14:paraId="69E7E63F">
      <w:pPr>
        <w:spacing w:before="182" w:line="222" w:lineRule="auto"/>
        <w:outlineLvl w:val="2"/>
        <w:rPr>
          <w:rFonts w:ascii="宋体" w:hAnsi="宋体" w:eastAsia="宋体" w:cs="宋体"/>
          <w:color w:val="auto"/>
          <w:sz w:val="24"/>
          <w:szCs w:val="24"/>
          <w:highlight w:val="none"/>
        </w:rPr>
      </w:pPr>
      <w:bookmarkStart w:id="205" w:name="bookmark139"/>
      <w:bookmarkEnd w:id="205"/>
      <w:bookmarkStart w:id="206" w:name="_Toc9666"/>
      <w:bookmarkStart w:id="207" w:name="_Toc17713"/>
      <w:r>
        <w:rPr>
          <w:rFonts w:ascii="Times New Roman" w:hAnsi="Times New Roman" w:eastAsia="Times New Roman" w:cs="Times New Roman"/>
          <w:b/>
          <w:bCs/>
          <w:color w:val="auto"/>
          <w:spacing w:val="-2"/>
          <w:sz w:val="24"/>
          <w:szCs w:val="24"/>
          <w:highlight w:val="none"/>
        </w:rPr>
        <w:t xml:space="preserve">7.4  </w:t>
      </w:r>
      <w:r>
        <w:rPr>
          <w:rFonts w:ascii="宋体" w:hAnsi="宋体" w:eastAsia="宋体" w:cs="宋体"/>
          <w:b/>
          <w:bCs/>
          <w:color w:val="auto"/>
          <w:spacing w:val="-2"/>
          <w:sz w:val="24"/>
          <w:szCs w:val="24"/>
          <w:highlight w:val="none"/>
        </w:rPr>
        <w:t>签订合同</w:t>
      </w:r>
      <w:bookmarkEnd w:id="206"/>
      <w:bookmarkEnd w:id="207"/>
    </w:p>
    <w:p w14:paraId="0B2BE84D">
      <w:pPr>
        <w:spacing w:before="176" w:line="290" w:lineRule="auto"/>
        <w:ind w:left="3" w:right="1" w:firstLine="479"/>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7.4.1</w:t>
      </w:r>
      <w:r>
        <w:rPr>
          <w:rFonts w:ascii="宋体" w:hAnsi="宋体" w:eastAsia="宋体" w:cs="宋体"/>
          <w:color w:val="auto"/>
          <w:spacing w:val="-3"/>
          <w:sz w:val="24"/>
          <w:szCs w:val="24"/>
          <w:highlight w:val="none"/>
        </w:rPr>
        <w:t>招标人和中标人应当自中标通知书发出之日起</w:t>
      </w:r>
      <w:r>
        <w:rPr>
          <w:rFonts w:ascii="Times New Roman" w:hAnsi="Times New Roman" w:eastAsia="Times New Roman" w:cs="Times New Roman"/>
          <w:color w:val="auto"/>
          <w:spacing w:val="-3"/>
          <w:sz w:val="24"/>
          <w:szCs w:val="24"/>
          <w:highlight w:val="none"/>
        </w:rPr>
        <w:t>30</w:t>
      </w:r>
      <w:r>
        <w:rPr>
          <w:rFonts w:ascii="宋体" w:hAnsi="宋体" w:eastAsia="宋体" w:cs="宋体"/>
          <w:color w:val="auto"/>
          <w:spacing w:val="-3"/>
          <w:sz w:val="24"/>
          <w:szCs w:val="24"/>
          <w:highlight w:val="none"/>
        </w:rPr>
        <w:t>日内，根据招标文件和中标</w:t>
      </w:r>
      <w:r>
        <w:rPr>
          <w:rFonts w:ascii="宋体" w:hAnsi="宋体" w:eastAsia="宋体" w:cs="宋体"/>
          <w:color w:val="auto"/>
          <w:spacing w:val="14"/>
          <w:sz w:val="24"/>
          <w:szCs w:val="24"/>
          <w:highlight w:val="none"/>
        </w:rPr>
        <w:t xml:space="preserve"> </w:t>
      </w:r>
      <w:r>
        <w:rPr>
          <w:rFonts w:ascii="宋体" w:hAnsi="宋体" w:eastAsia="宋体" w:cs="宋体"/>
          <w:color w:val="auto"/>
          <w:spacing w:val="-1"/>
          <w:sz w:val="24"/>
          <w:szCs w:val="24"/>
          <w:highlight w:val="none"/>
        </w:rPr>
        <w:t>人的投标文件通过电子招标投标交易平台以数据电文形式签订合同。</w:t>
      </w:r>
    </w:p>
    <w:p w14:paraId="3D2EB50A">
      <w:pPr>
        <w:spacing w:before="180" w:line="290" w:lineRule="auto"/>
        <w:ind w:left="1" w:right="1" w:firstLine="481"/>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7.4.2  </w:t>
      </w:r>
      <w:r>
        <w:rPr>
          <w:rFonts w:ascii="宋体" w:hAnsi="宋体" w:eastAsia="宋体" w:cs="宋体"/>
          <w:color w:val="auto"/>
          <w:sz w:val="24"/>
          <w:szCs w:val="24"/>
          <w:highlight w:val="none"/>
        </w:rPr>
        <w:t>发出中标通知书后，招标人无正当理由拒签合同的，招标人向中标人退还</w:t>
      </w:r>
      <w:r>
        <w:rPr>
          <w:rFonts w:ascii="宋体" w:hAnsi="宋体" w:eastAsia="宋体" w:cs="宋体"/>
          <w:color w:val="auto"/>
          <w:spacing w:val="17"/>
          <w:sz w:val="24"/>
          <w:szCs w:val="24"/>
          <w:highlight w:val="none"/>
        </w:rPr>
        <w:t xml:space="preserve"> </w:t>
      </w:r>
      <w:r>
        <w:rPr>
          <w:rFonts w:ascii="宋体" w:hAnsi="宋体" w:eastAsia="宋体" w:cs="宋体"/>
          <w:color w:val="auto"/>
          <w:spacing w:val="-5"/>
          <w:sz w:val="24"/>
          <w:szCs w:val="24"/>
          <w:highlight w:val="none"/>
        </w:rPr>
        <w:t>双倍的投标保证金。</w:t>
      </w:r>
    </w:p>
    <w:p w14:paraId="6E0BBC39">
      <w:pPr>
        <w:spacing w:before="177" w:line="313" w:lineRule="auto"/>
        <w:ind w:left="1" w:right="1" w:firstLine="481"/>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7.4.3  </w:t>
      </w:r>
      <w:r>
        <w:rPr>
          <w:rFonts w:ascii="宋体" w:hAnsi="宋体" w:eastAsia="宋体" w:cs="宋体"/>
          <w:color w:val="auto"/>
          <w:sz w:val="24"/>
          <w:szCs w:val="24"/>
          <w:highlight w:val="none"/>
        </w:rPr>
        <w:t>发出中标通知书后，中标人无正当理由拒签合同的，招标人取消其中标资</w:t>
      </w:r>
      <w:r>
        <w:rPr>
          <w:rFonts w:ascii="宋体" w:hAnsi="宋体" w:eastAsia="宋体" w:cs="宋体"/>
          <w:color w:val="auto"/>
          <w:spacing w:val="17"/>
          <w:sz w:val="24"/>
          <w:szCs w:val="24"/>
          <w:highlight w:val="none"/>
        </w:rPr>
        <w:t xml:space="preserve"> </w:t>
      </w:r>
      <w:r>
        <w:rPr>
          <w:rFonts w:ascii="宋体" w:hAnsi="宋体" w:eastAsia="宋体" w:cs="宋体"/>
          <w:color w:val="auto"/>
          <w:spacing w:val="-3"/>
          <w:sz w:val="24"/>
          <w:szCs w:val="24"/>
          <w:highlight w:val="none"/>
        </w:rPr>
        <w:t>格，其投标保证金不予退还；给招标人造成的损失超过投标保证金数额的，中标人还</w:t>
      </w:r>
      <w:r>
        <w:rPr>
          <w:rFonts w:ascii="宋体" w:hAnsi="宋体" w:eastAsia="宋体" w:cs="宋体"/>
          <w:color w:val="auto"/>
          <w:spacing w:val="7"/>
          <w:sz w:val="24"/>
          <w:szCs w:val="24"/>
          <w:highlight w:val="none"/>
        </w:rPr>
        <w:t xml:space="preserve"> </w:t>
      </w:r>
      <w:r>
        <w:rPr>
          <w:rFonts w:ascii="宋体" w:hAnsi="宋体" w:eastAsia="宋体" w:cs="宋体"/>
          <w:color w:val="auto"/>
          <w:spacing w:val="-4"/>
          <w:sz w:val="24"/>
          <w:szCs w:val="24"/>
          <w:highlight w:val="none"/>
        </w:rPr>
        <w:t>应当对超过部分予以赔偿。</w:t>
      </w:r>
    </w:p>
    <w:p w14:paraId="790CB813">
      <w:pPr>
        <w:spacing w:before="308" w:line="221" w:lineRule="auto"/>
        <w:ind w:left="1"/>
        <w:outlineLvl w:val="1"/>
        <w:rPr>
          <w:rFonts w:ascii="宋体" w:hAnsi="宋体" w:eastAsia="宋体" w:cs="宋体"/>
          <w:color w:val="auto"/>
          <w:sz w:val="28"/>
          <w:szCs w:val="28"/>
          <w:highlight w:val="none"/>
        </w:rPr>
      </w:pPr>
      <w:bookmarkStart w:id="208" w:name="bookmark141"/>
      <w:bookmarkEnd w:id="208"/>
      <w:bookmarkStart w:id="209" w:name="_Toc18556"/>
      <w:bookmarkStart w:id="210" w:name="_Toc7180"/>
      <w:r>
        <w:rPr>
          <w:rFonts w:ascii="Times New Roman" w:hAnsi="Times New Roman" w:eastAsia="Times New Roman" w:cs="Times New Roman"/>
          <w:b/>
          <w:bCs/>
          <w:color w:val="auto"/>
          <w:spacing w:val="-3"/>
          <w:sz w:val="28"/>
          <w:szCs w:val="28"/>
          <w:highlight w:val="none"/>
        </w:rPr>
        <w:t xml:space="preserve">8  </w:t>
      </w:r>
      <w:r>
        <w:rPr>
          <w:rFonts w:ascii="宋体" w:hAnsi="宋体" w:eastAsia="宋体" w:cs="宋体"/>
          <w:b/>
          <w:bCs/>
          <w:color w:val="auto"/>
          <w:spacing w:val="-3"/>
          <w:sz w:val="28"/>
          <w:szCs w:val="28"/>
          <w:highlight w:val="none"/>
        </w:rPr>
        <w:t>重新招标和不再招标</w:t>
      </w:r>
      <w:bookmarkEnd w:id="209"/>
      <w:bookmarkEnd w:id="210"/>
    </w:p>
    <w:p w14:paraId="4C9D7189">
      <w:pPr>
        <w:pStyle w:val="3"/>
        <w:spacing w:line="245" w:lineRule="auto"/>
        <w:rPr>
          <w:color w:val="auto"/>
          <w:highlight w:val="none"/>
        </w:rPr>
      </w:pPr>
    </w:p>
    <w:p w14:paraId="382C3168">
      <w:pPr>
        <w:spacing w:before="78" w:line="220" w:lineRule="auto"/>
        <w:outlineLvl w:val="2"/>
        <w:rPr>
          <w:rFonts w:ascii="宋体" w:hAnsi="宋体" w:eastAsia="宋体" w:cs="宋体"/>
          <w:color w:val="auto"/>
          <w:sz w:val="24"/>
          <w:szCs w:val="24"/>
          <w:highlight w:val="none"/>
        </w:rPr>
      </w:pPr>
      <w:bookmarkStart w:id="211" w:name="bookmark143"/>
      <w:bookmarkEnd w:id="211"/>
      <w:bookmarkStart w:id="212" w:name="_Toc8220"/>
      <w:bookmarkStart w:id="213" w:name="_Toc7897"/>
      <w:r>
        <w:rPr>
          <w:rFonts w:ascii="Times New Roman" w:hAnsi="Times New Roman" w:eastAsia="Times New Roman" w:cs="Times New Roman"/>
          <w:b/>
          <w:bCs/>
          <w:color w:val="auto"/>
          <w:spacing w:val="-2"/>
          <w:sz w:val="24"/>
          <w:szCs w:val="24"/>
          <w:highlight w:val="none"/>
        </w:rPr>
        <w:t xml:space="preserve">8.1  </w:t>
      </w:r>
      <w:r>
        <w:rPr>
          <w:rFonts w:ascii="宋体" w:hAnsi="宋体" w:eastAsia="宋体" w:cs="宋体"/>
          <w:b/>
          <w:bCs/>
          <w:color w:val="auto"/>
          <w:spacing w:val="-2"/>
          <w:sz w:val="24"/>
          <w:szCs w:val="24"/>
          <w:highlight w:val="none"/>
        </w:rPr>
        <w:t>重新招标</w:t>
      </w:r>
      <w:bookmarkEnd w:id="212"/>
      <w:bookmarkEnd w:id="213"/>
    </w:p>
    <w:p w14:paraId="74FD9DA7">
      <w:pPr>
        <w:spacing w:before="179" w:line="220" w:lineRule="auto"/>
        <w:ind w:left="48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有下列情形之一的，招标人将重新招标：</w:t>
      </w:r>
    </w:p>
    <w:p w14:paraId="25BA2EAC">
      <w:pPr>
        <w:spacing w:before="182" w:line="290" w:lineRule="auto"/>
        <w:ind w:left="12" w:right="3" w:firstLine="47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）投标报名截止时间止，报名参加投标的潜在投标人少于</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个的；或投</w:t>
      </w:r>
      <w:r>
        <w:rPr>
          <w:rFonts w:ascii="宋体" w:hAnsi="宋体" w:eastAsia="宋体" w:cs="宋体"/>
          <w:color w:val="auto"/>
          <w:spacing w:val="-4"/>
          <w:sz w:val="24"/>
          <w:szCs w:val="24"/>
          <w:highlight w:val="none"/>
        </w:rPr>
        <w:t>标截止</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时间止，投标人少于</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个的。</w:t>
      </w:r>
    </w:p>
    <w:p w14:paraId="15A159E8">
      <w:pPr>
        <w:spacing w:before="180" w:line="219"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）经评标委员会评审后否决所有投标的。</w:t>
      </w:r>
    </w:p>
    <w:p w14:paraId="3501D294">
      <w:pPr>
        <w:spacing w:before="185" w:line="288" w:lineRule="auto"/>
        <w:ind w:left="2" w:right="1" w:firstLine="4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）评标委员会否决不合格投标后因有效标不足</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个使得投标明显缺乏竞争，评</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标委员会否决全部投标的。</w:t>
      </w:r>
    </w:p>
    <w:p w14:paraId="137A3505">
      <w:pPr>
        <w:spacing w:before="183"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）同意延长投标有效期的投标人少于</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个的。</w:t>
      </w:r>
    </w:p>
    <w:p w14:paraId="24D6363B">
      <w:pPr>
        <w:spacing w:before="180" w:line="219" w:lineRule="auto"/>
        <w:ind w:left="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）出现本须知第</w:t>
      </w:r>
      <w:r>
        <w:rPr>
          <w:rFonts w:ascii="Times New Roman" w:hAnsi="Times New Roman" w:eastAsia="Times New Roman" w:cs="Times New Roman"/>
          <w:color w:val="auto"/>
          <w:spacing w:val="-3"/>
          <w:sz w:val="24"/>
          <w:szCs w:val="24"/>
          <w:highlight w:val="none"/>
        </w:rPr>
        <w:t>7.1.6</w:t>
      </w:r>
      <w:r>
        <w:rPr>
          <w:rFonts w:ascii="宋体" w:hAnsi="宋体" w:eastAsia="宋体" w:cs="宋体"/>
          <w:color w:val="auto"/>
          <w:spacing w:val="-3"/>
          <w:sz w:val="24"/>
          <w:szCs w:val="24"/>
          <w:highlight w:val="none"/>
        </w:rPr>
        <w:t>项情形的。</w:t>
      </w:r>
    </w:p>
    <w:p w14:paraId="6929A11E">
      <w:pPr>
        <w:spacing w:before="184" w:line="220" w:lineRule="auto"/>
        <w:outlineLvl w:val="2"/>
        <w:rPr>
          <w:rFonts w:ascii="宋体" w:hAnsi="宋体" w:eastAsia="宋体" w:cs="宋体"/>
          <w:color w:val="auto"/>
          <w:sz w:val="24"/>
          <w:szCs w:val="24"/>
          <w:highlight w:val="none"/>
        </w:rPr>
      </w:pPr>
      <w:bookmarkStart w:id="214" w:name="bookmark145"/>
      <w:bookmarkEnd w:id="214"/>
      <w:bookmarkStart w:id="215" w:name="_Toc5159"/>
      <w:bookmarkStart w:id="216" w:name="_Toc8159"/>
      <w:r>
        <w:rPr>
          <w:rFonts w:ascii="Times New Roman" w:hAnsi="Times New Roman" w:eastAsia="Times New Roman" w:cs="Times New Roman"/>
          <w:b/>
          <w:bCs/>
          <w:color w:val="auto"/>
          <w:spacing w:val="-4"/>
          <w:sz w:val="24"/>
          <w:szCs w:val="24"/>
          <w:highlight w:val="none"/>
        </w:rPr>
        <w:t>8.2</w:t>
      </w:r>
      <w:r>
        <w:rPr>
          <w:rFonts w:ascii="Times New Roman" w:hAnsi="Times New Roman" w:eastAsia="Times New Roman" w:cs="Times New Roman"/>
          <w:b/>
          <w:bCs/>
          <w:color w:val="auto"/>
          <w:spacing w:val="6"/>
          <w:sz w:val="24"/>
          <w:szCs w:val="24"/>
          <w:highlight w:val="none"/>
        </w:rPr>
        <w:t xml:space="preserve">  </w:t>
      </w:r>
      <w:r>
        <w:rPr>
          <w:rFonts w:ascii="宋体" w:hAnsi="宋体" w:eastAsia="宋体" w:cs="宋体"/>
          <w:b/>
          <w:bCs/>
          <w:color w:val="auto"/>
          <w:spacing w:val="-4"/>
          <w:sz w:val="24"/>
          <w:szCs w:val="24"/>
          <w:highlight w:val="none"/>
        </w:rPr>
        <w:t>不再招标</w:t>
      </w:r>
      <w:bookmarkEnd w:id="215"/>
      <w:bookmarkEnd w:id="216"/>
    </w:p>
    <w:p w14:paraId="59D6CB33">
      <w:pPr>
        <w:spacing w:before="178" w:line="347" w:lineRule="auto"/>
        <w:ind w:right="14" w:firstLine="4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重新招标后，仍出现本章</w:t>
      </w:r>
      <w:r>
        <w:rPr>
          <w:rFonts w:ascii="Times New Roman" w:hAnsi="Times New Roman" w:eastAsia="Times New Roman" w:cs="Times New Roman"/>
          <w:color w:val="auto"/>
          <w:spacing w:val="-2"/>
          <w:sz w:val="24"/>
          <w:szCs w:val="24"/>
          <w:highlight w:val="none"/>
        </w:rPr>
        <w:t>8.1</w:t>
      </w:r>
      <w:r>
        <w:rPr>
          <w:rFonts w:ascii="宋体" w:hAnsi="宋体" w:eastAsia="宋体" w:cs="宋体"/>
          <w:color w:val="auto"/>
          <w:spacing w:val="-2"/>
          <w:sz w:val="24"/>
          <w:szCs w:val="24"/>
          <w:highlight w:val="none"/>
        </w:rPr>
        <w:t>款（</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）规定情形的，属于必须审批、核准的水利工</w:t>
      </w:r>
      <w:r>
        <w:rPr>
          <w:rFonts w:ascii="宋体" w:hAnsi="宋体" w:eastAsia="宋体" w:cs="宋体"/>
          <w:color w:val="auto"/>
          <w:spacing w:val="18"/>
          <w:sz w:val="24"/>
          <w:szCs w:val="24"/>
          <w:highlight w:val="none"/>
        </w:rPr>
        <w:t xml:space="preserve"> </w:t>
      </w:r>
      <w:r>
        <w:rPr>
          <w:rFonts w:ascii="宋体" w:hAnsi="宋体" w:eastAsia="宋体" w:cs="宋体"/>
          <w:color w:val="auto"/>
          <w:spacing w:val="-2"/>
          <w:sz w:val="24"/>
          <w:szCs w:val="24"/>
          <w:highlight w:val="none"/>
        </w:rPr>
        <w:t>程建设项目，经原审批、核准部门审批、核准后不再进行招标。</w:t>
      </w:r>
    </w:p>
    <w:p w14:paraId="07533C11">
      <w:pPr>
        <w:spacing w:before="158" w:line="220" w:lineRule="auto"/>
        <w:outlineLvl w:val="1"/>
        <w:rPr>
          <w:rFonts w:ascii="宋体" w:hAnsi="宋体" w:eastAsia="宋体" w:cs="宋体"/>
          <w:color w:val="auto"/>
          <w:sz w:val="28"/>
          <w:szCs w:val="28"/>
          <w:highlight w:val="none"/>
        </w:rPr>
      </w:pPr>
      <w:bookmarkStart w:id="217" w:name="bookmark147"/>
      <w:bookmarkEnd w:id="217"/>
      <w:bookmarkStart w:id="218" w:name="_Toc10480"/>
      <w:bookmarkStart w:id="219" w:name="_Toc4407"/>
      <w:r>
        <w:rPr>
          <w:rFonts w:ascii="Times New Roman" w:hAnsi="Times New Roman" w:eastAsia="Times New Roman" w:cs="Times New Roman"/>
          <w:b/>
          <w:bCs/>
          <w:color w:val="auto"/>
          <w:spacing w:val="-6"/>
          <w:sz w:val="28"/>
          <w:szCs w:val="28"/>
          <w:highlight w:val="none"/>
        </w:rPr>
        <w:t>9</w:t>
      </w:r>
      <w:r>
        <w:rPr>
          <w:rFonts w:ascii="Times New Roman" w:hAnsi="Times New Roman" w:eastAsia="Times New Roman" w:cs="Times New Roman"/>
          <w:b/>
          <w:bCs/>
          <w:color w:val="auto"/>
          <w:spacing w:val="9"/>
          <w:sz w:val="28"/>
          <w:szCs w:val="28"/>
          <w:highlight w:val="none"/>
        </w:rPr>
        <w:t xml:space="preserve">  </w:t>
      </w:r>
      <w:r>
        <w:rPr>
          <w:rFonts w:ascii="宋体" w:hAnsi="宋体" w:eastAsia="宋体" w:cs="宋体"/>
          <w:b/>
          <w:bCs/>
          <w:color w:val="auto"/>
          <w:spacing w:val="-6"/>
          <w:sz w:val="28"/>
          <w:szCs w:val="28"/>
          <w:highlight w:val="none"/>
        </w:rPr>
        <w:t>纪律和监督</w:t>
      </w:r>
      <w:bookmarkEnd w:id="218"/>
      <w:bookmarkEnd w:id="219"/>
    </w:p>
    <w:p w14:paraId="341DC078">
      <w:pPr>
        <w:spacing w:line="220" w:lineRule="auto"/>
        <w:rPr>
          <w:rFonts w:ascii="宋体" w:hAnsi="宋体" w:eastAsia="宋体" w:cs="宋体"/>
          <w:color w:val="auto"/>
          <w:sz w:val="28"/>
          <w:szCs w:val="28"/>
          <w:highlight w:val="none"/>
        </w:rPr>
        <w:sectPr>
          <w:pgSz w:w="11905" w:h="16843"/>
          <w:pgMar w:top="1429" w:right="1361" w:bottom="1253" w:left="1621" w:header="0" w:footer="1094" w:gutter="0"/>
          <w:pgNumType w:fmt="decimal"/>
          <w:cols w:space="0" w:num="1"/>
          <w:rtlGutter w:val="0"/>
          <w:docGrid w:linePitch="0" w:charSpace="0"/>
        </w:sectPr>
      </w:pPr>
    </w:p>
    <w:p w14:paraId="475122BC">
      <w:pPr>
        <w:spacing w:before="47" w:line="220" w:lineRule="auto"/>
        <w:outlineLvl w:val="2"/>
        <w:rPr>
          <w:rFonts w:ascii="宋体" w:hAnsi="宋体" w:eastAsia="宋体" w:cs="宋体"/>
          <w:color w:val="auto"/>
          <w:sz w:val="24"/>
          <w:szCs w:val="24"/>
          <w:highlight w:val="none"/>
        </w:rPr>
      </w:pPr>
      <w:bookmarkStart w:id="220" w:name="bookmark149"/>
      <w:bookmarkEnd w:id="220"/>
      <w:bookmarkStart w:id="221" w:name="_Toc12998"/>
      <w:bookmarkStart w:id="222" w:name="_Toc28127"/>
      <w:r>
        <w:rPr>
          <w:rFonts w:ascii="Times New Roman" w:hAnsi="Times New Roman" w:eastAsia="Times New Roman" w:cs="Times New Roman"/>
          <w:b/>
          <w:bCs/>
          <w:color w:val="auto"/>
          <w:spacing w:val="-2"/>
          <w:sz w:val="24"/>
          <w:szCs w:val="24"/>
          <w:highlight w:val="none"/>
        </w:rPr>
        <w:t xml:space="preserve">9.1  </w:t>
      </w:r>
      <w:r>
        <w:rPr>
          <w:rFonts w:ascii="宋体" w:hAnsi="宋体" w:eastAsia="宋体" w:cs="宋体"/>
          <w:b/>
          <w:bCs/>
          <w:color w:val="auto"/>
          <w:spacing w:val="-2"/>
          <w:sz w:val="24"/>
          <w:szCs w:val="24"/>
          <w:highlight w:val="none"/>
        </w:rPr>
        <w:t>对招标人的纪律要求</w:t>
      </w:r>
      <w:bookmarkEnd w:id="221"/>
      <w:bookmarkEnd w:id="222"/>
    </w:p>
    <w:p w14:paraId="7F9F1C29">
      <w:pPr>
        <w:spacing w:before="183" w:line="344" w:lineRule="auto"/>
        <w:ind w:left="25" w:right="186" w:firstLine="45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招标人不得泄露招标投标活动中应当保密的情况和资料，不得与投标人串通损害</w:t>
      </w:r>
      <w:r>
        <w:rPr>
          <w:rFonts w:ascii="宋体" w:hAnsi="宋体" w:eastAsia="宋体" w:cs="宋体"/>
          <w:color w:val="auto"/>
          <w:spacing w:val="2"/>
          <w:sz w:val="24"/>
          <w:szCs w:val="24"/>
          <w:highlight w:val="none"/>
        </w:rPr>
        <w:t xml:space="preserve"> </w:t>
      </w:r>
      <w:r>
        <w:rPr>
          <w:rFonts w:ascii="宋体" w:hAnsi="宋体" w:eastAsia="宋体" w:cs="宋体"/>
          <w:color w:val="auto"/>
          <w:spacing w:val="-4"/>
          <w:sz w:val="24"/>
          <w:szCs w:val="24"/>
          <w:highlight w:val="none"/>
        </w:rPr>
        <w:t>国家利益、社会公共利益或者他人合法权益。</w:t>
      </w:r>
    </w:p>
    <w:p w14:paraId="12C89DA0">
      <w:pPr>
        <w:spacing w:before="38" w:line="220"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下列行为均属招标人与投标人串通投标：</w:t>
      </w:r>
    </w:p>
    <w:p w14:paraId="349AEB87">
      <w:pPr>
        <w:spacing w:before="178" w:line="220"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）招标人在开标前开启投标文件并将有关信息泄露给其他投标人。</w:t>
      </w:r>
    </w:p>
    <w:p w14:paraId="65D24920">
      <w:pPr>
        <w:spacing w:before="182" w:line="219"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）招标人直接或者间接向投标人泄露标底、评标委员会成员等信息。</w:t>
      </w:r>
    </w:p>
    <w:p w14:paraId="0689AA68">
      <w:pPr>
        <w:spacing w:before="181" w:line="218"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）招标人明示或者暗示投标人压低或者抬高投标报价。</w:t>
      </w:r>
    </w:p>
    <w:p w14:paraId="04CC28D1">
      <w:pPr>
        <w:spacing w:before="184" w:line="220" w:lineRule="auto"/>
        <w:ind w:left="48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4</w:t>
      </w:r>
      <w:r>
        <w:rPr>
          <w:rFonts w:ascii="宋体" w:hAnsi="宋体" w:eastAsia="宋体" w:cs="宋体"/>
          <w:color w:val="auto"/>
          <w:spacing w:val="-3"/>
          <w:sz w:val="24"/>
          <w:szCs w:val="24"/>
          <w:highlight w:val="none"/>
        </w:rPr>
        <w:t>）招标人授意投标人撤换、修改投标文件。</w:t>
      </w:r>
    </w:p>
    <w:p w14:paraId="553FE1B9">
      <w:pPr>
        <w:spacing w:before="180" w:line="219"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）招标人明示或者暗示投标人为特定投标人中标提供方便。</w:t>
      </w:r>
    </w:p>
    <w:p w14:paraId="7FDBC8F2">
      <w:pPr>
        <w:spacing w:before="183" w:line="219" w:lineRule="auto"/>
        <w:ind w:left="48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6</w:t>
      </w:r>
      <w:r>
        <w:rPr>
          <w:rFonts w:ascii="宋体" w:hAnsi="宋体" w:eastAsia="宋体" w:cs="宋体"/>
          <w:color w:val="auto"/>
          <w:spacing w:val="-2"/>
          <w:sz w:val="24"/>
          <w:szCs w:val="24"/>
          <w:highlight w:val="none"/>
        </w:rPr>
        <w:t>）招标人与投标人为谋求特定投标人中标而采取的其他串通行为。</w:t>
      </w:r>
    </w:p>
    <w:p w14:paraId="666F90BB">
      <w:pPr>
        <w:spacing w:before="181" w:line="220" w:lineRule="auto"/>
        <w:outlineLvl w:val="2"/>
        <w:rPr>
          <w:rFonts w:ascii="宋体" w:hAnsi="宋体" w:eastAsia="宋体" w:cs="宋体"/>
          <w:color w:val="auto"/>
          <w:sz w:val="24"/>
          <w:szCs w:val="24"/>
          <w:highlight w:val="none"/>
        </w:rPr>
      </w:pPr>
      <w:bookmarkStart w:id="223" w:name="bookmark151"/>
      <w:bookmarkEnd w:id="223"/>
      <w:bookmarkStart w:id="224" w:name="_Toc11231"/>
      <w:bookmarkStart w:id="225" w:name="_Toc23560"/>
      <w:r>
        <w:rPr>
          <w:rFonts w:ascii="Times New Roman" w:hAnsi="Times New Roman" w:eastAsia="Times New Roman" w:cs="Times New Roman"/>
          <w:b/>
          <w:bCs/>
          <w:color w:val="auto"/>
          <w:spacing w:val="-2"/>
          <w:sz w:val="24"/>
          <w:szCs w:val="24"/>
          <w:highlight w:val="none"/>
        </w:rPr>
        <w:t xml:space="preserve">9.2  </w:t>
      </w:r>
      <w:r>
        <w:rPr>
          <w:rFonts w:ascii="宋体" w:hAnsi="宋体" w:eastAsia="宋体" w:cs="宋体"/>
          <w:b/>
          <w:bCs/>
          <w:color w:val="auto"/>
          <w:spacing w:val="-2"/>
          <w:sz w:val="24"/>
          <w:szCs w:val="24"/>
          <w:highlight w:val="none"/>
        </w:rPr>
        <w:t>对投标人的纪律要求</w:t>
      </w:r>
      <w:bookmarkEnd w:id="224"/>
      <w:bookmarkEnd w:id="225"/>
    </w:p>
    <w:p w14:paraId="56DDEB6D">
      <w:pPr>
        <w:spacing w:before="182" w:line="350" w:lineRule="auto"/>
        <w:ind w:left="3" w:right="186"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投标人不得相互串通投标或者与招标人串通投标，不得向招标人或者评标委员会成员行贿谋取中标，不得以他人名义投标或者以其他方式弄虚作假骗取中标；投标人</w:t>
      </w:r>
      <w:r>
        <w:rPr>
          <w:rFonts w:ascii="宋体" w:hAnsi="宋体" w:eastAsia="宋体" w:cs="宋体"/>
          <w:color w:val="auto"/>
          <w:spacing w:val="-2"/>
          <w:sz w:val="24"/>
          <w:szCs w:val="24"/>
          <w:highlight w:val="none"/>
        </w:rPr>
        <w:t>不得以任何方式干扰、影响评标工作。具体行为见投标人须知前附表。</w:t>
      </w:r>
    </w:p>
    <w:p w14:paraId="109F8F58">
      <w:pPr>
        <w:spacing w:before="35" w:line="219" w:lineRule="auto"/>
        <w:outlineLvl w:val="2"/>
        <w:rPr>
          <w:rFonts w:ascii="宋体" w:hAnsi="宋体" w:eastAsia="宋体" w:cs="宋体"/>
          <w:color w:val="auto"/>
          <w:sz w:val="24"/>
          <w:szCs w:val="24"/>
          <w:highlight w:val="none"/>
        </w:rPr>
      </w:pPr>
      <w:bookmarkStart w:id="226" w:name="bookmark153"/>
      <w:bookmarkEnd w:id="226"/>
      <w:bookmarkStart w:id="227" w:name="_Toc668"/>
      <w:bookmarkStart w:id="228" w:name="_Toc28471"/>
      <w:r>
        <w:rPr>
          <w:rFonts w:ascii="Times New Roman" w:hAnsi="Times New Roman" w:eastAsia="Times New Roman" w:cs="Times New Roman"/>
          <w:b/>
          <w:bCs/>
          <w:color w:val="auto"/>
          <w:spacing w:val="-2"/>
          <w:sz w:val="24"/>
          <w:szCs w:val="24"/>
          <w:highlight w:val="none"/>
        </w:rPr>
        <w:t xml:space="preserve">9.3  </w:t>
      </w:r>
      <w:r>
        <w:rPr>
          <w:rFonts w:ascii="宋体" w:hAnsi="宋体" w:eastAsia="宋体" w:cs="宋体"/>
          <w:b/>
          <w:bCs/>
          <w:color w:val="auto"/>
          <w:spacing w:val="-2"/>
          <w:sz w:val="24"/>
          <w:szCs w:val="24"/>
          <w:highlight w:val="none"/>
        </w:rPr>
        <w:t>对评标委员会成员的纪律要求</w:t>
      </w:r>
      <w:bookmarkEnd w:id="227"/>
      <w:bookmarkEnd w:id="228"/>
    </w:p>
    <w:p w14:paraId="12E0C025">
      <w:pPr>
        <w:spacing w:before="184" w:line="350" w:lineRule="auto"/>
        <w:ind w:left="5" w:firstLine="475"/>
        <w:jc w:val="both"/>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评标委员会成员不得私下接触投标人，不得收受投标人给</w:t>
      </w:r>
      <w:r>
        <w:rPr>
          <w:rFonts w:ascii="宋体" w:hAnsi="宋体" w:eastAsia="宋体" w:cs="宋体"/>
          <w:color w:val="auto"/>
          <w:spacing w:val="-5"/>
          <w:sz w:val="24"/>
          <w:szCs w:val="24"/>
          <w:highlight w:val="none"/>
        </w:rPr>
        <w:t>予的财物或者其他好处，</w:t>
      </w:r>
      <w:r>
        <w:rPr>
          <w:rFonts w:ascii="宋体" w:hAnsi="宋体" w:eastAsia="宋体" w:cs="宋体"/>
          <w:color w:val="auto"/>
          <w:spacing w:val="-3"/>
          <w:sz w:val="24"/>
          <w:szCs w:val="24"/>
          <w:highlight w:val="none"/>
        </w:rPr>
        <w:t>不得向招标人征询确定中标人的意向，不得接受任何单位或者个人明示或者暗示提出</w:t>
      </w:r>
      <w:r>
        <w:rPr>
          <w:rFonts w:ascii="宋体" w:hAnsi="宋体" w:eastAsia="宋体" w:cs="宋体"/>
          <w:color w:val="auto"/>
          <w:spacing w:val="-1"/>
          <w:sz w:val="24"/>
          <w:szCs w:val="24"/>
          <w:highlight w:val="none"/>
        </w:rPr>
        <w:t>的倾向或者排斥特定投标人的要求，不得有其他不客观</w:t>
      </w:r>
      <w:r>
        <w:rPr>
          <w:rFonts w:ascii="宋体" w:hAnsi="宋体" w:eastAsia="宋体" w:cs="宋体"/>
          <w:color w:val="auto"/>
          <w:spacing w:val="-2"/>
          <w:sz w:val="24"/>
          <w:szCs w:val="24"/>
          <w:highlight w:val="none"/>
        </w:rPr>
        <w:t>、不公正履行职务的行为。</w:t>
      </w:r>
    </w:p>
    <w:p w14:paraId="335F26F7">
      <w:pPr>
        <w:spacing w:before="35" w:line="220" w:lineRule="auto"/>
        <w:outlineLvl w:val="2"/>
        <w:rPr>
          <w:rFonts w:ascii="宋体" w:hAnsi="宋体" w:eastAsia="宋体" w:cs="宋体"/>
          <w:color w:val="auto"/>
          <w:sz w:val="24"/>
          <w:szCs w:val="24"/>
          <w:highlight w:val="none"/>
        </w:rPr>
      </w:pPr>
      <w:bookmarkStart w:id="229" w:name="bookmark155"/>
      <w:bookmarkEnd w:id="229"/>
      <w:bookmarkStart w:id="230" w:name="_Toc869"/>
      <w:bookmarkStart w:id="231" w:name="_Toc502"/>
      <w:r>
        <w:rPr>
          <w:rFonts w:ascii="Times New Roman" w:hAnsi="Times New Roman" w:eastAsia="Times New Roman" w:cs="Times New Roman"/>
          <w:b/>
          <w:bCs/>
          <w:color w:val="auto"/>
          <w:spacing w:val="-2"/>
          <w:sz w:val="24"/>
          <w:szCs w:val="24"/>
          <w:highlight w:val="none"/>
        </w:rPr>
        <w:t xml:space="preserve">9.4  </w:t>
      </w:r>
      <w:r>
        <w:rPr>
          <w:rFonts w:ascii="宋体" w:hAnsi="宋体" w:eastAsia="宋体" w:cs="宋体"/>
          <w:b/>
          <w:bCs/>
          <w:color w:val="auto"/>
          <w:spacing w:val="-2"/>
          <w:sz w:val="24"/>
          <w:szCs w:val="24"/>
          <w:highlight w:val="none"/>
        </w:rPr>
        <w:t>对与评标活动有关的工作人员的纪律要求</w:t>
      </w:r>
      <w:bookmarkEnd w:id="230"/>
      <w:bookmarkEnd w:id="231"/>
    </w:p>
    <w:p w14:paraId="2A5A6D3B">
      <w:pPr>
        <w:spacing w:before="181" w:line="350" w:lineRule="auto"/>
        <w:ind w:right="186" w:firstLine="485"/>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与评标活动有关的工作人员不得收受他人的财物或者其他好处，不得向他人</w:t>
      </w:r>
      <w:r>
        <w:rPr>
          <w:rFonts w:ascii="宋体" w:hAnsi="宋体" w:eastAsia="宋体" w:cs="宋体"/>
          <w:color w:val="auto"/>
          <w:spacing w:val="-4"/>
          <w:sz w:val="24"/>
          <w:szCs w:val="24"/>
          <w:highlight w:val="none"/>
        </w:rPr>
        <w:t>透漏</w:t>
      </w:r>
      <w:r>
        <w:rPr>
          <w:rFonts w:ascii="宋体" w:hAnsi="宋体" w:eastAsia="宋体" w:cs="宋体"/>
          <w:color w:val="auto"/>
          <w:spacing w:val="-3"/>
          <w:sz w:val="24"/>
          <w:szCs w:val="24"/>
          <w:highlight w:val="none"/>
        </w:rPr>
        <w:t>对投标文件的评审和比较、中标候选人的推荐情况以及评标有关的其他情况。在评标</w:t>
      </w:r>
      <w:r>
        <w:rPr>
          <w:rFonts w:ascii="宋体" w:hAnsi="宋体" w:eastAsia="宋体" w:cs="宋体"/>
          <w:color w:val="auto"/>
          <w:spacing w:val="-1"/>
          <w:sz w:val="24"/>
          <w:szCs w:val="24"/>
          <w:highlight w:val="none"/>
        </w:rPr>
        <w:t>活动中，与评标活动有关的工作人员不得擅离职守，影响</w:t>
      </w:r>
      <w:r>
        <w:rPr>
          <w:rFonts w:ascii="宋体" w:hAnsi="宋体" w:eastAsia="宋体" w:cs="宋体"/>
          <w:color w:val="auto"/>
          <w:spacing w:val="-2"/>
          <w:sz w:val="24"/>
          <w:szCs w:val="24"/>
          <w:highlight w:val="none"/>
        </w:rPr>
        <w:t>评标程序正常进行。</w:t>
      </w:r>
    </w:p>
    <w:p w14:paraId="30433664">
      <w:pPr>
        <w:spacing w:before="35" w:line="220" w:lineRule="auto"/>
        <w:outlineLvl w:val="2"/>
        <w:rPr>
          <w:rFonts w:ascii="宋体" w:hAnsi="宋体" w:eastAsia="宋体" w:cs="宋体"/>
          <w:color w:val="auto"/>
          <w:sz w:val="24"/>
          <w:szCs w:val="24"/>
          <w:highlight w:val="none"/>
        </w:rPr>
      </w:pPr>
      <w:bookmarkStart w:id="232" w:name="bookmark157"/>
      <w:bookmarkEnd w:id="232"/>
      <w:bookmarkStart w:id="233" w:name="_Toc3177"/>
      <w:bookmarkStart w:id="234" w:name="_Toc14672"/>
      <w:r>
        <w:rPr>
          <w:rFonts w:ascii="Times New Roman" w:hAnsi="Times New Roman" w:eastAsia="Times New Roman" w:cs="Times New Roman"/>
          <w:b/>
          <w:bCs/>
          <w:color w:val="auto"/>
          <w:spacing w:val="-2"/>
          <w:sz w:val="24"/>
          <w:szCs w:val="24"/>
          <w:highlight w:val="none"/>
        </w:rPr>
        <w:t xml:space="preserve">9.5  </w:t>
      </w:r>
      <w:r>
        <w:rPr>
          <w:rFonts w:ascii="宋体" w:hAnsi="宋体" w:eastAsia="宋体" w:cs="宋体"/>
          <w:b/>
          <w:bCs/>
          <w:color w:val="auto"/>
          <w:spacing w:val="-2"/>
          <w:sz w:val="24"/>
          <w:szCs w:val="24"/>
          <w:highlight w:val="none"/>
        </w:rPr>
        <w:t>异议与投诉</w:t>
      </w:r>
      <w:bookmarkEnd w:id="233"/>
      <w:bookmarkEnd w:id="234"/>
    </w:p>
    <w:p w14:paraId="72F6E564">
      <w:pPr>
        <w:spacing w:before="180" w:line="350" w:lineRule="auto"/>
        <w:ind w:right="335" w:firstLine="483"/>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投标人和其他利害关系人认为本次招标活动违</w:t>
      </w:r>
      <w:r>
        <w:rPr>
          <w:rFonts w:ascii="宋体" w:hAnsi="宋体" w:eastAsia="宋体" w:cs="宋体"/>
          <w:color w:val="auto"/>
          <w:spacing w:val="-1"/>
          <w:sz w:val="24"/>
          <w:szCs w:val="24"/>
          <w:highlight w:val="none"/>
        </w:rPr>
        <w:t>反法律、法规和规章规定的，有</w:t>
      </w:r>
      <w:r>
        <w:rPr>
          <w:rFonts w:ascii="宋体" w:hAnsi="宋体" w:eastAsia="宋体" w:cs="宋体"/>
          <w:color w:val="auto"/>
          <w:sz w:val="24"/>
          <w:szCs w:val="24"/>
          <w:highlight w:val="none"/>
        </w:rPr>
        <w:t>权按照《中华人民共和国招标投标法实施条例》等规定提出</w:t>
      </w:r>
      <w:r>
        <w:rPr>
          <w:rFonts w:ascii="宋体" w:hAnsi="宋体" w:eastAsia="宋体" w:cs="宋体"/>
          <w:color w:val="auto"/>
          <w:spacing w:val="-1"/>
          <w:sz w:val="24"/>
          <w:szCs w:val="24"/>
          <w:highlight w:val="none"/>
        </w:rPr>
        <w:t>书面异议和投诉。异议</w:t>
      </w:r>
      <w:r>
        <w:rPr>
          <w:rFonts w:ascii="宋体" w:hAnsi="宋体" w:eastAsia="宋体" w:cs="宋体"/>
          <w:color w:val="auto"/>
          <w:spacing w:val="-4"/>
          <w:sz w:val="24"/>
          <w:szCs w:val="24"/>
          <w:highlight w:val="none"/>
        </w:rPr>
        <w:t>与投诉见投标人须知前附表。</w:t>
      </w:r>
    </w:p>
    <w:p w14:paraId="3E5045EE">
      <w:pPr>
        <w:spacing w:before="163" w:line="220" w:lineRule="auto"/>
        <w:ind w:left="11"/>
        <w:outlineLvl w:val="1"/>
        <w:rPr>
          <w:rFonts w:ascii="宋体" w:hAnsi="宋体" w:eastAsia="宋体" w:cs="宋体"/>
          <w:color w:val="auto"/>
          <w:sz w:val="28"/>
          <w:szCs w:val="28"/>
          <w:highlight w:val="none"/>
        </w:rPr>
      </w:pPr>
      <w:bookmarkStart w:id="235" w:name="bookmark159"/>
      <w:bookmarkEnd w:id="235"/>
      <w:bookmarkStart w:id="236" w:name="_Toc21616"/>
      <w:bookmarkStart w:id="237" w:name="_Toc23990"/>
      <w:r>
        <w:rPr>
          <w:rFonts w:ascii="Times New Roman" w:hAnsi="Times New Roman" w:eastAsia="Times New Roman" w:cs="Times New Roman"/>
          <w:b/>
          <w:bCs/>
          <w:color w:val="auto"/>
          <w:spacing w:val="-4"/>
          <w:sz w:val="28"/>
          <w:szCs w:val="28"/>
          <w:highlight w:val="none"/>
        </w:rPr>
        <w:t xml:space="preserve">10  </w:t>
      </w:r>
      <w:r>
        <w:rPr>
          <w:rFonts w:ascii="宋体" w:hAnsi="宋体" w:eastAsia="宋体" w:cs="宋体"/>
          <w:b/>
          <w:bCs/>
          <w:color w:val="auto"/>
          <w:spacing w:val="-4"/>
          <w:sz w:val="28"/>
          <w:szCs w:val="28"/>
          <w:highlight w:val="none"/>
        </w:rPr>
        <w:t>其他内容</w:t>
      </w:r>
      <w:bookmarkEnd w:id="236"/>
      <w:bookmarkEnd w:id="237"/>
    </w:p>
    <w:p w14:paraId="2B93FEFA">
      <w:pPr>
        <w:pStyle w:val="3"/>
        <w:spacing w:line="245" w:lineRule="auto"/>
        <w:rPr>
          <w:color w:val="auto"/>
          <w:highlight w:val="none"/>
        </w:rPr>
      </w:pPr>
    </w:p>
    <w:p w14:paraId="1FC8C2B2">
      <w:pPr>
        <w:spacing w:before="78" w:line="220" w:lineRule="auto"/>
        <w:ind w:left="8"/>
        <w:outlineLvl w:val="2"/>
        <w:rPr>
          <w:rFonts w:ascii="宋体" w:hAnsi="宋体" w:eastAsia="宋体" w:cs="宋体"/>
          <w:color w:val="auto"/>
          <w:sz w:val="24"/>
          <w:szCs w:val="24"/>
          <w:highlight w:val="none"/>
        </w:rPr>
      </w:pPr>
      <w:bookmarkStart w:id="238" w:name="bookmark161"/>
      <w:bookmarkEnd w:id="238"/>
      <w:bookmarkStart w:id="239" w:name="_Toc919"/>
      <w:bookmarkStart w:id="240" w:name="_Toc30438"/>
      <w:r>
        <w:rPr>
          <w:rFonts w:ascii="Times New Roman" w:hAnsi="Times New Roman" w:eastAsia="Times New Roman" w:cs="Times New Roman"/>
          <w:b/>
          <w:bCs/>
          <w:color w:val="auto"/>
          <w:spacing w:val="-3"/>
          <w:sz w:val="24"/>
          <w:szCs w:val="24"/>
          <w:highlight w:val="none"/>
        </w:rPr>
        <w:t xml:space="preserve">10.1  </w:t>
      </w:r>
      <w:r>
        <w:rPr>
          <w:rFonts w:ascii="宋体" w:hAnsi="宋体" w:eastAsia="宋体" w:cs="宋体"/>
          <w:b/>
          <w:bCs/>
          <w:color w:val="auto"/>
          <w:spacing w:val="-3"/>
          <w:sz w:val="24"/>
          <w:szCs w:val="24"/>
          <w:highlight w:val="none"/>
        </w:rPr>
        <w:t>类似项目</w:t>
      </w:r>
      <w:bookmarkEnd w:id="239"/>
      <w:bookmarkEnd w:id="240"/>
    </w:p>
    <w:p w14:paraId="650D2A78">
      <w:pPr>
        <w:spacing w:before="180" w:line="219" w:lineRule="auto"/>
        <w:ind w:left="4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类似项目的要求见投标人须知前附表。</w:t>
      </w:r>
    </w:p>
    <w:p w14:paraId="37AD2C74">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0BFD763D">
      <w:pPr>
        <w:spacing w:before="47" w:line="220" w:lineRule="auto"/>
        <w:ind w:left="7"/>
        <w:outlineLvl w:val="2"/>
        <w:rPr>
          <w:rFonts w:ascii="宋体" w:hAnsi="宋体" w:eastAsia="宋体" w:cs="宋体"/>
          <w:color w:val="auto"/>
          <w:sz w:val="24"/>
          <w:szCs w:val="24"/>
          <w:highlight w:val="none"/>
        </w:rPr>
      </w:pPr>
      <w:bookmarkStart w:id="241" w:name="bookmark163"/>
      <w:bookmarkEnd w:id="241"/>
      <w:bookmarkStart w:id="242" w:name="bookmark164"/>
      <w:bookmarkEnd w:id="242"/>
      <w:bookmarkStart w:id="243" w:name="_Toc32123"/>
      <w:bookmarkStart w:id="244" w:name="_Toc3870"/>
      <w:r>
        <w:rPr>
          <w:rFonts w:ascii="Times New Roman" w:hAnsi="Times New Roman" w:eastAsia="Times New Roman" w:cs="Times New Roman"/>
          <w:b/>
          <w:bCs/>
          <w:color w:val="auto"/>
          <w:spacing w:val="-2"/>
          <w:sz w:val="24"/>
          <w:szCs w:val="24"/>
          <w:highlight w:val="none"/>
        </w:rPr>
        <w:t xml:space="preserve">10.2  </w:t>
      </w:r>
      <w:r>
        <w:rPr>
          <w:rFonts w:ascii="宋体" w:hAnsi="宋体" w:eastAsia="宋体" w:cs="宋体"/>
          <w:b/>
          <w:bCs/>
          <w:color w:val="auto"/>
          <w:spacing w:val="-2"/>
          <w:sz w:val="24"/>
          <w:szCs w:val="24"/>
          <w:highlight w:val="none"/>
        </w:rPr>
        <w:t>投标文件的澄清、说明</w:t>
      </w:r>
      <w:bookmarkEnd w:id="243"/>
      <w:bookmarkEnd w:id="244"/>
    </w:p>
    <w:p w14:paraId="0A096E28">
      <w:pPr>
        <w:spacing w:before="181" w:line="351" w:lineRule="auto"/>
        <w:ind w:right="2"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评标过程中，评标委员会认为有必要对投标文件中的问题进行询标，或拟作出否</w:t>
      </w:r>
      <w:r>
        <w:rPr>
          <w:rFonts w:ascii="宋体" w:hAnsi="宋体" w:eastAsia="宋体" w:cs="宋体"/>
          <w:color w:val="auto"/>
          <w:spacing w:val="4"/>
          <w:sz w:val="24"/>
          <w:szCs w:val="24"/>
          <w:highlight w:val="none"/>
        </w:rPr>
        <w:t xml:space="preserve"> </w:t>
      </w:r>
      <w:r>
        <w:rPr>
          <w:rFonts w:ascii="宋体" w:hAnsi="宋体" w:eastAsia="宋体" w:cs="宋体"/>
          <w:color w:val="auto"/>
          <w:spacing w:val="-3"/>
          <w:sz w:val="24"/>
          <w:szCs w:val="24"/>
          <w:highlight w:val="none"/>
        </w:rPr>
        <w:t>决投标决定前对相关投标人进行询问核实，投标文件的澄清、质询见投标人须知前附</w:t>
      </w:r>
      <w:r>
        <w:rPr>
          <w:rFonts w:ascii="宋体" w:hAnsi="宋体" w:eastAsia="宋体" w:cs="宋体"/>
          <w:color w:val="auto"/>
          <w:spacing w:val="10"/>
          <w:sz w:val="24"/>
          <w:szCs w:val="24"/>
          <w:highlight w:val="none"/>
        </w:rPr>
        <w:t xml:space="preserve"> </w:t>
      </w:r>
      <w:r>
        <w:rPr>
          <w:rFonts w:ascii="宋体" w:hAnsi="宋体" w:eastAsia="宋体" w:cs="宋体"/>
          <w:color w:val="auto"/>
          <w:spacing w:val="-11"/>
          <w:sz w:val="24"/>
          <w:szCs w:val="24"/>
          <w:highlight w:val="none"/>
        </w:rPr>
        <w:t>表。</w:t>
      </w:r>
    </w:p>
    <w:p w14:paraId="1202DD5B">
      <w:pPr>
        <w:spacing w:before="30" w:line="220" w:lineRule="auto"/>
        <w:ind w:left="7"/>
        <w:outlineLvl w:val="2"/>
        <w:rPr>
          <w:rFonts w:ascii="宋体" w:hAnsi="宋体" w:eastAsia="宋体" w:cs="宋体"/>
          <w:color w:val="auto"/>
          <w:sz w:val="24"/>
          <w:szCs w:val="24"/>
          <w:highlight w:val="none"/>
        </w:rPr>
      </w:pPr>
      <w:bookmarkStart w:id="245" w:name="bookmark166"/>
      <w:bookmarkEnd w:id="245"/>
      <w:bookmarkStart w:id="246" w:name="bookmark165"/>
      <w:bookmarkEnd w:id="246"/>
      <w:bookmarkStart w:id="247" w:name="_Toc4221"/>
      <w:bookmarkStart w:id="248" w:name="_Toc21893"/>
      <w:r>
        <w:rPr>
          <w:rFonts w:ascii="Times New Roman" w:hAnsi="Times New Roman" w:eastAsia="Times New Roman" w:cs="Times New Roman"/>
          <w:b/>
          <w:bCs/>
          <w:color w:val="auto"/>
          <w:spacing w:val="-2"/>
          <w:sz w:val="24"/>
          <w:szCs w:val="24"/>
          <w:highlight w:val="none"/>
        </w:rPr>
        <w:t xml:space="preserve">10.3  </w:t>
      </w:r>
      <w:r>
        <w:rPr>
          <w:rFonts w:ascii="宋体" w:hAnsi="宋体" w:eastAsia="宋体" w:cs="宋体"/>
          <w:b/>
          <w:bCs/>
          <w:color w:val="auto"/>
          <w:spacing w:val="-2"/>
          <w:sz w:val="24"/>
          <w:szCs w:val="24"/>
          <w:highlight w:val="none"/>
        </w:rPr>
        <w:t>实质性响应招标文件资料及评审打分资料</w:t>
      </w:r>
      <w:bookmarkEnd w:id="247"/>
      <w:bookmarkEnd w:id="248"/>
    </w:p>
    <w:p w14:paraId="4EED80B7">
      <w:pPr>
        <w:spacing w:before="182" w:line="219"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实质性响应招标文件资料及评审打分资料详见投标人须知前附表。</w:t>
      </w:r>
    </w:p>
    <w:p w14:paraId="2CB5F0DC">
      <w:pPr>
        <w:spacing w:before="180" w:line="220" w:lineRule="auto"/>
        <w:ind w:left="7"/>
        <w:outlineLvl w:val="2"/>
        <w:rPr>
          <w:rFonts w:ascii="宋体" w:hAnsi="宋体" w:eastAsia="宋体" w:cs="宋体"/>
          <w:color w:val="auto"/>
          <w:sz w:val="24"/>
          <w:szCs w:val="24"/>
          <w:highlight w:val="none"/>
        </w:rPr>
      </w:pPr>
      <w:bookmarkStart w:id="249" w:name="bookmark168"/>
      <w:bookmarkEnd w:id="249"/>
      <w:bookmarkStart w:id="250" w:name="bookmark167"/>
      <w:bookmarkEnd w:id="250"/>
      <w:bookmarkStart w:id="251" w:name="_Toc27533"/>
      <w:bookmarkStart w:id="252" w:name="_Toc19369"/>
      <w:r>
        <w:rPr>
          <w:rFonts w:ascii="Times New Roman" w:hAnsi="Times New Roman" w:eastAsia="Times New Roman" w:cs="Times New Roman"/>
          <w:b/>
          <w:bCs/>
          <w:color w:val="auto"/>
          <w:spacing w:val="-6"/>
          <w:sz w:val="24"/>
          <w:szCs w:val="24"/>
          <w:highlight w:val="none"/>
        </w:rPr>
        <w:t>10.4</w:t>
      </w:r>
      <w:r>
        <w:rPr>
          <w:rFonts w:ascii="Times New Roman" w:hAnsi="Times New Roman" w:eastAsia="Times New Roman" w:cs="Times New Roman"/>
          <w:b/>
          <w:bCs/>
          <w:color w:val="auto"/>
          <w:spacing w:val="21"/>
          <w:sz w:val="24"/>
          <w:szCs w:val="24"/>
          <w:highlight w:val="none"/>
        </w:rPr>
        <w:t xml:space="preserve">  </w:t>
      </w:r>
      <w:r>
        <w:rPr>
          <w:rFonts w:ascii="宋体" w:hAnsi="宋体" w:eastAsia="宋体" w:cs="宋体"/>
          <w:b/>
          <w:bCs/>
          <w:color w:val="auto"/>
          <w:spacing w:val="-6"/>
          <w:sz w:val="24"/>
          <w:szCs w:val="24"/>
          <w:highlight w:val="none"/>
        </w:rPr>
        <w:t>中标人的投标文件</w:t>
      </w:r>
      <w:bookmarkEnd w:id="251"/>
      <w:bookmarkEnd w:id="252"/>
    </w:p>
    <w:p w14:paraId="2CB00906">
      <w:pPr>
        <w:spacing w:before="184" w:line="344" w:lineRule="auto"/>
        <w:ind w:firstLine="50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中标人须在签订合同前向招标人另行提交投标人须知前附表规定份数的投标文</w:t>
      </w:r>
      <w:r>
        <w:rPr>
          <w:rFonts w:ascii="宋体" w:hAnsi="宋体" w:eastAsia="宋体" w:cs="宋体"/>
          <w:color w:val="auto"/>
          <w:spacing w:val="16"/>
          <w:sz w:val="24"/>
          <w:szCs w:val="24"/>
          <w:highlight w:val="none"/>
        </w:rPr>
        <w:t xml:space="preserve"> </w:t>
      </w:r>
      <w:r>
        <w:rPr>
          <w:rFonts w:ascii="宋体" w:hAnsi="宋体" w:eastAsia="宋体" w:cs="宋体"/>
          <w:color w:val="auto"/>
          <w:spacing w:val="-9"/>
          <w:sz w:val="24"/>
          <w:szCs w:val="24"/>
          <w:highlight w:val="none"/>
        </w:rPr>
        <w:t>件副本。</w:t>
      </w:r>
    </w:p>
    <w:p w14:paraId="24D5D406">
      <w:pPr>
        <w:spacing w:before="38" w:line="218" w:lineRule="auto"/>
        <w:ind w:left="7"/>
        <w:outlineLvl w:val="2"/>
        <w:rPr>
          <w:rFonts w:ascii="宋体" w:hAnsi="宋体" w:eastAsia="宋体" w:cs="宋体"/>
          <w:color w:val="auto"/>
          <w:sz w:val="24"/>
          <w:szCs w:val="24"/>
          <w:highlight w:val="none"/>
        </w:rPr>
      </w:pPr>
      <w:bookmarkStart w:id="253" w:name="bookmark169"/>
      <w:bookmarkEnd w:id="253"/>
      <w:bookmarkStart w:id="254" w:name="bookmark170"/>
      <w:bookmarkEnd w:id="254"/>
      <w:bookmarkStart w:id="255" w:name="_Toc17469"/>
      <w:bookmarkStart w:id="256" w:name="_Toc16685"/>
      <w:r>
        <w:rPr>
          <w:rFonts w:ascii="Times New Roman" w:hAnsi="Times New Roman" w:eastAsia="Times New Roman" w:cs="Times New Roman"/>
          <w:b/>
          <w:bCs/>
          <w:color w:val="auto"/>
          <w:spacing w:val="-2"/>
          <w:sz w:val="24"/>
          <w:szCs w:val="24"/>
          <w:highlight w:val="none"/>
        </w:rPr>
        <w:t xml:space="preserve">10.5  </w:t>
      </w:r>
      <w:r>
        <w:rPr>
          <w:rFonts w:ascii="宋体" w:hAnsi="宋体" w:eastAsia="宋体" w:cs="宋体"/>
          <w:b/>
          <w:bCs/>
          <w:color w:val="auto"/>
          <w:spacing w:val="-2"/>
          <w:sz w:val="24"/>
          <w:szCs w:val="24"/>
          <w:highlight w:val="none"/>
        </w:rPr>
        <w:t>招标人最高投标限价或其计算方法</w:t>
      </w:r>
      <w:bookmarkEnd w:id="255"/>
      <w:bookmarkEnd w:id="256"/>
    </w:p>
    <w:p w14:paraId="41B81195">
      <w:pPr>
        <w:spacing w:before="182" w:line="218" w:lineRule="auto"/>
        <w:ind w:left="48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招标人最高投标限价或其计算方法见投标人须知前附表。</w:t>
      </w:r>
    </w:p>
    <w:p w14:paraId="70187213">
      <w:pPr>
        <w:spacing w:before="184" w:line="220" w:lineRule="auto"/>
        <w:ind w:left="7"/>
        <w:outlineLvl w:val="2"/>
        <w:rPr>
          <w:rFonts w:ascii="宋体" w:hAnsi="宋体" w:eastAsia="宋体" w:cs="宋体"/>
          <w:color w:val="auto"/>
          <w:sz w:val="24"/>
          <w:szCs w:val="24"/>
          <w:highlight w:val="none"/>
        </w:rPr>
      </w:pPr>
      <w:bookmarkStart w:id="257" w:name="bookmark171"/>
      <w:bookmarkEnd w:id="257"/>
      <w:bookmarkStart w:id="258" w:name="bookmark172"/>
      <w:bookmarkEnd w:id="258"/>
      <w:bookmarkStart w:id="259" w:name="_Toc2084"/>
      <w:bookmarkStart w:id="260" w:name="_Toc16092"/>
      <w:r>
        <w:rPr>
          <w:rFonts w:ascii="Times New Roman" w:hAnsi="Times New Roman" w:eastAsia="Times New Roman" w:cs="Times New Roman"/>
          <w:b/>
          <w:bCs/>
          <w:color w:val="auto"/>
          <w:spacing w:val="-2"/>
          <w:sz w:val="24"/>
          <w:szCs w:val="24"/>
          <w:highlight w:val="none"/>
        </w:rPr>
        <w:t xml:space="preserve">10.6  </w:t>
      </w:r>
      <w:r>
        <w:rPr>
          <w:rFonts w:ascii="宋体" w:hAnsi="宋体" w:eastAsia="宋体" w:cs="宋体"/>
          <w:b/>
          <w:bCs/>
          <w:color w:val="auto"/>
          <w:spacing w:val="-2"/>
          <w:sz w:val="24"/>
          <w:szCs w:val="24"/>
          <w:highlight w:val="none"/>
        </w:rPr>
        <w:t>在建合同工程的认定及变更证明</w:t>
      </w:r>
      <w:bookmarkEnd w:id="259"/>
      <w:bookmarkEnd w:id="260"/>
    </w:p>
    <w:p w14:paraId="05F17C7E">
      <w:pPr>
        <w:spacing w:before="180" w:line="219" w:lineRule="auto"/>
        <w:ind w:left="47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在建合同工程的认定及变更证明见投标人须知前附表。</w:t>
      </w:r>
    </w:p>
    <w:p w14:paraId="4E39E911">
      <w:pPr>
        <w:spacing w:before="183" w:line="220" w:lineRule="auto"/>
        <w:ind w:left="7"/>
        <w:outlineLvl w:val="2"/>
        <w:rPr>
          <w:rFonts w:ascii="宋体" w:hAnsi="宋体" w:eastAsia="宋体" w:cs="宋体"/>
          <w:color w:val="auto"/>
          <w:sz w:val="24"/>
          <w:szCs w:val="24"/>
          <w:highlight w:val="none"/>
        </w:rPr>
      </w:pPr>
      <w:bookmarkStart w:id="261" w:name="bookmark173"/>
      <w:bookmarkEnd w:id="261"/>
      <w:bookmarkStart w:id="262" w:name="bookmark174"/>
      <w:bookmarkEnd w:id="262"/>
      <w:bookmarkStart w:id="263" w:name="_Toc28604"/>
      <w:bookmarkStart w:id="264" w:name="_Toc14610"/>
      <w:r>
        <w:rPr>
          <w:rFonts w:ascii="Times New Roman" w:hAnsi="Times New Roman" w:eastAsia="Times New Roman" w:cs="Times New Roman"/>
          <w:b/>
          <w:bCs/>
          <w:color w:val="auto"/>
          <w:spacing w:val="-3"/>
          <w:sz w:val="24"/>
          <w:szCs w:val="24"/>
          <w:highlight w:val="none"/>
        </w:rPr>
        <w:t xml:space="preserve">10.7  </w:t>
      </w:r>
      <w:r>
        <w:rPr>
          <w:rFonts w:ascii="宋体" w:hAnsi="宋体" w:eastAsia="宋体" w:cs="宋体"/>
          <w:b/>
          <w:bCs/>
          <w:color w:val="auto"/>
          <w:spacing w:val="-3"/>
          <w:sz w:val="24"/>
          <w:szCs w:val="24"/>
          <w:highlight w:val="none"/>
        </w:rPr>
        <w:t>特别说明</w:t>
      </w:r>
      <w:bookmarkEnd w:id="263"/>
      <w:bookmarkEnd w:id="264"/>
    </w:p>
    <w:p w14:paraId="339BDCFE">
      <w:pPr>
        <w:spacing w:before="180" w:line="219" w:lineRule="auto"/>
        <w:ind w:left="47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特别说明见投标人须知前附表。</w:t>
      </w:r>
    </w:p>
    <w:p w14:paraId="1BDF1B5A">
      <w:pPr>
        <w:spacing w:before="309" w:line="220" w:lineRule="auto"/>
        <w:ind w:left="10"/>
        <w:outlineLvl w:val="1"/>
        <w:rPr>
          <w:rFonts w:ascii="宋体" w:hAnsi="宋体" w:eastAsia="宋体" w:cs="宋体"/>
          <w:color w:val="auto"/>
          <w:sz w:val="28"/>
          <w:szCs w:val="28"/>
          <w:highlight w:val="none"/>
        </w:rPr>
      </w:pPr>
      <w:bookmarkStart w:id="265" w:name="bookmark176"/>
      <w:bookmarkEnd w:id="265"/>
      <w:bookmarkStart w:id="266" w:name="bookmark175"/>
      <w:bookmarkEnd w:id="266"/>
      <w:bookmarkStart w:id="267" w:name="_Toc25558"/>
      <w:bookmarkStart w:id="268" w:name="_Toc10880"/>
      <w:r>
        <w:rPr>
          <w:rFonts w:ascii="Times New Roman" w:hAnsi="Times New Roman" w:eastAsia="Times New Roman" w:cs="Times New Roman"/>
          <w:b/>
          <w:bCs/>
          <w:color w:val="auto"/>
          <w:spacing w:val="-7"/>
          <w:sz w:val="28"/>
          <w:szCs w:val="28"/>
          <w:highlight w:val="none"/>
        </w:rPr>
        <w:t>11</w:t>
      </w:r>
      <w:r>
        <w:rPr>
          <w:rFonts w:ascii="Times New Roman" w:hAnsi="Times New Roman" w:eastAsia="Times New Roman" w:cs="Times New Roman"/>
          <w:b/>
          <w:bCs/>
          <w:color w:val="auto"/>
          <w:spacing w:val="15"/>
          <w:sz w:val="28"/>
          <w:szCs w:val="28"/>
          <w:highlight w:val="none"/>
        </w:rPr>
        <w:t xml:space="preserve">  </w:t>
      </w:r>
      <w:r>
        <w:rPr>
          <w:rFonts w:ascii="宋体" w:hAnsi="宋体" w:eastAsia="宋体" w:cs="宋体"/>
          <w:b/>
          <w:bCs/>
          <w:color w:val="auto"/>
          <w:spacing w:val="-7"/>
          <w:sz w:val="28"/>
          <w:szCs w:val="28"/>
          <w:highlight w:val="none"/>
        </w:rPr>
        <w:t>需要补充的内容</w:t>
      </w:r>
      <w:bookmarkEnd w:id="267"/>
      <w:bookmarkEnd w:id="268"/>
    </w:p>
    <w:p w14:paraId="4E5F0C3E">
      <w:pPr>
        <w:pStyle w:val="3"/>
        <w:spacing w:line="245" w:lineRule="auto"/>
        <w:rPr>
          <w:color w:val="auto"/>
          <w:highlight w:val="none"/>
        </w:rPr>
      </w:pPr>
    </w:p>
    <w:p w14:paraId="575229BC">
      <w:pPr>
        <w:spacing w:before="79" w:line="219" w:lineRule="auto"/>
        <w:ind w:left="49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需要补充的内容：见投标人须知前附表。</w:t>
      </w:r>
    </w:p>
    <w:p w14:paraId="732B758E">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4ED022A9">
      <w:pPr>
        <w:spacing w:before="56" w:line="219" w:lineRule="auto"/>
        <w:ind w:left="32"/>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附件一：</w:t>
      </w:r>
    </w:p>
    <w:p w14:paraId="7CD64150">
      <w:pPr>
        <w:pStyle w:val="3"/>
        <w:spacing w:line="314" w:lineRule="auto"/>
        <w:rPr>
          <w:color w:val="auto"/>
          <w:highlight w:val="none"/>
        </w:rPr>
      </w:pPr>
    </w:p>
    <w:p w14:paraId="1A9BE881">
      <w:pPr>
        <w:pStyle w:val="3"/>
        <w:spacing w:line="314" w:lineRule="auto"/>
        <w:rPr>
          <w:color w:val="auto"/>
          <w:highlight w:val="none"/>
        </w:rPr>
      </w:pPr>
    </w:p>
    <w:p w14:paraId="0834F72F">
      <w:pPr>
        <w:pStyle w:val="3"/>
        <w:spacing w:line="315" w:lineRule="auto"/>
        <w:rPr>
          <w:color w:val="auto"/>
          <w:highlight w:val="none"/>
        </w:rPr>
      </w:pPr>
    </w:p>
    <w:p w14:paraId="5D73C3E5">
      <w:pPr>
        <w:spacing w:before="91" w:line="220" w:lineRule="auto"/>
        <w:ind w:left="3141"/>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招标文件澄清申请函</w:t>
      </w:r>
    </w:p>
    <w:p w14:paraId="7F1C6B37">
      <w:pPr>
        <w:spacing w:before="204" w:line="220" w:lineRule="auto"/>
        <w:ind w:left="4045"/>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75AA0CAB">
      <w:pPr>
        <w:pStyle w:val="3"/>
        <w:spacing w:line="255" w:lineRule="auto"/>
        <w:rPr>
          <w:color w:val="auto"/>
          <w:highlight w:val="none"/>
        </w:rPr>
      </w:pPr>
    </w:p>
    <w:p w14:paraId="6A5986E0">
      <w:pPr>
        <w:pStyle w:val="3"/>
        <w:spacing w:line="255" w:lineRule="auto"/>
        <w:rPr>
          <w:color w:val="auto"/>
          <w:highlight w:val="none"/>
        </w:rPr>
      </w:pPr>
    </w:p>
    <w:p w14:paraId="7914D77A">
      <w:pPr>
        <w:tabs>
          <w:tab w:val="left" w:pos="1918"/>
        </w:tabs>
        <w:spacing w:before="82" w:line="21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招标人名称</w:t>
      </w:r>
      <w:r>
        <w:rPr>
          <w:rFonts w:ascii="宋体" w:hAnsi="宋体" w:eastAsia="宋体" w:cs="宋体"/>
          <w:color w:val="auto"/>
          <w:spacing w:val="-31"/>
          <w:sz w:val="24"/>
          <w:szCs w:val="24"/>
          <w:highlight w:val="none"/>
        </w:rPr>
        <w:t>）：</w:t>
      </w:r>
    </w:p>
    <w:p w14:paraId="7E9D978C">
      <w:pPr>
        <w:spacing w:before="176" w:line="340" w:lineRule="auto"/>
        <w:ind w:left="8" w:right="12" w:firstLine="48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经过仔细阅读</w:t>
      </w:r>
      <w:r>
        <w:rPr>
          <w:rFonts w:ascii="宋体" w:hAnsi="宋体" w:eastAsia="宋体" w:cs="宋体"/>
          <w:color w:val="auto"/>
          <w:spacing w:val="-117"/>
          <w:sz w:val="24"/>
          <w:szCs w:val="24"/>
          <w:highlight w:val="none"/>
        </w:rPr>
        <w:t xml:space="preserve"> </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项目名称</w:t>
      </w:r>
      <w:r>
        <w:rPr>
          <w:rFonts w:ascii="宋体" w:hAnsi="宋体" w:eastAsia="宋体" w:cs="宋体"/>
          <w:color w:val="auto"/>
          <w:spacing w:val="-47"/>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7"/>
          <w:sz w:val="24"/>
          <w:szCs w:val="24"/>
          <w:highlight w:val="none"/>
        </w:rPr>
        <w:t>（</w:t>
      </w:r>
      <w:r>
        <w:rPr>
          <w:rFonts w:ascii="宋体" w:hAnsi="宋体" w:eastAsia="宋体" w:cs="宋体"/>
          <w:i/>
          <w:iCs/>
          <w:color w:val="auto"/>
          <w:spacing w:val="1"/>
          <w:sz w:val="25"/>
          <w:szCs w:val="25"/>
          <w:highlight w:val="none"/>
        </w:rPr>
        <w:t>标段名称</w:t>
      </w:r>
      <w:r>
        <w:rPr>
          <w:rFonts w:ascii="宋体" w:hAnsi="宋体" w:eastAsia="宋体" w:cs="宋体"/>
          <w:color w:val="auto"/>
          <w:spacing w:val="1"/>
          <w:sz w:val="24"/>
          <w:szCs w:val="24"/>
          <w:highlight w:val="none"/>
        </w:rPr>
        <w:t>）招标文</w:t>
      </w:r>
      <w:r>
        <w:rPr>
          <w:rFonts w:ascii="宋体" w:hAnsi="宋体" w:eastAsia="宋体" w:cs="宋体"/>
          <w:color w:val="auto"/>
          <w:spacing w:val="3"/>
          <w:sz w:val="24"/>
          <w:szCs w:val="24"/>
          <w:highlight w:val="none"/>
        </w:rPr>
        <w:t xml:space="preserve"> </w:t>
      </w:r>
      <w:r>
        <w:rPr>
          <w:rFonts w:ascii="宋体" w:hAnsi="宋体" w:eastAsia="宋体" w:cs="宋体"/>
          <w:color w:val="auto"/>
          <w:spacing w:val="-4"/>
          <w:sz w:val="24"/>
          <w:szCs w:val="24"/>
          <w:highlight w:val="none"/>
        </w:rPr>
        <w:t>件后，我方申请对以下问题予以澄清：</w:t>
      </w:r>
    </w:p>
    <w:p w14:paraId="1280EA73">
      <w:pPr>
        <w:spacing w:before="75" w:line="179" w:lineRule="auto"/>
        <w:ind w:left="50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4"/>
          <w:sz w:val="24"/>
          <w:szCs w:val="24"/>
          <w:highlight w:val="none"/>
        </w:rPr>
        <w:t>1</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24"/>
          <w:sz w:val="24"/>
          <w:szCs w:val="24"/>
          <w:highlight w:val="none"/>
        </w:rPr>
        <w:t>ⅆⅆ</w:t>
      </w:r>
    </w:p>
    <w:p w14:paraId="4EC7220E">
      <w:pPr>
        <w:spacing w:before="236" w:line="179" w:lineRule="auto"/>
        <w:ind w:left="48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w w:val="124"/>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
          <w:w w:val="1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1"/>
          <w:w w:val="124"/>
          <w:sz w:val="24"/>
          <w:szCs w:val="24"/>
          <w:highlight w:val="none"/>
        </w:rPr>
        <w:t>ⅆⅆ</w:t>
      </w:r>
    </w:p>
    <w:p w14:paraId="2332EA3A">
      <w:pPr>
        <w:pStyle w:val="3"/>
        <w:spacing w:line="285" w:lineRule="auto"/>
        <w:rPr>
          <w:color w:val="auto"/>
          <w:highlight w:val="none"/>
        </w:rPr>
      </w:pPr>
    </w:p>
    <w:p w14:paraId="07074611">
      <w:pPr>
        <w:spacing w:before="69" w:line="74" w:lineRule="exact"/>
        <w:ind w:left="50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0CD61312">
      <w:pPr>
        <w:pStyle w:val="3"/>
        <w:spacing w:line="244" w:lineRule="auto"/>
        <w:rPr>
          <w:color w:val="auto"/>
          <w:highlight w:val="none"/>
        </w:rPr>
      </w:pPr>
    </w:p>
    <w:p w14:paraId="60A75C6B">
      <w:pPr>
        <w:pStyle w:val="3"/>
        <w:spacing w:line="244" w:lineRule="auto"/>
        <w:rPr>
          <w:color w:val="auto"/>
          <w:highlight w:val="none"/>
        </w:rPr>
      </w:pPr>
    </w:p>
    <w:p w14:paraId="23B8DA47">
      <w:pPr>
        <w:pStyle w:val="3"/>
        <w:spacing w:line="244" w:lineRule="auto"/>
        <w:rPr>
          <w:color w:val="auto"/>
          <w:highlight w:val="none"/>
        </w:rPr>
      </w:pPr>
    </w:p>
    <w:p w14:paraId="0166948C">
      <w:pPr>
        <w:pStyle w:val="3"/>
        <w:spacing w:line="244" w:lineRule="auto"/>
        <w:rPr>
          <w:color w:val="auto"/>
          <w:highlight w:val="none"/>
        </w:rPr>
      </w:pPr>
    </w:p>
    <w:p w14:paraId="53F44554">
      <w:pPr>
        <w:pStyle w:val="3"/>
        <w:spacing w:line="244" w:lineRule="auto"/>
        <w:rPr>
          <w:color w:val="auto"/>
          <w:highlight w:val="none"/>
        </w:rPr>
      </w:pPr>
    </w:p>
    <w:p w14:paraId="40BECB17">
      <w:pPr>
        <w:pStyle w:val="3"/>
        <w:spacing w:line="244" w:lineRule="auto"/>
        <w:rPr>
          <w:color w:val="auto"/>
          <w:highlight w:val="none"/>
        </w:rPr>
      </w:pPr>
    </w:p>
    <w:p w14:paraId="5CBB2A9C">
      <w:pPr>
        <w:pStyle w:val="3"/>
        <w:spacing w:line="244" w:lineRule="auto"/>
        <w:rPr>
          <w:color w:val="auto"/>
          <w:highlight w:val="none"/>
        </w:rPr>
      </w:pPr>
    </w:p>
    <w:p w14:paraId="4EEFBD97">
      <w:pPr>
        <w:pStyle w:val="3"/>
        <w:spacing w:line="244" w:lineRule="auto"/>
        <w:rPr>
          <w:color w:val="auto"/>
          <w:highlight w:val="none"/>
        </w:rPr>
      </w:pPr>
    </w:p>
    <w:p w14:paraId="5451D512">
      <w:pPr>
        <w:pStyle w:val="3"/>
        <w:spacing w:line="244" w:lineRule="auto"/>
        <w:rPr>
          <w:color w:val="auto"/>
          <w:highlight w:val="none"/>
        </w:rPr>
      </w:pPr>
    </w:p>
    <w:p w14:paraId="3A382A9E">
      <w:pPr>
        <w:pStyle w:val="3"/>
        <w:spacing w:line="244" w:lineRule="auto"/>
        <w:rPr>
          <w:color w:val="auto"/>
          <w:highlight w:val="none"/>
        </w:rPr>
      </w:pPr>
    </w:p>
    <w:p w14:paraId="3A2A94D2">
      <w:pPr>
        <w:pStyle w:val="3"/>
        <w:spacing w:line="244" w:lineRule="auto"/>
        <w:rPr>
          <w:color w:val="auto"/>
          <w:highlight w:val="none"/>
        </w:rPr>
      </w:pPr>
    </w:p>
    <w:p w14:paraId="15441D56">
      <w:pPr>
        <w:pStyle w:val="3"/>
        <w:spacing w:line="244" w:lineRule="auto"/>
        <w:rPr>
          <w:color w:val="auto"/>
          <w:highlight w:val="none"/>
        </w:rPr>
      </w:pPr>
    </w:p>
    <w:p w14:paraId="2782A044">
      <w:pPr>
        <w:pStyle w:val="3"/>
        <w:spacing w:line="244" w:lineRule="auto"/>
        <w:rPr>
          <w:color w:val="auto"/>
          <w:highlight w:val="none"/>
        </w:rPr>
      </w:pPr>
    </w:p>
    <w:p w14:paraId="7438E65E">
      <w:pPr>
        <w:pStyle w:val="3"/>
        <w:spacing w:line="245" w:lineRule="auto"/>
        <w:rPr>
          <w:color w:val="auto"/>
          <w:highlight w:val="none"/>
        </w:rPr>
      </w:pPr>
    </w:p>
    <w:p w14:paraId="50A4A59F">
      <w:pPr>
        <w:pStyle w:val="3"/>
        <w:spacing w:line="245" w:lineRule="auto"/>
        <w:rPr>
          <w:color w:val="auto"/>
          <w:highlight w:val="none"/>
        </w:rPr>
      </w:pPr>
    </w:p>
    <w:p w14:paraId="2958F618">
      <w:pPr>
        <w:pStyle w:val="3"/>
        <w:spacing w:line="245" w:lineRule="auto"/>
        <w:rPr>
          <w:color w:val="auto"/>
          <w:highlight w:val="none"/>
        </w:rPr>
      </w:pPr>
    </w:p>
    <w:p w14:paraId="14B4F112">
      <w:pPr>
        <w:pStyle w:val="3"/>
        <w:spacing w:line="245" w:lineRule="auto"/>
        <w:rPr>
          <w:color w:val="auto"/>
          <w:highlight w:val="none"/>
        </w:rPr>
      </w:pPr>
    </w:p>
    <w:p w14:paraId="761F4F23">
      <w:pPr>
        <w:pStyle w:val="3"/>
        <w:spacing w:line="245" w:lineRule="auto"/>
        <w:rPr>
          <w:color w:val="auto"/>
          <w:highlight w:val="none"/>
        </w:rPr>
      </w:pPr>
    </w:p>
    <w:p w14:paraId="1BEFC253">
      <w:pPr>
        <w:pStyle w:val="3"/>
        <w:spacing w:line="245" w:lineRule="auto"/>
        <w:rPr>
          <w:color w:val="auto"/>
          <w:highlight w:val="none"/>
        </w:rPr>
      </w:pPr>
    </w:p>
    <w:p w14:paraId="54FCF4EA">
      <w:pPr>
        <w:pStyle w:val="3"/>
        <w:spacing w:line="245" w:lineRule="auto"/>
        <w:rPr>
          <w:color w:val="auto"/>
          <w:highlight w:val="none"/>
        </w:rPr>
      </w:pPr>
    </w:p>
    <w:p w14:paraId="1B3E7770">
      <w:pPr>
        <w:pStyle w:val="3"/>
        <w:spacing w:line="245" w:lineRule="auto"/>
        <w:rPr>
          <w:color w:val="auto"/>
          <w:highlight w:val="none"/>
        </w:rPr>
      </w:pPr>
    </w:p>
    <w:p w14:paraId="4574F389">
      <w:pPr>
        <w:pStyle w:val="3"/>
        <w:spacing w:line="245" w:lineRule="auto"/>
        <w:rPr>
          <w:color w:val="auto"/>
          <w:highlight w:val="none"/>
        </w:rPr>
      </w:pPr>
    </w:p>
    <w:p w14:paraId="586804FA">
      <w:pPr>
        <w:pStyle w:val="3"/>
        <w:spacing w:line="245" w:lineRule="auto"/>
        <w:rPr>
          <w:color w:val="auto"/>
          <w:highlight w:val="none"/>
        </w:rPr>
      </w:pPr>
    </w:p>
    <w:p w14:paraId="5DB210FF">
      <w:pPr>
        <w:pStyle w:val="3"/>
        <w:spacing w:line="245" w:lineRule="auto"/>
        <w:rPr>
          <w:color w:val="auto"/>
          <w:highlight w:val="none"/>
        </w:rPr>
      </w:pPr>
    </w:p>
    <w:p w14:paraId="1CB7A851">
      <w:pPr>
        <w:pStyle w:val="3"/>
        <w:spacing w:line="245" w:lineRule="auto"/>
        <w:rPr>
          <w:color w:val="auto"/>
          <w:highlight w:val="none"/>
        </w:rPr>
      </w:pPr>
    </w:p>
    <w:p w14:paraId="403B08A7">
      <w:pPr>
        <w:pStyle w:val="3"/>
        <w:spacing w:line="245" w:lineRule="auto"/>
        <w:rPr>
          <w:color w:val="auto"/>
          <w:highlight w:val="none"/>
        </w:rPr>
      </w:pPr>
    </w:p>
    <w:p w14:paraId="6FF11106">
      <w:pPr>
        <w:pStyle w:val="3"/>
        <w:spacing w:line="245" w:lineRule="auto"/>
        <w:rPr>
          <w:color w:val="auto"/>
          <w:highlight w:val="none"/>
        </w:rPr>
      </w:pPr>
    </w:p>
    <w:p w14:paraId="3D8D634A">
      <w:pPr>
        <w:pStyle w:val="3"/>
        <w:spacing w:line="245" w:lineRule="auto"/>
        <w:rPr>
          <w:color w:val="auto"/>
          <w:highlight w:val="none"/>
        </w:rPr>
      </w:pPr>
    </w:p>
    <w:p w14:paraId="07626109">
      <w:pPr>
        <w:pStyle w:val="3"/>
        <w:spacing w:line="245" w:lineRule="auto"/>
        <w:rPr>
          <w:color w:val="auto"/>
          <w:highlight w:val="none"/>
        </w:rPr>
      </w:pPr>
    </w:p>
    <w:p w14:paraId="483DF386">
      <w:pPr>
        <w:spacing w:before="69" w:line="220" w:lineRule="auto"/>
        <w:ind w:left="495"/>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注：投标人要求招标人澄清招标文件有关问题时，适用于本格式。</w:t>
      </w:r>
    </w:p>
    <w:p w14:paraId="04512F9E">
      <w:pPr>
        <w:spacing w:line="220" w:lineRule="auto"/>
        <w:rPr>
          <w:rFonts w:ascii="宋体" w:hAnsi="宋体" w:eastAsia="宋体" w:cs="宋体"/>
          <w:color w:val="auto"/>
          <w:sz w:val="21"/>
          <w:szCs w:val="21"/>
          <w:highlight w:val="none"/>
        </w:rPr>
        <w:sectPr>
          <w:pgSz w:w="11905" w:h="16843"/>
          <w:pgMar w:top="1429" w:right="1361" w:bottom="1253" w:left="1621" w:header="0" w:footer="1094" w:gutter="0"/>
          <w:pgNumType w:fmt="decimal"/>
          <w:cols w:space="0" w:num="1"/>
          <w:rtlGutter w:val="0"/>
          <w:docGrid w:linePitch="0" w:charSpace="0"/>
        </w:sectPr>
      </w:pPr>
    </w:p>
    <w:p w14:paraId="6E77A2ED">
      <w:pPr>
        <w:spacing w:before="56" w:line="219" w:lineRule="auto"/>
        <w:ind w:left="24"/>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附件二：</w:t>
      </w:r>
    </w:p>
    <w:p w14:paraId="0FAD5230">
      <w:pPr>
        <w:pStyle w:val="3"/>
        <w:spacing w:line="265" w:lineRule="auto"/>
        <w:rPr>
          <w:color w:val="auto"/>
          <w:highlight w:val="none"/>
        </w:rPr>
      </w:pPr>
    </w:p>
    <w:p w14:paraId="45A9F4A2">
      <w:pPr>
        <w:pStyle w:val="3"/>
        <w:spacing w:line="265" w:lineRule="auto"/>
        <w:rPr>
          <w:color w:val="auto"/>
          <w:highlight w:val="none"/>
        </w:rPr>
      </w:pPr>
    </w:p>
    <w:p w14:paraId="390A726A">
      <w:pPr>
        <w:spacing w:before="91" w:line="220" w:lineRule="auto"/>
        <w:ind w:left="3272"/>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招标文件澄清通知</w:t>
      </w:r>
    </w:p>
    <w:p w14:paraId="60630C53">
      <w:pPr>
        <w:spacing w:before="204" w:line="220" w:lineRule="auto"/>
        <w:ind w:left="4037"/>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0A36B5D8">
      <w:pPr>
        <w:pStyle w:val="3"/>
        <w:spacing w:line="257" w:lineRule="auto"/>
        <w:rPr>
          <w:color w:val="auto"/>
          <w:highlight w:val="none"/>
        </w:rPr>
      </w:pPr>
    </w:p>
    <w:p w14:paraId="7D22EF3F">
      <w:pPr>
        <w:pStyle w:val="3"/>
        <w:spacing w:line="257" w:lineRule="auto"/>
        <w:rPr>
          <w:color w:val="auto"/>
          <w:highlight w:val="none"/>
        </w:rPr>
      </w:pPr>
    </w:p>
    <w:p w14:paraId="07F35348">
      <w:pPr>
        <w:spacing w:before="78" w:line="220" w:lineRule="auto"/>
        <w:ind w:left="4"/>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各投标人：</w:t>
      </w:r>
    </w:p>
    <w:p w14:paraId="7A67CE7A">
      <w:pPr>
        <w:pStyle w:val="3"/>
        <w:spacing w:line="254" w:lineRule="auto"/>
        <w:rPr>
          <w:color w:val="auto"/>
          <w:highlight w:val="none"/>
        </w:rPr>
      </w:pPr>
    </w:p>
    <w:p w14:paraId="35BD62BD">
      <w:pPr>
        <w:pStyle w:val="3"/>
        <w:spacing w:line="255" w:lineRule="auto"/>
        <w:rPr>
          <w:color w:val="auto"/>
          <w:highlight w:val="none"/>
        </w:rPr>
      </w:pPr>
    </w:p>
    <w:p w14:paraId="722D8E11">
      <w:pPr>
        <w:spacing w:before="82" w:line="340" w:lineRule="auto"/>
        <w:ind w:left="2" w:right="59" w:firstLine="48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经研究，对</w:t>
      </w:r>
      <w:r>
        <w:rPr>
          <w:rFonts w:ascii="宋体" w:hAnsi="宋体" w:eastAsia="宋体" w:cs="宋体"/>
          <w:color w:val="auto"/>
          <w:spacing w:val="-11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
          <w:sz w:val="24"/>
          <w:szCs w:val="24"/>
          <w:highlight w:val="none"/>
        </w:rPr>
        <w:t>（</w:t>
      </w:r>
      <w:r>
        <w:rPr>
          <w:rFonts w:ascii="宋体" w:hAnsi="宋体" w:eastAsia="宋体" w:cs="宋体"/>
          <w:i/>
          <w:iCs/>
          <w:color w:val="auto"/>
          <w:spacing w:val="-9"/>
          <w:sz w:val="25"/>
          <w:szCs w:val="25"/>
          <w:highlight w:val="none"/>
        </w:rPr>
        <w:t>项目名称</w:t>
      </w:r>
      <w:r>
        <w:rPr>
          <w:rFonts w:ascii="宋体" w:hAnsi="宋体" w:eastAsia="宋体" w:cs="宋体"/>
          <w:color w:val="auto"/>
          <w:spacing w:val="-60"/>
          <w:w w:val="87"/>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0"/>
          <w:w w:val="87"/>
          <w:sz w:val="24"/>
          <w:szCs w:val="24"/>
          <w:highlight w:val="none"/>
        </w:rPr>
        <w:t>（</w:t>
      </w:r>
      <w:r>
        <w:rPr>
          <w:rFonts w:ascii="宋体" w:hAnsi="宋体" w:eastAsia="宋体" w:cs="宋体"/>
          <w:i/>
          <w:iCs/>
          <w:color w:val="auto"/>
          <w:spacing w:val="-9"/>
          <w:sz w:val="25"/>
          <w:szCs w:val="25"/>
          <w:highlight w:val="none"/>
        </w:rPr>
        <w:t>标段名称</w:t>
      </w:r>
      <w:r>
        <w:rPr>
          <w:rFonts w:ascii="宋体" w:hAnsi="宋体" w:eastAsia="宋体" w:cs="宋体"/>
          <w:color w:val="auto"/>
          <w:spacing w:val="-9"/>
          <w:sz w:val="24"/>
          <w:szCs w:val="24"/>
          <w:highlight w:val="none"/>
        </w:rPr>
        <w:t>）招标文件，</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作如下澄清：</w:t>
      </w:r>
    </w:p>
    <w:p w14:paraId="2F93759E">
      <w:pPr>
        <w:spacing w:before="75" w:line="179" w:lineRule="auto"/>
        <w:ind w:left="49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4"/>
          <w:sz w:val="24"/>
          <w:szCs w:val="24"/>
          <w:highlight w:val="none"/>
        </w:rPr>
        <w:t>1</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24"/>
          <w:sz w:val="24"/>
          <w:szCs w:val="24"/>
          <w:highlight w:val="none"/>
        </w:rPr>
        <w:t>ⅆⅆ</w:t>
      </w:r>
    </w:p>
    <w:p w14:paraId="4EDFD56E">
      <w:pPr>
        <w:spacing w:before="236" w:line="179" w:lineRule="auto"/>
        <w:ind w:left="47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w w:val="124"/>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
          <w:w w:val="1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1"/>
          <w:w w:val="124"/>
          <w:sz w:val="24"/>
          <w:szCs w:val="24"/>
          <w:highlight w:val="none"/>
        </w:rPr>
        <w:t>ⅆⅆ</w:t>
      </w:r>
    </w:p>
    <w:p w14:paraId="348EA985">
      <w:pPr>
        <w:pStyle w:val="3"/>
        <w:spacing w:line="285" w:lineRule="auto"/>
        <w:rPr>
          <w:color w:val="auto"/>
          <w:highlight w:val="none"/>
        </w:rPr>
      </w:pPr>
    </w:p>
    <w:p w14:paraId="5BF11879">
      <w:pPr>
        <w:spacing w:before="69" w:line="74" w:lineRule="exact"/>
        <w:ind w:left="49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690E5423">
      <w:pPr>
        <w:pStyle w:val="3"/>
        <w:spacing w:line="247" w:lineRule="auto"/>
        <w:rPr>
          <w:color w:val="auto"/>
          <w:highlight w:val="none"/>
        </w:rPr>
      </w:pPr>
    </w:p>
    <w:p w14:paraId="1B9624CB">
      <w:pPr>
        <w:pStyle w:val="3"/>
        <w:spacing w:line="247" w:lineRule="auto"/>
        <w:rPr>
          <w:color w:val="auto"/>
          <w:highlight w:val="none"/>
        </w:rPr>
      </w:pPr>
    </w:p>
    <w:p w14:paraId="2084EF6D">
      <w:pPr>
        <w:pStyle w:val="3"/>
        <w:spacing w:line="247" w:lineRule="auto"/>
        <w:rPr>
          <w:color w:val="auto"/>
          <w:highlight w:val="none"/>
        </w:rPr>
      </w:pPr>
    </w:p>
    <w:p w14:paraId="37CC4F76">
      <w:pPr>
        <w:pStyle w:val="3"/>
        <w:spacing w:line="247" w:lineRule="auto"/>
        <w:rPr>
          <w:color w:val="auto"/>
          <w:highlight w:val="none"/>
        </w:rPr>
      </w:pPr>
    </w:p>
    <w:p w14:paraId="0E912ECA">
      <w:pPr>
        <w:pStyle w:val="3"/>
        <w:spacing w:line="247" w:lineRule="auto"/>
        <w:rPr>
          <w:color w:val="auto"/>
          <w:highlight w:val="none"/>
        </w:rPr>
      </w:pPr>
    </w:p>
    <w:p w14:paraId="17ECC971">
      <w:pPr>
        <w:pStyle w:val="3"/>
        <w:spacing w:line="247" w:lineRule="auto"/>
        <w:rPr>
          <w:color w:val="auto"/>
          <w:highlight w:val="none"/>
        </w:rPr>
      </w:pPr>
    </w:p>
    <w:p w14:paraId="78F93A6E">
      <w:pPr>
        <w:pStyle w:val="3"/>
        <w:spacing w:line="247" w:lineRule="auto"/>
        <w:rPr>
          <w:color w:val="auto"/>
          <w:highlight w:val="none"/>
        </w:rPr>
      </w:pPr>
    </w:p>
    <w:p w14:paraId="09A77B4D">
      <w:pPr>
        <w:pStyle w:val="3"/>
        <w:spacing w:line="248" w:lineRule="auto"/>
        <w:rPr>
          <w:color w:val="auto"/>
          <w:highlight w:val="none"/>
        </w:rPr>
      </w:pPr>
    </w:p>
    <w:p w14:paraId="77EC5416">
      <w:pPr>
        <w:pStyle w:val="3"/>
        <w:spacing w:line="248" w:lineRule="auto"/>
        <w:rPr>
          <w:color w:val="auto"/>
          <w:highlight w:val="none"/>
        </w:rPr>
      </w:pPr>
    </w:p>
    <w:p w14:paraId="2521FD1C">
      <w:pPr>
        <w:pStyle w:val="3"/>
        <w:spacing w:line="248" w:lineRule="auto"/>
        <w:rPr>
          <w:color w:val="auto"/>
          <w:highlight w:val="none"/>
        </w:rPr>
      </w:pPr>
    </w:p>
    <w:p w14:paraId="7A740E42">
      <w:pPr>
        <w:pStyle w:val="3"/>
        <w:spacing w:line="248" w:lineRule="auto"/>
        <w:rPr>
          <w:color w:val="auto"/>
          <w:highlight w:val="none"/>
        </w:rPr>
      </w:pPr>
    </w:p>
    <w:p w14:paraId="24AFE727">
      <w:pPr>
        <w:pStyle w:val="3"/>
        <w:spacing w:line="248" w:lineRule="auto"/>
        <w:rPr>
          <w:color w:val="auto"/>
          <w:highlight w:val="none"/>
        </w:rPr>
      </w:pPr>
    </w:p>
    <w:p w14:paraId="037CD0C1">
      <w:pPr>
        <w:pStyle w:val="3"/>
        <w:spacing w:line="248" w:lineRule="auto"/>
        <w:rPr>
          <w:color w:val="auto"/>
          <w:highlight w:val="none"/>
        </w:rPr>
      </w:pPr>
    </w:p>
    <w:p w14:paraId="51A26707">
      <w:pPr>
        <w:pStyle w:val="3"/>
        <w:spacing w:line="248" w:lineRule="auto"/>
        <w:rPr>
          <w:color w:val="auto"/>
          <w:highlight w:val="none"/>
        </w:rPr>
      </w:pPr>
    </w:p>
    <w:p w14:paraId="09208A7F">
      <w:pPr>
        <w:pStyle w:val="3"/>
        <w:spacing w:line="248" w:lineRule="auto"/>
        <w:rPr>
          <w:color w:val="auto"/>
          <w:highlight w:val="none"/>
        </w:rPr>
      </w:pPr>
    </w:p>
    <w:p w14:paraId="02892505">
      <w:pPr>
        <w:pStyle w:val="3"/>
        <w:spacing w:line="248" w:lineRule="auto"/>
        <w:rPr>
          <w:color w:val="auto"/>
          <w:highlight w:val="none"/>
        </w:rPr>
      </w:pPr>
    </w:p>
    <w:p w14:paraId="5627FBD4">
      <w:pPr>
        <w:pStyle w:val="3"/>
        <w:spacing w:line="248" w:lineRule="auto"/>
        <w:rPr>
          <w:color w:val="auto"/>
          <w:highlight w:val="none"/>
        </w:rPr>
      </w:pPr>
    </w:p>
    <w:p w14:paraId="1530E6F1">
      <w:pPr>
        <w:tabs>
          <w:tab w:val="left" w:pos="6830"/>
        </w:tabs>
        <w:spacing w:before="79" w:line="345" w:lineRule="auto"/>
        <w:ind w:left="5991" w:right="168" w:hanging="118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1077DDC7">
      <w:pPr>
        <w:pStyle w:val="3"/>
        <w:spacing w:line="261" w:lineRule="auto"/>
        <w:rPr>
          <w:color w:val="auto"/>
          <w:highlight w:val="none"/>
        </w:rPr>
      </w:pPr>
    </w:p>
    <w:p w14:paraId="739F4CFE">
      <w:pPr>
        <w:pStyle w:val="3"/>
        <w:spacing w:line="262" w:lineRule="auto"/>
        <w:rPr>
          <w:color w:val="auto"/>
          <w:highlight w:val="none"/>
        </w:rPr>
      </w:pPr>
    </w:p>
    <w:p w14:paraId="0AD5658F">
      <w:pPr>
        <w:pStyle w:val="3"/>
        <w:spacing w:line="262" w:lineRule="auto"/>
        <w:rPr>
          <w:color w:val="auto"/>
          <w:highlight w:val="none"/>
        </w:rPr>
      </w:pPr>
    </w:p>
    <w:p w14:paraId="1524F265">
      <w:pPr>
        <w:spacing w:before="69" w:line="345" w:lineRule="auto"/>
        <w:ind w:firstLine="420"/>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注：招标人对招标文件有关问题澄清时，适用于本格式。招标人可根据需要将附件二与附件</w:t>
      </w:r>
      <w:r>
        <w:rPr>
          <w:rFonts w:ascii="宋体" w:hAnsi="宋体" w:eastAsia="宋体" w:cs="宋体"/>
          <w:color w:val="auto"/>
          <w:spacing w:val="3"/>
          <w:sz w:val="21"/>
          <w:szCs w:val="21"/>
          <w:highlight w:val="none"/>
        </w:rPr>
        <w:t xml:space="preserve"> </w:t>
      </w:r>
      <w:r>
        <w:rPr>
          <w:rFonts w:ascii="宋体" w:hAnsi="宋体" w:eastAsia="宋体" w:cs="宋体"/>
          <w:color w:val="auto"/>
          <w:spacing w:val="-1"/>
          <w:sz w:val="21"/>
          <w:szCs w:val="21"/>
          <w:highlight w:val="none"/>
        </w:rPr>
        <w:t>三内容合并发出。</w:t>
      </w:r>
    </w:p>
    <w:p w14:paraId="7A485369">
      <w:pPr>
        <w:spacing w:line="345" w:lineRule="auto"/>
        <w:rPr>
          <w:rFonts w:ascii="宋体" w:hAnsi="宋体" w:eastAsia="宋体" w:cs="宋体"/>
          <w:color w:val="auto"/>
          <w:sz w:val="21"/>
          <w:szCs w:val="21"/>
          <w:highlight w:val="none"/>
        </w:rPr>
        <w:sectPr>
          <w:pgSz w:w="11905" w:h="16843"/>
          <w:pgMar w:top="1429" w:right="1361" w:bottom="1253" w:left="1621" w:header="0" w:footer="1094" w:gutter="0"/>
          <w:pgNumType w:fmt="decimal"/>
          <w:cols w:space="0" w:num="1"/>
          <w:rtlGutter w:val="0"/>
          <w:docGrid w:linePitch="0" w:charSpace="0"/>
        </w:sectPr>
      </w:pPr>
    </w:p>
    <w:p w14:paraId="208432A3">
      <w:pPr>
        <w:spacing w:before="56" w:line="219" w:lineRule="auto"/>
        <w:ind w:left="22"/>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附件三：</w:t>
      </w:r>
    </w:p>
    <w:p w14:paraId="15EF576A">
      <w:pPr>
        <w:pStyle w:val="3"/>
        <w:spacing w:line="265" w:lineRule="auto"/>
        <w:rPr>
          <w:color w:val="auto"/>
          <w:highlight w:val="none"/>
        </w:rPr>
      </w:pPr>
    </w:p>
    <w:p w14:paraId="3C2768B4">
      <w:pPr>
        <w:pStyle w:val="3"/>
        <w:spacing w:line="265" w:lineRule="auto"/>
        <w:rPr>
          <w:color w:val="auto"/>
          <w:highlight w:val="none"/>
        </w:rPr>
      </w:pPr>
    </w:p>
    <w:p w14:paraId="4CC6230D">
      <w:pPr>
        <w:spacing w:before="91" w:line="220" w:lineRule="auto"/>
        <w:ind w:left="3270"/>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招标文件修改通知</w:t>
      </w:r>
    </w:p>
    <w:p w14:paraId="1E79F03F">
      <w:pPr>
        <w:spacing w:before="204" w:line="220" w:lineRule="auto"/>
        <w:ind w:left="4035"/>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0FC48926">
      <w:pPr>
        <w:pStyle w:val="3"/>
        <w:spacing w:line="257" w:lineRule="auto"/>
        <w:rPr>
          <w:color w:val="auto"/>
          <w:highlight w:val="none"/>
        </w:rPr>
      </w:pPr>
    </w:p>
    <w:p w14:paraId="0F0AB162">
      <w:pPr>
        <w:pStyle w:val="3"/>
        <w:spacing w:line="257" w:lineRule="auto"/>
        <w:rPr>
          <w:color w:val="auto"/>
          <w:highlight w:val="none"/>
        </w:rPr>
      </w:pPr>
    </w:p>
    <w:p w14:paraId="14965787">
      <w:pPr>
        <w:spacing w:before="78" w:line="220" w:lineRule="auto"/>
        <w:ind w:left="1"/>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各投标人：</w:t>
      </w:r>
    </w:p>
    <w:p w14:paraId="1BCA9ECF">
      <w:pPr>
        <w:pStyle w:val="3"/>
        <w:spacing w:line="254" w:lineRule="auto"/>
        <w:rPr>
          <w:color w:val="auto"/>
          <w:highlight w:val="none"/>
        </w:rPr>
      </w:pPr>
    </w:p>
    <w:p w14:paraId="071C5768">
      <w:pPr>
        <w:pStyle w:val="3"/>
        <w:spacing w:line="255" w:lineRule="auto"/>
        <w:rPr>
          <w:color w:val="auto"/>
          <w:highlight w:val="none"/>
        </w:rPr>
      </w:pPr>
    </w:p>
    <w:p w14:paraId="2FD67467">
      <w:pPr>
        <w:spacing w:before="81" w:line="340" w:lineRule="auto"/>
        <w:ind w:right="57" w:firstLine="480"/>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经研究，对</w:t>
      </w:r>
      <w:r>
        <w:rPr>
          <w:rFonts w:ascii="宋体" w:hAnsi="宋体" w:eastAsia="宋体" w:cs="宋体"/>
          <w:color w:val="auto"/>
          <w:spacing w:val="-11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
          <w:sz w:val="24"/>
          <w:szCs w:val="24"/>
          <w:highlight w:val="none"/>
        </w:rPr>
        <w:t>（</w:t>
      </w:r>
      <w:r>
        <w:rPr>
          <w:rFonts w:ascii="宋体" w:hAnsi="宋体" w:eastAsia="宋体" w:cs="宋体"/>
          <w:i/>
          <w:iCs/>
          <w:color w:val="auto"/>
          <w:spacing w:val="-9"/>
          <w:sz w:val="25"/>
          <w:szCs w:val="25"/>
          <w:highlight w:val="none"/>
        </w:rPr>
        <w:t>项目名称</w:t>
      </w:r>
      <w:r>
        <w:rPr>
          <w:rFonts w:ascii="宋体" w:hAnsi="宋体" w:eastAsia="宋体" w:cs="宋体"/>
          <w:color w:val="auto"/>
          <w:spacing w:val="-60"/>
          <w:w w:val="87"/>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0"/>
          <w:w w:val="87"/>
          <w:sz w:val="24"/>
          <w:szCs w:val="24"/>
          <w:highlight w:val="none"/>
        </w:rPr>
        <w:t>（</w:t>
      </w:r>
      <w:r>
        <w:rPr>
          <w:rFonts w:ascii="宋体" w:hAnsi="宋体" w:eastAsia="宋体" w:cs="宋体"/>
          <w:i/>
          <w:iCs/>
          <w:color w:val="auto"/>
          <w:spacing w:val="-9"/>
          <w:sz w:val="25"/>
          <w:szCs w:val="25"/>
          <w:highlight w:val="none"/>
        </w:rPr>
        <w:t>标段名称</w:t>
      </w:r>
      <w:r>
        <w:rPr>
          <w:rFonts w:ascii="宋体" w:hAnsi="宋体" w:eastAsia="宋体" w:cs="宋体"/>
          <w:color w:val="auto"/>
          <w:spacing w:val="-9"/>
          <w:sz w:val="24"/>
          <w:szCs w:val="24"/>
          <w:highlight w:val="none"/>
        </w:rPr>
        <w:t>）招标文件，</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作如下修改：</w:t>
      </w:r>
    </w:p>
    <w:p w14:paraId="19364B63">
      <w:pPr>
        <w:spacing w:before="76" w:line="179" w:lineRule="auto"/>
        <w:ind w:left="49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4"/>
          <w:sz w:val="24"/>
          <w:szCs w:val="24"/>
          <w:highlight w:val="none"/>
        </w:rPr>
        <w:t>1</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24"/>
          <w:sz w:val="24"/>
          <w:szCs w:val="24"/>
          <w:highlight w:val="none"/>
        </w:rPr>
        <w:t>ⅆⅆ</w:t>
      </w:r>
    </w:p>
    <w:p w14:paraId="7E86C020">
      <w:pPr>
        <w:spacing w:before="236" w:line="179" w:lineRule="auto"/>
        <w:ind w:left="47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w w:val="124"/>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
          <w:w w:val="1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1"/>
          <w:w w:val="124"/>
          <w:sz w:val="24"/>
          <w:szCs w:val="24"/>
          <w:highlight w:val="none"/>
        </w:rPr>
        <w:t>ⅆⅆ</w:t>
      </w:r>
    </w:p>
    <w:p w14:paraId="3557D802">
      <w:pPr>
        <w:pStyle w:val="3"/>
        <w:spacing w:line="285" w:lineRule="auto"/>
        <w:rPr>
          <w:color w:val="auto"/>
          <w:highlight w:val="none"/>
        </w:rPr>
      </w:pPr>
    </w:p>
    <w:p w14:paraId="278869FE">
      <w:pPr>
        <w:spacing w:before="69" w:line="74" w:lineRule="exact"/>
        <w:ind w:left="49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5E68BBD8">
      <w:pPr>
        <w:pStyle w:val="3"/>
        <w:spacing w:line="265" w:lineRule="auto"/>
        <w:rPr>
          <w:color w:val="auto"/>
          <w:highlight w:val="none"/>
        </w:rPr>
      </w:pPr>
    </w:p>
    <w:p w14:paraId="50CC9826">
      <w:pPr>
        <w:pStyle w:val="3"/>
        <w:spacing w:line="265" w:lineRule="auto"/>
        <w:rPr>
          <w:color w:val="auto"/>
          <w:highlight w:val="none"/>
        </w:rPr>
      </w:pPr>
    </w:p>
    <w:p w14:paraId="2148410E">
      <w:pPr>
        <w:pStyle w:val="3"/>
        <w:spacing w:line="265" w:lineRule="auto"/>
        <w:rPr>
          <w:color w:val="auto"/>
          <w:highlight w:val="none"/>
        </w:rPr>
      </w:pPr>
    </w:p>
    <w:p w14:paraId="2396EF77">
      <w:pPr>
        <w:pStyle w:val="3"/>
        <w:spacing w:line="266" w:lineRule="auto"/>
        <w:rPr>
          <w:color w:val="auto"/>
          <w:highlight w:val="none"/>
        </w:rPr>
      </w:pPr>
    </w:p>
    <w:p w14:paraId="18D823FE">
      <w:pPr>
        <w:pStyle w:val="3"/>
        <w:spacing w:line="266" w:lineRule="auto"/>
        <w:rPr>
          <w:color w:val="auto"/>
          <w:highlight w:val="none"/>
        </w:rPr>
      </w:pPr>
    </w:p>
    <w:p w14:paraId="5EB44EC5">
      <w:pPr>
        <w:tabs>
          <w:tab w:val="left" w:pos="6829"/>
        </w:tabs>
        <w:spacing w:before="79" w:line="347" w:lineRule="auto"/>
        <w:ind w:left="6229" w:right="165" w:hanging="166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r>
        <w:rPr>
          <w:rFonts w:ascii="宋体" w:hAnsi="宋体" w:eastAsia="宋体" w:cs="宋体"/>
          <w:color w:val="auto"/>
          <w:spacing w:val="1"/>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4B3F3255">
      <w:pPr>
        <w:pStyle w:val="3"/>
        <w:spacing w:line="258" w:lineRule="auto"/>
        <w:rPr>
          <w:color w:val="auto"/>
          <w:highlight w:val="none"/>
        </w:rPr>
      </w:pPr>
    </w:p>
    <w:p w14:paraId="772CA952">
      <w:pPr>
        <w:pStyle w:val="3"/>
        <w:spacing w:line="258" w:lineRule="auto"/>
        <w:rPr>
          <w:color w:val="auto"/>
          <w:highlight w:val="none"/>
        </w:rPr>
      </w:pPr>
    </w:p>
    <w:p w14:paraId="1B8502E3">
      <w:pPr>
        <w:pStyle w:val="3"/>
        <w:spacing w:line="258" w:lineRule="auto"/>
        <w:rPr>
          <w:color w:val="auto"/>
          <w:highlight w:val="none"/>
        </w:rPr>
      </w:pPr>
    </w:p>
    <w:p w14:paraId="6489E5E1">
      <w:pPr>
        <w:pStyle w:val="3"/>
        <w:spacing w:line="258" w:lineRule="auto"/>
        <w:rPr>
          <w:color w:val="auto"/>
          <w:highlight w:val="none"/>
        </w:rPr>
      </w:pPr>
    </w:p>
    <w:p w14:paraId="54223E35">
      <w:pPr>
        <w:pStyle w:val="3"/>
        <w:spacing w:line="258" w:lineRule="auto"/>
        <w:rPr>
          <w:color w:val="auto"/>
          <w:highlight w:val="none"/>
        </w:rPr>
      </w:pPr>
    </w:p>
    <w:p w14:paraId="0F1E7F6E">
      <w:pPr>
        <w:pStyle w:val="3"/>
        <w:spacing w:line="258" w:lineRule="auto"/>
        <w:rPr>
          <w:color w:val="auto"/>
          <w:highlight w:val="none"/>
        </w:rPr>
      </w:pPr>
    </w:p>
    <w:p w14:paraId="358E1A37">
      <w:pPr>
        <w:pStyle w:val="3"/>
        <w:spacing w:line="258" w:lineRule="auto"/>
        <w:rPr>
          <w:color w:val="auto"/>
          <w:highlight w:val="none"/>
        </w:rPr>
      </w:pPr>
    </w:p>
    <w:p w14:paraId="37BE4855">
      <w:pPr>
        <w:pStyle w:val="3"/>
        <w:spacing w:line="258" w:lineRule="auto"/>
        <w:rPr>
          <w:color w:val="auto"/>
          <w:highlight w:val="none"/>
        </w:rPr>
      </w:pPr>
    </w:p>
    <w:p w14:paraId="554C776C">
      <w:pPr>
        <w:pStyle w:val="3"/>
        <w:spacing w:line="258" w:lineRule="auto"/>
        <w:rPr>
          <w:color w:val="auto"/>
          <w:highlight w:val="none"/>
        </w:rPr>
      </w:pPr>
    </w:p>
    <w:p w14:paraId="1B10115B">
      <w:pPr>
        <w:pStyle w:val="3"/>
        <w:spacing w:line="258" w:lineRule="auto"/>
        <w:rPr>
          <w:color w:val="auto"/>
          <w:highlight w:val="none"/>
        </w:rPr>
      </w:pPr>
    </w:p>
    <w:p w14:paraId="204BC67C">
      <w:pPr>
        <w:pStyle w:val="3"/>
        <w:spacing w:line="259" w:lineRule="auto"/>
        <w:rPr>
          <w:color w:val="auto"/>
          <w:highlight w:val="none"/>
        </w:rPr>
      </w:pPr>
    </w:p>
    <w:p w14:paraId="491BCB54">
      <w:pPr>
        <w:spacing w:before="68" w:line="220" w:lineRule="auto"/>
        <w:ind w:left="417"/>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注：招标人对招标文件修改时，适用于本格式。</w:t>
      </w:r>
    </w:p>
    <w:p w14:paraId="052D30CD">
      <w:pPr>
        <w:spacing w:line="220" w:lineRule="auto"/>
        <w:rPr>
          <w:rFonts w:ascii="宋体" w:hAnsi="宋体" w:eastAsia="宋体" w:cs="宋体"/>
          <w:color w:val="auto"/>
          <w:sz w:val="21"/>
          <w:szCs w:val="21"/>
          <w:highlight w:val="none"/>
        </w:rPr>
        <w:sectPr>
          <w:pgSz w:w="11905" w:h="16843"/>
          <w:pgMar w:top="1429" w:right="1361" w:bottom="1253" w:left="1621" w:header="0" w:footer="1094" w:gutter="0"/>
          <w:pgNumType w:fmt="decimal"/>
          <w:cols w:space="0" w:num="1"/>
          <w:rtlGutter w:val="0"/>
          <w:docGrid w:linePitch="0" w:charSpace="0"/>
        </w:sectPr>
      </w:pPr>
    </w:p>
    <w:p w14:paraId="474D46DF">
      <w:pPr>
        <w:spacing w:before="56" w:line="219" w:lineRule="auto"/>
        <w:ind w:left="32"/>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附件四：</w:t>
      </w:r>
    </w:p>
    <w:p w14:paraId="5708302C">
      <w:pPr>
        <w:spacing w:before="211" w:line="221" w:lineRule="auto"/>
        <w:ind w:left="3984"/>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开标记录表</w:t>
      </w:r>
    </w:p>
    <w:p w14:paraId="2B7D8273">
      <w:pPr>
        <w:pStyle w:val="3"/>
        <w:spacing w:line="266" w:lineRule="auto"/>
        <w:rPr>
          <w:color w:val="auto"/>
          <w:highlight w:val="none"/>
        </w:rPr>
      </w:pPr>
    </w:p>
    <w:p w14:paraId="78169711">
      <w:pPr>
        <w:pStyle w:val="3"/>
        <w:spacing w:line="266" w:lineRule="auto"/>
        <w:rPr>
          <w:color w:val="auto"/>
          <w:highlight w:val="none"/>
        </w:rPr>
      </w:pPr>
    </w:p>
    <w:p w14:paraId="230D64AC">
      <w:pPr>
        <w:tabs>
          <w:tab w:val="left" w:pos="2400"/>
        </w:tabs>
        <w:spacing w:before="81" w:line="338" w:lineRule="auto"/>
        <w:ind w:left="10" w:right="2685" w:hanging="1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w:t>
      </w:r>
      <w:r>
        <w:rPr>
          <w:rFonts w:ascii="宋体" w:hAnsi="宋体" w:eastAsia="宋体" w:cs="宋体"/>
          <w:i/>
          <w:iCs/>
          <w:color w:val="auto"/>
          <w:sz w:val="25"/>
          <w:szCs w:val="25"/>
          <w:highlight w:val="none"/>
        </w:rPr>
        <w:t>项目名称</w:t>
      </w:r>
      <w:r>
        <w:rPr>
          <w:rFonts w:ascii="宋体" w:hAnsi="宋体" w:eastAsia="宋体" w:cs="宋体"/>
          <w:color w:val="auto"/>
          <w:spacing w:val="-49"/>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9"/>
          <w:sz w:val="24"/>
          <w:szCs w:val="24"/>
          <w:highlight w:val="none"/>
        </w:rPr>
        <w:t>（</w:t>
      </w:r>
      <w:r>
        <w:rPr>
          <w:rFonts w:ascii="宋体" w:hAnsi="宋体" w:eastAsia="宋体" w:cs="宋体"/>
          <w:i/>
          <w:iCs/>
          <w:color w:val="auto"/>
          <w:sz w:val="25"/>
          <w:szCs w:val="25"/>
          <w:highlight w:val="none"/>
        </w:rPr>
        <w:t>标段名称</w:t>
      </w:r>
      <w:r>
        <w:rPr>
          <w:rFonts w:ascii="宋体" w:hAnsi="宋体" w:eastAsia="宋体" w:cs="宋体"/>
          <w:color w:val="auto"/>
          <w:sz w:val="24"/>
          <w:szCs w:val="24"/>
          <w:highlight w:val="none"/>
        </w:rPr>
        <w:t>）</w:t>
      </w:r>
      <w:r>
        <w:rPr>
          <w:rFonts w:ascii="宋体" w:hAnsi="宋体" w:eastAsia="宋体" w:cs="宋体"/>
          <w:color w:val="auto"/>
          <w:spacing w:val="1"/>
          <w:sz w:val="24"/>
          <w:szCs w:val="24"/>
          <w:highlight w:val="none"/>
        </w:rPr>
        <w:t xml:space="preserve"> </w:t>
      </w:r>
      <w:r>
        <w:rPr>
          <w:rFonts w:ascii="宋体" w:hAnsi="宋体" w:eastAsia="宋体" w:cs="宋体"/>
          <w:color w:val="auto"/>
          <w:spacing w:val="-8"/>
          <w:sz w:val="24"/>
          <w:szCs w:val="24"/>
          <w:highlight w:val="none"/>
        </w:rPr>
        <w:t>开标时间：</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8"/>
          <w:sz w:val="24"/>
          <w:szCs w:val="24"/>
          <w:highlight w:val="none"/>
        </w:rPr>
        <w:t>年</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8"/>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8"/>
          <w:sz w:val="24"/>
          <w:szCs w:val="24"/>
          <w:highlight w:val="none"/>
        </w:rPr>
        <w:t>日</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0"/>
          <w:sz w:val="24"/>
          <w:szCs w:val="24"/>
          <w:highlight w:val="none"/>
        </w:rPr>
        <w:t xml:space="preserve"> </w:t>
      </w:r>
      <w:r>
        <w:rPr>
          <w:rFonts w:ascii="宋体" w:hAnsi="宋体" w:eastAsia="宋体" w:cs="宋体"/>
          <w:color w:val="auto"/>
          <w:spacing w:val="-8"/>
          <w:sz w:val="24"/>
          <w:szCs w:val="24"/>
          <w:highlight w:val="none"/>
        </w:rPr>
        <w:t>时</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8"/>
          <w:sz w:val="24"/>
          <w:szCs w:val="24"/>
          <w:highlight w:val="none"/>
        </w:rPr>
        <w:t>分</w:t>
      </w:r>
    </w:p>
    <w:tbl>
      <w:tblPr>
        <w:tblStyle w:val="32"/>
        <w:tblW w:w="842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65"/>
        <w:gridCol w:w="1059"/>
        <w:gridCol w:w="819"/>
        <w:gridCol w:w="1032"/>
        <w:gridCol w:w="676"/>
        <w:gridCol w:w="623"/>
        <w:gridCol w:w="867"/>
        <w:gridCol w:w="1078"/>
        <w:gridCol w:w="1706"/>
      </w:tblGrid>
      <w:tr w14:paraId="431547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3" w:hRule="atLeast"/>
        </w:trPr>
        <w:tc>
          <w:tcPr>
            <w:tcW w:w="565" w:type="dxa"/>
            <w:tcBorders>
              <w:top w:val="single" w:color="000000" w:sz="6" w:space="0"/>
              <w:left w:val="single" w:color="000000" w:sz="6" w:space="0"/>
            </w:tcBorders>
            <w:vAlign w:val="top"/>
          </w:tcPr>
          <w:p w14:paraId="29E8BC28">
            <w:pPr>
              <w:pStyle w:val="33"/>
              <w:spacing w:before="235" w:line="222" w:lineRule="auto"/>
              <w:ind w:left="71"/>
              <w:rPr>
                <w:color w:val="auto"/>
                <w:sz w:val="21"/>
                <w:szCs w:val="21"/>
                <w:highlight w:val="none"/>
              </w:rPr>
            </w:pPr>
            <w:r>
              <w:rPr>
                <w:color w:val="auto"/>
                <w:spacing w:val="-2"/>
                <w:sz w:val="21"/>
                <w:szCs w:val="21"/>
                <w:highlight w:val="none"/>
              </w:rPr>
              <w:t>序号</w:t>
            </w:r>
          </w:p>
        </w:tc>
        <w:tc>
          <w:tcPr>
            <w:tcW w:w="1059" w:type="dxa"/>
            <w:tcBorders>
              <w:top w:val="single" w:color="000000" w:sz="6" w:space="0"/>
            </w:tcBorders>
            <w:vAlign w:val="top"/>
          </w:tcPr>
          <w:p w14:paraId="27B70314">
            <w:pPr>
              <w:pStyle w:val="33"/>
              <w:spacing w:before="235" w:line="221" w:lineRule="auto"/>
              <w:ind w:left="215"/>
              <w:rPr>
                <w:color w:val="auto"/>
                <w:sz w:val="21"/>
                <w:szCs w:val="21"/>
                <w:highlight w:val="none"/>
              </w:rPr>
            </w:pPr>
            <w:r>
              <w:rPr>
                <w:color w:val="auto"/>
                <w:spacing w:val="-2"/>
                <w:sz w:val="21"/>
                <w:szCs w:val="21"/>
                <w:highlight w:val="none"/>
              </w:rPr>
              <w:t>投标人</w:t>
            </w:r>
          </w:p>
        </w:tc>
        <w:tc>
          <w:tcPr>
            <w:tcW w:w="819" w:type="dxa"/>
            <w:tcBorders>
              <w:top w:val="single" w:color="000000" w:sz="6" w:space="0"/>
            </w:tcBorders>
            <w:vAlign w:val="top"/>
          </w:tcPr>
          <w:p w14:paraId="319A7D73">
            <w:pPr>
              <w:pStyle w:val="33"/>
              <w:spacing w:before="85" w:line="245" w:lineRule="auto"/>
              <w:ind w:left="95" w:right="93" w:firstLine="107"/>
              <w:rPr>
                <w:color w:val="auto"/>
                <w:sz w:val="21"/>
                <w:szCs w:val="21"/>
                <w:highlight w:val="none"/>
              </w:rPr>
            </w:pPr>
            <w:r>
              <w:rPr>
                <w:color w:val="auto"/>
                <w:spacing w:val="-5"/>
                <w:sz w:val="21"/>
                <w:szCs w:val="21"/>
                <w:highlight w:val="none"/>
              </w:rPr>
              <w:t>投标</w:t>
            </w:r>
            <w:r>
              <w:rPr>
                <w:color w:val="auto"/>
                <w:sz w:val="21"/>
                <w:szCs w:val="21"/>
                <w:highlight w:val="none"/>
              </w:rPr>
              <w:t xml:space="preserve">  </w:t>
            </w:r>
            <w:r>
              <w:rPr>
                <w:color w:val="auto"/>
                <w:spacing w:val="-2"/>
                <w:sz w:val="21"/>
                <w:szCs w:val="21"/>
                <w:highlight w:val="none"/>
              </w:rPr>
              <w:t>保证金</w:t>
            </w:r>
          </w:p>
        </w:tc>
        <w:tc>
          <w:tcPr>
            <w:tcW w:w="1032" w:type="dxa"/>
            <w:tcBorders>
              <w:top w:val="single" w:color="000000" w:sz="6" w:space="0"/>
            </w:tcBorders>
            <w:vAlign w:val="top"/>
          </w:tcPr>
          <w:p w14:paraId="789A7097">
            <w:pPr>
              <w:pStyle w:val="33"/>
              <w:spacing w:before="85" w:line="245" w:lineRule="auto"/>
              <w:ind w:left="208" w:right="93" w:hanging="107"/>
              <w:rPr>
                <w:color w:val="auto"/>
                <w:sz w:val="21"/>
                <w:szCs w:val="21"/>
                <w:highlight w:val="none"/>
              </w:rPr>
            </w:pPr>
            <w:r>
              <w:rPr>
                <w:color w:val="auto"/>
                <w:spacing w:val="-3"/>
                <w:sz w:val="21"/>
                <w:szCs w:val="21"/>
                <w:highlight w:val="none"/>
              </w:rPr>
              <w:t>投标报价</w:t>
            </w:r>
            <w:r>
              <w:rPr>
                <w:color w:val="auto"/>
                <w:spacing w:val="2"/>
                <w:sz w:val="21"/>
                <w:szCs w:val="21"/>
                <w:highlight w:val="none"/>
              </w:rPr>
              <w:t xml:space="preserve"> </w:t>
            </w:r>
            <w:r>
              <w:rPr>
                <w:color w:val="auto"/>
                <w:spacing w:val="-6"/>
                <w:sz w:val="21"/>
                <w:szCs w:val="21"/>
                <w:highlight w:val="none"/>
              </w:rPr>
              <w:t>（元）</w:t>
            </w:r>
          </w:p>
        </w:tc>
        <w:tc>
          <w:tcPr>
            <w:tcW w:w="676" w:type="dxa"/>
            <w:tcBorders>
              <w:top w:val="single" w:color="000000" w:sz="6" w:space="0"/>
            </w:tcBorders>
            <w:vAlign w:val="top"/>
          </w:tcPr>
          <w:p w14:paraId="189CEBD5">
            <w:pPr>
              <w:pStyle w:val="33"/>
              <w:spacing w:before="85" w:line="245" w:lineRule="auto"/>
              <w:ind w:left="175" w:right="121" w:hanging="39"/>
              <w:rPr>
                <w:color w:val="auto"/>
                <w:sz w:val="21"/>
                <w:szCs w:val="21"/>
                <w:highlight w:val="none"/>
              </w:rPr>
            </w:pPr>
            <w:r>
              <w:rPr>
                <w:color w:val="auto"/>
                <w:spacing w:val="-4"/>
                <w:sz w:val="21"/>
                <w:szCs w:val="21"/>
                <w:highlight w:val="none"/>
              </w:rPr>
              <w:t>质量</w:t>
            </w:r>
            <w:r>
              <w:rPr>
                <w:color w:val="auto"/>
                <w:sz w:val="21"/>
                <w:szCs w:val="21"/>
                <w:highlight w:val="none"/>
              </w:rPr>
              <w:t xml:space="preserve"> </w:t>
            </w:r>
            <w:r>
              <w:rPr>
                <w:color w:val="auto"/>
                <w:spacing w:val="-24"/>
                <w:sz w:val="21"/>
                <w:szCs w:val="21"/>
                <w:highlight w:val="none"/>
              </w:rPr>
              <w:t>目标</w:t>
            </w:r>
          </w:p>
        </w:tc>
        <w:tc>
          <w:tcPr>
            <w:tcW w:w="623" w:type="dxa"/>
            <w:tcBorders>
              <w:top w:val="single" w:color="000000" w:sz="6" w:space="0"/>
            </w:tcBorders>
            <w:vAlign w:val="top"/>
          </w:tcPr>
          <w:p w14:paraId="18A665CF">
            <w:pPr>
              <w:pStyle w:val="33"/>
              <w:spacing w:before="235" w:line="221" w:lineRule="auto"/>
              <w:ind w:left="112"/>
              <w:rPr>
                <w:color w:val="auto"/>
                <w:sz w:val="21"/>
                <w:szCs w:val="21"/>
                <w:highlight w:val="none"/>
              </w:rPr>
            </w:pPr>
            <w:r>
              <w:rPr>
                <w:color w:val="auto"/>
                <w:spacing w:val="-3"/>
                <w:sz w:val="21"/>
                <w:szCs w:val="21"/>
                <w:highlight w:val="none"/>
              </w:rPr>
              <w:t>工期</w:t>
            </w:r>
          </w:p>
        </w:tc>
        <w:tc>
          <w:tcPr>
            <w:tcW w:w="867" w:type="dxa"/>
            <w:tcBorders>
              <w:top w:val="single" w:color="000000" w:sz="6" w:space="0"/>
            </w:tcBorders>
            <w:vAlign w:val="top"/>
          </w:tcPr>
          <w:p w14:paraId="4A679666">
            <w:pPr>
              <w:pStyle w:val="33"/>
              <w:spacing w:before="85" w:line="245" w:lineRule="auto"/>
              <w:ind w:left="135" w:right="108" w:hanging="4"/>
              <w:rPr>
                <w:color w:val="auto"/>
                <w:sz w:val="21"/>
                <w:szCs w:val="21"/>
                <w:highlight w:val="none"/>
              </w:rPr>
            </w:pPr>
            <w:r>
              <w:rPr>
                <w:color w:val="auto"/>
                <w:spacing w:val="-29"/>
                <w:sz w:val="21"/>
                <w:szCs w:val="21"/>
                <w:highlight w:val="none"/>
              </w:rPr>
              <w:t>项</w:t>
            </w:r>
            <w:r>
              <w:rPr>
                <w:color w:val="auto"/>
                <w:spacing w:val="24"/>
                <w:sz w:val="21"/>
                <w:szCs w:val="21"/>
                <w:highlight w:val="none"/>
              </w:rPr>
              <w:t xml:space="preserve">  </w:t>
            </w:r>
            <w:r>
              <w:rPr>
                <w:color w:val="auto"/>
                <w:spacing w:val="-29"/>
                <w:sz w:val="21"/>
                <w:szCs w:val="21"/>
                <w:highlight w:val="none"/>
              </w:rPr>
              <w:t>目</w:t>
            </w:r>
            <w:r>
              <w:rPr>
                <w:color w:val="auto"/>
                <w:sz w:val="21"/>
                <w:szCs w:val="21"/>
                <w:highlight w:val="none"/>
              </w:rPr>
              <w:t xml:space="preserve"> </w:t>
            </w:r>
            <w:r>
              <w:rPr>
                <w:color w:val="auto"/>
                <w:spacing w:val="-5"/>
                <w:sz w:val="21"/>
                <w:szCs w:val="21"/>
                <w:highlight w:val="none"/>
              </w:rPr>
              <w:t>负责人</w:t>
            </w:r>
          </w:p>
        </w:tc>
        <w:tc>
          <w:tcPr>
            <w:tcW w:w="1078" w:type="dxa"/>
            <w:tcBorders>
              <w:top w:val="single" w:color="000000" w:sz="6" w:space="0"/>
            </w:tcBorders>
            <w:vAlign w:val="top"/>
          </w:tcPr>
          <w:p w14:paraId="7EA1A92A">
            <w:pPr>
              <w:pStyle w:val="33"/>
              <w:spacing w:before="85" w:line="245" w:lineRule="auto"/>
              <w:ind w:left="340" w:right="109" w:hanging="207"/>
              <w:rPr>
                <w:color w:val="auto"/>
                <w:sz w:val="21"/>
                <w:szCs w:val="21"/>
                <w:highlight w:val="none"/>
              </w:rPr>
            </w:pPr>
            <w:r>
              <w:rPr>
                <w:color w:val="auto"/>
                <w:spacing w:val="-3"/>
                <w:sz w:val="21"/>
                <w:szCs w:val="21"/>
                <w:highlight w:val="none"/>
              </w:rPr>
              <w:t>企业信用</w:t>
            </w:r>
            <w:r>
              <w:rPr>
                <w:color w:val="auto"/>
                <w:spacing w:val="1"/>
                <w:sz w:val="21"/>
                <w:szCs w:val="21"/>
                <w:highlight w:val="none"/>
              </w:rPr>
              <w:t xml:space="preserve"> </w:t>
            </w:r>
            <w:r>
              <w:rPr>
                <w:color w:val="auto"/>
                <w:spacing w:val="-2"/>
                <w:sz w:val="21"/>
                <w:szCs w:val="21"/>
                <w:highlight w:val="none"/>
              </w:rPr>
              <w:t>等级</w:t>
            </w:r>
          </w:p>
        </w:tc>
        <w:tc>
          <w:tcPr>
            <w:tcW w:w="1706" w:type="dxa"/>
            <w:tcBorders>
              <w:top w:val="single" w:color="000000" w:sz="6" w:space="0"/>
              <w:right w:val="single" w:color="000000" w:sz="6" w:space="0"/>
            </w:tcBorders>
            <w:vAlign w:val="top"/>
          </w:tcPr>
          <w:p w14:paraId="3EE27580">
            <w:pPr>
              <w:pStyle w:val="33"/>
              <w:spacing w:before="235" w:line="221" w:lineRule="auto"/>
              <w:ind w:left="440"/>
              <w:rPr>
                <w:color w:val="auto"/>
                <w:sz w:val="21"/>
                <w:szCs w:val="21"/>
                <w:highlight w:val="none"/>
              </w:rPr>
            </w:pPr>
            <w:r>
              <w:rPr>
                <w:color w:val="auto"/>
                <w:spacing w:val="-2"/>
                <w:sz w:val="21"/>
                <w:szCs w:val="21"/>
                <w:highlight w:val="none"/>
              </w:rPr>
              <w:t>开标备注</w:t>
            </w:r>
          </w:p>
        </w:tc>
      </w:tr>
      <w:tr w14:paraId="0D2E4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65" w:type="dxa"/>
            <w:tcBorders>
              <w:left w:val="single" w:color="000000" w:sz="6" w:space="0"/>
            </w:tcBorders>
            <w:vAlign w:val="top"/>
          </w:tcPr>
          <w:p w14:paraId="0E098DCB">
            <w:pPr>
              <w:rPr>
                <w:rFonts w:ascii="Arial"/>
                <w:color w:val="auto"/>
                <w:sz w:val="21"/>
                <w:highlight w:val="none"/>
              </w:rPr>
            </w:pPr>
          </w:p>
        </w:tc>
        <w:tc>
          <w:tcPr>
            <w:tcW w:w="1059" w:type="dxa"/>
            <w:vAlign w:val="top"/>
          </w:tcPr>
          <w:p w14:paraId="5BFC3FD5">
            <w:pPr>
              <w:rPr>
                <w:rFonts w:ascii="Arial"/>
                <w:color w:val="auto"/>
                <w:sz w:val="21"/>
                <w:highlight w:val="none"/>
              </w:rPr>
            </w:pPr>
          </w:p>
        </w:tc>
        <w:tc>
          <w:tcPr>
            <w:tcW w:w="819" w:type="dxa"/>
            <w:vAlign w:val="top"/>
          </w:tcPr>
          <w:p w14:paraId="5D4C5EB1">
            <w:pPr>
              <w:rPr>
                <w:rFonts w:ascii="Arial"/>
                <w:color w:val="auto"/>
                <w:sz w:val="21"/>
                <w:highlight w:val="none"/>
              </w:rPr>
            </w:pPr>
          </w:p>
        </w:tc>
        <w:tc>
          <w:tcPr>
            <w:tcW w:w="1032" w:type="dxa"/>
            <w:vAlign w:val="top"/>
          </w:tcPr>
          <w:p w14:paraId="31AB8643">
            <w:pPr>
              <w:rPr>
                <w:rFonts w:ascii="Arial"/>
                <w:color w:val="auto"/>
                <w:sz w:val="21"/>
                <w:highlight w:val="none"/>
              </w:rPr>
            </w:pPr>
          </w:p>
        </w:tc>
        <w:tc>
          <w:tcPr>
            <w:tcW w:w="676" w:type="dxa"/>
            <w:vAlign w:val="top"/>
          </w:tcPr>
          <w:p w14:paraId="1EB3DA9E">
            <w:pPr>
              <w:rPr>
                <w:rFonts w:ascii="Arial"/>
                <w:color w:val="auto"/>
                <w:sz w:val="21"/>
                <w:highlight w:val="none"/>
              </w:rPr>
            </w:pPr>
          </w:p>
        </w:tc>
        <w:tc>
          <w:tcPr>
            <w:tcW w:w="623" w:type="dxa"/>
            <w:vAlign w:val="top"/>
          </w:tcPr>
          <w:p w14:paraId="00716A9C">
            <w:pPr>
              <w:rPr>
                <w:rFonts w:ascii="Arial"/>
                <w:color w:val="auto"/>
                <w:sz w:val="21"/>
                <w:highlight w:val="none"/>
              </w:rPr>
            </w:pPr>
          </w:p>
        </w:tc>
        <w:tc>
          <w:tcPr>
            <w:tcW w:w="867" w:type="dxa"/>
            <w:vAlign w:val="top"/>
          </w:tcPr>
          <w:p w14:paraId="1A2A7B7C">
            <w:pPr>
              <w:rPr>
                <w:rFonts w:ascii="Arial"/>
                <w:color w:val="auto"/>
                <w:sz w:val="21"/>
                <w:highlight w:val="none"/>
              </w:rPr>
            </w:pPr>
          </w:p>
        </w:tc>
        <w:tc>
          <w:tcPr>
            <w:tcW w:w="1078" w:type="dxa"/>
            <w:vAlign w:val="top"/>
          </w:tcPr>
          <w:p w14:paraId="10FCB65C">
            <w:pPr>
              <w:rPr>
                <w:rFonts w:ascii="Arial"/>
                <w:color w:val="auto"/>
                <w:sz w:val="21"/>
                <w:highlight w:val="none"/>
              </w:rPr>
            </w:pPr>
          </w:p>
        </w:tc>
        <w:tc>
          <w:tcPr>
            <w:tcW w:w="1706" w:type="dxa"/>
            <w:tcBorders>
              <w:right w:val="single" w:color="000000" w:sz="6" w:space="0"/>
            </w:tcBorders>
            <w:vAlign w:val="top"/>
          </w:tcPr>
          <w:p w14:paraId="4EC53295">
            <w:pPr>
              <w:rPr>
                <w:rFonts w:ascii="Arial"/>
                <w:color w:val="auto"/>
                <w:sz w:val="21"/>
                <w:highlight w:val="none"/>
              </w:rPr>
            </w:pPr>
          </w:p>
        </w:tc>
      </w:tr>
      <w:tr w14:paraId="3F5E68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565" w:type="dxa"/>
            <w:tcBorders>
              <w:left w:val="single" w:color="000000" w:sz="6" w:space="0"/>
            </w:tcBorders>
            <w:vAlign w:val="top"/>
          </w:tcPr>
          <w:p w14:paraId="6E1CB47F">
            <w:pPr>
              <w:rPr>
                <w:rFonts w:ascii="Arial"/>
                <w:color w:val="auto"/>
                <w:sz w:val="21"/>
                <w:highlight w:val="none"/>
              </w:rPr>
            </w:pPr>
          </w:p>
        </w:tc>
        <w:tc>
          <w:tcPr>
            <w:tcW w:w="1059" w:type="dxa"/>
            <w:vAlign w:val="top"/>
          </w:tcPr>
          <w:p w14:paraId="43F824F4">
            <w:pPr>
              <w:rPr>
                <w:rFonts w:ascii="Arial"/>
                <w:color w:val="auto"/>
                <w:sz w:val="21"/>
                <w:highlight w:val="none"/>
              </w:rPr>
            </w:pPr>
          </w:p>
        </w:tc>
        <w:tc>
          <w:tcPr>
            <w:tcW w:w="819" w:type="dxa"/>
            <w:vAlign w:val="top"/>
          </w:tcPr>
          <w:p w14:paraId="311D83A7">
            <w:pPr>
              <w:rPr>
                <w:rFonts w:ascii="Arial"/>
                <w:color w:val="auto"/>
                <w:sz w:val="21"/>
                <w:highlight w:val="none"/>
              </w:rPr>
            </w:pPr>
          </w:p>
        </w:tc>
        <w:tc>
          <w:tcPr>
            <w:tcW w:w="1032" w:type="dxa"/>
            <w:vAlign w:val="top"/>
          </w:tcPr>
          <w:p w14:paraId="0540530E">
            <w:pPr>
              <w:rPr>
                <w:rFonts w:ascii="Arial"/>
                <w:color w:val="auto"/>
                <w:sz w:val="21"/>
                <w:highlight w:val="none"/>
              </w:rPr>
            </w:pPr>
          </w:p>
        </w:tc>
        <w:tc>
          <w:tcPr>
            <w:tcW w:w="676" w:type="dxa"/>
            <w:vAlign w:val="top"/>
          </w:tcPr>
          <w:p w14:paraId="47631B11">
            <w:pPr>
              <w:rPr>
                <w:rFonts w:ascii="Arial"/>
                <w:color w:val="auto"/>
                <w:sz w:val="21"/>
                <w:highlight w:val="none"/>
              </w:rPr>
            </w:pPr>
          </w:p>
        </w:tc>
        <w:tc>
          <w:tcPr>
            <w:tcW w:w="623" w:type="dxa"/>
            <w:vAlign w:val="top"/>
          </w:tcPr>
          <w:p w14:paraId="15EEA32F">
            <w:pPr>
              <w:rPr>
                <w:rFonts w:ascii="Arial"/>
                <w:color w:val="auto"/>
                <w:sz w:val="21"/>
                <w:highlight w:val="none"/>
              </w:rPr>
            </w:pPr>
          </w:p>
        </w:tc>
        <w:tc>
          <w:tcPr>
            <w:tcW w:w="867" w:type="dxa"/>
            <w:vAlign w:val="top"/>
          </w:tcPr>
          <w:p w14:paraId="7C401B79">
            <w:pPr>
              <w:rPr>
                <w:rFonts w:ascii="Arial"/>
                <w:color w:val="auto"/>
                <w:sz w:val="21"/>
                <w:highlight w:val="none"/>
              </w:rPr>
            </w:pPr>
          </w:p>
        </w:tc>
        <w:tc>
          <w:tcPr>
            <w:tcW w:w="1078" w:type="dxa"/>
            <w:vAlign w:val="top"/>
          </w:tcPr>
          <w:p w14:paraId="1376C62B">
            <w:pPr>
              <w:rPr>
                <w:rFonts w:ascii="Arial"/>
                <w:color w:val="auto"/>
                <w:sz w:val="21"/>
                <w:highlight w:val="none"/>
              </w:rPr>
            </w:pPr>
          </w:p>
        </w:tc>
        <w:tc>
          <w:tcPr>
            <w:tcW w:w="1706" w:type="dxa"/>
            <w:tcBorders>
              <w:right w:val="single" w:color="000000" w:sz="6" w:space="0"/>
            </w:tcBorders>
            <w:vAlign w:val="top"/>
          </w:tcPr>
          <w:p w14:paraId="1DF9F026">
            <w:pPr>
              <w:rPr>
                <w:rFonts w:ascii="Arial"/>
                <w:color w:val="auto"/>
                <w:sz w:val="21"/>
                <w:highlight w:val="none"/>
              </w:rPr>
            </w:pPr>
          </w:p>
        </w:tc>
      </w:tr>
      <w:tr w14:paraId="31ED18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65" w:type="dxa"/>
            <w:tcBorders>
              <w:left w:val="single" w:color="000000" w:sz="6" w:space="0"/>
            </w:tcBorders>
            <w:vAlign w:val="top"/>
          </w:tcPr>
          <w:p w14:paraId="4D2E9220">
            <w:pPr>
              <w:rPr>
                <w:rFonts w:ascii="Arial"/>
                <w:color w:val="auto"/>
                <w:sz w:val="21"/>
                <w:highlight w:val="none"/>
              </w:rPr>
            </w:pPr>
          </w:p>
        </w:tc>
        <w:tc>
          <w:tcPr>
            <w:tcW w:w="1059" w:type="dxa"/>
            <w:vAlign w:val="top"/>
          </w:tcPr>
          <w:p w14:paraId="29C8FF7F">
            <w:pPr>
              <w:rPr>
                <w:rFonts w:ascii="Arial"/>
                <w:color w:val="auto"/>
                <w:sz w:val="21"/>
                <w:highlight w:val="none"/>
              </w:rPr>
            </w:pPr>
          </w:p>
        </w:tc>
        <w:tc>
          <w:tcPr>
            <w:tcW w:w="819" w:type="dxa"/>
            <w:vAlign w:val="top"/>
          </w:tcPr>
          <w:p w14:paraId="4B3FC9CF">
            <w:pPr>
              <w:rPr>
                <w:rFonts w:ascii="Arial"/>
                <w:color w:val="auto"/>
                <w:sz w:val="21"/>
                <w:highlight w:val="none"/>
              </w:rPr>
            </w:pPr>
          </w:p>
        </w:tc>
        <w:tc>
          <w:tcPr>
            <w:tcW w:w="1032" w:type="dxa"/>
            <w:vAlign w:val="top"/>
          </w:tcPr>
          <w:p w14:paraId="0368EA80">
            <w:pPr>
              <w:rPr>
                <w:rFonts w:ascii="Arial"/>
                <w:color w:val="auto"/>
                <w:sz w:val="21"/>
                <w:highlight w:val="none"/>
              </w:rPr>
            </w:pPr>
          </w:p>
        </w:tc>
        <w:tc>
          <w:tcPr>
            <w:tcW w:w="676" w:type="dxa"/>
            <w:vAlign w:val="top"/>
          </w:tcPr>
          <w:p w14:paraId="420063AC">
            <w:pPr>
              <w:rPr>
                <w:rFonts w:ascii="Arial"/>
                <w:color w:val="auto"/>
                <w:sz w:val="21"/>
                <w:highlight w:val="none"/>
              </w:rPr>
            </w:pPr>
          </w:p>
        </w:tc>
        <w:tc>
          <w:tcPr>
            <w:tcW w:w="623" w:type="dxa"/>
            <w:vAlign w:val="top"/>
          </w:tcPr>
          <w:p w14:paraId="51B86D4B">
            <w:pPr>
              <w:rPr>
                <w:rFonts w:ascii="Arial"/>
                <w:color w:val="auto"/>
                <w:sz w:val="21"/>
                <w:highlight w:val="none"/>
              </w:rPr>
            </w:pPr>
          </w:p>
        </w:tc>
        <w:tc>
          <w:tcPr>
            <w:tcW w:w="867" w:type="dxa"/>
            <w:vAlign w:val="top"/>
          </w:tcPr>
          <w:p w14:paraId="397E3EA5">
            <w:pPr>
              <w:rPr>
                <w:rFonts w:ascii="Arial"/>
                <w:color w:val="auto"/>
                <w:sz w:val="21"/>
                <w:highlight w:val="none"/>
              </w:rPr>
            </w:pPr>
          </w:p>
        </w:tc>
        <w:tc>
          <w:tcPr>
            <w:tcW w:w="1078" w:type="dxa"/>
            <w:vAlign w:val="top"/>
          </w:tcPr>
          <w:p w14:paraId="21D5737D">
            <w:pPr>
              <w:rPr>
                <w:rFonts w:ascii="Arial"/>
                <w:color w:val="auto"/>
                <w:sz w:val="21"/>
                <w:highlight w:val="none"/>
              </w:rPr>
            </w:pPr>
          </w:p>
        </w:tc>
        <w:tc>
          <w:tcPr>
            <w:tcW w:w="1706" w:type="dxa"/>
            <w:tcBorders>
              <w:right w:val="single" w:color="000000" w:sz="6" w:space="0"/>
            </w:tcBorders>
            <w:vAlign w:val="top"/>
          </w:tcPr>
          <w:p w14:paraId="3A0E430F">
            <w:pPr>
              <w:rPr>
                <w:rFonts w:ascii="Arial"/>
                <w:color w:val="auto"/>
                <w:sz w:val="21"/>
                <w:highlight w:val="none"/>
              </w:rPr>
            </w:pPr>
          </w:p>
        </w:tc>
      </w:tr>
      <w:tr w14:paraId="2A5C23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5" w:type="dxa"/>
            <w:tcBorders>
              <w:left w:val="single" w:color="000000" w:sz="6" w:space="0"/>
            </w:tcBorders>
            <w:vAlign w:val="top"/>
          </w:tcPr>
          <w:p w14:paraId="71390C7D">
            <w:pPr>
              <w:rPr>
                <w:rFonts w:ascii="Arial"/>
                <w:color w:val="auto"/>
                <w:sz w:val="21"/>
                <w:highlight w:val="none"/>
              </w:rPr>
            </w:pPr>
          </w:p>
        </w:tc>
        <w:tc>
          <w:tcPr>
            <w:tcW w:w="1059" w:type="dxa"/>
            <w:vAlign w:val="top"/>
          </w:tcPr>
          <w:p w14:paraId="04D04785">
            <w:pPr>
              <w:rPr>
                <w:rFonts w:ascii="Arial"/>
                <w:color w:val="auto"/>
                <w:sz w:val="21"/>
                <w:highlight w:val="none"/>
              </w:rPr>
            </w:pPr>
          </w:p>
        </w:tc>
        <w:tc>
          <w:tcPr>
            <w:tcW w:w="819" w:type="dxa"/>
            <w:vAlign w:val="top"/>
          </w:tcPr>
          <w:p w14:paraId="0CA31204">
            <w:pPr>
              <w:rPr>
                <w:rFonts w:ascii="Arial"/>
                <w:color w:val="auto"/>
                <w:sz w:val="21"/>
                <w:highlight w:val="none"/>
              </w:rPr>
            </w:pPr>
          </w:p>
        </w:tc>
        <w:tc>
          <w:tcPr>
            <w:tcW w:w="1032" w:type="dxa"/>
            <w:vAlign w:val="top"/>
          </w:tcPr>
          <w:p w14:paraId="5E74DE28">
            <w:pPr>
              <w:rPr>
                <w:rFonts w:ascii="Arial"/>
                <w:color w:val="auto"/>
                <w:sz w:val="21"/>
                <w:highlight w:val="none"/>
              </w:rPr>
            </w:pPr>
          </w:p>
        </w:tc>
        <w:tc>
          <w:tcPr>
            <w:tcW w:w="676" w:type="dxa"/>
            <w:vAlign w:val="top"/>
          </w:tcPr>
          <w:p w14:paraId="52B7D323">
            <w:pPr>
              <w:rPr>
                <w:rFonts w:ascii="Arial"/>
                <w:color w:val="auto"/>
                <w:sz w:val="21"/>
                <w:highlight w:val="none"/>
              </w:rPr>
            </w:pPr>
          </w:p>
        </w:tc>
        <w:tc>
          <w:tcPr>
            <w:tcW w:w="623" w:type="dxa"/>
            <w:vAlign w:val="top"/>
          </w:tcPr>
          <w:p w14:paraId="493E99E6">
            <w:pPr>
              <w:rPr>
                <w:rFonts w:ascii="Arial"/>
                <w:color w:val="auto"/>
                <w:sz w:val="21"/>
                <w:highlight w:val="none"/>
              </w:rPr>
            </w:pPr>
          </w:p>
        </w:tc>
        <w:tc>
          <w:tcPr>
            <w:tcW w:w="867" w:type="dxa"/>
            <w:vAlign w:val="top"/>
          </w:tcPr>
          <w:p w14:paraId="52D07C71">
            <w:pPr>
              <w:rPr>
                <w:rFonts w:ascii="Arial"/>
                <w:color w:val="auto"/>
                <w:sz w:val="21"/>
                <w:highlight w:val="none"/>
              </w:rPr>
            </w:pPr>
          </w:p>
        </w:tc>
        <w:tc>
          <w:tcPr>
            <w:tcW w:w="1078" w:type="dxa"/>
            <w:vAlign w:val="top"/>
          </w:tcPr>
          <w:p w14:paraId="5812F31C">
            <w:pPr>
              <w:rPr>
                <w:rFonts w:ascii="Arial"/>
                <w:color w:val="auto"/>
                <w:sz w:val="21"/>
                <w:highlight w:val="none"/>
              </w:rPr>
            </w:pPr>
          </w:p>
        </w:tc>
        <w:tc>
          <w:tcPr>
            <w:tcW w:w="1706" w:type="dxa"/>
            <w:tcBorders>
              <w:right w:val="single" w:color="000000" w:sz="6" w:space="0"/>
            </w:tcBorders>
            <w:vAlign w:val="top"/>
          </w:tcPr>
          <w:p w14:paraId="40B44EAF">
            <w:pPr>
              <w:rPr>
                <w:rFonts w:ascii="Arial"/>
                <w:color w:val="auto"/>
                <w:sz w:val="21"/>
                <w:highlight w:val="none"/>
              </w:rPr>
            </w:pPr>
          </w:p>
        </w:tc>
      </w:tr>
      <w:tr w14:paraId="7E077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565" w:type="dxa"/>
            <w:tcBorders>
              <w:left w:val="single" w:color="000000" w:sz="6" w:space="0"/>
            </w:tcBorders>
            <w:vAlign w:val="top"/>
          </w:tcPr>
          <w:p w14:paraId="39EE7621">
            <w:pPr>
              <w:rPr>
                <w:rFonts w:ascii="Arial"/>
                <w:color w:val="auto"/>
                <w:sz w:val="21"/>
                <w:highlight w:val="none"/>
              </w:rPr>
            </w:pPr>
          </w:p>
        </w:tc>
        <w:tc>
          <w:tcPr>
            <w:tcW w:w="1059" w:type="dxa"/>
            <w:vAlign w:val="top"/>
          </w:tcPr>
          <w:p w14:paraId="2552E831">
            <w:pPr>
              <w:rPr>
                <w:rFonts w:ascii="Arial"/>
                <w:color w:val="auto"/>
                <w:sz w:val="21"/>
                <w:highlight w:val="none"/>
              </w:rPr>
            </w:pPr>
          </w:p>
        </w:tc>
        <w:tc>
          <w:tcPr>
            <w:tcW w:w="819" w:type="dxa"/>
            <w:vAlign w:val="top"/>
          </w:tcPr>
          <w:p w14:paraId="200E278A">
            <w:pPr>
              <w:rPr>
                <w:rFonts w:ascii="Arial"/>
                <w:color w:val="auto"/>
                <w:sz w:val="21"/>
                <w:highlight w:val="none"/>
              </w:rPr>
            </w:pPr>
          </w:p>
        </w:tc>
        <w:tc>
          <w:tcPr>
            <w:tcW w:w="1032" w:type="dxa"/>
            <w:vAlign w:val="top"/>
          </w:tcPr>
          <w:p w14:paraId="23A93D44">
            <w:pPr>
              <w:rPr>
                <w:rFonts w:ascii="Arial"/>
                <w:color w:val="auto"/>
                <w:sz w:val="21"/>
                <w:highlight w:val="none"/>
              </w:rPr>
            </w:pPr>
          </w:p>
        </w:tc>
        <w:tc>
          <w:tcPr>
            <w:tcW w:w="676" w:type="dxa"/>
            <w:vAlign w:val="top"/>
          </w:tcPr>
          <w:p w14:paraId="661F4714">
            <w:pPr>
              <w:rPr>
                <w:rFonts w:ascii="Arial"/>
                <w:color w:val="auto"/>
                <w:sz w:val="21"/>
                <w:highlight w:val="none"/>
              </w:rPr>
            </w:pPr>
          </w:p>
        </w:tc>
        <w:tc>
          <w:tcPr>
            <w:tcW w:w="623" w:type="dxa"/>
            <w:vAlign w:val="top"/>
          </w:tcPr>
          <w:p w14:paraId="2D189E85">
            <w:pPr>
              <w:rPr>
                <w:rFonts w:ascii="Arial"/>
                <w:color w:val="auto"/>
                <w:sz w:val="21"/>
                <w:highlight w:val="none"/>
              </w:rPr>
            </w:pPr>
          </w:p>
        </w:tc>
        <w:tc>
          <w:tcPr>
            <w:tcW w:w="867" w:type="dxa"/>
            <w:vAlign w:val="top"/>
          </w:tcPr>
          <w:p w14:paraId="67D742EA">
            <w:pPr>
              <w:rPr>
                <w:rFonts w:ascii="Arial"/>
                <w:color w:val="auto"/>
                <w:sz w:val="21"/>
                <w:highlight w:val="none"/>
              </w:rPr>
            </w:pPr>
          </w:p>
        </w:tc>
        <w:tc>
          <w:tcPr>
            <w:tcW w:w="1078" w:type="dxa"/>
            <w:vAlign w:val="top"/>
          </w:tcPr>
          <w:p w14:paraId="3740F2B7">
            <w:pPr>
              <w:rPr>
                <w:rFonts w:ascii="Arial"/>
                <w:color w:val="auto"/>
                <w:sz w:val="21"/>
                <w:highlight w:val="none"/>
              </w:rPr>
            </w:pPr>
          </w:p>
        </w:tc>
        <w:tc>
          <w:tcPr>
            <w:tcW w:w="1706" w:type="dxa"/>
            <w:tcBorders>
              <w:right w:val="single" w:color="000000" w:sz="6" w:space="0"/>
            </w:tcBorders>
            <w:vAlign w:val="top"/>
          </w:tcPr>
          <w:p w14:paraId="5B85E473">
            <w:pPr>
              <w:rPr>
                <w:rFonts w:ascii="Arial"/>
                <w:color w:val="auto"/>
                <w:sz w:val="21"/>
                <w:highlight w:val="none"/>
              </w:rPr>
            </w:pPr>
          </w:p>
        </w:tc>
      </w:tr>
      <w:tr w14:paraId="6D99DD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5" w:type="dxa"/>
            <w:tcBorders>
              <w:left w:val="single" w:color="000000" w:sz="6" w:space="0"/>
            </w:tcBorders>
            <w:vAlign w:val="top"/>
          </w:tcPr>
          <w:p w14:paraId="7097B858">
            <w:pPr>
              <w:rPr>
                <w:rFonts w:ascii="Arial"/>
                <w:color w:val="auto"/>
                <w:sz w:val="21"/>
                <w:highlight w:val="none"/>
              </w:rPr>
            </w:pPr>
          </w:p>
        </w:tc>
        <w:tc>
          <w:tcPr>
            <w:tcW w:w="1059" w:type="dxa"/>
            <w:vAlign w:val="top"/>
          </w:tcPr>
          <w:p w14:paraId="5B44EAFC">
            <w:pPr>
              <w:rPr>
                <w:rFonts w:ascii="Arial"/>
                <w:color w:val="auto"/>
                <w:sz w:val="21"/>
                <w:highlight w:val="none"/>
              </w:rPr>
            </w:pPr>
          </w:p>
        </w:tc>
        <w:tc>
          <w:tcPr>
            <w:tcW w:w="819" w:type="dxa"/>
            <w:vAlign w:val="top"/>
          </w:tcPr>
          <w:p w14:paraId="1158685E">
            <w:pPr>
              <w:rPr>
                <w:rFonts w:ascii="Arial"/>
                <w:color w:val="auto"/>
                <w:sz w:val="21"/>
                <w:highlight w:val="none"/>
              </w:rPr>
            </w:pPr>
          </w:p>
        </w:tc>
        <w:tc>
          <w:tcPr>
            <w:tcW w:w="1032" w:type="dxa"/>
            <w:vAlign w:val="top"/>
          </w:tcPr>
          <w:p w14:paraId="144F75BD">
            <w:pPr>
              <w:rPr>
                <w:rFonts w:ascii="Arial"/>
                <w:color w:val="auto"/>
                <w:sz w:val="21"/>
                <w:highlight w:val="none"/>
              </w:rPr>
            </w:pPr>
          </w:p>
        </w:tc>
        <w:tc>
          <w:tcPr>
            <w:tcW w:w="676" w:type="dxa"/>
            <w:vAlign w:val="top"/>
          </w:tcPr>
          <w:p w14:paraId="361EEF4E">
            <w:pPr>
              <w:rPr>
                <w:rFonts w:ascii="Arial"/>
                <w:color w:val="auto"/>
                <w:sz w:val="21"/>
                <w:highlight w:val="none"/>
              </w:rPr>
            </w:pPr>
          </w:p>
        </w:tc>
        <w:tc>
          <w:tcPr>
            <w:tcW w:w="623" w:type="dxa"/>
            <w:vAlign w:val="top"/>
          </w:tcPr>
          <w:p w14:paraId="3820C31E">
            <w:pPr>
              <w:rPr>
                <w:rFonts w:ascii="Arial"/>
                <w:color w:val="auto"/>
                <w:sz w:val="21"/>
                <w:highlight w:val="none"/>
              </w:rPr>
            </w:pPr>
          </w:p>
        </w:tc>
        <w:tc>
          <w:tcPr>
            <w:tcW w:w="867" w:type="dxa"/>
            <w:vAlign w:val="top"/>
          </w:tcPr>
          <w:p w14:paraId="5BA527E8">
            <w:pPr>
              <w:rPr>
                <w:rFonts w:ascii="Arial"/>
                <w:color w:val="auto"/>
                <w:sz w:val="21"/>
                <w:highlight w:val="none"/>
              </w:rPr>
            </w:pPr>
          </w:p>
        </w:tc>
        <w:tc>
          <w:tcPr>
            <w:tcW w:w="1078" w:type="dxa"/>
            <w:vAlign w:val="top"/>
          </w:tcPr>
          <w:p w14:paraId="48F91264">
            <w:pPr>
              <w:rPr>
                <w:rFonts w:ascii="Arial"/>
                <w:color w:val="auto"/>
                <w:sz w:val="21"/>
                <w:highlight w:val="none"/>
              </w:rPr>
            </w:pPr>
          </w:p>
        </w:tc>
        <w:tc>
          <w:tcPr>
            <w:tcW w:w="1706" w:type="dxa"/>
            <w:tcBorders>
              <w:right w:val="single" w:color="000000" w:sz="6" w:space="0"/>
            </w:tcBorders>
            <w:vAlign w:val="top"/>
          </w:tcPr>
          <w:p w14:paraId="14640B6E">
            <w:pPr>
              <w:rPr>
                <w:rFonts w:ascii="Arial"/>
                <w:color w:val="auto"/>
                <w:sz w:val="21"/>
                <w:highlight w:val="none"/>
              </w:rPr>
            </w:pPr>
          </w:p>
        </w:tc>
      </w:tr>
      <w:tr w14:paraId="3EF6D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4" w:hRule="atLeast"/>
        </w:trPr>
        <w:tc>
          <w:tcPr>
            <w:tcW w:w="565" w:type="dxa"/>
            <w:tcBorders>
              <w:left w:val="single" w:color="000000" w:sz="6" w:space="0"/>
            </w:tcBorders>
            <w:vAlign w:val="top"/>
          </w:tcPr>
          <w:p w14:paraId="07DD0D47">
            <w:pPr>
              <w:rPr>
                <w:rFonts w:ascii="Arial"/>
                <w:color w:val="auto"/>
                <w:sz w:val="21"/>
                <w:highlight w:val="none"/>
              </w:rPr>
            </w:pPr>
          </w:p>
        </w:tc>
        <w:tc>
          <w:tcPr>
            <w:tcW w:w="1059" w:type="dxa"/>
            <w:vAlign w:val="top"/>
          </w:tcPr>
          <w:p w14:paraId="1115D35F">
            <w:pPr>
              <w:rPr>
                <w:rFonts w:ascii="Arial"/>
                <w:color w:val="auto"/>
                <w:sz w:val="21"/>
                <w:highlight w:val="none"/>
              </w:rPr>
            </w:pPr>
          </w:p>
        </w:tc>
        <w:tc>
          <w:tcPr>
            <w:tcW w:w="819" w:type="dxa"/>
            <w:vAlign w:val="top"/>
          </w:tcPr>
          <w:p w14:paraId="3CA56F5E">
            <w:pPr>
              <w:rPr>
                <w:rFonts w:ascii="Arial"/>
                <w:color w:val="auto"/>
                <w:sz w:val="21"/>
                <w:highlight w:val="none"/>
              </w:rPr>
            </w:pPr>
          </w:p>
        </w:tc>
        <w:tc>
          <w:tcPr>
            <w:tcW w:w="1032" w:type="dxa"/>
            <w:vAlign w:val="top"/>
          </w:tcPr>
          <w:p w14:paraId="381F087A">
            <w:pPr>
              <w:rPr>
                <w:rFonts w:ascii="Arial"/>
                <w:color w:val="auto"/>
                <w:sz w:val="21"/>
                <w:highlight w:val="none"/>
              </w:rPr>
            </w:pPr>
          </w:p>
        </w:tc>
        <w:tc>
          <w:tcPr>
            <w:tcW w:w="676" w:type="dxa"/>
            <w:vAlign w:val="top"/>
          </w:tcPr>
          <w:p w14:paraId="219716B4">
            <w:pPr>
              <w:rPr>
                <w:rFonts w:ascii="Arial"/>
                <w:color w:val="auto"/>
                <w:sz w:val="21"/>
                <w:highlight w:val="none"/>
              </w:rPr>
            </w:pPr>
          </w:p>
        </w:tc>
        <w:tc>
          <w:tcPr>
            <w:tcW w:w="623" w:type="dxa"/>
            <w:vAlign w:val="top"/>
          </w:tcPr>
          <w:p w14:paraId="6B368F45">
            <w:pPr>
              <w:rPr>
                <w:rFonts w:ascii="Arial"/>
                <w:color w:val="auto"/>
                <w:sz w:val="21"/>
                <w:highlight w:val="none"/>
              </w:rPr>
            </w:pPr>
          </w:p>
        </w:tc>
        <w:tc>
          <w:tcPr>
            <w:tcW w:w="867" w:type="dxa"/>
            <w:vAlign w:val="top"/>
          </w:tcPr>
          <w:p w14:paraId="06CED058">
            <w:pPr>
              <w:rPr>
                <w:rFonts w:ascii="Arial"/>
                <w:color w:val="auto"/>
                <w:sz w:val="21"/>
                <w:highlight w:val="none"/>
              </w:rPr>
            </w:pPr>
          </w:p>
        </w:tc>
        <w:tc>
          <w:tcPr>
            <w:tcW w:w="1078" w:type="dxa"/>
            <w:vAlign w:val="top"/>
          </w:tcPr>
          <w:p w14:paraId="6BD161E9">
            <w:pPr>
              <w:rPr>
                <w:rFonts w:ascii="Arial"/>
                <w:color w:val="auto"/>
                <w:sz w:val="21"/>
                <w:highlight w:val="none"/>
              </w:rPr>
            </w:pPr>
          </w:p>
        </w:tc>
        <w:tc>
          <w:tcPr>
            <w:tcW w:w="1706" w:type="dxa"/>
            <w:tcBorders>
              <w:right w:val="single" w:color="000000" w:sz="6" w:space="0"/>
            </w:tcBorders>
            <w:vAlign w:val="top"/>
          </w:tcPr>
          <w:p w14:paraId="6065F5B3">
            <w:pPr>
              <w:rPr>
                <w:rFonts w:ascii="Arial"/>
                <w:color w:val="auto"/>
                <w:sz w:val="21"/>
                <w:highlight w:val="none"/>
              </w:rPr>
            </w:pPr>
          </w:p>
        </w:tc>
      </w:tr>
      <w:tr w14:paraId="4618AE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565" w:type="dxa"/>
            <w:tcBorders>
              <w:left w:val="single" w:color="000000" w:sz="6" w:space="0"/>
            </w:tcBorders>
            <w:vAlign w:val="top"/>
          </w:tcPr>
          <w:p w14:paraId="0D40231B">
            <w:pPr>
              <w:rPr>
                <w:rFonts w:ascii="Arial"/>
                <w:color w:val="auto"/>
                <w:sz w:val="21"/>
                <w:highlight w:val="none"/>
              </w:rPr>
            </w:pPr>
          </w:p>
        </w:tc>
        <w:tc>
          <w:tcPr>
            <w:tcW w:w="1059" w:type="dxa"/>
            <w:vAlign w:val="top"/>
          </w:tcPr>
          <w:p w14:paraId="389D26EC">
            <w:pPr>
              <w:rPr>
                <w:rFonts w:ascii="Arial"/>
                <w:color w:val="auto"/>
                <w:sz w:val="21"/>
                <w:highlight w:val="none"/>
              </w:rPr>
            </w:pPr>
          </w:p>
        </w:tc>
        <w:tc>
          <w:tcPr>
            <w:tcW w:w="819" w:type="dxa"/>
            <w:vAlign w:val="top"/>
          </w:tcPr>
          <w:p w14:paraId="22E23D18">
            <w:pPr>
              <w:rPr>
                <w:rFonts w:ascii="Arial"/>
                <w:color w:val="auto"/>
                <w:sz w:val="21"/>
                <w:highlight w:val="none"/>
              </w:rPr>
            </w:pPr>
          </w:p>
        </w:tc>
        <w:tc>
          <w:tcPr>
            <w:tcW w:w="1032" w:type="dxa"/>
            <w:vAlign w:val="top"/>
          </w:tcPr>
          <w:p w14:paraId="0FE6B9E7">
            <w:pPr>
              <w:rPr>
                <w:rFonts w:ascii="Arial"/>
                <w:color w:val="auto"/>
                <w:sz w:val="21"/>
                <w:highlight w:val="none"/>
              </w:rPr>
            </w:pPr>
          </w:p>
        </w:tc>
        <w:tc>
          <w:tcPr>
            <w:tcW w:w="676" w:type="dxa"/>
            <w:vAlign w:val="top"/>
          </w:tcPr>
          <w:p w14:paraId="65E61EB5">
            <w:pPr>
              <w:rPr>
                <w:rFonts w:ascii="Arial"/>
                <w:color w:val="auto"/>
                <w:sz w:val="21"/>
                <w:highlight w:val="none"/>
              </w:rPr>
            </w:pPr>
          </w:p>
        </w:tc>
        <w:tc>
          <w:tcPr>
            <w:tcW w:w="623" w:type="dxa"/>
            <w:vAlign w:val="top"/>
          </w:tcPr>
          <w:p w14:paraId="16B84B32">
            <w:pPr>
              <w:rPr>
                <w:rFonts w:ascii="Arial"/>
                <w:color w:val="auto"/>
                <w:sz w:val="21"/>
                <w:highlight w:val="none"/>
              </w:rPr>
            </w:pPr>
          </w:p>
        </w:tc>
        <w:tc>
          <w:tcPr>
            <w:tcW w:w="867" w:type="dxa"/>
            <w:vAlign w:val="top"/>
          </w:tcPr>
          <w:p w14:paraId="264968EC">
            <w:pPr>
              <w:rPr>
                <w:rFonts w:ascii="Arial"/>
                <w:color w:val="auto"/>
                <w:sz w:val="21"/>
                <w:highlight w:val="none"/>
              </w:rPr>
            </w:pPr>
          </w:p>
        </w:tc>
        <w:tc>
          <w:tcPr>
            <w:tcW w:w="1078" w:type="dxa"/>
            <w:vAlign w:val="top"/>
          </w:tcPr>
          <w:p w14:paraId="0F4BC525">
            <w:pPr>
              <w:rPr>
                <w:rFonts w:ascii="Arial"/>
                <w:color w:val="auto"/>
                <w:sz w:val="21"/>
                <w:highlight w:val="none"/>
              </w:rPr>
            </w:pPr>
          </w:p>
        </w:tc>
        <w:tc>
          <w:tcPr>
            <w:tcW w:w="1706" w:type="dxa"/>
            <w:tcBorders>
              <w:right w:val="single" w:color="000000" w:sz="6" w:space="0"/>
            </w:tcBorders>
            <w:vAlign w:val="top"/>
          </w:tcPr>
          <w:p w14:paraId="4151C1A3">
            <w:pPr>
              <w:rPr>
                <w:rFonts w:ascii="Arial"/>
                <w:color w:val="auto"/>
                <w:sz w:val="21"/>
                <w:highlight w:val="none"/>
              </w:rPr>
            </w:pPr>
          </w:p>
        </w:tc>
      </w:tr>
      <w:tr w14:paraId="2047F3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5" w:type="dxa"/>
            <w:tcBorders>
              <w:left w:val="single" w:color="000000" w:sz="6" w:space="0"/>
            </w:tcBorders>
            <w:vAlign w:val="top"/>
          </w:tcPr>
          <w:p w14:paraId="3E097B3D">
            <w:pPr>
              <w:rPr>
                <w:rFonts w:ascii="Arial"/>
                <w:color w:val="auto"/>
                <w:sz w:val="21"/>
                <w:highlight w:val="none"/>
              </w:rPr>
            </w:pPr>
          </w:p>
        </w:tc>
        <w:tc>
          <w:tcPr>
            <w:tcW w:w="1059" w:type="dxa"/>
            <w:vAlign w:val="top"/>
          </w:tcPr>
          <w:p w14:paraId="538F956A">
            <w:pPr>
              <w:rPr>
                <w:rFonts w:ascii="Arial"/>
                <w:color w:val="auto"/>
                <w:sz w:val="21"/>
                <w:highlight w:val="none"/>
              </w:rPr>
            </w:pPr>
          </w:p>
        </w:tc>
        <w:tc>
          <w:tcPr>
            <w:tcW w:w="819" w:type="dxa"/>
            <w:vAlign w:val="top"/>
          </w:tcPr>
          <w:p w14:paraId="1A9F70F1">
            <w:pPr>
              <w:rPr>
                <w:rFonts w:ascii="Arial"/>
                <w:color w:val="auto"/>
                <w:sz w:val="21"/>
                <w:highlight w:val="none"/>
              </w:rPr>
            </w:pPr>
          </w:p>
        </w:tc>
        <w:tc>
          <w:tcPr>
            <w:tcW w:w="1032" w:type="dxa"/>
            <w:vAlign w:val="top"/>
          </w:tcPr>
          <w:p w14:paraId="1E0A9609">
            <w:pPr>
              <w:rPr>
                <w:rFonts w:ascii="Arial"/>
                <w:color w:val="auto"/>
                <w:sz w:val="21"/>
                <w:highlight w:val="none"/>
              </w:rPr>
            </w:pPr>
          </w:p>
        </w:tc>
        <w:tc>
          <w:tcPr>
            <w:tcW w:w="676" w:type="dxa"/>
            <w:vAlign w:val="top"/>
          </w:tcPr>
          <w:p w14:paraId="10C11F91">
            <w:pPr>
              <w:rPr>
                <w:rFonts w:ascii="Arial"/>
                <w:color w:val="auto"/>
                <w:sz w:val="21"/>
                <w:highlight w:val="none"/>
              </w:rPr>
            </w:pPr>
          </w:p>
        </w:tc>
        <w:tc>
          <w:tcPr>
            <w:tcW w:w="623" w:type="dxa"/>
            <w:vAlign w:val="top"/>
          </w:tcPr>
          <w:p w14:paraId="7DF61478">
            <w:pPr>
              <w:rPr>
                <w:rFonts w:ascii="Arial"/>
                <w:color w:val="auto"/>
                <w:sz w:val="21"/>
                <w:highlight w:val="none"/>
              </w:rPr>
            </w:pPr>
          </w:p>
        </w:tc>
        <w:tc>
          <w:tcPr>
            <w:tcW w:w="867" w:type="dxa"/>
            <w:vAlign w:val="top"/>
          </w:tcPr>
          <w:p w14:paraId="2DF88B38">
            <w:pPr>
              <w:rPr>
                <w:rFonts w:ascii="Arial"/>
                <w:color w:val="auto"/>
                <w:sz w:val="21"/>
                <w:highlight w:val="none"/>
              </w:rPr>
            </w:pPr>
          </w:p>
        </w:tc>
        <w:tc>
          <w:tcPr>
            <w:tcW w:w="1078" w:type="dxa"/>
            <w:vAlign w:val="top"/>
          </w:tcPr>
          <w:p w14:paraId="2B70BD91">
            <w:pPr>
              <w:rPr>
                <w:rFonts w:ascii="Arial"/>
                <w:color w:val="auto"/>
                <w:sz w:val="21"/>
                <w:highlight w:val="none"/>
              </w:rPr>
            </w:pPr>
          </w:p>
        </w:tc>
        <w:tc>
          <w:tcPr>
            <w:tcW w:w="1706" w:type="dxa"/>
            <w:tcBorders>
              <w:right w:val="single" w:color="000000" w:sz="6" w:space="0"/>
            </w:tcBorders>
            <w:vAlign w:val="top"/>
          </w:tcPr>
          <w:p w14:paraId="44884FDA">
            <w:pPr>
              <w:rPr>
                <w:rFonts w:ascii="Arial"/>
                <w:color w:val="auto"/>
                <w:sz w:val="21"/>
                <w:highlight w:val="none"/>
              </w:rPr>
            </w:pPr>
          </w:p>
        </w:tc>
      </w:tr>
      <w:tr w14:paraId="016C762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565" w:type="dxa"/>
            <w:tcBorders>
              <w:left w:val="single" w:color="000000" w:sz="6" w:space="0"/>
            </w:tcBorders>
            <w:vAlign w:val="top"/>
          </w:tcPr>
          <w:p w14:paraId="66B26693">
            <w:pPr>
              <w:rPr>
                <w:rFonts w:ascii="Arial"/>
                <w:color w:val="auto"/>
                <w:sz w:val="21"/>
                <w:highlight w:val="none"/>
              </w:rPr>
            </w:pPr>
          </w:p>
        </w:tc>
        <w:tc>
          <w:tcPr>
            <w:tcW w:w="1059" w:type="dxa"/>
            <w:vAlign w:val="top"/>
          </w:tcPr>
          <w:p w14:paraId="0BD4FDAD">
            <w:pPr>
              <w:rPr>
                <w:rFonts w:ascii="Arial"/>
                <w:color w:val="auto"/>
                <w:sz w:val="21"/>
                <w:highlight w:val="none"/>
              </w:rPr>
            </w:pPr>
          </w:p>
        </w:tc>
        <w:tc>
          <w:tcPr>
            <w:tcW w:w="819" w:type="dxa"/>
            <w:vAlign w:val="top"/>
          </w:tcPr>
          <w:p w14:paraId="4F7755B2">
            <w:pPr>
              <w:rPr>
                <w:rFonts w:ascii="Arial"/>
                <w:color w:val="auto"/>
                <w:sz w:val="21"/>
                <w:highlight w:val="none"/>
              </w:rPr>
            </w:pPr>
          </w:p>
        </w:tc>
        <w:tc>
          <w:tcPr>
            <w:tcW w:w="1032" w:type="dxa"/>
            <w:vAlign w:val="top"/>
          </w:tcPr>
          <w:p w14:paraId="141507DD">
            <w:pPr>
              <w:rPr>
                <w:rFonts w:ascii="Arial"/>
                <w:color w:val="auto"/>
                <w:sz w:val="21"/>
                <w:highlight w:val="none"/>
              </w:rPr>
            </w:pPr>
          </w:p>
        </w:tc>
        <w:tc>
          <w:tcPr>
            <w:tcW w:w="676" w:type="dxa"/>
            <w:vAlign w:val="top"/>
          </w:tcPr>
          <w:p w14:paraId="4FBDD440">
            <w:pPr>
              <w:rPr>
                <w:rFonts w:ascii="Arial"/>
                <w:color w:val="auto"/>
                <w:sz w:val="21"/>
                <w:highlight w:val="none"/>
              </w:rPr>
            </w:pPr>
          </w:p>
        </w:tc>
        <w:tc>
          <w:tcPr>
            <w:tcW w:w="623" w:type="dxa"/>
            <w:vAlign w:val="top"/>
          </w:tcPr>
          <w:p w14:paraId="138CC1C8">
            <w:pPr>
              <w:rPr>
                <w:rFonts w:ascii="Arial"/>
                <w:color w:val="auto"/>
                <w:sz w:val="21"/>
                <w:highlight w:val="none"/>
              </w:rPr>
            </w:pPr>
          </w:p>
        </w:tc>
        <w:tc>
          <w:tcPr>
            <w:tcW w:w="867" w:type="dxa"/>
            <w:vAlign w:val="top"/>
          </w:tcPr>
          <w:p w14:paraId="2089F114">
            <w:pPr>
              <w:rPr>
                <w:rFonts w:ascii="Arial"/>
                <w:color w:val="auto"/>
                <w:sz w:val="21"/>
                <w:highlight w:val="none"/>
              </w:rPr>
            </w:pPr>
          </w:p>
        </w:tc>
        <w:tc>
          <w:tcPr>
            <w:tcW w:w="1078" w:type="dxa"/>
            <w:vAlign w:val="top"/>
          </w:tcPr>
          <w:p w14:paraId="25CA578F">
            <w:pPr>
              <w:rPr>
                <w:rFonts w:ascii="Arial"/>
                <w:color w:val="auto"/>
                <w:sz w:val="21"/>
                <w:highlight w:val="none"/>
              </w:rPr>
            </w:pPr>
          </w:p>
        </w:tc>
        <w:tc>
          <w:tcPr>
            <w:tcW w:w="1706" w:type="dxa"/>
            <w:tcBorders>
              <w:right w:val="single" w:color="000000" w:sz="6" w:space="0"/>
            </w:tcBorders>
            <w:vAlign w:val="top"/>
          </w:tcPr>
          <w:p w14:paraId="3B12C073">
            <w:pPr>
              <w:rPr>
                <w:rFonts w:ascii="Arial"/>
                <w:color w:val="auto"/>
                <w:sz w:val="21"/>
                <w:highlight w:val="none"/>
              </w:rPr>
            </w:pPr>
          </w:p>
        </w:tc>
      </w:tr>
      <w:tr w14:paraId="4064BC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2443" w:type="dxa"/>
            <w:gridSpan w:val="3"/>
            <w:tcBorders>
              <w:left w:val="single" w:color="000000" w:sz="6" w:space="0"/>
              <w:bottom w:val="single" w:color="000000" w:sz="6" w:space="0"/>
            </w:tcBorders>
            <w:vAlign w:val="top"/>
          </w:tcPr>
          <w:p w14:paraId="547DAA2A">
            <w:pPr>
              <w:pStyle w:val="33"/>
              <w:spacing w:before="161" w:line="219" w:lineRule="auto"/>
              <w:ind w:left="61"/>
              <w:rPr>
                <w:color w:val="auto"/>
                <w:sz w:val="21"/>
                <w:szCs w:val="21"/>
                <w:highlight w:val="none"/>
              </w:rPr>
            </w:pPr>
            <w:r>
              <w:rPr>
                <w:color w:val="auto"/>
                <w:spacing w:val="-1"/>
                <w:sz w:val="21"/>
                <w:szCs w:val="21"/>
                <w:highlight w:val="none"/>
              </w:rPr>
              <w:t>招标人最高投标限价</w:t>
            </w:r>
          </w:p>
        </w:tc>
        <w:tc>
          <w:tcPr>
            <w:tcW w:w="5982" w:type="dxa"/>
            <w:gridSpan w:val="6"/>
            <w:tcBorders>
              <w:bottom w:val="single" w:color="000000" w:sz="6" w:space="0"/>
              <w:right w:val="single" w:color="000000" w:sz="6" w:space="0"/>
            </w:tcBorders>
            <w:vAlign w:val="top"/>
          </w:tcPr>
          <w:p w14:paraId="3000FA46">
            <w:pPr>
              <w:rPr>
                <w:rFonts w:ascii="Arial"/>
                <w:color w:val="auto"/>
                <w:sz w:val="21"/>
                <w:highlight w:val="none"/>
              </w:rPr>
            </w:pPr>
          </w:p>
        </w:tc>
      </w:tr>
    </w:tbl>
    <w:p w14:paraId="66F9AADA">
      <w:pPr>
        <w:spacing w:before="156" w:line="220" w:lineRule="auto"/>
        <w:ind w:left="217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开标结束时间：</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6"/>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6"/>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6"/>
          <w:sz w:val="24"/>
          <w:szCs w:val="24"/>
          <w:highlight w:val="none"/>
        </w:rPr>
        <w:t>日</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0"/>
          <w:sz w:val="24"/>
          <w:szCs w:val="24"/>
          <w:highlight w:val="none"/>
        </w:rPr>
        <w:t xml:space="preserve"> </w:t>
      </w:r>
      <w:r>
        <w:rPr>
          <w:rFonts w:ascii="宋体" w:hAnsi="宋体" w:eastAsia="宋体" w:cs="宋体"/>
          <w:color w:val="auto"/>
          <w:spacing w:val="-6"/>
          <w:sz w:val="24"/>
          <w:szCs w:val="24"/>
          <w:highlight w:val="none"/>
        </w:rPr>
        <w:t>时</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8"/>
          <w:sz w:val="24"/>
          <w:szCs w:val="24"/>
          <w:highlight w:val="none"/>
        </w:rPr>
        <w:t xml:space="preserve"> </w:t>
      </w:r>
      <w:r>
        <w:rPr>
          <w:rFonts w:ascii="宋体" w:hAnsi="宋体" w:eastAsia="宋体" w:cs="宋体"/>
          <w:color w:val="auto"/>
          <w:spacing w:val="-6"/>
          <w:sz w:val="24"/>
          <w:szCs w:val="24"/>
          <w:highlight w:val="none"/>
        </w:rPr>
        <w:t>分</w:t>
      </w:r>
    </w:p>
    <w:p w14:paraId="17B5F7CB">
      <w:pPr>
        <w:pStyle w:val="3"/>
        <w:spacing w:line="257" w:lineRule="auto"/>
        <w:rPr>
          <w:color w:val="auto"/>
          <w:highlight w:val="none"/>
        </w:rPr>
      </w:pPr>
    </w:p>
    <w:p w14:paraId="4B760DEB">
      <w:pPr>
        <w:pStyle w:val="3"/>
        <w:spacing w:line="258" w:lineRule="auto"/>
        <w:rPr>
          <w:color w:val="auto"/>
          <w:highlight w:val="none"/>
        </w:rPr>
      </w:pPr>
    </w:p>
    <w:p w14:paraId="6DE1EDEE">
      <w:pPr>
        <w:tabs>
          <w:tab w:val="left" w:pos="2878"/>
          <w:tab w:val="left" w:pos="2880"/>
        </w:tabs>
        <w:spacing w:before="79" w:line="350" w:lineRule="auto"/>
        <w:ind w:left="8" w:right="5910" w:firstLine="1"/>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招标人代表：</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记录人：</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监标人：</w:t>
      </w:r>
      <w:r>
        <w:rPr>
          <w:rFonts w:ascii="宋体" w:hAnsi="宋体" w:eastAsia="宋体" w:cs="宋体"/>
          <w:color w:val="auto"/>
          <w:sz w:val="24"/>
          <w:szCs w:val="24"/>
          <w:highlight w:val="none"/>
          <w:u w:val="single" w:color="auto"/>
        </w:rPr>
        <w:t xml:space="preserve">                </w:t>
      </w:r>
    </w:p>
    <w:p w14:paraId="6C8812F2">
      <w:pPr>
        <w:pStyle w:val="3"/>
        <w:spacing w:line="366" w:lineRule="auto"/>
        <w:rPr>
          <w:color w:val="auto"/>
          <w:highlight w:val="none"/>
        </w:rPr>
      </w:pPr>
    </w:p>
    <w:p w14:paraId="66231122">
      <w:pPr>
        <w:tabs>
          <w:tab w:val="left" w:pos="6360"/>
        </w:tabs>
        <w:spacing w:before="78" w:line="220" w:lineRule="auto"/>
        <w:ind w:left="540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6"/>
          <w:sz w:val="24"/>
          <w:szCs w:val="24"/>
          <w:highlight w:val="none"/>
        </w:rPr>
        <w:t>日</w:t>
      </w:r>
    </w:p>
    <w:p w14:paraId="21CBFBE8">
      <w:pPr>
        <w:pStyle w:val="3"/>
        <w:spacing w:line="258" w:lineRule="auto"/>
        <w:rPr>
          <w:color w:val="auto"/>
          <w:highlight w:val="none"/>
        </w:rPr>
      </w:pPr>
    </w:p>
    <w:p w14:paraId="6208D46F">
      <w:pPr>
        <w:pStyle w:val="3"/>
        <w:spacing w:line="259" w:lineRule="auto"/>
        <w:rPr>
          <w:color w:val="auto"/>
          <w:highlight w:val="none"/>
        </w:rPr>
      </w:pPr>
    </w:p>
    <w:p w14:paraId="1052B51F">
      <w:pPr>
        <w:spacing w:before="69" w:line="220" w:lineRule="auto"/>
        <w:ind w:left="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注：可以根据招标项目的实际需要对本开标记录表进行适当修改。</w:t>
      </w:r>
    </w:p>
    <w:p w14:paraId="5BB25D5F">
      <w:pPr>
        <w:spacing w:line="220" w:lineRule="auto"/>
        <w:rPr>
          <w:rFonts w:ascii="宋体" w:hAnsi="宋体" w:eastAsia="宋体" w:cs="宋体"/>
          <w:color w:val="auto"/>
          <w:sz w:val="21"/>
          <w:szCs w:val="21"/>
          <w:highlight w:val="none"/>
        </w:rPr>
        <w:sectPr>
          <w:pgSz w:w="11905" w:h="16843"/>
          <w:pgMar w:top="1429" w:right="1361" w:bottom="1253" w:left="1621" w:header="0" w:footer="1094" w:gutter="0"/>
          <w:pgNumType w:fmt="decimal"/>
          <w:cols w:space="0" w:num="1"/>
          <w:rtlGutter w:val="0"/>
          <w:docGrid w:linePitch="0" w:charSpace="0"/>
        </w:sectPr>
      </w:pPr>
    </w:p>
    <w:p w14:paraId="472A5CE0">
      <w:pPr>
        <w:spacing w:before="56" w:line="219" w:lineRule="auto"/>
        <w:ind w:left="33"/>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附件五：</w:t>
      </w:r>
    </w:p>
    <w:p w14:paraId="289E55FA">
      <w:pPr>
        <w:spacing w:before="212" w:line="219" w:lineRule="auto"/>
        <w:ind w:left="3729"/>
        <w:rPr>
          <w:rFonts w:ascii="宋体" w:hAnsi="宋体" w:eastAsia="宋体" w:cs="宋体"/>
          <w:color w:val="auto"/>
          <w:sz w:val="28"/>
          <w:szCs w:val="28"/>
          <w:highlight w:val="none"/>
        </w:rPr>
      </w:pPr>
      <w:r>
        <w:rPr>
          <w:rFonts w:ascii="宋体" w:hAnsi="宋体" w:eastAsia="宋体" w:cs="宋体"/>
          <w:b/>
          <w:bCs/>
          <w:color w:val="auto"/>
          <w:spacing w:val="-10"/>
          <w:sz w:val="28"/>
          <w:szCs w:val="28"/>
          <w:highlight w:val="none"/>
        </w:rPr>
        <w:t>中标通知书</w:t>
      </w:r>
    </w:p>
    <w:p w14:paraId="49FFBC58">
      <w:pPr>
        <w:spacing w:before="205" w:line="220" w:lineRule="auto"/>
        <w:ind w:left="3852"/>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3D4DC671">
      <w:pPr>
        <w:pStyle w:val="3"/>
        <w:spacing w:line="255" w:lineRule="auto"/>
        <w:rPr>
          <w:color w:val="auto"/>
          <w:highlight w:val="none"/>
        </w:rPr>
      </w:pPr>
    </w:p>
    <w:p w14:paraId="5BA5CDF2">
      <w:pPr>
        <w:pStyle w:val="3"/>
        <w:spacing w:line="255" w:lineRule="auto"/>
        <w:rPr>
          <w:color w:val="auto"/>
          <w:highlight w:val="none"/>
        </w:rPr>
      </w:pPr>
    </w:p>
    <w:p w14:paraId="03036F40">
      <w:pPr>
        <w:tabs>
          <w:tab w:val="left" w:pos="2400"/>
        </w:tabs>
        <w:spacing w:before="82" w:line="21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中标单位名称</w:t>
      </w:r>
      <w:r>
        <w:rPr>
          <w:rFonts w:ascii="宋体" w:hAnsi="宋体" w:eastAsia="宋体" w:cs="宋体"/>
          <w:color w:val="auto"/>
          <w:spacing w:val="-31"/>
          <w:sz w:val="24"/>
          <w:szCs w:val="24"/>
          <w:highlight w:val="none"/>
        </w:rPr>
        <w:t>）：</w:t>
      </w:r>
    </w:p>
    <w:p w14:paraId="37FC0E74">
      <w:pPr>
        <w:spacing w:before="177" w:line="334" w:lineRule="auto"/>
        <w:ind w:firstLine="49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你方于</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投标日期</w:t>
      </w:r>
      <w:r>
        <w:rPr>
          <w:rFonts w:ascii="宋体" w:hAnsi="宋体" w:eastAsia="宋体" w:cs="宋体"/>
          <w:color w:val="auto"/>
          <w:spacing w:val="-1"/>
          <w:sz w:val="24"/>
          <w:szCs w:val="24"/>
          <w:highlight w:val="none"/>
        </w:rPr>
        <w:t>）所递交的</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i/>
          <w:iCs/>
          <w:color w:val="auto"/>
          <w:spacing w:val="-2"/>
          <w:sz w:val="25"/>
          <w:szCs w:val="25"/>
          <w:highlight w:val="none"/>
        </w:rPr>
        <w:t>项目名称</w:t>
      </w:r>
      <w:r>
        <w:rPr>
          <w:rFonts w:ascii="宋体" w:hAnsi="宋体" w:eastAsia="宋体" w:cs="宋体"/>
          <w:color w:val="auto"/>
          <w:spacing w:val="-58"/>
          <w:w w:val="8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8"/>
          <w:w w:val="84"/>
          <w:sz w:val="24"/>
          <w:szCs w:val="24"/>
          <w:highlight w:val="none"/>
        </w:rPr>
        <w:t>（</w:t>
      </w:r>
      <w:r>
        <w:rPr>
          <w:rFonts w:ascii="宋体" w:hAnsi="宋体" w:eastAsia="宋体" w:cs="宋体"/>
          <w:i/>
          <w:iCs/>
          <w:color w:val="auto"/>
          <w:spacing w:val="-2"/>
          <w:sz w:val="25"/>
          <w:szCs w:val="25"/>
          <w:highlight w:val="none"/>
        </w:rPr>
        <w:t>标</w:t>
      </w:r>
      <w:r>
        <w:rPr>
          <w:rFonts w:ascii="宋体" w:hAnsi="宋体" w:eastAsia="宋体" w:cs="宋体"/>
          <w:color w:val="auto"/>
          <w:spacing w:val="3"/>
          <w:sz w:val="25"/>
          <w:szCs w:val="25"/>
          <w:highlight w:val="none"/>
        </w:rPr>
        <w:t xml:space="preserve"> </w:t>
      </w:r>
      <w:r>
        <w:rPr>
          <w:rFonts w:ascii="宋体" w:hAnsi="宋体" w:eastAsia="宋体" w:cs="宋体"/>
          <w:i/>
          <w:iCs/>
          <w:color w:val="auto"/>
          <w:spacing w:val="-3"/>
          <w:sz w:val="25"/>
          <w:szCs w:val="25"/>
          <w:highlight w:val="none"/>
        </w:rPr>
        <w:t>段名称</w:t>
      </w:r>
      <w:r>
        <w:rPr>
          <w:rFonts w:ascii="宋体" w:hAnsi="宋体" w:eastAsia="宋体" w:cs="宋体"/>
          <w:color w:val="auto"/>
          <w:spacing w:val="-3"/>
          <w:sz w:val="24"/>
          <w:szCs w:val="24"/>
          <w:highlight w:val="none"/>
        </w:rPr>
        <w:t>）投标文件已被我方接受，并被确定为中标人。</w:t>
      </w:r>
    </w:p>
    <w:p w14:paraId="1DAA0DAD">
      <w:pPr>
        <w:spacing w:before="32" w:line="218" w:lineRule="auto"/>
        <w:ind w:left="512"/>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中标价：</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0"/>
          <w:sz w:val="24"/>
          <w:szCs w:val="24"/>
          <w:highlight w:val="none"/>
        </w:rPr>
        <w:t>元。</w:t>
      </w:r>
    </w:p>
    <w:p w14:paraId="5CF57573">
      <w:pPr>
        <w:spacing w:before="182" w:line="359" w:lineRule="auto"/>
        <w:ind w:left="493" w:right="3967"/>
        <w:rPr>
          <w:rFonts w:ascii="宋体" w:hAnsi="宋体" w:eastAsia="宋体" w:cs="宋体"/>
          <w:color w:val="auto"/>
          <w:spacing w:val="-3"/>
          <w:sz w:val="24"/>
          <w:szCs w:val="24"/>
          <w:highlight w:val="none"/>
        </w:rPr>
      </w:pPr>
      <w:r>
        <w:rPr>
          <w:rFonts w:ascii="宋体" w:hAnsi="宋体" w:eastAsia="宋体" w:cs="宋体"/>
          <w:color w:val="auto"/>
          <w:spacing w:val="-3"/>
          <w:sz w:val="24"/>
          <w:szCs w:val="24"/>
          <w:highlight w:val="none"/>
        </w:rPr>
        <w:t>工期：</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94"/>
          <w:sz w:val="24"/>
          <w:szCs w:val="24"/>
          <w:highlight w:val="none"/>
        </w:rPr>
        <w:t xml:space="preserve"> </w:t>
      </w:r>
      <w:r>
        <w:rPr>
          <w:rFonts w:ascii="宋体" w:hAnsi="宋体" w:eastAsia="宋体" w:cs="宋体"/>
          <w:spacing w:val="-9"/>
          <w:sz w:val="24"/>
          <w:szCs w:val="24"/>
        </w:rPr>
        <w:t>日历天</w:t>
      </w:r>
      <w:r>
        <w:rPr>
          <w:rFonts w:ascii="宋体" w:hAnsi="宋体" w:eastAsia="宋体" w:cs="宋体"/>
          <w:color w:val="auto"/>
          <w:spacing w:val="-3"/>
          <w:sz w:val="24"/>
          <w:szCs w:val="24"/>
          <w:highlight w:val="none"/>
        </w:rPr>
        <w:t>。</w:t>
      </w:r>
    </w:p>
    <w:p w14:paraId="32E30E2A">
      <w:pPr>
        <w:spacing w:before="182" w:line="359" w:lineRule="auto"/>
        <w:ind w:left="493" w:right="396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工程质量：符合</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02"/>
          <w:sz w:val="24"/>
          <w:szCs w:val="24"/>
          <w:highlight w:val="none"/>
        </w:rPr>
        <w:t xml:space="preserve"> </w:t>
      </w:r>
      <w:r>
        <w:rPr>
          <w:rFonts w:ascii="宋体" w:hAnsi="宋体" w:eastAsia="宋体" w:cs="宋体"/>
          <w:color w:val="auto"/>
          <w:spacing w:val="-3"/>
          <w:sz w:val="24"/>
          <w:szCs w:val="24"/>
          <w:highlight w:val="none"/>
        </w:rPr>
        <w:t>标准。</w:t>
      </w:r>
    </w:p>
    <w:p w14:paraId="6C022D31">
      <w:pPr>
        <w:spacing w:before="1" w:line="212" w:lineRule="auto"/>
        <w:ind w:left="49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项目负责人</w:t>
      </w:r>
      <w:r>
        <w:rPr>
          <w:rFonts w:ascii="宋体" w:hAnsi="宋体" w:eastAsia="宋体" w:cs="宋体"/>
          <w:color w:val="auto"/>
          <w:spacing w:val="-25"/>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5"/>
          <w:sz w:val="24"/>
          <w:szCs w:val="24"/>
          <w:highlight w:val="none"/>
        </w:rPr>
        <w:t>（</w:t>
      </w:r>
      <w:r>
        <w:rPr>
          <w:rFonts w:ascii="宋体" w:hAnsi="宋体" w:eastAsia="宋体" w:cs="宋体"/>
          <w:i/>
          <w:iCs/>
          <w:color w:val="auto"/>
          <w:spacing w:val="5"/>
          <w:sz w:val="25"/>
          <w:szCs w:val="25"/>
          <w:highlight w:val="none"/>
        </w:rPr>
        <w:t>姓名</w:t>
      </w:r>
      <w:r>
        <w:rPr>
          <w:rFonts w:ascii="宋体" w:hAnsi="宋体" w:eastAsia="宋体" w:cs="宋体"/>
          <w:color w:val="auto"/>
          <w:spacing w:val="-25"/>
          <w:sz w:val="24"/>
          <w:szCs w:val="24"/>
          <w:highlight w:val="none"/>
        </w:rPr>
        <w:t>），</w:t>
      </w:r>
      <w:r>
        <w:rPr>
          <w:rFonts w:ascii="宋体" w:hAnsi="宋体" w:eastAsia="宋体" w:cs="宋体"/>
          <w:color w:val="auto"/>
          <w:spacing w:val="5"/>
          <w:sz w:val="24"/>
          <w:szCs w:val="24"/>
          <w:highlight w:val="none"/>
        </w:rPr>
        <w:t>身份证号码</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
          <w:sz w:val="24"/>
          <w:szCs w:val="24"/>
          <w:highlight w:val="none"/>
        </w:rPr>
        <w:t>。</w:t>
      </w:r>
    </w:p>
    <w:p w14:paraId="790671A6">
      <w:pPr>
        <w:spacing w:before="181" w:line="212" w:lineRule="auto"/>
        <w:ind w:left="491"/>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技术负责人</w:t>
      </w:r>
      <w:r>
        <w:rPr>
          <w:rFonts w:ascii="宋体" w:hAnsi="宋体" w:eastAsia="宋体" w:cs="宋体"/>
          <w:color w:val="auto"/>
          <w:spacing w:val="-25"/>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5"/>
          <w:sz w:val="24"/>
          <w:szCs w:val="24"/>
          <w:highlight w:val="none"/>
        </w:rPr>
        <w:t>（</w:t>
      </w:r>
      <w:r>
        <w:rPr>
          <w:rFonts w:ascii="宋体" w:hAnsi="宋体" w:eastAsia="宋体" w:cs="宋体"/>
          <w:i/>
          <w:iCs/>
          <w:color w:val="auto"/>
          <w:spacing w:val="5"/>
          <w:sz w:val="25"/>
          <w:szCs w:val="25"/>
          <w:highlight w:val="none"/>
        </w:rPr>
        <w:t>姓名</w:t>
      </w:r>
      <w:r>
        <w:rPr>
          <w:rFonts w:ascii="宋体" w:hAnsi="宋体" w:eastAsia="宋体" w:cs="宋体"/>
          <w:color w:val="auto"/>
          <w:spacing w:val="-25"/>
          <w:sz w:val="24"/>
          <w:szCs w:val="24"/>
          <w:highlight w:val="none"/>
        </w:rPr>
        <w:t>），</w:t>
      </w:r>
      <w:r>
        <w:rPr>
          <w:rFonts w:ascii="宋体" w:hAnsi="宋体" w:eastAsia="宋体" w:cs="宋体"/>
          <w:color w:val="auto"/>
          <w:spacing w:val="5"/>
          <w:sz w:val="24"/>
          <w:szCs w:val="24"/>
          <w:highlight w:val="none"/>
        </w:rPr>
        <w:t>身份证号码</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
          <w:sz w:val="24"/>
          <w:szCs w:val="24"/>
          <w:highlight w:val="none"/>
        </w:rPr>
        <w:t>。</w:t>
      </w:r>
    </w:p>
    <w:p w14:paraId="2F231B7C">
      <w:pPr>
        <w:spacing w:before="178" w:line="212" w:lineRule="auto"/>
        <w:ind w:left="495"/>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副项目负责人</w:t>
      </w:r>
      <w:r>
        <w:rPr>
          <w:rFonts w:ascii="宋体" w:hAnsi="宋体" w:eastAsia="宋体" w:cs="宋体"/>
          <w:color w:val="auto"/>
          <w:spacing w:val="-27"/>
          <w:sz w:val="24"/>
          <w:szCs w:val="24"/>
          <w:highlight w:val="none"/>
        </w:rPr>
        <w:t>：</w:t>
      </w:r>
      <w:r>
        <w:rPr>
          <w:rFonts w:ascii="宋体" w:hAnsi="宋体" w:eastAsia="宋体" w:cs="宋体"/>
          <w:color w:val="auto"/>
          <w:spacing w:val="10"/>
          <w:sz w:val="24"/>
          <w:szCs w:val="24"/>
          <w:highlight w:val="none"/>
          <w:u w:val="single" w:color="auto"/>
        </w:rPr>
        <w:t xml:space="preserve">            </w:t>
      </w:r>
      <w:r>
        <w:rPr>
          <w:rFonts w:ascii="宋体" w:hAnsi="宋体" w:eastAsia="宋体" w:cs="宋体"/>
          <w:color w:val="auto"/>
          <w:spacing w:val="-27"/>
          <w:sz w:val="24"/>
          <w:szCs w:val="24"/>
          <w:highlight w:val="none"/>
        </w:rPr>
        <w:t>（</w:t>
      </w:r>
      <w:r>
        <w:rPr>
          <w:rFonts w:ascii="宋体" w:hAnsi="宋体" w:eastAsia="宋体" w:cs="宋体"/>
          <w:i/>
          <w:iCs/>
          <w:color w:val="auto"/>
          <w:spacing w:val="5"/>
          <w:sz w:val="25"/>
          <w:szCs w:val="25"/>
          <w:highlight w:val="none"/>
        </w:rPr>
        <w:t>姓名</w:t>
      </w:r>
      <w:r>
        <w:rPr>
          <w:rFonts w:ascii="宋体" w:hAnsi="宋体" w:eastAsia="宋体" w:cs="宋体"/>
          <w:color w:val="auto"/>
          <w:spacing w:val="-27"/>
          <w:sz w:val="24"/>
          <w:szCs w:val="24"/>
          <w:highlight w:val="none"/>
        </w:rPr>
        <w:t>），</w:t>
      </w:r>
      <w:r>
        <w:rPr>
          <w:rFonts w:ascii="宋体" w:hAnsi="宋体" w:eastAsia="宋体" w:cs="宋体"/>
          <w:color w:val="auto"/>
          <w:spacing w:val="5"/>
          <w:sz w:val="24"/>
          <w:szCs w:val="24"/>
          <w:highlight w:val="none"/>
        </w:rPr>
        <w:t>身份证号码</w:t>
      </w:r>
      <w:r>
        <w:rPr>
          <w:rFonts w:ascii="宋体" w:hAnsi="宋体" w:eastAsia="宋体" w:cs="宋体"/>
          <w:color w:val="auto"/>
          <w:spacing w:val="10"/>
          <w:sz w:val="24"/>
          <w:szCs w:val="24"/>
          <w:highlight w:val="none"/>
          <w:u w:val="single" w:color="auto"/>
        </w:rPr>
        <w:t xml:space="preserve">            </w:t>
      </w:r>
      <w:r>
        <w:rPr>
          <w:rFonts w:ascii="宋体" w:hAnsi="宋体" w:eastAsia="宋体" w:cs="宋体"/>
          <w:color w:val="auto"/>
          <w:spacing w:val="5"/>
          <w:sz w:val="24"/>
          <w:szCs w:val="24"/>
          <w:highlight w:val="none"/>
        </w:rPr>
        <w:t>。</w:t>
      </w:r>
    </w:p>
    <w:p w14:paraId="31DA3FB4">
      <w:pPr>
        <w:spacing w:before="179" w:line="346" w:lineRule="auto"/>
        <w:ind w:left="13" w:right="63" w:firstLine="475"/>
        <w:jc w:val="both"/>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请你方在接到本通知书后的</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52"/>
          <w:sz w:val="24"/>
          <w:szCs w:val="24"/>
          <w:highlight w:val="none"/>
        </w:rPr>
        <w:t xml:space="preserve"> </w:t>
      </w:r>
      <w:r>
        <w:rPr>
          <w:rFonts w:ascii="宋体" w:hAnsi="宋体" w:eastAsia="宋体" w:cs="宋体"/>
          <w:color w:val="auto"/>
          <w:spacing w:val="-2"/>
          <w:sz w:val="24"/>
          <w:szCs w:val="24"/>
          <w:highlight w:val="none"/>
        </w:rPr>
        <w:t>日内到</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i/>
          <w:iCs/>
          <w:color w:val="auto"/>
          <w:spacing w:val="-2"/>
          <w:sz w:val="25"/>
          <w:szCs w:val="25"/>
          <w:highlight w:val="none"/>
        </w:rPr>
        <w:t>详细地址</w:t>
      </w:r>
      <w:r>
        <w:rPr>
          <w:rFonts w:ascii="宋体" w:hAnsi="宋体" w:eastAsia="宋体" w:cs="宋体"/>
          <w:color w:val="auto"/>
          <w:spacing w:val="-2"/>
          <w:sz w:val="24"/>
          <w:szCs w:val="24"/>
          <w:highlight w:val="none"/>
        </w:rPr>
        <w:t>）与我方签</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订施工合同协议书，在此之前按招标文件第</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章投标人须知第</w:t>
      </w:r>
      <w:r>
        <w:rPr>
          <w:rFonts w:ascii="Times New Roman" w:hAnsi="Times New Roman" w:eastAsia="Times New Roman" w:cs="Times New Roman"/>
          <w:color w:val="auto"/>
          <w:spacing w:val="-1"/>
          <w:sz w:val="24"/>
          <w:szCs w:val="24"/>
          <w:highlight w:val="none"/>
        </w:rPr>
        <w:t>7.3</w:t>
      </w:r>
      <w:r>
        <w:rPr>
          <w:rFonts w:ascii="宋体" w:hAnsi="宋体" w:eastAsia="宋体" w:cs="宋体"/>
          <w:color w:val="auto"/>
          <w:spacing w:val="-1"/>
          <w:sz w:val="24"/>
          <w:szCs w:val="24"/>
          <w:highlight w:val="none"/>
        </w:rPr>
        <w:t>条规定</w:t>
      </w:r>
      <w:r>
        <w:rPr>
          <w:rFonts w:ascii="宋体" w:hAnsi="宋体" w:eastAsia="宋体" w:cs="宋体"/>
          <w:color w:val="auto"/>
          <w:spacing w:val="-2"/>
          <w:sz w:val="24"/>
          <w:szCs w:val="24"/>
          <w:highlight w:val="none"/>
        </w:rPr>
        <w:t>向我方提交履</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约担保。</w:t>
      </w:r>
    </w:p>
    <w:p w14:paraId="0471A316">
      <w:pPr>
        <w:spacing w:before="32" w:line="220" w:lineRule="auto"/>
        <w:ind w:left="490"/>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特此通知。</w:t>
      </w:r>
    </w:p>
    <w:p w14:paraId="22D870FE">
      <w:pPr>
        <w:pStyle w:val="3"/>
        <w:spacing w:line="250" w:lineRule="auto"/>
        <w:rPr>
          <w:color w:val="auto"/>
          <w:highlight w:val="none"/>
        </w:rPr>
      </w:pPr>
    </w:p>
    <w:p w14:paraId="5ADA59A1">
      <w:pPr>
        <w:pStyle w:val="3"/>
        <w:spacing w:line="250" w:lineRule="auto"/>
        <w:rPr>
          <w:color w:val="auto"/>
          <w:highlight w:val="none"/>
        </w:rPr>
      </w:pPr>
    </w:p>
    <w:p w14:paraId="7E48BB66">
      <w:pPr>
        <w:pStyle w:val="3"/>
        <w:spacing w:line="250" w:lineRule="auto"/>
        <w:rPr>
          <w:color w:val="auto"/>
          <w:highlight w:val="none"/>
        </w:rPr>
      </w:pPr>
    </w:p>
    <w:p w14:paraId="4AF6F60D">
      <w:pPr>
        <w:pStyle w:val="3"/>
        <w:spacing w:line="250" w:lineRule="auto"/>
        <w:rPr>
          <w:color w:val="auto"/>
          <w:highlight w:val="none"/>
        </w:rPr>
      </w:pPr>
    </w:p>
    <w:p w14:paraId="2170D07F">
      <w:pPr>
        <w:pStyle w:val="3"/>
        <w:spacing w:line="250" w:lineRule="auto"/>
        <w:rPr>
          <w:color w:val="auto"/>
          <w:highlight w:val="none"/>
        </w:rPr>
      </w:pPr>
    </w:p>
    <w:p w14:paraId="53AB4E70">
      <w:pPr>
        <w:pStyle w:val="3"/>
        <w:spacing w:line="250" w:lineRule="auto"/>
        <w:rPr>
          <w:color w:val="auto"/>
          <w:highlight w:val="none"/>
        </w:rPr>
      </w:pPr>
    </w:p>
    <w:p w14:paraId="03118D95">
      <w:pPr>
        <w:pStyle w:val="3"/>
        <w:spacing w:line="251" w:lineRule="auto"/>
        <w:rPr>
          <w:color w:val="auto"/>
          <w:highlight w:val="none"/>
        </w:rPr>
      </w:pPr>
    </w:p>
    <w:p w14:paraId="0BB511E8">
      <w:pPr>
        <w:spacing w:before="78" w:line="344" w:lineRule="auto"/>
        <w:ind w:left="3611" w:right="34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r>
        <w:rPr>
          <w:rFonts w:ascii="宋体" w:hAnsi="宋体" w:eastAsia="宋体" w:cs="宋体"/>
          <w:color w:val="auto"/>
          <w:spacing w:val="1"/>
          <w:sz w:val="24"/>
          <w:szCs w:val="24"/>
          <w:highlight w:val="none"/>
        </w:rPr>
        <w:t xml:space="preserve"> </w:t>
      </w:r>
      <w:r>
        <w:rPr>
          <w:rFonts w:ascii="宋体" w:hAnsi="宋体" w:eastAsia="宋体" w:cs="宋体"/>
          <w:color w:val="auto"/>
          <w:spacing w:val="-3"/>
          <w:sz w:val="24"/>
          <w:szCs w:val="24"/>
          <w:highlight w:val="none"/>
        </w:rPr>
        <w:t>法定代表人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签字或盖章）</w:t>
      </w:r>
    </w:p>
    <w:p w14:paraId="0F64A590">
      <w:pPr>
        <w:tabs>
          <w:tab w:val="left" w:pos="5760"/>
        </w:tabs>
        <w:spacing w:before="38" w:line="220" w:lineRule="auto"/>
        <w:ind w:left="504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327941F4">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400FB25A">
      <w:pPr>
        <w:spacing w:before="56" w:line="219" w:lineRule="auto"/>
        <w:ind w:left="32"/>
        <w:rPr>
          <w:rFonts w:ascii="宋体" w:hAnsi="宋体" w:eastAsia="宋体" w:cs="宋体"/>
          <w:color w:val="auto"/>
          <w:sz w:val="28"/>
          <w:szCs w:val="28"/>
          <w:highlight w:val="none"/>
        </w:rPr>
      </w:pPr>
      <w:r>
        <w:rPr>
          <w:rFonts w:ascii="宋体" w:hAnsi="宋体" w:eastAsia="宋体" w:cs="宋体"/>
          <w:b/>
          <w:bCs/>
          <w:color w:val="auto"/>
          <w:spacing w:val="-11"/>
          <w:sz w:val="28"/>
          <w:szCs w:val="28"/>
          <w:highlight w:val="none"/>
        </w:rPr>
        <w:t>附件六：</w:t>
      </w:r>
    </w:p>
    <w:p w14:paraId="7E94368C">
      <w:pPr>
        <w:pStyle w:val="3"/>
        <w:spacing w:line="300" w:lineRule="auto"/>
        <w:rPr>
          <w:color w:val="auto"/>
          <w:highlight w:val="none"/>
        </w:rPr>
      </w:pPr>
    </w:p>
    <w:p w14:paraId="168300F5">
      <w:pPr>
        <w:pStyle w:val="3"/>
        <w:spacing w:line="300" w:lineRule="auto"/>
        <w:rPr>
          <w:color w:val="auto"/>
          <w:highlight w:val="none"/>
        </w:rPr>
      </w:pPr>
    </w:p>
    <w:p w14:paraId="1870E3B4">
      <w:pPr>
        <w:spacing w:before="91" w:line="219" w:lineRule="auto"/>
        <w:ind w:left="3447"/>
        <w:rPr>
          <w:rFonts w:ascii="宋体" w:hAnsi="宋体" w:eastAsia="宋体" w:cs="宋体"/>
          <w:color w:val="auto"/>
          <w:sz w:val="28"/>
          <w:szCs w:val="28"/>
          <w:highlight w:val="none"/>
        </w:rPr>
      </w:pPr>
      <w:r>
        <w:rPr>
          <w:rFonts w:ascii="宋体" w:hAnsi="宋体" w:eastAsia="宋体" w:cs="宋体"/>
          <w:b/>
          <w:bCs/>
          <w:color w:val="auto"/>
          <w:spacing w:val="-8"/>
          <w:sz w:val="28"/>
          <w:szCs w:val="28"/>
          <w:highlight w:val="none"/>
        </w:rPr>
        <w:t>中标结果通知书</w:t>
      </w:r>
    </w:p>
    <w:p w14:paraId="2FF4449E">
      <w:pPr>
        <w:spacing w:before="205" w:line="220" w:lineRule="auto"/>
        <w:ind w:left="3851"/>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15427D31">
      <w:pPr>
        <w:pStyle w:val="3"/>
        <w:spacing w:line="257" w:lineRule="auto"/>
        <w:rPr>
          <w:color w:val="auto"/>
          <w:highlight w:val="none"/>
        </w:rPr>
      </w:pPr>
    </w:p>
    <w:p w14:paraId="2F129E0C">
      <w:pPr>
        <w:pStyle w:val="3"/>
        <w:spacing w:line="257" w:lineRule="auto"/>
        <w:rPr>
          <w:color w:val="auto"/>
          <w:highlight w:val="none"/>
        </w:rPr>
      </w:pPr>
    </w:p>
    <w:p w14:paraId="2CEA88DE">
      <w:pPr>
        <w:tabs>
          <w:tab w:val="left" w:pos="2520"/>
        </w:tabs>
        <w:spacing w:before="78" w:line="22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7"/>
          <w:sz w:val="24"/>
          <w:szCs w:val="24"/>
          <w:highlight w:val="none"/>
        </w:rPr>
        <w:t>（未中标人名称</w:t>
      </w:r>
      <w:r>
        <w:rPr>
          <w:rFonts w:ascii="宋体" w:hAnsi="宋体" w:eastAsia="宋体" w:cs="宋体"/>
          <w:color w:val="auto"/>
          <w:spacing w:val="-1"/>
          <w:sz w:val="24"/>
          <w:szCs w:val="24"/>
          <w:highlight w:val="none"/>
        </w:rPr>
        <w:t>）：</w:t>
      </w:r>
    </w:p>
    <w:p w14:paraId="6F733619">
      <w:pPr>
        <w:pStyle w:val="3"/>
        <w:spacing w:line="254" w:lineRule="auto"/>
        <w:rPr>
          <w:color w:val="auto"/>
          <w:highlight w:val="none"/>
        </w:rPr>
      </w:pPr>
    </w:p>
    <w:p w14:paraId="313EFF7E">
      <w:pPr>
        <w:pStyle w:val="3"/>
        <w:spacing w:line="255" w:lineRule="auto"/>
        <w:rPr>
          <w:color w:val="auto"/>
          <w:highlight w:val="none"/>
        </w:rPr>
      </w:pPr>
    </w:p>
    <w:p w14:paraId="112D4219">
      <w:pPr>
        <w:spacing w:before="82" w:line="337" w:lineRule="auto"/>
        <w:ind w:left="9" w:firstLine="481"/>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我方已接受</w:t>
      </w:r>
      <w:r>
        <w:rPr>
          <w:rFonts w:ascii="宋体" w:hAnsi="宋体" w:eastAsia="宋体" w:cs="宋体"/>
          <w:color w:val="auto"/>
          <w:spacing w:val="-118"/>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i/>
          <w:iCs/>
          <w:color w:val="auto"/>
          <w:sz w:val="25"/>
          <w:szCs w:val="25"/>
          <w:highlight w:val="none"/>
        </w:rPr>
        <w:t>中</w:t>
      </w:r>
      <w:r>
        <w:rPr>
          <w:rFonts w:ascii="宋体" w:hAnsi="宋体" w:eastAsia="宋体" w:cs="宋体"/>
          <w:i/>
          <w:iCs/>
          <w:color w:val="auto"/>
          <w:spacing w:val="-1"/>
          <w:sz w:val="25"/>
          <w:szCs w:val="25"/>
          <w:highlight w:val="none"/>
        </w:rPr>
        <w:t>标人名称</w:t>
      </w:r>
      <w:r>
        <w:rPr>
          <w:rFonts w:ascii="宋体" w:hAnsi="宋体" w:eastAsia="宋体" w:cs="宋体"/>
          <w:color w:val="auto"/>
          <w:spacing w:val="-1"/>
          <w:sz w:val="24"/>
          <w:szCs w:val="24"/>
          <w:highlight w:val="none"/>
        </w:rPr>
        <w:t>）于</w:t>
      </w:r>
      <w:r>
        <w:rPr>
          <w:rFonts w:ascii="宋体" w:hAnsi="宋体" w:eastAsia="宋体" w:cs="宋体"/>
          <w:color w:val="auto"/>
          <w:spacing w:val="-103"/>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投标日期</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rPr>
        <w:t xml:space="preserve"> 所递交的</w:t>
      </w:r>
      <w:r>
        <w:rPr>
          <w:rFonts w:ascii="宋体" w:hAnsi="宋体" w:eastAsia="宋体" w:cs="宋体"/>
          <w:color w:val="auto"/>
          <w:spacing w:val="-11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项目名称</w:t>
      </w:r>
      <w:r>
        <w:rPr>
          <w:rFonts w:ascii="宋体" w:hAnsi="宋体" w:eastAsia="宋体" w:cs="宋体"/>
          <w:color w:val="auto"/>
          <w:spacing w:val="-50"/>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0"/>
          <w:sz w:val="24"/>
          <w:szCs w:val="24"/>
          <w:highlight w:val="none"/>
        </w:rPr>
        <w:t>（</w:t>
      </w:r>
      <w:r>
        <w:rPr>
          <w:rFonts w:ascii="宋体" w:hAnsi="宋体" w:eastAsia="宋体" w:cs="宋体"/>
          <w:i/>
          <w:iCs/>
          <w:color w:val="auto"/>
          <w:spacing w:val="-1"/>
          <w:sz w:val="25"/>
          <w:szCs w:val="25"/>
          <w:highlight w:val="none"/>
        </w:rPr>
        <w:t>标段名称</w:t>
      </w:r>
      <w:r>
        <w:rPr>
          <w:rFonts w:ascii="宋体" w:hAnsi="宋体" w:eastAsia="宋体" w:cs="宋体"/>
          <w:color w:val="auto"/>
          <w:spacing w:val="-1"/>
          <w:sz w:val="24"/>
          <w:szCs w:val="24"/>
          <w:highlight w:val="none"/>
        </w:rPr>
        <w:t>）投标文件，</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确定</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中标人名称</w:t>
      </w:r>
      <w:r>
        <w:rPr>
          <w:rFonts w:ascii="宋体" w:hAnsi="宋体" w:eastAsia="宋体" w:cs="宋体"/>
          <w:color w:val="auto"/>
          <w:spacing w:val="-3"/>
          <w:sz w:val="24"/>
          <w:szCs w:val="24"/>
          <w:highlight w:val="none"/>
        </w:rPr>
        <w:t>）为中标人。</w:t>
      </w:r>
    </w:p>
    <w:p w14:paraId="1E0A8F37">
      <w:pPr>
        <w:pStyle w:val="3"/>
        <w:spacing w:line="364" w:lineRule="auto"/>
        <w:rPr>
          <w:color w:val="auto"/>
          <w:highlight w:val="none"/>
        </w:rPr>
      </w:pPr>
    </w:p>
    <w:p w14:paraId="4221522D">
      <w:pPr>
        <w:spacing w:before="79" w:line="220" w:lineRule="auto"/>
        <w:ind w:left="490"/>
        <w:rPr>
          <w:rFonts w:ascii="Times New Roman" w:hAnsi="Times New Roman" w:eastAsia="Times New Roman" w:cs="Times New Roman"/>
          <w:color w:val="auto"/>
          <w:sz w:val="24"/>
          <w:szCs w:val="24"/>
          <w:highlight w:val="none"/>
        </w:rPr>
      </w:pPr>
      <w:r>
        <w:rPr>
          <w:rFonts w:ascii="宋体" w:hAnsi="宋体" w:eastAsia="宋体" w:cs="宋体"/>
          <w:color w:val="auto"/>
          <w:spacing w:val="-1"/>
          <w:sz w:val="24"/>
          <w:szCs w:val="24"/>
          <w:highlight w:val="none"/>
        </w:rPr>
        <w:t>感谢你单位对我方工作的大力支持</w:t>
      </w:r>
      <w:r>
        <w:rPr>
          <w:rFonts w:ascii="Times New Roman" w:hAnsi="Times New Roman" w:eastAsia="Times New Roman" w:cs="Times New Roman"/>
          <w:color w:val="auto"/>
          <w:spacing w:val="-1"/>
          <w:sz w:val="24"/>
          <w:szCs w:val="24"/>
          <w:highlight w:val="none"/>
        </w:rPr>
        <w:t>!</w:t>
      </w:r>
    </w:p>
    <w:p w14:paraId="54BE4D14">
      <w:pPr>
        <w:pStyle w:val="3"/>
        <w:spacing w:line="267" w:lineRule="auto"/>
        <w:rPr>
          <w:color w:val="auto"/>
          <w:highlight w:val="none"/>
        </w:rPr>
      </w:pPr>
    </w:p>
    <w:p w14:paraId="1E811751">
      <w:pPr>
        <w:pStyle w:val="3"/>
        <w:spacing w:line="267" w:lineRule="auto"/>
        <w:rPr>
          <w:color w:val="auto"/>
          <w:highlight w:val="none"/>
        </w:rPr>
      </w:pPr>
    </w:p>
    <w:p w14:paraId="7F303041">
      <w:pPr>
        <w:pStyle w:val="3"/>
        <w:spacing w:line="268" w:lineRule="auto"/>
        <w:rPr>
          <w:color w:val="auto"/>
          <w:highlight w:val="none"/>
        </w:rPr>
      </w:pPr>
    </w:p>
    <w:p w14:paraId="65426366">
      <w:pPr>
        <w:pStyle w:val="3"/>
        <w:spacing w:line="268" w:lineRule="auto"/>
        <w:rPr>
          <w:color w:val="auto"/>
          <w:highlight w:val="none"/>
        </w:rPr>
      </w:pPr>
    </w:p>
    <w:p w14:paraId="7F1E8A3F">
      <w:pPr>
        <w:pStyle w:val="3"/>
        <w:spacing w:line="268" w:lineRule="auto"/>
        <w:rPr>
          <w:color w:val="auto"/>
          <w:highlight w:val="none"/>
        </w:rPr>
      </w:pPr>
    </w:p>
    <w:p w14:paraId="2E20ED8D">
      <w:pPr>
        <w:spacing w:before="78" w:line="346" w:lineRule="auto"/>
        <w:ind w:left="3610" w:right="35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招标人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盖单位公章）</w:t>
      </w:r>
      <w:r>
        <w:rPr>
          <w:rFonts w:ascii="宋体" w:hAnsi="宋体" w:eastAsia="宋体" w:cs="宋体"/>
          <w:color w:val="auto"/>
          <w:spacing w:val="1"/>
          <w:sz w:val="24"/>
          <w:szCs w:val="24"/>
          <w:highlight w:val="none"/>
        </w:rPr>
        <w:t xml:space="preserve"> </w:t>
      </w:r>
      <w:r>
        <w:rPr>
          <w:rFonts w:ascii="宋体" w:hAnsi="宋体" w:eastAsia="宋体" w:cs="宋体"/>
          <w:color w:val="auto"/>
          <w:spacing w:val="-3"/>
          <w:sz w:val="24"/>
          <w:szCs w:val="24"/>
          <w:highlight w:val="none"/>
        </w:rPr>
        <w:t>法定代表人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签字或盖章）</w:t>
      </w:r>
    </w:p>
    <w:p w14:paraId="7DE7BEA3">
      <w:pPr>
        <w:tabs>
          <w:tab w:val="left" w:pos="5760"/>
        </w:tabs>
        <w:spacing w:before="32" w:line="220" w:lineRule="auto"/>
        <w:ind w:left="504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10"/>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701109BF">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D2C28DB">
      <w:pPr>
        <w:spacing w:before="72" w:line="218" w:lineRule="auto"/>
        <w:ind w:left="1420"/>
        <w:outlineLvl w:val="0"/>
        <w:rPr>
          <w:rFonts w:ascii="宋体" w:hAnsi="宋体" w:eastAsia="宋体" w:cs="宋体"/>
          <w:color w:val="auto"/>
          <w:sz w:val="36"/>
          <w:szCs w:val="36"/>
          <w:highlight w:val="none"/>
        </w:rPr>
      </w:pPr>
      <w:bookmarkStart w:id="269" w:name="bookmark182"/>
      <w:bookmarkEnd w:id="269"/>
      <w:bookmarkStart w:id="270" w:name="bookmark180"/>
      <w:bookmarkEnd w:id="270"/>
      <w:bookmarkStart w:id="271" w:name="bookmark178"/>
      <w:bookmarkEnd w:id="271"/>
      <w:bookmarkStart w:id="272" w:name="bookmark177"/>
      <w:bookmarkEnd w:id="272"/>
      <w:bookmarkStart w:id="273" w:name="_Toc17215"/>
      <w:bookmarkStart w:id="274" w:name="_Toc32196"/>
      <w:r>
        <w:rPr>
          <w:rFonts w:ascii="宋体" w:hAnsi="宋体" w:eastAsia="宋体" w:cs="宋体"/>
          <w:b/>
          <w:bCs/>
          <w:color w:val="auto"/>
          <w:spacing w:val="-3"/>
          <w:sz w:val="36"/>
          <w:szCs w:val="36"/>
          <w:highlight w:val="none"/>
        </w:rPr>
        <w:t>第三章</w:t>
      </w:r>
      <w:r>
        <w:rPr>
          <w:rFonts w:ascii="宋体" w:hAnsi="宋体" w:eastAsia="宋体" w:cs="宋体"/>
          <w:color w:val="auto"/>
          <w:spacing w:val="-3"/>
          <w:sz w:val="36"/>
          <w:szCs w:val="36"/>
          <w:highlight w:val="none"/>
        </w:rPr>
        <w:t xml:space="preserve"> </w:t>
      </w:r>
      <w:r>
        <w:rPr>
          <w:rFonts w:ascii="宋体" w:hAnsi="宋体" w:eastAsia="宋体" w:cs="宋体"/>
          <w:b/>
          <w:bCs/>
          <w:color w:val="auto"/>
          <w:spacing w:val="-3"/>
          <w:sz w:val="36"/>
          <w:szCs w:val="36"/>
          <w:highlight w:val="none"/>
        </w:rPr>
        <w:t>评标定标办法（综合评估法）</w:t>
      </w:r>
      <w:bookmarkEnd w:id="273"/>
      <w:bookmarkEnd w:id="274"/>
    </w:p>
    <w:p w14:paraId="2A1C531E">
      <w:pPr>
        <w:spacing w:before="274" w:line="225" w:lineRule="auto"/>
        <w:ind w:left="3276"/>
        <w:outlineLvl w:val="1"/>
        <w:rPr>
          <w:rFonts w:ascii="宋体" w:hAnsi="宋体" w:eastAsia="宋体" w:cs="宋体"/>
          <w:color w:val="auto"/>
          <w:sz w:val="31"/>
          <w:szCs w:val="31"/>
          <w:highlight w:val="none"/>
        </w:rPr>
      </w:pPr>
      <w:bookmarkStart w:id="275" w:name="bookmark179"/>
      <w:bookmarkEnd w:id="275"/>
      <w:bookmarkStart w:id="276" w:name="_Toc1226"/>
      <w:bookmarkStart w:id="277" w:name="_Toc28153"/>
      <w:r>
        <w:rPr>
          <w:rFonts w:ascii="宋体" w:hAnsi="宋体" w:eastAsia="宋体" w:cs="宋体"/>
          <w:b/>
          <w:bCs/>
          <w:color w:val="auto"/>
          <w:spacing w:val="5"/>
          <w:sz w:val="31"/>
          <w:szCs w:val="31"/>
          <w:highlight w:val="none"/>
        </w:rPr>
        <w:t>第</w:t>
      </w:r>
      <w:r>
        <w:rPr>
          <w:rFonts w:ascii="Times New Roman" w:hAnsi="Times New Roman" w:eastAsia="Times New Roman" w:cs="Times New Roman"/>
          <w:b/>
          <w:bCs/>
          <w:color w:val="auto"/>
          <w:spacing w:val="5"/>
          <w:sz w:val="31"/>
          <w:szCs w:val="31"/>
          <w:highlight w:val="none"/>
        </w:rPr>
        <w:t>1</w:t>
      </w:r>
      <w:r>
        <w:rPr>
          <w:rFonts w:ascii="宋体" w:hAnsi="宋体" w:eastAsia="宋体" w:cs="宋体"/>
          <w:b/>
          <w:bCs/>
          <w:color w:val="auto"/>
          <w:spacing w:val="5"/>
          <w:sz w:val="31"/>
          <w:szCs w:val="31"/>
          <w:highlight w:val="none"/>
        </w:rPr>
        <w:t>节</w:t>
      </w:r>
      <w:r>
        <w:rPr>
          <w:rFonts w:ascii="宋体" w:hAnsi="宋体" w:eastAsia="宋体" w:cs="宋体"/>
          <w:color w:val="auto"/>
          <w:spacing w:val="5"/>
          <w:sz w:val="31"/>
          <w:szCs w:val="31"/>
          <w:highlight w:val="none"/>
        </w:rPr>
        <w:t xml:space="preserve"> </w:t>
      </w:r>
      <w:r>
        <w:rPr>
          <w:rFonts w:ascii="宋体" w:hAnsi="宋体" w:eastAsia="宋体" w:cs="宋体"/>
          <w:b/>
          <w:bCs/>
          <w:color w:val="auto"/>
          <w:spacing w:val="5"/>
          <w:sz w:val="31"/>
          <w:szCs w:val="31"/>
          <w:highlight w:val="none"/>
        </w:rPr>
        <w:t>评标办法</w:t>
      </w:r>
      <w:bookmarkEnd w:id="276"/>
      <w:bookmarkEnd w:id="277"/>
    </w:p>
    <w:p w14:paraId="3E7F82C5">
      <w:pPr>
        <w:pStyle w:val="3"/>
        <w:spacing w:line="265" w:lineRule="auto"/>
        <w:rPr>
          <w:color w:val="auto"/>
          <w:highlight w:val="none"/>
        </w:rPr>
      </w:pPr>
    </w:p>
    <w:p w14:paraId="74DC35D5">
      <w:pPr>
        <w:spacing w:before="91" w:line="240" w:lineRule="auto"/>
        <w:ind w:left="2642"/>
        <w:outlineLvl w:val="1"/>
        <w:rPr>
          <w:rFonts w:ascii="宋体" w:hAnsi="宋体" w:eastAsia="宋体" w:cs="宋体"/>
          <w:color w:val="auto"/>
          <w:sz w:val="28"/>
          <w:szCs w:val="28"/>
          <w:highlight w:val="none"/>
        </w:rPr>
      </w:pPr>
      <w:bookmarkStart w:id="278" w:name="bookmark181"/>
      <w:bookmarkEnd w:id="278"/>
      <w:bookmarkStart w:id="279" w:name="_Toc10239"/>
      <w:bookmarkStart w:id="280" w:name="_Toc32080"/>
      <w:r>
        <w:rPr>
          <w:rFonts w:ascii="宋体" w:hAnsi="宋体" w:eastAsia="宋体" w:cs="宋体"/>
          <w:b/>
          <w:bCs/>
          <w:color w:val="auto"/>
          <w:spacing w:val="-3"/>
          <w:sz w:val="28"/>
          <w:szCs w:val="28"/>
          <w:highlight w:val="none"/>
        </w:rPr>
        <w:t>方法一</w:t>
      </w:r>
      <w:r>
        <w:rPr>
          <w:rFonts w:ascii="宋体" w:hAnsi="宋体" w:eastAsia="宋体" w:cs="宋体"/>
          <w:color w:val="auto"/>
          <w:spacing w:val="-3"/>
          <w:sz w:val="28"/>
          <w:szCs w:val="28"/>
          <w:highlight w:val="none"/>
        </w:rPr>
        <w:t xml:space="preserve"> </w:t>
      </w:r>
      <w:r>
        <w:rPr>
          <w:rFonts w:ascii="宋体" w:hAnsi="宋体" w:eastAsia="宋体" w:cs="宋体"/>
          <w:b/>
          <w:bCs/>
          <w:color w:val="auto"/>
          <w:spacing w:val="-3"/>
          <w:sz w:val="28"/>
          <w:szCs w:val="28"/>
          <w:highlight w:val="none"/>
        </w:rPr>
        <w:t>技术通过制的综合评估法</w:t>
      </w:r>
      <w:bookmarkEnd w:id="279"/>
      <w:bookmarkEnd w:id="280"/>
    </w:p>
    <w:p w14:paraId="2F9555F4">
      <w:pPr>
        <w:pStyle w:val="3"/>
        <w:spacing w:line="240" w:lineRule="auto"/>
        <w:rPr>
          <w:color w:val="auto"/>
          <w:highlight w:val="none"/>
        </w:rPr>
      </w:pPr>
    </w:p>
    <w:p w14:paraId="7EA29FF9">
      <w:pPr>
        <w:spacing w:before="91" w:line="240" w:lineRule="auto"/>
        <w:ind w:left="14"/>
        <w:outlineLvl w:val="1"/>
        <w:rPr>
          <w:rFonts w:ascii="宋体" w:hAnsi="宋体" w:eastAsia="宋体" w:cs="宋体"/>
          <w:color w:val="auto"/>
          <w:sz w:val="28"/>
          <w:szCs w:val="28"/>
          <w:highlight w:val="none"/>
        </w:rPr>
      </w:pPr>
      <w:bookmarkStart w:id="281" w:name="bookmark183"/>
      <w:bookmarkEnd w:id="281"/>
      <w:bookmarkStart w:id="282" w:name="bookmark184"/>
      <w:bookmarkEnd w:id="282"/>
      <w:bookmarkStart w:id="283" w:name="_Toc9555"/>
      <w:bookmarkStart w:id="284" w:name="_Toc8597"/>
      <w:r>
        <w:rPr>
          <w:rFonts w:ascii="Times New Roman" w:hAnsi="Times New Roman" w:eastAsia="Times New Roman" w:cs="Times New Roman"/>
          <w:b/>
          <w:bCs/>
          <w:color w:val="auto"/>
          <w:spacing w:val="-10"/>
          <w:sz w:val="28"/>
          <w:szCs w:val="28"/>
          <w:highlight w:val="none"/>
        </w:rPr>
        <w:t>1</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10"/>
          <w:sz w:val="28"/>
          <w:szCs w:val="28"/>
          <w:highlight w:val="none"/>
        </w:rPr>
        <w:t>依据</w:t>
      </w:r>
      <w:bookmarkEnd w:id="283"/>
      <w:bookmarkEnd w:id="284"/>
    </w:p>
    <w:p w14:paraId="1B402E94">
      <w:pPr>
        <w:pStyle w:val="3"/>
        <w:spacing w:line="240" w:lineRule="auto"/>
        <w:rPr>
          <w:color w:val="auto"/>
          <w:highlight w:val="none"/>
        </w:rPr>
      </w:pPr>
    </w:p>
    <w:p w14:paraId="6B7A2FFE">
      <w:pPr>
        <w:keepNext w:val="0"/>
        <w:keepLines w:val="0"/>
        <w:pageBreakBefore w:val="0"/>
        <w:widowControl/>
        <w:kinsoku w:val="0"/>
        <w:wordWrap/>
        <w:overflowPunct/>
        <w:topLinePunct w:val="0"/>
        <w:autoSpaceDE w:val="0"/>
        <w:autoSpaceDN w:val="0"/>
        <w:bidi w:val="0"/>
        <w:adjustRightInd w:val="0"/>
        <w:snapToGrid w:val="0"/>
        <w:spacing w:before="78" w:line="288" w:lineRule="auto"/>
        <w:ind w:left="11" w:right="0" w:firstLine="476"/>
        <w:textAlignment w:val="baseline"/>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为规范招标的评标工作，根据《中华人民共和国招标投标法》、《中华人民共和</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国招标投标法实施条例》、《评标委员会和评标办法暂行规定》（原国家发展计划委</w:t>
      </w:r>
      <w:r>
        <w:rPr>
          <w:rFonts w:ascii="宋体" w:hAnsi="宋体" w:eastAsia="宋体" w:cs="宋体"/>
          <w:color w:val="auto"/>
          <w:spacing w:val="2"/>
          <w:sz w:val="24"/>
          <w:szCs w:val="24"/>
          <w:highlight w:val="none"/>
        </w:rPr>
        <w:t xml:space="preserve"> </w:t>
      </w:r>
      <w:r>
        <w:rPr>
          <w:rFonts w:ascii="宋体" w:hAnsi="宋体" w:eastAsia="宋体" w:cs="宋体"/>
          <w:color w:val="auto"/>
          <w:spacing w:val="-3"/>
          <w:sz w:val="24"/>
          <w:szCs w:val="24"/>
          <w:highlight w:val="none"/>
        </w:rPr>
        <w:t>员会等七部委令第</w:t>
      </w:r>
      <w:r>
        <w:rPr>
          <w:rFonts w:ascii="Times New Roman" w:hAnsi="Times New Roman" w:eastAsia="Times New Roman" w:cs="Times New Roman"/>
          <w:color w:val="auto"/>
          <w:spacing w:val="-3"/>
          <w:sz w:val="24"/>
          <w:szCs w:val="24"/>
          <w:highlight w:val="none"/>
        </w:rPr>
        <w:t>12</w:t>
      </w:r>
      <w:r>
        <w:rPr>
          <w:rFonts w:ascii="宋体" w:hAnsi="宋体" w:eastAsia="宋体" w:cs="宋体"/>
          <w:color w:val="auto"/>
          <w:spacing w:val="-3"/>
          <w:sz w:val="24"/>
          <w:szCs w:val="24"/>
          <w:highlight w:val="none"/>
        </w:rPr>
        <w:t>号）、《工程建设项目施工招标投标办法》（原国家发展计划委</w:t>
      </w:r>
      <w:r>
        <w:rPr>
          <w:rFonts w:ascii="宋体" w:hAnsi="宋体" w:eastAsia="宋体" w:cs="宋体"/>
          <w:color w:val="auto"/>
          <w:spacing w:val="5"/>
          <w:sz w:val="24"/>
          <w:szCs w:val="24"/>
          <w:highlight w:val="none"/>
        </w:rPr>
        <w:t xml:space="preserve"> </w:t>
      </w:r>
      <w:r>
        <w:rPr>
          <w:rFonts w:ascii="宋体" w:hAnsi="宋体" w:eastAsia="宋体" w:cs="宋体"/>
          <w:color w:val="auto"/>
          <w:spacing w:val="-9"/>
          <w:sz w:val="24"/>
          <w:szCs w:val="24"/>
          <w:highlight w:val="none"/>
        </w:rPr>
        <w:t>员会等七部委令第</w:t>
      </w:r>
      <w:r>
        <w:rPr>
          <w:rFonts w:ascii="Times New Roman" w:hAnsi="Times New Roman" w:eastAsia="Times New Roman" w:cs="Times New Roman"/>
          <w:color w:val="auto"/>
          <w:spacing w:val="-9"/>
          <w:sz w:val="24"/>
          <w:szCs w:val="24"/>
          <w:highlight w:val="none"/>
        </w:rPr>
        <w:t>30</w:t>
      </w:r>
      <w:r>
        <w:rPr>
          <w:rFonts w:ascii="宋体" w:hAnsi="宋体" w:eastAsia="宋体" w:cs="宋体"/>
          <w:color w:val="auto"/>
          <w:spacing w:val="-9"/>
          <w:sz w:val="24"/>
          <w:szCs w:val="24"/>
          <w:highlight w:val="none"/>
        </w:rPr>
        <w:t>号）、《关于废止和修改部分招标投标规章和规范性文件的决定》</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（九部委第</w:t>
      </w:r>
      <w:r>
        <w:rPr>
          <w:rFonts w:ascii="Times New Roman" w:hAnsi="Times New Roman" w:eastAsia="Times New Roman" w:cs="Times New Roman"/>
          <w:color w:val="auto"/>
          <w:spacing w:val="-2"/>
          <w:sz w:val="24"/>
          <w:szCs w:val="24"/>
          <w:highlight w:val="none"/>
        </w:rPr>
        <w:t>23</w:t>
      </w:r>
      <w:r>
        <w:rPr>
          <w:rFonts w:ascii="宋体" w:hAnsi="宋体" w:eastAsia="宋体" w:cs="宋体"/>
          <w:color w:val="auto"/>
          <w:spacing w:val="-2"/>
          <w:sz w:val="24"/>
          <w:szCs w:val="24"/>
          <w:highlight w:val="none"/>
        </w:rPr>
        <w:t>号令）等有关的法律、法规和规章制度规定，制定本办法。</w:t>
      </w:r>
    </w:p>
    <w:p w14:paraId="343C4880">
      <w:pPr>
        <w:spacing w:before="159" w:line="240" w:lineRule="auto"/>
        <w:ind w:left="2"/>
        <w:outlineLvl w:val="1"/>
        <w:rPr>
          <w:rFonts w:ascii="宋体" w:hAnsi="宋体" w:eastAsia="宋体" w:cs="宋体"/>
          <w:color w:val="auto"/>
          <w:sz w:val="28"/>
          <w:szCs w:val="28"/>
          <w:highlight w:val="none"/>
        </w:rPr>
      </w:pPr>
      <w:bookmarkStart w:id="285" w:name="bookmark186"/>
      <w:bookmarkEnd w:id="285"/>
      <w:bookmarkStart w:id="286" w:name="bookmark185"/>
      <w:bookmarkEnd w:id="286"/>
      <w:bookmarkStart w:id="287" w:name="_Toc10067"/>
      <w:bookmarkStart w:id="288" w:name="_Toc23858"/>
      <w:r>
        <w:rPr>
          <w:rFonts w:ascii="Times New Roman" w:hAnsi="Times New Roman" w:eastAsia="Times New Roman" w:cs="Times New Roman"/>
          <w:b/>
          <w:bCs/>
          <w:color w:val="auto"/>
          <w:spacing w:val="-2"/>
          <w:sz w:val="28"/>
          <w:szCs w:val="28"/>
          <w:highlight w:val="none"/>
        </w:rPr>
        <w:t xml:space="preserve">2  </w:t>
      </w:r>
      <w:r>
        <w:rPr>
          <w:rFonts w:ascii="宋体" w:hAnsi="宋体" w:eastAsia="宋体" w:cs="宋体"/>
          <w:b/>
          <w:bCs/>
          <w:color w:val="auto"/>
          <w:spacing w:val="-2"/>
          <w:sz w:val="28"/>
          <w:szCs w:val="28"/>
          <w:highlight w:val="none"/>
        </w:rPr>
        <w:t>评标原则</w:t>
      </w:r>
      <w:bookmarkEnd w:id="287"/>
      <w:bookmarkEnd w:id="288"/>
    </w:p>
    <w:p w14:paraId="7C4EFF5A">
      <w:pPr>
        <w:pStyle w:val="3"/>
        <w:spacing w:line="240" w:lineRule="auto"/>
        <w:rPr>
          <w:color w:val="auto"/>
          <w:highlight w:val="none"/>
        </w:rPr>
      </w:pPr>
    </w:p>
    <w:p w14:paraId="35B9DEC8">
      <w:pPr>
        <w:spacing w:before="78" w:line="240" w:lineRule="auto"/>
        <w:ind w:left="48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评标应遵循公平、公正、科学、择优的原则。</w:t>
      </w:r>
    </w:p>
    <w:p w14:paraId="78B59D62">
      <w:pPr>
        <w:spacing w:before="309" w:line="240" w:lineRule="auto"/>
        <w:outlineLvl w:val="1"/>
        <w:rPr>
          <w:rFonts w:ascii="宋体" w:hAnsi="宋体" w:eastAsia="宋体" w:cs="宋体"/>
          <w:color w:val="auto"/>
          <w:sz w:val="28"/>
          <w:szCs w:val="28"/>
          <w:highlight w:val="none"/>
        </w:rPr>
      </w:pPr>
      <w:bookmarkStart w:id="289" w:name="bookmark188"/>
      <w:bookmarkEnd w:id="289"/>
      <w:bookmarkStart w:id="290" w:name="bookmark187"/>
      <w:bookmarkEnd w:id="290"/>
      <w:bookmarkStart w:id="291" w:name="_Toc14323"/>
      <w:bookmarkStart w:id="292" w:name="_Toc16930"/>
      <w:r>
        <w:rPr>
          <w:rFonts w:ascii="Times New Roman" w:hAnsi="Times New Roman" w:eastAsia="Times New Roman" w:cs="Times New Roman"/>
          <w:b/>
          <w:bCs/>
          <w:color w:val="auto"/>
          <w:spacing w:val="-2"/>
          <w:sz w:val="28"/>
          <w:szCs w:val="28"/>
          <w:highlight w:val="none"/>
        </w:rPr>
        <w:t xml:space="preserve">3  </w:t>
      </w:r>
      <w:r>
        <w:rPr>
          <w:rFonts w:ascii="宋体" w:hAnsi="宋体" w:eastAsia="宋体" w:cs="宋体"/>
          <w:b/>
          <w:bCs/>
          <w:color w:val="auto"/>
          <w:spacing w:val="-2"/>
          <w:sz w:val="28"/>
          <w:szCs w:val="28"/>
          <w:highlight w:val="none"/>
        </w:rPr>
        <w:t>评标组织</w:t>
      </w:r>
      <w:bookmarkEnd w:id="291"/>
      <w:bookmarkEnd w:id="292"/>
    </w:p>
    <w:p w14:paraId="0D6B3E38">
      <w:pPr>
        <w:pStyle w:val="3"/>
        <w:spacing w:line="240" w:lineRule="auto"/>
        <w:rPr>
          <w:color w:val="auto"/>
          <w:highlight w:val="none"/>
        </w:rPr>
      </w:pPr>
    </w:p>
    <w:p w14:paraId="0651B696">
      <w:pPr>
        <w:spacing w:before="79" w:line="240" w:lineRule="auto"/>
        <w:ind w:left="6" w:right="2" w:firstLine="47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评标工作由招标人依法组建的评标委员会负责，评标委员会的组建办法详见投标</w:t>
      </w:r>
      <w:r>
        <w:rPr>
          <w:rFonts w:ascii="宋体" w:hAnsi="宋体" w:eastAsia="宋体" w:cs="宋体"/>
          <w:color w:val="auto"/>
          <w:spacing w:val="4"/>
          <w:sz w:val="24"/>
          <w:szCs w:val="24"/>
          <w:highlight w:val="none"/>
        </w:rPr>
        <w:t xml:space="preserve"> </w:t>
      </w:r>
      <w:r>
        <w:rPr>
          <w:rFonts w:ascii="宋体" w:hAnsi="宋体" w:eastAsia="宋体" w:cs="宋体"/>
          <w:color w:val="auto"/>
          <w:spacing w:val="-6"/>
          <w:sz w:val="24"/>
          <w:szCs w:val="24"/>
          <w:highlight w:val="none"/>
        </w:rPr>
        <w:t>人须知前附表。</w:t>
      </w:r>
    </w:p>
    <w:p w14:paraId="14582878">
      <w:pPr>
        <w:spacing w:before="164" w:line="240" w:lineRule="auto"/>
        <w:ind w:left="2"/>
        <w:outlineLvl w:val="1"/>
        <w:rPr>
          <w:rFonts w:ascii="宋体" w:hAnsi="宋体" w:eastAsia="宋体" w:cs="宋体"/>
          <w:color w:val="auto"/>
          <w:sz w:val="28"/>
          <w:szCs w:val="28"/>
          <w:highlight w:val="none"/>
        </w:rPr>
      </w:pPr>
      <w:bookmarkStart w:id="293" w:name="bookmark189"/>
      <w:bookmarkEnd w:id="293"/>
      <w:bookmarkStart w:id="294" w:name="bookmark192"/>
      <w:bookmarkEnd w:id="294"/>
      <w:bookmarkStart w:id="295" w:name="bookmark190"/>
      <w:bookmarkEnd w:id="295"/>
      <w:bookmarkStart w:id="296" w:name="_Toc8845"/>
      <w:bookmarkStart w:id="297" w:name="_Toc10952"/>
      <w:r>
        <w:rPr>
          <w:rFonts w:ascii="Times New Roman" w:hAnsi="Times New Roman" w:eastAsia="Times New Roman" w:cs="Times New Roman"/>
          <w:b/>
          <w:bCs/>
          <w:color w:val="auto"/>
          <w:spacing w:val="-2"/>
          <w:sz w:val="28"/>
          <w:szCs w:val="28"/>
          <w:highlight w:val="none"/>
        </w:rPr>
        <w:t xml:space="preserve">4  </w:t>
      </w:r>
      <w:r>
        <w:rPr>
          <w:rFonts w:ascii="宋体" w:hAnsi="宋体" w:eastAsia="宋体" w:cs="宋体"/>
          <w:b/>
          <w:bCs/>
          <w:color w:val="auto"/>
          <w:spacing w:val="-2"/>
          <w:sz w:val="28"/>
          <w:szCs w:val="28"/>
          <w:highlight w:val="none"/>
        </w:rPr>
        <w:t>评标程序和内容</w:t>
      </w:r>
      <w:bookmarkEnd w:id="296"/>
      <w:bookmarkEnd w:id="297"/>
    </w:p>
    <w:p w14:paraId="7B8B56FB">
      <w:pPr>
        <w:pStyle w:val="3"/>
        <w:spacing w:line="240" w:lineRule="auto"/>
        <w:rPr>
          <w:color w:val="auto"/>
          <w:highlight w:val="none"/>
        </w:rPr>
      </w:pPr>
    </w:p>
    <w:p w14:paraId="2FB3F207">
      <w:pPr>
        <w:spacing w:before="78" w:line="240" w:lineRule="auto"/>
        <w:ind w:left="1"/>
        <w:outlineLvl w:val="2"/>
        <w:rPr>
          <w:rFonts w:ascii="宋体" w:hAnsi="宋体" w:eastAsia="宋体" w:cs="宋体"/>
          <w:color w:val="auto"/>
          <w:sz w:val="24"/>
          <w:szCs w:val="24"/>
          <w:highlight w:val="none"/>
        </w:rPr>
      </w:pPr>
      <w:bookmarkStart w:id="298" w:name="bookmark191"/>
      <w:bookmarkEnd w:id="298"/>
      <w:bookmarkStart w:id="299" w:name="_Toc27243"/>
      <w:bookmarkStart w:id="300" w:name="_Toc4087"/>
      <w:r>
        <w:rPr>
          <w:rFonts w:ascii="Times New Roman" w:hAnsi="Times New Roman" w:eastAsia="Times New Roman" w:cs="Times New Roman"/>
          <w:b/>
          <w:bCs/>
          <w:color w:val="auto"/>
          <w:spacing w:val="-2"/>
          <w:sz w:val="24"/>
          <w:szCs w:val="24"/>
          <w:highlight w:val="none"/>
        </w:rPr>
        <w:t xml:space="preserve">4.1  </w:t>
      </w:r>
      <w:r>
        <w:rPr>
          <w:rFonts w:ascii="宋体" w:hAnsi="宋体" w:eastAsia="宋体" w:cs="宋体"/>
          <w:b/>
          <w:bCs/>
          <w:color w:val="auto"/>
          <w:spacing w:val="-2"/>
          <w:sz w:val="24"/>
          <w:szCs w:val="24"/>
          <w:highlight w:val="none"/>
        </w:rPr>
        <w:t>评标的一般程序</w:t>
      </w:r>
      <w:bookmarkEnd w:id="299"/>
      <w:bookmarkEnd w:id="300"/>
    </w:p>
    <w:p w14:paraId="2BD56315">
      <w:pPr>
        <w:spacing w:before="179"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）熟悉招标文件和评标办法。</w:t>
      </w:r>
    </w:p>
    <w:p w14:paraId="095866BC">
      <w:pPr>
        <w:spacing w:before="182" w:line="220" w:lineRule="auto"/>
        <w:ind w:left="56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hint="eastAsia" w:ascii="Times New Roman" w:hAnsi="Times New Roman" w:eastAsia="宋体" w:cs="Times New Roman"/>
          <w:color w:val="auto"/>
          <w:spacing w:val="-4"/>
          <w:sz w:val="24"/>
          <w:szCs w:val="24"/>
          <w:highlight w:val="none"/>
          <w:lang w:val="en-US" w:eastAsia="zh-CN"/>
        </w:rPr>
        <w:t>2</w:t>
      </w:r>
      <w:r>
        <w:rPr>
          <w:rFonts w:ascii="宋体" w:hAnsi="宋体" w:eastAsia="宋体" w:cs="宋体"/>
          <w:color w:val="auto"/>
          <w:spacing w:val="-4"/>
          <w:sz w:val="24"/>
          <w:szCs w:val="24"/>
          <w:highlight w:val="none"/>
        </w:rPr>
        <w:t>）投标文件的技术符合性审查。</w:t>
      </w:r>
    </w:p>
    <w:p w14:paraId="77109B17">
      <w:pPr>
        <w:spacing w:before="182"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hint="eastAsia" w:ascii="Times New Roman" w:hAnsi="Times New Roman" w:eastAsia="宋体" w:cs="Times New Roman"/>
          <w:color w:val="auto"/>
          <w:spacing w:val="-4"/>
          <w:sz w:val="24"/>
          <w:szCs w:val="24"/>
          <w:highlight w:val="none"/>
          <w:lang w:val="en-US" w:eastAsia="zh-CN"/>
        </w:rPr>
        <w:t>3</w:t>
      </w:r>
      <w:r>
        <w:rPr>
          <w:rFonts w:ascii="宋体" w:hAnsi="宋体" w:eastAsia="宋体" w:cs="宋体"/>
          <w:color w:val="auto"/>
          <w:spacing w:val="-4"/>
          <w:sz w:val="24"/>
          <w:szCs w:val="24"/>
          <w:highlight w:val="none"/>
        </w:rPr>
        <w:t>）投标文件的技术评审。</w:t>
      </w:r>
    </w:p>
    <w:p w14:paraId="447370F8">
      <w:pPr>
        <w:spacing w:before="179"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hint="eastAsia" w:ascii="宋体" w:hAnsi="宋体" w:eastAsia="宋体" w:cs="宋体"/>
          <w:color w:val="auto"/>
          <w:spacing w:val="-4"/>
          <w:sz w:val="24"/>
          <w:szCs w:val="24"/>
          <w:highlight w:val="none"/>
          <w:lang w:val="en-US" w:eastAsia="zh-CN"/>
        </w:rPr>
        <w:t>4</w:t>
      </w:r>
      <w:r>
        <w:rPr>
          <w:rFonts w:ascii="宋体" w:hAnsi="宋体" w:eastAsia="宋体" w:cs="宋体"/>
          <w:color w:val="auto"/>
          <w:spacing w:val="-4"/>
          <w:sz w:val="24"/>
          <w:szCs w:val="24"/>
          <w:highlight w:val="none"/>
        </w:rPr>
        <w:t>）投标文件的资信评审。</w:t>
      </w:r>
    </w:p>
    <w:p w14:paraId="27D780DD">
      <w:pPr>
        <w:spacing w:before="182"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hint="eastAsia" w:ascii="Times New Roman" w:hAnsi="Times New Roman" w:eastAsia="宋体" w:cs="Times New Roman"/>
          <w:color w:val="auto"/>
          <w:spacing w:val="-4"/>
          <w:sz w:val="24"/>
          <w:szCs w:val="24"/>
          <w:highlight w:val="none"/>
          <w:lang w:val="en-US" w:eastAsia="zh-CN"/>
        </w:rPr>
        <w:t>5</w:t>
      </w:r>
      <w:r>
        <w:rPr>
          <w:rFonts w:ascii="宋体" w:hAnsi="宋体" w:eastAsia="宋体" w:cs="宋体"/>
          <w:color w:val="auto"/>
          <w:spacing w:val="-4"/>
          <w:sz w:val="24"/>
          <w:szCs w:val="24"/>
          <w:highlight w:val="none"/>
        </w:rPr>
        <w:t>）投标文件的商务符合性审查。</w:t>
      </w:r>
    </w:p>
    <w:p w14:paraId="5B100ABB">
      <w:pPr>
        <w:spacing w:before="180" w:line="220" w:lineRule="auto"/>
        <w:ind w:left="52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hint="eastAsia" w:ascii="Times New Roman" w:hAnsi="Times New Roman" w:eastAsia="宋体" w:cs="Times New Roman"/>
          <w:color w:val="auto"/>
          <w:spacing w:val="-4"/>
          <w:sz w:val="24"/>
          <w:szCs w:val="24"/>
          <w:highlight w:val="none"/>
          <w:lang w:val="en-US" w:eastAsia="zh-CN"/>
        </w:rPr>
        <w:t>6</w:t>
      </w:r>
      <w:r>
        <w:rPr>
          <w:rFonts w:ascii="宋体" w:hAnsi="宋体" w:eastAsia="宋体" w:cs="宋体"/>
          <w:color w:val="auto"/>
          <w:spacing w:val="-4"/>
          <w:sz w:val="24"/>
          <w:szCs w:val="24"/>
          <w:highlight w:val="none"/>
        </w:rPr>
        <w:t>）投标文件的商务评审。</w:t>
      </w:r>
    </w:p>
    <w:p w14:paraId="5D737639">
      <w:pPr>
        <w:spacing w:before="183" w:line="289" w:lineRule="auto"/>
        <w:ind w:left="7" w:firstLine="51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hint="eastAsia" w:ascii="Times New Roman" w:hAnsi="Times New Roman" w:eastAsia="宋体" w:cs="Times New Roman"/>
          <w:color w:val="auto"/>
          <w:spacing w:val="-1"/>
          <w:sz w:val="24"/>
          <w:szCs w:val="24"/>
          <w:highlight w:val="none"/>
          <w:lang w:val="en-US" w:eastAsia="zh-CN"/>
        </w:rPr>
        <w:t>7</w:t>
      </w:r>
      <w:r>
        <w:rPr>
          <w:rFonts w:ascii="宋体" w:hAnsi="宋体" w:eastAsia="宋体" w:cs="宋体"/>
          <w:color w:val="auto"/>
          <w:spacing w:val="-1"/>
          <w:sz w:val="24"/>
          <w:szCs w:val="24"/>
          <w:highlight w:val="none"/>
        </w:rPr>
        <w:t>）必要时对投标文件中的问题进行询标，拟作出否决投标决定前，应对相关</w:t>
      </w:r>
      <w:r>
        <w:rPr>
          <w:rFonts w:ascii="宋体" w:hAnsi="宋体" w:eastAsia="宋体" w:cs="宋体"/>
          <w:color w:val="auto"/>
          <w:spacing w:val="13"/>
          <w:sz w:val="24"/>
          <w:szCs w:val="24"/>
          <w:highlight w:val="none"/>
        </w:rPr>
        <w:t xml:space="preserve"> </w:t>
      </w:r>
      <w:r>
        <w:rPr>
          <w:rFonts w:ascii="宋体" w:hAnsi="宋体" w:eastAsia="宋体" w:cs="宋体"/>
          <w:color w:val="auto"/>
          <w:spacing w:val="-2"/>
          <w:sz w:val="24"/>
          <w:szCs w:val="24"/>
          <w:highlight w:val="none"/>
        </w:rPr>
        <w:t>投标人进行询问核实。</w:t>
      </w:r>
    </w:p>
    <w:p w14:paraId="3A4F4B71">
      <w:pPr>
        <w:spacing w:before="181" w:line="219" w:lineRule="auto"/>
        <w:ind w:left="52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hint="eastAsia" w:ascii="Times New Roman" w:hAnsi="Times New Roman" w:eastAsia="宋体" w:cs="Times New Roman"/>
          <w:color w:val="auto"/>
          <w:spacing w:val="-5"/>
          <w:sz w:val="24"/>
          <w:szCs w:val="24"/>
          <w:highlight w:val="none"/>
          <w:lang w:val="en-US" w:eastAsia="zh-CN"/>
        </w:rPr>
        <w:t>8</w:t>
      </w:r>
      <w:r>
        <w:rPr>
          <w:rFonts w:ascii="宋体" w:hAnsi="宋体" w:eastAsia="宋体" w:cs="宋体"/>
          <w:color w:val="auto"/>
          <w:spacing w:val="-5"/>
          <w:sz w:val="24"/>
          <w:szCs w:val="24"/>
          <w:highlight w:val="none"/>
        </w:rPr>
        <w:t>）推荐中标候选人。</w:t>
      </w:r>
    </w:p>
    <w:p w14:paraId="48E8D835">
      <w:pPr>
        <w:spacing w:before="182" w:line="218" w:lineRule="auto"/>
        <w:ind w:left="52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hint="eastAsia" w:ascii="Times New Roman" w:hAnsi="Times New Roman" w:eastAsia="宋体" w:cs="Times New Roman"/>
          <w:color w:val="auto"/>
          <w:spacing w:val="-5"/>
          <w:sz w:val="24"/>
          <w:szCs w:val="24"/>
          <w:highlight w:val="none"/>
          <w:lang w:val="en-US" w:eastAsia="zh-CN"/>
        </w:rPr>
        <w:t>9</w:t>
      </w:r>
      <w:r>
        <w:rPr>
          <w:rFonts w:ascii="宋体" w:hAnsi="宋体" w:eastAsia="宋体" w:cs="宋体"/>
          <w:color w:val="auto"/>
          <w:spacing w:val="-5"/>
          <w:sz w:val="24"/>
          <w:szCs w:val="24"/>
          <w:highlight w:val="none"/>
        </w:rPr>
        <w:t>）完成评标报告。</w:t>
      </w:r>
    </w:p>
    <w:p w14:paraId="4930A6F5">
      <w:pPr>
        <w:spacing w:line="218"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0F913A89">
      <w:pPr>
        <w:spacing w:before="47" w:line="220" w:lineRule="auto"/>
        <w:outlineLvl w:val="2"/>
        <w:rPr>
          <w:rFonts w:ascii="宋体" w:hAnsi="宋体" w:eastAsia="宋体" w:cs="宋体"/>
          <w:color w:val="auto"/>
          <w:sz w:val="24"/>
          <w:szCs w:val="24"/>
          <w:highlight w:val="none"/>
        </w:rPr>
      </w:pPr>
      <w:bookmarkStart w:id="301" w:name="bookmark194"/>
      <w:bookmarkEnd w:id="301"/>
      <w:bookmarkStart w:id="302" w:name="bookmark193"/>
      <w:bookmarkEnd w:id="302"/>
      <w:bookmarkStart w:id="303" w:name="_Toc30758"/>
      <w:bookmarkStart w:id="304" w:name="_Toc16073"/>
      <w:r>
        <w:rPr>
          <w:rFonts w:ascii="Times New Roman" w:hAnsi="Times New Roman" w:eastAsia="Times New Roman" w:cs="Times New Roman"/>
          <w:b/>
          <w:bCs/>
          <w:color w:val="auto"/>
          <w:spacing w:val="-2"/>
          <w:sz w:val="24"/>
          <w:szCs w:val="24"/>
          <w:highlight w:val="none"/>
        </w:rPr>
        <w:t xml:space="preserve">4.2  </w:t>
      </w:r>
      <w:r>
        <w:rPr>
          <w:rFonts w:ascii="宋体" w:hAnsi="宋体" w:eastAsia="宋体" w:cs="宋体"/>
          <w:b/>
          <w:bCs/>
          <w:color w:val="auto"/>
          <w:spacing w:val="-2"/>
          <w:sz w:val="24"/>
          <w:szCs w:val="24"/>
          <w:highlight w:val="none"/>
        </w:rPr>
        <w:t>投标文件的技术符合性审查</w:t>
      </w:r>
      <w:bookmarkEnd w:id="303"/>
      <w:bookmarkEnd w:id="304"/>
    </w:p>
    <w:p w14:paraId="5A997C1A">
      <w:pPr>
        <w:spacing w:before="182" w:line="289" w:lineRule="auto"/>
        <w:ind w:left="4" w:firstLine="547"/>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4.2.1  </w:t>
      </w:r>
      <w:r>
        <w:rPr>
          <w:rFonts w:ascii="宋体" w:hAnsi="宋体" w:eastAsia="宋体" w:cs="宋体"/>
          <w:color w:val="auto"/>
          <w:spacing w:val="-1"/>
          <w:sz w:val="24"/>
          <w:szCs w:val="24"/>
          <w:highlight w:val="none"/>
        </w:rPr>
        <w:t>评标委员会应依照招标文件的要求和规定，首</w:t>
      </w:r>
      <w:r>
        <w:rPr>
          <w:rFonts w:ascii="宋体" w:hAnsi="宋体" w:eastAsia="宋体" w:cs="宋体"/>
          <w:color w:val="auto"/>
          <w:spacing w:val="-2"/>
          <w:sz w:val="24"/>
          <w:szCs w:val="24"/>
          <w:highlight w:val="none"/>
        </w:rPr>
        <w:t>先对投标人的投标资格和投</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标文件进行技术符合性审查。技术符合性审查未通过的投标文件不再进入后续评审。</w:t>
      </w:r>
    </w:p>
    <w:p w14:paraId="618580F6">
      <w:pPr>
        <w:spacing w:before="183" w:line="288" w:lineRule="auto"/>
        <w:ind w:left="23" w:right="80" w:firstLine="52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4.2.2  </w:t>
      </w:r>
      <w:r>
        <w:rPr>
          <w:rFonts w:ascii="宋体" w:hAnsi="宋体" w:eastAsia="宋体" w:cs="宋体"/>
          <w:color w:val="auto"/>
          <w:spacing w:val="-1"/>
          <w:sz w:val="24"/>
          <w:szCs w:val="24"/>
          <w:highlight w:val="none"/>
        </w:rPr>
        <w:t>投标人不得通过补充、修改或撤销投标文件中的内容使其</w:t>
      </w:r>
      <w:r>
        <w:rPr>
          <w:rFonts w:ascii="宋体" w:hAnsi="宋体" w:eastAsia="宋体" w:cs="宋体"/>
          <w:color w:val="auto"/>
          <w:spacing w:val="-2"/>
          <w:sz w:val="24"/>
          <w:szCs w:val="24"/>
          <w:highlight w:val="none"/>
        </w:rPr>
        <w:t>成为实质性响应</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的投标。投标人在投标截止以后不得提交任何资料作为</w:t>
      </w:r>
      <w:r>
        <w:rPr>
          <w:rFonts w:ascii="宋体" w:hAnsi="宋体" w:eastAsia="宋体" w:cs="宋体"/>
          <w:color w:val="auto"/>
          <w:spacing w:val="-3"/>
          <w:sz w:val="24"/>
          <w:szCs w:val="24"/>
          <w:highlight w:val="none"/>
        </w:rPr>
        <w:t>评标依据。</w:t>
      </w:r>
    </w:p>
    <w:p w14:paraId="569C24C1">
      <w:pPr>
        <w:spacing w:before="182" w:line="313" w:lineRule="auto"/>
        <w:ind w:left="11" w:right="168" w:firstLine="534"/>
        <w:rPr>
          <w:rFonts w:ascii="宋体" w:hAnsi="宋体" w:eastAsia="宋体" w:cs="宋体"/>
          <w:color w:val="auto"/>
          <w:sz w:val="24"/>
          <w:szCs w:val="24"/>
          <w:highlight w:val="none"/>
        </w:rPr>
      </w:pPr>
      <w:r>
        <w:rPr>
          <w:rFonts w:ascii="Times New Roman" w:hAnsi="Times New Roman" w:eastAsia="Times New Roman" w:cs="Times New Roman"/>
          <w:b/>
          <w:bCs/>
          <w:spacing w:val="-4"/>
          <w:sz w:val="24"/>
          <w:szCs w:val="24"/>
        </w:rPr>
        <w:t xml:space="preserve">4.2.3  </w:t>
      </w:r>
      <w:r>
        <w:rPr>
          <w:rFonts w:ascii="宋体" w:hAnsi="宋体" w:eastAsia="宋体" w:cs="宋体"/>
          <w:spacing w:val="-4"/>
          <w:sz w:val="24"/>
          <w:szCs w:val="24"/>
        </w:rPr>
        <w:t>投标文件如存在投标人须知前附表</w:t>
      </w:r>
      <w:r>
        <w:rPr>
          <w:rFonts w:ascii="Times New Roman" w:hAnsi="Times New Roman" w:eastAsia="Times New Roman" w:cs="Times New Roman"/>
          <w:spacing w:val="-4"/>
          <w:sz w:val="24"/>
          <w:szCs w:val="24"/>
        </w:rPr>
        <w:t>10.8</w:t>
      </w:r>
      <w:r>
        <w:rPr>
          <w:rFonts w:ascii="Times New Roman" w:hAnsi="Times New Roman" w:eastAsia="Times New Roman" w:cs="Times New Roman"/>
          <w:spacing w:val="-7"/>
          <w:sz w:val="24"/>
          <w:szCs w:val="24"/>
        </w:rPr>
        <w:t xml:space="preserve"> </w:t>
      </w:r>
      <w:r>
        <w:rPr>
          <w:rFonts w:ascii="宋体" w:hAnsi="宋体" w:eastAsia="宋体" w:cs="宋体"/>
          <w:spacing w:val="-4"/>
          <w:sz w:val="24"/>
          <w:szCs w:val="24"/>
        </w:rPr>
        <w:t>“</w:t>
      </w:r>
      <w:r>
        <w:rPr>
          <w:rFonts w:ascii="宋体" w:hAnsi="宋体" w:eastAsia="宋体" w:cs="宋体"/>
          <w:spacing w:val="-92"/>
          <w:sz w:val="24"/>
          <w:szCs w:val="24"/>
        </w:rPr>
        <w:t xml:space="preserve"> </w:t>
      </w:r>
      <w:r>
        <w:rPr>
          <w:rFonts w:ascii="Times New Roman" w:hAnsi="Times New Roman" w:eastAsia="Times New Roman" w:cs="Times New Roman"/>
          <w:spacing w:val="-4"/>
          <w:sz w:val="24"/>
          <w:szCs w:val="24"/>
        </w:rPr>
        <w:t>1.</w:t>
      </w:r>
      <w:r>
        <w:rPr>
          <w:rFonts w:ascii="宋体" w:hAnsi="宋体" w:eastAsia="宋体" w:cs="宋体"/>
          <w:spacing w:val="-4"/>
          <w:sz w:val="24"/>
          <w:szCs w:val="24"/>
        </w:rPr>
        <w:t>技术符合性审查”情况之一的</w:t>
      </w:r>
      <w:r>
        <w:rPr>
          <w:rFonts w:hint="eastAsia" w:ascii="宋体" w:hAnsi="宋体" w:eastAsia="宋体" w:cs="宋体"/>
          <w:spacing w:val="-4"/>
          <w:sz w:val="24"/>
          <w:szCs w:val="24"/>
          <w:lang w:eastAsia="zh-CN"/>
        </w:rPr>
        <w:t>，</w:t>
      </w:r>
      <w:r>
        <w:rPr>
          <w:rFonts w:ascii="宋体" w:hAnsi="宋体" w:eastAsia="宋体" w:cs="宋体"/>
          <w:spacing w:val="-3"/>
          <w:sz w:val="24"/>
          <w:szCs w:val="24"/>
        </w:rPr>
        <w:t>由评标委员会全体成员按照少数服从多数的原则记名投票（不得弃权）认定，作为技</w:t>
      </w:r>
      <w:r>
        <w:rPr>
          <w:rFonts w:ascii="宋体" w:hAnsi="宋体" w:eastAsia="宋体" w:cs="宋体"/>
          <w:spacing w:val="-1"/>
          <w:sz w:val="24"/>
          <w:szCs w:val="24"/>
        </w:rPr>
        <w:t>术符合性审查未通过予以否决其投标，不再进行后续评审。</w:t>
      </w:r>
    </w:p>
    <w:p w14:paraId="210E660C">
      <w:pPr>
        <w:spacing w:before="182" w:line="220" w:lineRule="auto"/>
        <w:ind w:left="5"/>
        <w:outlineLvl w:val="2"/>
        <w:rPr>
          <w:rFonts w:ascii="宋体" w:hAnsi="宋体" w:eastAsia="宋体" w:cs="宋体"/>
          <w:color w:val="auto"/>
          <w:sz w:val="24"/>
          <w:szCs w:val="24"/>
          <w:highlight w:val="none"/>
        </w:rPr>
      </w:pPr>
      <w:bookmarkStart w:id="305" w:name="bookmark195"/>
      <w:bookmarkEnd w:id="305"/>
      <w:bookmarkStart w:id="306" w:name="bookmark196"/>
      <w:bookmarkEnd w:id="306"/>
      <w:bookmarkStart w:id="307" w:name="_Toc22793"/>
      <w:bookmarkStart w:id="308" w:name="_Toc13515"/>
      <w:r>
        <w:rPr>
          <w:rFonts w:ascii="Times New Roman" w:hAnsi="Times New Roman" w:eastAsia="Times New Roman" w:cs="Times New Roman"/>
          <w:b/>
          <w:bCs/>
          <w:color w:val="auto"/>
          <w:spacing w:val="-2"/>
          <w:sz w:val="24"/>
          <w:szCs w:val="24"/>
          <w:highlight w:val="none"/>
        </w:rPr>
        <w:t xml:space="preserve">4.3  </w:t>
      </w:r>
      <w:r>
        <w:rPr>
          <w:rFonts w:ascii="宋体" w:hAnsi="宋体" w:eastAsia="宋体" w:cs="宋体"/>
          <w:b/>
          <w:bCs/>
          <w:color w:val="auto"/>
          <w:spacing w:val="-2"/>
          <w:sz w:val="24"/>
          <w:szCs w:val="24"/>
          <w:highlight w:val="none"/>
        </w:rPr>
        <w:t>投标文件的技术评审</w:t>
      </w:r>
      <w:bookmarkEnd w:id="307"/>
      <w:bookmarkEnd w:id="308"/>
    </w:p>
    <w:p w14:paraId="3E24EB68">
      <w:pPr>
        <w:spacing w:before="179" w:line="219" w:lineRule="auto"/>
        <w:ind w:left="553"/>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4.3.1  </w:t>
      </w:r>
      <w:r>
        <w:rPr>
          <w:rFonts w:ascii="宋体" w:hAnsi="宋体" w:eastAsia="宋体" w:cs="宋体"/>
          <w:color w:val="auto"/>
          <w:spacing w:val="-1"/>
          <w:sz w:val="24"/>
          <w:szCs w:val="24"/>
          <w:highlight w:val="none"/>
        </w:rPr>
        <w:t>评标委员会应对通过技术符合性审查的投标文件进</w:t>
      </w:r>
      <w:r>
        <w:rPr>
          <w:rFonts w:ascii="宋体" w:hAnsi="宋体" w:eastAsia="宋体" w:cs="宋体"/>
          <w:color w:val="auto"/>
          <w:spacing w:val="-2"/>
          <w:sz w:val="24"/>
          <w:szCs w:val="24"/>
          <w:highlight w:val="none"/>
        </w:rPr>
        <w:t>行技术评审。</w:t>
      </w:r>
    </w:p>
    <w:p w14:paraId="0497B9DE">
      <w:pPr>
        <w:spacing w:before="179" w:line="360" w:lineRule="auto"/>
        <w:ind w:firstLine="472" w:firstLineChars="200"/>
        <w:rPr>
          <w:rFonts w:hint="eastAsia" w:ascii="宋体" w:hAnsi="宋体" w:eastAsia="宋体" w:cs="宋体"/>
          <w:spacing w:val="-1"/>
          <w:sz w:val="24"/>
          <w:szCs w:val="24"/>
          <w:lang w:eastAsia="zh-CN"/>
        </w:rPr>
      </w:pPr>
      <w:r>
        <w:rPr>
          <w:rFonts w:ascii="Times New Roman" w:hAnsi="Times New Roman" w:eastAsia="Times New Roman" w:cs="Times New Roman"/>
          <w:b/>
          <w:bCs/>
          <w:spacing w:val="-2"/>
          <w:sz w:val="24"/>
          <w:szCs w:val="24"/>
        </w:rPr>
        <w:t xml:space="preserve">4.3.2 </w:t>
      </w:r>
      <w:r>
        <w:rPr>
          <w:rFonts w:ascii="宋体" w:hAnsi="宋体" w:eastAsia="宋体" w:cs="宋体"/>
          <w:color w:val="auto"/>
          <w:spacing w:val="-1"/>
          <w:sz w:val="24"/>
          <w:szCs w:val="24"/>
          <w:highlight w:val="none"/>
        </w:rPr>
        <w:t>投标文件如存在投标人须知前附表 10.8 “2.技术评审”情况之一的，由评标委员会全体成员按照少数服从多数的原则记名投票（不得弃权）认定，作为技术评审不合格处理予以否决其投标，不再进行后续评审</w:t>
      </w:r>
      <w:r>
        <w:rPr>
          <w:rFonts w:hint="eastAsia" w:ascii="宋体" w:hAnsi="宋体" w:eastAsia="宋体" w:cs="宋体"/>
          <w:color w:val="auto"/>
          <w:spacing w:val="-1"/>
          <w:sz w:val="24"/>
          <w:szCs w:val="24"/>
          <w:highlight w:val="none"/>
          <w:lang w:eastAsia="zh-CN"/>
        </w:rPr>
        <w:t>。</w:t>
      </w:r>
    </w:p>
    <w:p w14:paraId="13E166D0">
      <w:pPr>
        <w:spacing w:before="179" w:line="220" w:lineRule="auto"/>
        <w:ind w:left="553"/>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4.3.3  </w:t>
      </w:r>
      <w:r>
        <w:rPr>
          <w:rFonts w:ascii="宋体" w:hAnsi="宋体" w:eastAsia="宋体" w:cs="宋体"/>
          <w:color w:val="auto"/>
          <w:spacing w:val="-2"/>
          <w:sz w:val="24"/>
          <w:szCs w:val="24"/>
          <w:highlight w:val="none"/>
        </w:rPr>
        <w:t>技术评审不合格的投标文件不再进入后续评审。</w:t>
      </w:r>
    </w:p>
    <w:p w14:paraId="1250C823">
      <w:pPr>
        <w:spacing w:before="179" w:line="220" w:lineRule="auto"/>
        <w:ind w:left="5"/>
        <w:outlineLvl w:val="2"/>
        <w:rPr>
          <w:rFonts w:ascii="宋体" w:hAnsi="宋体" w:eastAsia="宋体" w:cs="宋体"/>
          <w:color w:val="auto"/>
          <w:sz w:val="24"/>
          <w:szCs w:val="24"/>
          <w:highlight w:val="none"/>
        </w:rPr>
      </w:pPr>
      <w:bookmarkStart w:id="309" w:name="bookmark197"/>
      <w:bookmarkEnd w:id="309"/>
      <w:bookmarkStart w:id="310" w:name="bookmark198"/>
      <w:bookmarkEnd w:id="310"/>
      <w:bookmarkStart w:id="311" w:name="_Toc10754"/>
      <w:bookmarkStart w:id="312" w:name="_Toc12959"/>
      <w:r>
        <w:rPr>
          <w:rFonts w:ascii="Times New Roman" w:hAnsi="Times New Roman" w:eastAsia="Times New Roman" w:cs="Times New Roman"/>
          <w:b/>
          <w:bCs/>
          <w:color w:val="auto"/>
          <w:spacing w:val="-2"/>
          <w:sz w:val="24"/>
          <w:szCs w:val="24"/>
          <w:highlight w:val="none"/>
        </w:rPr>
        <w:t xml:space="preserve">4.4  </w:t>
      </w:r>
      <w:r>
        <w:rPr>
          <w:rFonts w:ascii="宋体" w:hAnsi="宋体" w:eastAsia="宋体" w:cs="宋体"/>
          <w:b/>
          <w:bCs/>
          <w:color w:val="auto"/>
          <w:spacing w:val="-2"/>
          <w:sz w:val="24"/>
          <w:szCs w:val="24"/>
          <w:highlight w:val="none"/>
        </w:rPr>
        <w:t>投标文件的资信评审</w:t>
      </w:r>
      <w:bookmarkEnd w:id="311"/>
      <w:bookmarkEnd w:id="312"/>
    </w:p>
    <w:p w14:paraId="351C29C1">
      <w:pPr>
        <w:spacing w:before="183" w:line="289" w:lineRule="auto"/>
        <w:ind w:left="21" w:right="235" w:firstLine="53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4.4.1  </w:t>
      </w:r>
      <w:r>
        <w:rPr>
          <w:rFonts w:ascii="宋体" w:hAnsi="宋体" w:eastAsia="宋体" w:cs="宋体"/>
          <w:color w:val="auto"/>
          <w:spacing w:val="-1"/>
          <w:sz w:val="24"/>
          <w:szCs w:val="24"/>
          <w:highlight w:val="none"/>
        </w:rPr>
        <w:t>评标委员应对通过技术评审的投标文件进行资</w:t>
      </w:r>
      <w:r>
        <w:rPr>
          <w:rFonts w:ascii="宋体" w:hAnsi="宋体" w:eastAsia="宋体" w:cs="宋体"/>
          <w:color w:val="auto"/>
          <w:spacing w:val="-2"/>
          <w:sz w:val="24"/>
          <w:szCs w:val="24"/>
          <w:highlight w:val="none"/>
        </w:rPr>
        <w:t>信符合性审查。资信符合性</w:t>
      </w:r>
      <w:r>
        <w:rPr>
          <w:rFonts w:ascii="宋体" w:hAnsi="宋体" w:eastAsia="宋体" w:cs="宋体"/>
          <w:color w:val="auto"/>
          <w:spacing w:val="-3"/>
          <w:sz w:val="24"/>
          <w:szCs w:val="24"/>
          <w:highlight w:val="none"/>
        </w:rPr>
        <w:t>审查未通过的投标文件不再进入后续评审。</w:t>
      </w:r>
    </w:p>
    <w:p w14:paraId="72BE4570">
      <w:pPr>
        <w:spacing w:before="181" w:line="313" w:lineRule="auto"/>
        <w:ind w:left="11" w:right="173" w:firstLine="541"/>
        <w:rPr>
          <w:color w:val="auto"/>
          <w:highlight w:val="none"/>
        </w:rPr>
      </w:pPr>
      <w:r>
        <w:rPr>
          <w:rFonts w:ascii="Times New Roman" w:hAnsi="Times New Roman" w:eastAsia="Times New Roman" w:cs="Times New Roman"/>
          <w:b/>
          <w:bCs/>
          <w:color w:val="auto"/>
          <w:spacing w:val="-1"/>
          <w:sz w:val="24"/>
          <w:szCs w:val="24"/>
          <w:highlight w:val="none"/>
        </w:rPr>
        <w:t xml:space="preserve">4.4.2  </w:t>
      </w:r>
      <w:r>
        <w:rPr>
          <w:rFonts w:ascii="宋体" w:hAnsi="宋体" w:eastAsia="宋体" w:cs="宋体"/>
          <w:spacing w:val="-4"/>
          <w:sz w:val="24"/>
          <w:szCs w:val="24"/>
        </w:rPr>
        <w:t>投标文件如存在投标人须知前附表</w:t>
      </w:r>
      <w:r>
        <w:rPr>
          <w:rFonts w:ascii="宋体" w:hAnsi="宋体" w:eastAsia="宋体" w:cs="宋体"/>
          <w:spacing w:val="-32"/>
          <w:sz w:val="24"/>
          <w:szCs w:val="24"/>
        </w:rPr>
        <w:t xml:space="preserve"> </w:t>
      </w:r>
      <w:r>
        <w:rPr>
          <w:rFonts w:ascii="Times New Roman" w:hAnsi="Times New Roman" w:eastAsia="Times New Roman" w:cs="Times New Roman"/>
          <w:spacing w:val="-4"/>
          <w:sz w:val="24"/>
          <w:szCs w:val="24"/>
        </w:rPr>
        <w:t>10.8</w:t>
      </w:r>
      <w:r>
        <w:rPr>
          <w:rFonts w:ascii="宋体" w:hAnsi="宋体" w:eastAsia="宋体" w:cs="宋体"/>
          <w:spacing w:val="-4"/>
          <w:sz w:val="24"/>
          <w:szCs w:val="24"/>
        </w:rPr>
        <w:t>“</w:t>
      </w:r>
      <w:r>
        <w:rPr>
          <w:rFonts w:ascii="Times New Roman" w:hAnsi="Times New Roman" w:eastAsia="Times New Roman" w:cs="Times New Roman"/>
          <w:spacing w:val="-4"/>
          <w:sz w:val="24"/>
          <w:szCs w:val="24"/>
        </w:rPr>
        <w:t>3.</w:t>
      </w:r>
      <w:r>
        <w:rPr>
          <w:rFonts w:ascii="宋体" w:hAnsi="宋体" w:eastAsia="宋体" w:cs="宋体"/>
          <w:spacing w:val="-5"/>
          <w:sz w:val="24"/>
          <w:szCs w:val="24"/>
        </w:rPr>
        <w:t>资信符合性审查”情况之一的</w:t>
      </w:r>
      <w:r>
        <w:rPr>
          <w:rFonts w:hint="eastAsia" w:ascii="宋体" w:hAnsi="宋体" w:eastAsia="宋体" w:cs="宋体"/>
          <w:spacing w:val="-5"/>
          <w:sz w:val="24"/>
          <w:szCs w:val="24"/>
          <w:lang w:eastAsia="zh-CN"/>
        </w:rPr>
        <w:t>，</w:t>
      </w:r>
      <w:r>
        <w:rPr>
          <w:rFonts w:ascii="宋体" w:hAnsi="宋体" w:eastAsia="宋体" w:cs="宋体"/>
          <w:spacing w:val="-3"/>
          <w:sz w:val="24"/>
          <w:szCs w:val="24"/>
        </w:rPr>
        <w:t>由评标委员会全体成员按照少数服从多数的原则记名投票（不得弃权）认定，作为资信符合性审查未通过予以否决其投标，不再进行后续评审</w:t>
      </w:r>
      <w:r>
        <w:rPr>
          <w:rFonts w:hint="eastAsia" w:ascii="宋体" w:hAnsi="宋体" w:eastAsia="宋体" w:cs="宋体"/>
          <w:spacing w:val="-3"/>
          <w:sz w:val="24"/>
          <w:szCs w:val="24"/>
          <w:lang w:eastAsia="zh-CN"/>
        </w:rPr>
        <w:t>。</w:t>
      </w:r>
    </w:p>
    <w:p w14:paraId="36B1E043">
      <w:pPr>
        <w:spacing w:before="79" w:line="294" w:lineRule="auto"/>
        <w:ind w:left="8" w:right="237" w:firstLine="484"/>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4.4.3  </w:t>
      </w:r>
      <w:r>
        <w:rPr>
          <w:rFonts w:ascii="宋体" w:hAnsi="宋体" w:eastAsia="宋体" w:cs="宋体"/>
          <w:color w:val="auto"/>
          <w:sz w:val="24"/>
          <w:szCs w:val="24"/>
          <w:highlight w:val="none"/>
        </w:rPr>
        <w:t>投标文件的资信评审包括企业信用等级。评标委员会全体成员查阅投标文</w:t>
      </w:r>
      <w:r>
        <w:rPr>
          <w:rFonts w:ascii="宋体" w:hAnsi="宋体" w:eastAsia="宋体" w:cs="宋体"/>
          <w:color w:val="auto"/>
          <w:spacing w:val="-2"/>
          <w:sz w:val="24"/>
          <w:szCs w:val="24"/>
          <w:highlight w:val="none"/>
        </w:rPr>
        <w:t>件及相关证明材料并进行集体讨论后统一评分。</w:t>
      </w:r>
    </w:p>
    <w:p w14:paraId="5ADA2673">
      <w:pPr>
        <w:spacing w:before="7"/>
        <w:rPr>
          <w:color w:val="auto"/>
          <w:highlight w:val="none"/>
        </w:rPr>
      </w:pPr>
    </w:p>
    <w:p w14:paraId="41852851">
      <w:pPr>
        <w:spacing w:before="7"/>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7217"/>
        <w:gridCol w:w="965"/>
      </w:tblGrid>
      <w:tr w14:paraId="3EC45D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top w:val="single" w:color="000000" w:sz="6" w:space="0"/>
              <w:left w:val="single" w:color="000000" w:sz="6" w:space="0"/>
            </w:tcBorders>
            <w:vAlign w:val="top"/>
          </w:tcPr>
          <w:p w14:paraId="397CE21A">
            <w:pPr>
              <w:pStyle w:val="33"/>
              <w:spacing w:before="125" w:line="222" w:lineRule="auto"/>
              <w:ind w:left="198"/>
              <w:rPr>
                <w:color w:val="auto"/>
                <w:sz w:val="21"/>
                <w:szCs w:val="21"/>
                <w:highlight w:val="none"/>
              </w:rPr>
            </w:pPr>
            <w:r>
              <w:rPr>
                <w:color w:val="auto"/>
                <w:spacing w:val="-2"/>
                <w:sz w:val="21"/>
                <w:szCs w:val="21"/>
                <w:highlight w:val="none"/>
              </w:rPr>
              <w:t>序号</w:t>
            </w:r>
          </w:p>
        </w:tc>
        <w:tc>
          <w:tcPr>
            <w:tcW w:w="7217" w:type="dxa"/>
            <w:tcBorders>
              <w:top w:val="single" w:color="000000" w:sz="6" w:space="0"/>
            </w:tcBorders>
            <w:vAlign w:val="top"/>
          </w:tcPr>
          <w:p w14:paraId="72A627F6">
            <w:pPr>
              <w:pStyle w:val="33"/>
              <w:spacing w:before="124" w:line="221" w:lineRule="auto"/>
              <w:ind w:left="3216"/>
              <w:rPr>
                <w:color w:val="auto"/>
                <w:sz w:val="21"/>
                <w:szCs w:val="21"/>
                <w:highlight w:val="none"/>
              </w:rPr>
            </w:pPr>
            <w:r>
              <w:rPr>
                <w:color w:val="auto"/>
                <w:spacing w:val="-17"/>
                <w:sz w:val="21"/>
                <w:szCs w:val="21"/>
                <w:highlight w:val="none"/>
              </w:rPr>
              <w:t>内</w:t>
            </w:r>
            <w:r>
              <w:rPr>
                <w:color w:val="auto"/>
                <w:spacing w:val="2"/>
                <w:sz w:val="21"/>
                <w:szCs w:val="21"/>
                <w:highlight w:val="none"/>
              </w:rPr>
              <w:t xml:space="preserve">    </w:t>
            </w:r>
            <w:r>
              <w:rPr>
                <w:color w:val="auto"/>
                <w:spacing w:val="-17"/>
                <w:sz w:val="21"/>
                <w:szCs w:val="21"/>
                <w:highlight w:val="none"/>
              </w:rPr>
              <w:t>容</w:t>
            </w:r>
          </w:p>
        </w:tc>
        <w:tc>
          <w:tcPr>
            <w:tcW w:w="965" w:type="dxa"/>
            <w:tcBorders>
              <w:top w:val="single" w:color="000000" w:sz="6" w:space="0"/>
              <w:right w:val="single" w:color="000000" w:sz="6" w:space="0"/>
            </w:tcBorders>
            <w:vAlign w:val="top"/>
          </w:tcPr>
          <w:p w14:paraId="52F42EA9">
            <w:pPr>
              <w:pStyle w:val="33"/>
              <w:spacing w:before="124" w:line="221" w:lineRule="auto"/>
              <w:ind w:left="278"/>
              <w:rPr>
                <w:color w:val="auto"/>
                <w:sz w:val="21"/>
                <w:szCs w:val="21"/>
                <w:highlight w:val="none"/>
              </w:rPr>
            </w:pPr>
            <w:r>
              <w:rPr>
                <w:color w:val="auto"/>
                <w:spacing w:val="-2"/>
                <w:sz w:val="21"/>
                <w:szCs w:val="21"/>
                <w:highlight w:val="none"/>
              </w:rPr>
              <w:t>得分</w:t>
            </w:r>
          </w:p>
        </w:tc>
      </w:tr>
      <w:tr w14:paraId="61DB2A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5" w:hRule="atLeast"/>
        </w:trPr>
        <w:tc>
          <w:tcPr>
            <w:tcW w:w="827" w:type="dxa"/>
            <w:tcBorders>
              <w:left w:val="single" w:color="000000" w:sz="6" w:space="0"/>
            </w:tcBorders>
            <w:vAlign w:val="top"/>
          </w:tcPr>
          <w:p w14:paraId="07CC6E09">
            <w:pPr>
              <w:spacing w:before="208" w:line="187" w:lineRule="auto"/>
              <w:ind w:left="37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7217" w:type="dxa"/>
            <w:vAlign w:val="top"/>
          </w:tcPr>
          <w:p w14:paraId="78CE49A8">
            <w:pPr>
              <w:pStyle w:val="33"/>
              <w:spacing w:before="32" w:line="221" w:lineRule="auto"/>
              <w:ind w:left="107" w:right="392"/>
              <w:rPr>
                <w:color w:val="auto"/>
                <w:sz w:val="21"/>
                <w:szCs w:val="21"/>
                <w:highlight w:val="none"/>
              </w:rPr>
            </w:pPr>
            <w:r>
              <w:rPr>
                <w:color w:val="auto"/>
                <w:sz w:val="21"/>
                <w:szCs w:val="21"/>
                <w:highlight w:val="none"/>
              </w:rPr>
              <w:t>企业信用等级[浙江省水利建设市场信用评价等级</w:t>
            </w:r>
            <w:r>
              <w:rPr>
                <w:color w:val="auto"/>
                <w:spacing w:val="-1"/>
                <w:sz w:val="21"/>
                <w:szCs w:val="21"/>
                <w:highlight w:val="none"/>
              </w:rPr>
              <w:t>（施工类）本项最高得</w:t>
            </w:r>
            <w:r>
              <w:rPr>
                <w:rFonts w:ascii="Times New Roman" w:hAnsi="Times New Roman" w:eastAsia="Times New Roman" w:cs="Times New Roman"/>
                <w:color w:val="auto"/>
                <w:spacing w:val="-1"/>
                <w:sz w:val="21"/>
                <w:szCs w:val="21"/>
                <w:highlight w:val="none"/>
              </w:rPr>
              <w:t>5</w:t>
            </w:r>
            <w:r>
              <w:rPr>
                <w:rFonts w:ascii="Times New Roman" w:hAnsi="Times New Roman" w:eastAsia="Times New Roman" w:cs="Times New Roman"/>
                <w:color w:val="auto"/>
                <w:sz w:val="21"/>
                <w:szCs w:val="21"/>
                <w:highlight w:val="none"/>
              </w:rPr>
              <w:t xml:space="preserve"> </w:t>
            </w:r>
            <w:r>
              <w:rPr>
                <w:color w:val="auto"/>
                <w:spacing w:val="1"/>
                <w:sz w:val="21"/>
                <w:szCs w:val="21"/>
                <w:highlight w:val="none"/>
              </w:rPr>
              <w:t>分。]</w:t>
            </w:r>
          </w:p>
        </w:tc>
        <w:tc>
          <w:tcPr>
            <w:tcW w:w="965" w:type="dxa"/>
            <w:tcBorders>
              <w:right w:val="single" w:color="000000" w:sz="6" w:space="0"/>
            </w:tcBorders>
            <w:vAlign w:val="top"/>
          </w:tcPr>
          <w:p w14:paraId="63D2617A">
            <w:pPr>
              <w:spacing w:before="208" w:line="187" w:lineRule="auto"/>
              <w:ind w:left="35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5.0</w:t>
            </w:r>
          </w:p>
        </w:tc>
      </w:tr>
      <w:tr w14:paraId="7D6847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top"/>
          </w:tcPr>
          <w:p w14:paraId="6ADE1168">
            <w:pPr>
              <w:pStyle w:val="33"/>
              <w:spacing w:before="128" w:line="233" w:lineRule="auto"/>
              <w:ind w:left="153"/>
              <w:rPr>
                <w:color w:val="auto"/>
                <w:sz w:val="21"/>
                <w:szCs w:val="21"/>
                <w:highlight w:val="none"/>
              </w:rPr>
            </w:pPr>
            <w:r>
              <w:rPr>
                <w:color w:val="auto"/>
                <w:spacing w:val="-5"/>
                <w:sz w:val="21"/>
                <w:szCs w:val="21"/>
                <w:highlight w:val="none"/>
              </w:rPr>
              <w:t>（</w:t>
            </w:r>
            <w:r>
              <w:rPr>
                <w:rFonts w:ascii="Times New Roman" w:hAnsi="Times New Roman" w:eastAsia="Times New Roman" w:cs="Times New Roman"/>
                <w:color w:val="auto"/>
                <w:spacing w:val="-5"/>
                <w:sz w:val="21"/>
                <w:szCs w:val="21"/>
                <w:highlight w:val="none"/>
              </w:rPr>
              <w:t>1</w:t>
            </w:r>
            <w:r>
              <w:rPr>
                <w:color w:val="auto"/>
                <w:spacing w:val="-5"/>
                <w:sz w:val="21"/>
                <w:szCs w:val="21"/>
                <w:highlight w:val="none"/>
              </w:rPr>
              <w:t>）</w:t>
            </w:r>
          </w:p>
        </w:tc>
        <w:tc>
          <w:tcPr>
            <w:tcW w:w="7217" w:type="dxa"/>
            <w:vAlign w:val="top"/>
          </w:tcPr>
          <w:p w14:paraId="738B935A">
            <w:pPr>
              <w:pStyle w:val="33"/>
              <w:spacing w:before="128" w:line="221" w:lineRule="auto"/>
              <w:ind w:left="105"/>
              <w:rPr>
                <w:color w:val="auto"/>
                <w:sz w:val="21"/>
                <w:szCs w:val="21"/>
                <w:highlight w:val="none"/>
              </w:rPr>
            </w:pPr>
            <w:r>
              <w:rPr>
                <w:color w:val="auto"/>
                <w:spacing w:val="-1"/>
                <w:sz w:val="21"/>
                <w:szCs w:val="21"/>
                <w:highlight w:val="none"/>
              </w:rPr>
              <w:t>标段概算投资≤</w:t>
            </w:r>
            <w:r>
              <w:rPr>
                <w:rFonts w:ascii="Times New Roman" w:hAnsi="Times New Roman" w:eastAsia="Times New Roman" w:cs="Times New Roman"/>
                <w:color w:val="auto"/>
                <w:spacing w:val="-1"/>
                <w:sz w:val="21"/>
                <w:szCs w:val="21"/>
                <w:highlight w:val="none"/>
              </w:rPr>
              <w:t>6000</w:t>
            </w:r>
            <w:r>
              <w:rPr>
                <w:color w:val="auto"/>
                <w:spacing w:val="-1"/>
                <w:sz w:val="21"/>
                <w:szCs w:val="21"/>
                <w:highlight w:val="none"/>
              </w:rPr>
              <w:t>万元</w:t>
            </w:r>
          </w:p>
        </w:tc>
        <w:tc>
          <w:tcPr>
            <w:tcW w:w="965" w:type="dxa"/>
            <w:tcBorders>
              <w:right w:val="single" w:color="000000" w:sz="6" w:space="0"/>
            </w:tcBorders>
            <w:vAlign w:val="top"/>
          </w:tcPr>
          <w:p w14:paraId="5DE91022">
            <w:pPr>
              <w:rPr>
                <w:rFonts w:ascii="Arial"/>
                <w:color w:val="auto"/>
                <w:sz w:val="21"/>
                <w:highlight w:val="none"/>
              </w:rPr>
            </w:pPr>
          </w:p>
        </w:tc>
      </w:tr>
      <w:tr w14:paraId="651386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827" w:type="dxa"/>
            <w:tcBorders>
              <w:left w:val="single" w:color="000000" w:sz="6" w:space="0"/>
              <w:bottom w:val="single" w:color="000000" w:sz="6" w:space="0"/>
            </w:tcBorders>
            <w:vAlign w:val="top"/>
          </w:tcPr>
          <w:p w14:paraId="02B3BFCE">
            <w:pPr>
              <w:rPr>
                <w:rFonts w:ascii="Arial"/>
                <w:color w:val="auto"/>
                <w:sz w:val="21"/>
                <w:highlight w:val="none"/>
              </w:rPr>
            </w:pPr>
          </w:p>
        </w:tc>
        <w:tc>
          <w:tcPr>
            <w:tcW w:w="7217" w:type="dxa"/>
            <w:tcBorders>
              <w:bottom w:val="single" w:color="000000" w:sz="6" w:space="0"/>
            </w:tcBorders>
            <w:vAlign w:val="top"/>
          </w:tcPr>
          <w:p w14:paraId="26FFD3D9">
            <w:pPr>
              <w:pStyle w:val="33"/>
              <w:spacing w:before="131" w:line="221" w:lineRule="auto"/>
              <w:ind w:left="108"/>
              <w:rPr>
                <w:rFonts w:ascii="Times New Roman" w:hAnsi="Times New Roman" w:eastAsia="Times New Roman" w:cs="Times New Roman"/>
                <w:color w:val="auto"/>
                <w:sz w:val="21"/>
                <w:szCs w:val="21"/>
                <w:highlight w:val="none"/>
              </w:rPr>
            </w:pPr>
            <w:r>
              <w:rPr>
                <w:color w:val="auto"/>
                <w:spacing w:val="-5"/>
                <w:sz w:val="21"/>
                <w:szCs w:val="21"/>
                <w:highlight w:val="none"/>
              </w:rPr>
              <w:t>省</w:t>
            </w:r>
            <w:r>
              <w:rPr>
                <w:rFonts w:ascii="Times New Roman" w:hAnsi="Times New Roman" w:eastAsia="Times New Roman" w:cs="Times New Roman"/>
                <w:color w:val="auto"/>
                <w:spacing w:val="-5"/>
                <w:sz w:val="21"/>
                <w:szCs w:val="21"/>
                <w:highlight w:val="none"/>
              </w:rPr>
              <w:t>A</w:t>
            </w:r>
          </w:p>
        </w:tc>
        <w:tc>
          <w:tcPr>
            <w:tcW w:w="965" w:type="dxa"/>
            <w:tcBorders>
              <w:bottom w:val="single" w:color="000000" w:sz="6" w:space="0"/>
              <w:right w:val="single" w:color="000000" w:sz="6" w:space="0"/>
            </w:tcBorders>
            <w:vAlign w:val="top"/>
          </w:tcPr>
          <w:p w14:paraId="60E8A1C7">
            <w:pPr>
              <w:spacing w:before="170" w:line="187" w:lineRule="auto"/>
              <w:ind w:left="35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5.0</w:t>
            </w:r>
          </w:p>
        </w:tc>
      </w:tr>
    </w:tbl>
    <w:p w14:paraId="0C1534A4">
      <w:pPr>
        <w:pStyle w:val="3"/>
        <w:rPr>
          <w:color w:val="auto"/>
          <w:highlight w:val="none"/>
        </w:rPr>
      </w:pPr>
    </w:p>
    <w:p w14:paraId="68587BDC">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304D6575">
      <w:pPr>
        <w:spacing w:line="89" w:lineRule="auto"/>
        <w:rPr>
          <w:rFonts w:ascii="Arial"/>
          <w:color w:val="auto"/>
          <w:sz w:val="2"/>
          <w:highlight w:val="none"/>
        </w:rPr>
      </w:pPr>
    </w:p>
    <w:tbl>
      <w:tblPr>
        <w:tblStyle w:val="32"/>
        <w:tblW w:w="9009"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7217"/>
        <w:gridCol w:w="965"/>
      </w:tblGrid>
      <w:tr w14:paraId="73C2D6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27" w:type="dxa"/>
            <w:tcBorders>
              <w:top w:val="single" w:color="000000" w:sz="6" w:space="0"/>
              <w:left w:val="single" w:color="000000" w:sz="6" w:space="0"/>
            </w:tcBorders>
            <w:vAlign w:val="top"/>
          </w:tcPr>
          <w:p w14:paraId="4066E9B2">
            <w:pPr>
              <w:rPr>
                <w:rFonts w:ascii="Arial"/>
                <w:color w:val="auto"/>
                <w:sz w:val="21"/>
                <w:highlight w:val="none"/>
              </w:rPr>
            </w:pPr>
          </w:p>
        </w:tc>
        <w:tc>
          <w:tcPr>
            <w:tcW w:w="7217" w:type="dxa"/>
            <w:tcBorders>
              <w:top w:val="single" w:color="000000" w:sz="6" w:space="0"/>
            </w:tcBorders>
            <w:vAlign w:val="top"/>
          </w:tcPr>
          <w:p w14:paraId="65E40E0A">
            <w:pPr>
              <w:pStyle w:val="33"/>
              <w:spacing w:before="124" w:line="221" w:lineRule="auto"/>
              <w:ind w:left="108"/>
              <w:rPr>
                <w:rFonts w:ascii="Times New Roman" w:hAnsi="Times New Roman" w:eastAsia="Times New Roman" w:cs="Times New Roman"/>
                <w:color w:val="auto"/>
                <w:sz w:val="21"/>
                <w:szCs w:val="21"/>
                <w:highlight w:val="none"/>
              </w:rPr>
            </w:pPr>
            <w:r>
              <w:rPr>
                <w:color w:val="auto"/>
                <w:spacing w:val="-5"/>
                <w:sz w:val="21"/>
                <w:szCs w:val="21"/>
                <w:highlight w:val="none"/>
              </w:rPr>
              <w:t>省</w:t>
            </w:r>
            <w:r>
              <w:rPr>
                <w:rFonts w:ascii="Times New Roman" w:hAnsi="Times New Roman" w:eastAsia="Times New Roman" w:cs="Times New Roman"/>
                <w:color w:val="auto"/>
                <w:spacing w:val="-5"/>
                <w:sz w:val="21"/>
                <w:szCs w:val="21"/>
                <w:highlight w:val="none"/>
              </w:rPr>
              <w:t>B</w:t>
            </w:r>
          </w:p>
        </w:tc>
        <w:tc>
          <w:tcPr>
            <w:tcW w:w="965" w:type="dxa"/>
            <w:tcBorders>
              <w:top w:val="single" w:color="000000" w:sz="6" w:space="0"/>
              <w:right w:val="single" w:color="000000" w:sz="6" w:space="0"/>
            </w:tcBorders>
            <w:vAlign w:val="top"/>
          </w:tcPr>
          <w:p w14:paraId="5F0427A9">
            <w:pPr>
              <w:spacing w:before="163" w:line="187" w:lineRule="auto"/>
              <w:ind w:left="351"/>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1"/>
                <w:sz w:val="21"/>
                <w:szCs w:val="21"/>
                <w:highlight w:val="none"/>
              </w:rPr>
              <w:t>4.0</w:t>
            </w:r>
          </w:p>
        </w:tc>
      </w:tr>
      <w:tr w14:paraId="134D2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left w:val="single" w:color="000000" w:sz="6" w:space="0"/>
            </w:tcBorders>
            <w:vAlign w:val="top"/>
          </w:tcPr>
          <w:p w14:paraId="460385CE">
            <w:pPr>
              <w:rPr>
                <w:rFonts w:ascii="Arial"/>
                <w:color w:val="auto"/>
                <w:sz w:val="21"/>
                <w:highlight w:val="none"/>
              </w:rPr>
            </w:pPr>
          </w:p>
        </w:tc>
        <w:tc>
          <w:tcPr>
            <w:tcW w:w="7217" w:type="dxa"/>
            <w:vAlign w:val="top"/>
          </w:tcPr>
          <w:p w14:paraId="59FD62CF">
            <w:pPr>
              <w:pStyle w:val="33"/>
              <w:spacing w:before="124" w:line="221" w:lineRule="auto"/>
              <w:ind w:left="108"/>
              <w:rPr>
                <w:rFonts w:ascii="Times New Roman" w:hAnsi="Times New Roman" w:eastAsia="Times New Roman" w:cs="Times New Roman"/>
                <w:color w:val="auto"/>
                <w:sz w:val="21"/>
                <w:szCs w:val="21"/>
                <w:highlight w:val="none"/>
              </w:rPr>
            </w:pPr>
            <w:r>
              <w:rPr>
                <w:color w:val="auto"/>
                <w:spacing w:val="-5"/>
                <w:sz w:val="21"/>
                <w:szCs w:val="21"/>
                <w:highlight w:val="none"/>
              </w:rPr>
              <w:t>省</w:t>
            </w:r>
            <w:r>
              <w:rPr>
                <w:rFonts w:ascii="Times New Roman" w:hAnsi="Times New Roman" w:eastAsia="Times New Roman" w:cs="Times New Roman"/>
                <w:color w:val="auto"/>
                <w:spacing w:val="-5"/>
                <w:sz w:val="21"/>
                <w:szCs w:val="21"/>
                <w:highlight w:val="none"/>
              </w:rPr>
              <w:t>C</w:t>
            </w:r>
          </w:p>
        </w:tc>
        <w:tc>
          <w:tcPr>
            <w:tcW w:w="965" w:type="dxa"/>
            <w:tcBorders>
              <w:right w:val="single" w:color="000000" w:sz="6" w:space="0"/>
            </w:tcBorders>
            <w:vAlign w:val="top"/>
          </w:tcPr>
          <w:p w14:paraId="371A910B">
            <w:pPr>
              <w:spacing w:before="163" w:line="187" w:lineRule="auto"/>
              <w:ind w:left="373"/>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5"/>
                <w:sz w:val="21"/>
                <w:szCs w:val="21"/>
                <w:highlight w:val="none"/>
              </w:rPr>
              <w:t>1.0</w:t>
            </w:r>
          </w:p>
        </w:tc>
      </w:tr>
      <w:tr w14:paraId="63D535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27" w:type="dxa"/>
            <w:tcBorders>
              <w:left w:val="single" w:color="000000" w:sz="6" w:space="0"/>
            </w:tcBorders>
            <w:vAlign w:val="top"/>
          </w:tcPr>
          <w:p w14:paraId="6C8BF8F8">
            <w:pPr>
              <w:rPr>
                <w:rFonts w:ascii="Arial"/>
                <w:color w:val="auto"/>
                <w:sz w:val="21"/>
                <w:highlight w:val="none"/>
              </w:rPr>
            </w:pPr>
          </w:p>
        </w:tc>
        <w:tc>
          <w:tcPr>
            <w:tcW w:w="7217" w:type="dxa"/>
            <w:vAlign w:val="top"/>
          </w:tcPr>
          <w:p w14:paraId="1944EEA9">
            <w:pPr>
              <w:pStyle w:val="33"/>
              <w:spacing w:before="124" w:line="219" w:lineRule="auto"/>
              <w:ind w:left="108"/>
              <w:rPr>
                <w:color w:val="auto"/>
                <w:sz w:val="21"/>
                <w:szCs w:val="21"/>
                <w:highlight w:val="none"/>
              </w:rPr>
            </w:pPr>
            <w:r>
              <w:rPr>
                <w:color w:val="auto"/>
                <w:spacing w:val="-1"/>
                <w:sz w:val="21"/>
                <w:szCs w:val="21"/>
                <w:highlight w:val="none"/>
              </w:rPr>
              <w:t>省</w:t>
            </w:r>
            <w:r>
              <w:rPr>
                <w:rFonts w:ascii="Times New Roman" w:hAnsi="Times New Roman" w:eastAsia="Times New Roman" w:cs="Times New Roman"/>
                <w:color w:val="auto"/>
                <w:spacing w:val="-1"/>
                <w:sz w:val="21"/>
                <w:szCs w:val="21"/>
                <w:highlight w:val="none"/>
              </w:rPr>
              <w:t>D</w:t>
            </w:r>
            <w:r>
              <w:rPr>
                <w:color w:val="auto"/>
                <w:spacing w:val="-1"/>
                <w:sz w:val="21"/>
                <w:szCs w:val="21"/>
                <w:highlight w:val="none"/>
              </w:rPr>
              <w:t>及以下等级或无信用评价等级</w:t>
            </w:r>
          </w:p>
        </w:tc>
        <w:tc>
          <w:tcPr>
            <w:tcW w:w="965" w:type="dxa"/>
            <w:tcBorders>
              <w:right w:val="single" w:color="000000" w:sz="6" w:space="0"/>
            </w:tcBorders>
            <w:vAlign w:val="top"/>
          </w:tcPr>
          <w:p w14:paraId="30B3A578">
            <w:pPr>
              <w:spacing w:before="162" w:line="187" w:lineRule="auto"/>
              <w:ind w:left="356"/>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pacing w:val="-3"/>
                <w:sz w:val="21"/>
                <w:szCs w:val="21"/>
                <w:highlight w:val="none"/>
              </w:rPr>
              <w:t>0.0</w:t>
            </w:r>
          </w:p>
        </w:tc>
      </w:tr>
      <w:tr w14:paraId="593CF6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27" w:type="dxa"/>
            <w:tcBorders>
              <w:left w:val="single" w:color="000000" w:sz="6" w:space="0"/>
            </w:tcBorders>
            <w:vAlign w:val="top"/>
          </w:tcPr>
          <w:p w14:paraId="204C35CB">
            <w:pPr>
              <w:pStyle w:val="33"/>
              <w:spacing w:before="125" w:line="233" w:lineRule="auto"/>
              <w:ind w:left="153"/>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2</w:t>
            </w:r>
            <w:r>
              <w:rPr>
                <w:strike/>
                <w:dstrike w:val="0"/>
                <w:color w:val="auto"/>
                <w:spacing w:val="-5"/>
                <w:sz w:val="21"/>
                <w:szCs w:val="21"/>
                <w:highlight w:val="none"/>
              </w:rPr>
              <w:t>）</w:t>
            </w:r>
          </w:p>
        </w:tc>
        <w:tc>
          <w:tcPr>
            <w:tcW w:w="7217" w:type="dxa"/>
            <w:vAlign w:val="top"/>
          </w:tcPr>
          <w:p w14:paraId="02B58EF5">
            <w:pPr>
              <w:pStyle w:val="33"/>
              <w:spacing w:before="125" w:line="221" w:lineRule="auto"/>
              <w:ind w:left="105"/>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965" w:type="dxa"/>
            <w:tcBorders>
              <w:right w:val="single" w:color="000000" w:sz="6" w:space="0"/>
            </w:tcBorders>
            <w:vAlign w:val="top"/>
          </w:tcPr>
          <w:p w14:paraId="27A767F9">
            <w:pPr>
              <w:rPr>
                <w:rFonts w:ascii="Arial"/>
                <w:strike/>
                <w:dstrike w:val="0"/>
                <w:color w:val="auto"/>
                <w:sz w:val="21"/>
                <w:highlight w:val="none"/>
              </w:rPr>
            </w:pPr>
          </w:p>
        </w:tc>
      </w:tr>
      <w:tr w14:paraId="7E990B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left w:val="single" w:color="000000" w:sz="6" w:space="0"/>
            </w:tcBorders>
            <w:vAlign w:val="top"/>
          </w:tcPr>
          <w:p w14:paraId="2D5A3073">
            <w:pPr>
              <w:rPr>
                <w:rFonts w:ascii="Arial"/>
                <w:strike/>
                <w:dstrike w:val="0"/>
                <w:color w:val="auto"/>
                <w:sz w:val="21"/>
                <w:highlight w:val="none"/>
              </w:rPr>
            </w:pPr>
          </w:p>
        </w:tc>
        <w:tc>
          <w:tcPr>
            <w:tcW w:w="7217" w:type="dxa"/>
            <w:vAlign w:val="top"/>
          </w:tcPr>
          <w:p w14:paraId="5282943A">
            <w:pPr>
              <w:pStyle w:val="33"/>
              <w:spacing w:before="130"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A</w:t>
            </w:r>
          </w:p>
        </w:tc>
        <w:tc>
          <w:tcPr>
            <w:tcW w:w="965" w:type="dxa"/>
            <w:tcBorders>
              <w:right w:val="single" w:color="000000" w:sz="6" w:space="0"/>
            </w:tcBorders>
            <w:vAlign w:val="top"/>
          </w:tcPr>
          <w:p w14:paraId="4D61F654">
            <w:pPr>
              <w:spacing w:before="169" w:line="187" w:lineRule="auto"/>
              <w:ind w:left="35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5.0</w:t>
            </w:r>
          </w:p>
        </w:tc>
      </w:tr>
      <w:tr w14:paraId="19850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27" w:type="dxa"/>
            <w:tcBorders>
              <w:left w:val="single" w:color="000000" w:sz="6" w:space="0"/>
            </w:tcBorders>
            <w:vAlign w:val="top"/>
          </w:tcPr>
          <w:p w14:paraId="184250A5">
            <w:pPr>
              <w:rPr>
                <w:rFonts w:ascii="Arial"/>
                <w:strike/>
                <w:dstrike w:val="0"/>
                <w:color w:val="auto"/>
                <w:sz w:val="21"/>
                <w:highlight w:val="none"/>
              </w:rPr>
            </w:pPr>
          </w:p>
        </w:tc>
        <w:tc>
          <w:tcPr>
            <w:tcW w:w="7217" w:type="dxa"/>
            <w:vAlign w:val="top"/>
          </w:tcPr>
          <w:p w14:paraId="6A3A7411">
            <w:pPr>
              <w:pStyle w:val="33"/>
              <w:spacing w:before="129"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B</w:t>
            </w:r>
          </w:p>
        </w:tc>
        <w:tc>
          <w:tcPr>
            <w:tcW w:w="965" w:type="dxa"/>
            <w:tcBorders>
              <w:right w:val="single" w:color="000000" w:sz="6" w:space="0"/>
            </w:tcBorders>
            <w:vAlign w:val="top"/>
          </w:tcPr>
          <w:p w14:paraId="6838513A">
            <w:pPr>
              <w:spacing w:before="168" w:line="187" w:lineRule="auto"/>
              <w:ind w:left="357"/>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3.0</w:t>
            </w:r>
          </w:p>
        </w:tc>
      </w:tr>
      <w:tr w14:paraId="1D289B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6" w:hRule="atLeast"/>
        </w:trPr>
        <w:tc>
          <w:tcPr>
            <w:tcW w:w="827" w:type="dxa"/>
            <w:tcBorders>
              <w:left w:val="single" w:color="000000" w:sz="6" w:space="0"/>
            </w:tcBorders>
            <w:vAlign w:val="top"/>
          </w:tcPr>
          <w:p w14:paraId="01E9F68F">
            <w:pPr>
              <w:rPr>
                <w:rFonts w:ascii="Arial"/>
                <w:strike/>
                <w:dstrike w:val="0"/>
                <w:color w:val="auto"/>
                <w:sz w:val="21"/>
                <w:highlight w:val="none"/>
              </w:rPr>
            </w:pPr>
          </w:p>
        </w:tc>
        <w:tc>
          <w:tcPr>
            <w:tcW w:w="7217" w:type="dxa"/>
            <w:vAlign w:val="top"/>
          </w:tcPr>
          <w:p w14:paraId="288676EA">
            <w:pPr>
              <w:pStyle w:val="33"/>
              <w:spacing w:before="131"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C</w:t>
            </w:r>
          </w:p>
        </w:tc>
        <w:tc>
          <w:tcPr>
            <w:tcW w:w="965" w:type="dxa"/>
            <w:tcBorders>
              <w:right w:val="single" w:color="000000" w:sz="6" w:space="0"/>
            </w:tcBorders>
            <w:vAlign w:val="top"/>
          </w:tcPr>
          <w:p w14:paraId="35B43D3B">
            <w:pPr>
              <w:spacing w:before="170" w:line="187" w:lineRule="auto"/>
              <w:ind w:left="373"/>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5"/>
                <w:sz w:val="21"/>
                <w:szCs w:val="21"/>
                <w:highlight w:val="none"/>
              </w:rPr>
              <w:t>1.0</w:t>
            </w:r>
          </w:p>
        </w:tc>
      </w:tr>
      <w:tr w14:paraId="7D2CE0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3" w:hRule="atLeast"/>
        </w:trPr>
        <w:tc>
          <w:tcPr>
            <w:tcW w:w="827" w:type="dxa"/>
            <w:tcBorders>
              <w:left w:val="single" w:color="000000" w:sz="6" w:space="0"/>
              <w:bottom w:val="single" w:color="000000" w:sz="6" w:space="0"/>
            </w:tcBorders>
            <w:vAlign w:val="top"/>
          </w:tcPr>
          <w:p w14:paraId="78A7E137">
            <w:pPr>
              <w:rPr>
                <w:rFonts w:ascii="Arial"/>
                <w:strike/>
                <w:dstrike w:val="0"/>
                <w:color w:val="auto"/>
                <w:sz w:val="21"/>
                <w:highlight w:val="none"/>
              </w:rPr>
            </w:pPr>
          </w:p>
        </w:tc>
        <w:tc>
          <w:tcPr>
            <w:tcW w:w="7217" w:type="dxa"/>
            <w:tcBorders>
              <w:bottom w:val="single" w:color="000000" w:sz="6" w:space="0"/>
            </w:tcBorders>
            <w:vAlign w:val="top"/>
          </w:tcPr>
          <w:p w14:paraId="565C70CA">
            <w:pPr>
              <w:pStyle w:val="33"/>
              <w:spacing w:before="136" w:line="219" w:lineRule="auto"/>
              <w:ind w:left="108"/>
              <w:rPr>
                <w:strike/>
                <w:dstrike w:val="0"/>
                <w:color w:val="auto"/>
                <w:sz w:val="21"/>
                <w:szCs w:val="21"/>
                <w:highlight w:val="none"/>
              </w:rPr>
            </w:pPr>
            <w:r>
              <w:rPr>
                <w:strike/>
                <w:dstrike w:val="0"/>
                <w:color w:val="auto"/>
                <w:spacing w:val="-1"/>
                <w:sz w:val="21"/>
                <w:szCs w:val="21"/>
                <w:highlight w:val="none"/>
              </w:rPr>
              <w:t>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965" w:type="dxa"/>
            <w:tcBorders>
              <w:bottom w:val="single" w:color="000000" w:sz="6" w:space="0"/>
              <w:right w:val="single" w:color="000000" w:sz="6" w:space="0"/>
            </w:tcBorders>
            <w:vAlign w:val="top"/>
          </w:tcPr>
          <w:p w14:paraId="0422C560">
            <w:pPr>
              <w:spacing w:before="175" w:line="187" w:lineRule="auto"/>
              <w:ind w:left="35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0.0</w:t>
            </w:r>
          </w:p>
        </w:tc>
      </w:tr>
    </w:tbl>
    <w:p w14:paraId="47E7E32C">
      <w:pPr>
        <w:pStyle w:val="3"/>
        <w:spacing w:line="371" w:lineRule="auto"/>
        <w:rPr>
          <w:color w:val="auto"/>
          <w:highlight w:val="none"/>
        </w:rPr>
      </w:pPr>
    </w:p>
    <w:p w14:paraId="49AC242B">
      <w:pPr>
        <w:spacing w:before="78" w:line="350" w:lineRule="auto"/>
        <w:ind w:left="14" w:right="237" w:firstLine="480"/>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企业信用等级证明材料指：浙江省水利建设市场信用评价等级（施工类）</w:t>
      </w:r>
      <w:r>
        <w:rPr>
          <w:rFonts w:ascii="宋体" w:hAnsi="宋体" w:eastAsia="宋体" w:cs="宋体"/>
          <w:color w:val="auto"/>
          <w:spacing w:val="-4"/>
          <w:sz w:val="24"/>
          <w:szCs w:val="24"/>
          <w:highlight w:val="none"/>
        </w:rPr>
        <w:t>的提供</w:t>
      </w:r>
      <w:r>
        <w:rPr>
          <w:rFonts w:ascii="宋体" w:hAnsi="宋体" w:eastAsia="宋体" w:cs="宋体"/>
          <w:color w:val="auto"/>
          <w:spacing w:val="1"/>
          <w:sz w:val="24"/>
          <w:szCs w:val="24"/>
          <w:highlight w:val="none"/>
        </w:rPr>
        <w:t>投标截止日前最新一期信用评价等级打印件（信用评价等级每周五下午</w:t>
      </w:r>
      <w:r>
        <w:rPr>
          <w:rFonts w:ascii="Times New Roman" w:hAnsi="Times New Roman" w:eastAsia="Times New Roman" w:cs="Times New Roman"/>
          <w:color w:val="auto"/>
          <w:spacing w:val="1"/>
          <w:sz w:val="24"/>
          <w:szCs w:val="24"/>
          <w:highlight w:val="none"/>
        </w:rPr>
        <w:t>17:00-2</w:t>
      </w:r>
      <w:r>
        <w:rPr>
          <w:rFonts w:ascii="Times New Roman" w:hAnsi="Times New Roman" w:eastAsia="Times New Roman" w:cs="Times New Roman"/>
          <w:color w:val="auto"/>
          <w:sz w:val="24"/>
          <w:szCs w:val="24"/>
          <w:highlight w:val="none"/>
        </w:rPr>
        <w:t xml:space="preserve">4:00 </w:t>
      </w:r>
      <w:r>
        <w:rPr>
          <w:rFonts w:ascii="宋体" w:hAnsi="宋体" w:eastAsia="宋体" w:cs="宋体"/>
          <w:color w:val="auto"/>
          <w:spacing w:val="-2"/>
          <w:sz w:val="24"/>
          <w:szCs w:val="24"/>
          <w:highlight w:val="none"/>
        </w:rPr>
        <w:t>更新），打印件应含有“浙江水利透明工程”水印。</w:t>
      </w:r>
    </w:p>
    <w:p w14:paraId="42237900">
      <w:pPr>
        <w:spacing w:before="32" w:line="334" w:lineRule="auto"/>
        <w:ind w:right="166" w:firstLine="480"/>
        <w:rPr>
          <w:rFonts w:ascii="宋体" w:hAnsi="宋体" w:eastAsia="宋体" w:cs="宋体"/>
          <w:color w:val="auto"/>
          <w:sz w:val="25"/>
          <w:szCs w:val="25"/>
          <w:highlight w:val="none"/>
        </w:rPr>
      </w:pPr>
      <w:r>
        <w:rPr>
          <w:rFonts w:ascii="宋体" w:hAnsi="宋体" w:eastAsia="宋体" w:cs="宋体"/>
          <w:i/>
          <w:iCs/>
          <w:color w:val="auto"/>
          <w:spacing w:val="-11"/>
          <w:sz w:val="25"/>
          <w:szCs w:val="25"/>
          <w:highlight w:val="none"/>
        </w:rPr>
        <w:t>注：招标人可选用全国水利建设市场监管服务平台公布的企业信用评价等级，并</w:t>
      </w:r>
      <w:r>
        <w:rPr>
          <w:rFonts w:ascii="宋体" w:hAnsi="宋体" w:eastAsia="宋体" w:cs="宋体"/>
          <w:i/>
          <w:iCs/>
          <w:color w:val="auto"/>
          <w:spacing w:val="-6"/>
          <w:sz w:val="25"/>
          <w:szCs w:val="25"/>
          <w:highlight w:val="none"/>
        </w:rPr>
        <w:t>修改资信评分标准表。</w:t>
      </w:r>
    </w:p>
    <w:p w14:paraId="187A6497">
      <w:pPr>
        <w:spacing w:before="29" w:line="220" w:lineRule="auto"/>
        <w:ind w:left="7"/>
        <w:outlineLvl w:val="2"/>
        <w:rPr>
          <w:rFonts w:ascii="宋体" w:hAnsi="宋体" w:eastAsia="宋体" w:cs="宋体"/>
          <w:color w:val="auto"/>
          <w:sz w:val="24"/>
          <w:szCs w:val="24"/>
          <w:highlight w:val="none"/>
        </w:rPr>
      </w:pPr>
      <w:bookmarkStart w:id="313" w:name="bookmark199"/>
      <w:bookmarkEnd w:id="313"/>
      <w:bookmarkStart w:id="314" w:name="bookmark200"/>
      <w:bookmarkEnd w:id="314"/>
      <w:bookmarkStart w:id="315" w:name="_Toc11780"/>
      <w:bookmarkStart w:id="316" w:name="_Toc23647"/>
      <w:r>
        <w:rPr>
          <w:rFonts w:ascii="Times New Roman" w:hAnsi="Times New Roman" w:eastAsia="Times New Roman" w:cs="Times New Roman"/>
          <w:b/>
          <w:bCs/>
          <w:color w:val="auto"/>
          <w:spacing w:val="-2"/>
          <w:sz w:val="24"/>
          <w:szCs w:val="24"/>
          <w:highlight w:val="none"/>
        </w:rPr>
        <w:t xml:space="preserve">4.5  </w:t>
      </w:r>
      <w:r>
        <w:rPr>
          <w:rFonts w:ascii="宋体" w:hAnsi="宋体" w:eastAsia="宋体" w:cs="宋体"/>
          <w:b/>
          <w:bCs/>
          <w:color w:val="auto"/>
          <w:spacing w:val="-2"/>
          <w:sz w:val="24"/>
          <w:szCs w:val="24"/>
          <w:highlight w:val="none"/>
        </w:rPr>
        <w:t>投标文件的商务符合性审查</w:t>
      </w:r>
      <w:bookmarkEnd w:id="315"/>
      <w:bookmarkEnd w:id="316"/>
    </w:p>
    <w:p w14:paraId="7C6F9164">
      <w:pPr>
        <w:spacing w:before="182" w:line="289" w:lineRule="auto"/>
        <w:ind w:left="13" w:right="237" w:firstLine="546"/>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4.5.1  </w:t>
      </w:r>
      <w:r>
        <w:rPr>
          <w:rFonts w:ascii="宋体" w:hAnsi="宋体" w:eastAsia="宋体" w:cs="宋体"/>
          <w:color w:val="auto"/>
          <w:spacing w:val="-1"/>
          <w:sz w:val="24"/>
          <w:szCs w:val="24"/>
          <w:highlight w:val="none"/>
        </w:rPr>
        <w:t>评标委员会应对通过资信符合性审查的投</w:t>
      </w:r>
      <w:r>
        <w:rPr>
          <w:rFonts w:ascii="宋体" w:hAnsi="宋体" w:eastAsia="宋体" w:cs="宋体"/>
          <w:color w:val="auto"/>
          <w:spacing w:val="-2"/>
          <w:sz w:val="24"/>
          <w:szCs w:val="24"/>
          <w:highlight w:val="none"/>
        </w:rPr>
        <w:t>标文件进行商务符合性审查。商务符合性审查未通过的投标文件不再进入后续评审。</w:t>
      </w:r>
    </w:p>
    <w:p w14:paraId="3DD3087C">
      <w:pPr>
        <w:spacing w:before="183" w:line="288" w:lineRule="auto"/>
        <w:ind w:left="30" w:right="235" w:firstLine="524"/>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4.5.2  </w:t>
      </w:r>
      <w:r>
        <w:rPr>
          <w:rFonts w:ascii="宋体" w:hAnsi="宋体" w:eastAsia="宋体" w:cs="宋体"/>
          <w:color w:val="auto"/>
          <w:spacing w:val="-1"/>
          <w:sz w:val="24"/>
          <w:szCs w:val="24"/>
          <w:highlight w:val="none"/>
        </w:rPr>
        <w:t>投标人不得通过补充、修改或撤销投标文件中的内容使其</w:t>
      </w:r>
      <w:r>
        <w:rPr>
          <w:rFonts w:ascii="宋体" w:hAnsi="宋体" w:eastAsia="宋体" w:cs="宋体"/>
          <w:color w:val="auto"/>
          <w:spacing w:val="-2"/>
          <w:sz w:val="24"/>
          <w:szCs w:val="24"/>
          <w:highlight w:val="none"/>
        </w:rPr>
        <w:t>成为实质性响应的投标。投标人在投标截止以后不得提交任何资料作为</w:t>
      </w:r>
      <w:r>
        <w:rPr>
          <w:rFonts w:ascii="宋体" w:hAnsi="宋体" w:eastAsia="宋体" w:cs="宋体"/>
          <w:color w:val="auto"/>
          <w:spacing w:val="-3"/>
          <w:sz w:val="24"/>
          <w:szCs w:val="24"/>
          <w:highlight w:val="none"/>
        </w:rPr>
        <w:t>评标依据。</w:t>
      </w:r>
    </w:p>
    <w:p w14:paraId="0EC101BD">
      <w:pPr>
        <w:spacing w:before="183" w:line="313" w:lineRule="auto"/>
        <w:ind w:left="13" w:right="173" w:firstLine="534"/>
        <w:rPr>
          <w:rFonts w:hint="eastAsia"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1"/>
          <w:sz w:val="24"/>
          <w:szCs w:val="24"/>
          <w:highlight w:val="none"/>
        </w:rPr>
        <w:t xml:space="preserve">4.5.3  </w:t>
      </w:r>
      <w:r>
        <w:rPr>
          <w:rFonts w:ascii="宋体" w:hAnsi="宋体" w:eastAsia="宋体" w:cs="宋体"/>
          <w:spacing w:val="-2"/>
          <w:sz w:val="24"/>
          <w:szCs w:val="24"/>
        </w:rPr>
        <w:t>投标文件如存在投标人须知前附表</w:t>
      </w:r>
      <w:r>
        <w:rPr>
          <w:rFonts w:ascii="Times New Roman" w:hAnsi="Times New Roman" w:eastAsia="Times New Roman" w:cs="Times New Roman"/>
          <w:spacing w:val="-2"/>
          <w:sz w:val="24"/>
          <w:szCs w:val="24"/>
        </w:rPr>
        <w:t>10.8</w:t>
      </w:r>
      <w:r>
        <w:rPr>
          <w:rFonts w:ascii="Times New Roman" w:hAnsi="Times New Roman" w:eastAsia="Times New Roman" w:cs="Times New Roman"/>
          <w:spacing w:val="29"/>
          <w:sz w:val="24"/>
          <w:szCs w:val="24"/>
        </w:rPr>
        <w:t xml:space="preserve"> </w:t>
      </w:r>
      <w:r>
        <w:rPr>
          <w:rFonts w:ascii="宋体" w:hAnsi="宋体" w:eastAsia="宋体" w:cs="宋体"/>
          <w:spacing w:val="-2"/>
          <w:sz w:val="24"/>
          <w:szCs w:val="24"/>
        </w:rPr>
        <w:t>“</w:t>
      </w:r>
      <w:r>
        <w:rPr>
          <w:rFonts w:ascii="Times New Roman" w:hAnsi="Times New Roman" w:eastAsia="Times New Roman" w:cs="Times New Roman"/>
          <w:spacing w:val="-2"/>
          <w:sz w:val="24"/>
          <w:szCs w:val="24"/>
        </w:rPr>
        <w:t>4.</w:t>
      </w:r>
      <w:r>
        <w:rPr>
          <w:rFonts w:ascii="宋体" w:hAnsi="宋体" w:eastAsia="宋体" w:cs="宋体"/>
          <w:spacing w:val="-2"/>
          <w:sz w:val="24"/>
          <w:szCs w:val="24"/>
        </w:rPr>
        <w:t>商务符合性审查</w:t>
      </w:r>
      <w:r>
        <w:rPr>
          <w:rFonts w:ascii="宋体" w:hAnsi="宋体" w:eastAsia="宋体" w:cs="宋体"/>
          <w:spacing w:val="-88"/>
          <w:sz w:val="24"/>
          <w:szCs w:val="24"/>
        </w:rPr>
        <w:t xml:space="preserve"> </w:t>
      </w:r>
      <w:r>
        <w:rPr>
          <w:rFonts w:ascii="宋体" w:hAnsi="宋体" w:eastAsia="宋体" w:cs="宋体"/>
          <w:spacing w:val="-2"/>
          <w:sz w:val="24"/>
          <w:szCs w:val="24"/>
        </w:rPr>
        <w:t>”</w:t>
      </w:r>
      <w:r>
        <w:rPr>
          <w:rFonts w:ascii="宋体" w:hAnsi="宋体" w:eastAsia="宋体" w:cs="宋体"/>
          <w:spacing w:val="-3"/>
          <w:sz w:val="24"/>
          <w:szCs w:val="24"/>
        </w:rPr>
        <w:t>情况之一的</w:t>
      </w:r>
      <w:r>
        <w:rPr>
          <w:rFonts w:hint="eastAsia" w:ascii="宋体" w:hAnsi="宋体" w:eastAsia="宋体" w:cs="宋体"/>
          <w:spacing w:val="-3"/>
          <w:sz w:val="24"/>
          <w:szCs w:val="24"/>
          <w:lang w:eastAsia="zh-CN"/>
        </w:rPr>
        <w:t>，</w:t>
      </w:r>
      <w:r>
        <w:rPr>
          <w:rFonts w:ascii="宋体" w:hAnsi="宋体" w:eastAsia="宋体" w:cs="宋体"/>
          <w:spacing w:val="-3"/>
          <w:sz w:val="24"/>
          <w:szCs w:val="24"/>
        </w:rPr>
        <w:t>由评标委员会全体成员按照少数服从多数的原则记名投票（不得弃权）认定，作为商务符合性审查未通过予以否决其投标，不再进行后续评审</w:t>
      </w:r>
      <w:r>
        <w:rPr>
          <w:rFonts w:hint="eastAsia" w:ascii="宋体" w:hAnsi="宋体" w:eastAsia="宋体" w:cs="宋体"/>
          <w:spacing w:val="-3"/>
          <w:sz w:val="24"/>
          <w:szCs w:val="24"/>
          <w:lang w:eastAsia="zh-CN"/>
        </w:rPr>
        <w:t>。</w:t>
      </w:r>
    </w:p>
    <w:p w14:paraId="1AEC500B">
      <w:pPr>
        <w:spacing w:before="182" w:line="220" w:lineRule="auto"/>
        <w:outlineLvl w:val="2"/>
        <w:rPr>
          <w:rFonts w:ascii="宋体" w:hAnsi="宋体" w:eastAsia="宋体" w:cs="宋体"/>
          <w:color w:val="auto"/>
          <w:sz w:val="24"/>
          <w:szCs w:val="24"/>
          <w:highlight w:val="none"/>
        </w:rPr>
      </w:pPr>
      <w:bookmarkStart w:id="317" w:name="bookmark201"/>
      <w:bookmarkEnd w:id="317"/>
      <w:bookmarkStart w:id="318" w:name="bookmark202"/>
      <w:bookmarkEnd w:id="318"/>
      <w:bookmarkStart w:id="319" w:name="_Toc5339"/>
      <w:bookmarkStart w:id="320" w:name="_Toc24547"/>
      <w:r>
        <w:rPr>
          <w:rFonts w:ascii="Times New Roman" w:hAnsi="Times New Roman" w:eastAsia="Times New Roman" w:cs="Times New Roman"/>
          <w:b/>
          <w:bCs/>
          <w:color w:val="auto"/>
          <w:spacing w:val="-2"/>
          <w:sz w:val="24"/>
          <w:szCs w:val="24"/>
          <w:highlight w:val="none"/>
        </w:rPr>
        <w:t xml:space="preserve">4.6  </w:t>
      </w:r>
      <w:r>
        <w:rPr>
          <w:rFonts w:ascii="宋体" w:hAnsi="宋体" w:eastAsia="宋体" w:cs="宋体"/>
          <w:b/>
          <w:bCs/>
          <w:color w:val="auto"/>
          <w:spacing w:val="-2"/>
          <w:sz w:val="24"/>
          <w:szCs w:val="24"/>
          <w:highlight w:val="none"/>
        </w:rPr>
        <w:t>投标文件的商务评审</w:t>
      </w:r>
      <w:bookmarkEnd w:id="319"/>
      <w:bookmarkEnd w:id="320"/>
    </w:p>
    <w:p w14:paraId="56CFA338">
      <w:pPr>
        <w:spacing w:before="180" w:line="312" w:lineRule="auto"/>
        <w:ind w:left="3" w:right="64" w:firstLine="47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4.6.1  </w:t>
      </w:r>
      <w:r>
        <w:rPr>
          <w:rFonts w:ascii="宋体" w:hAnsi="宋体" w:eastAsia="宋体" w:cs="宋体"/>
          <w:color w:val="auto"/>
          <w:spacing w:val="1"/>
          <w:sz w:val="24"/>
          <w:szCs w:val="24"/>
          <w:highlight w:val="none"/>
        </w:rPr>
        <w:t>评标委员会对通过商务符合</w:t>
      </w:r>
      <w:r>
        <w:rPr>
          <w:rFonts w:ascii="宋体" w:hAnsi="宋体" w:eastAsia="宋体" w:cs="宋体"/>
          <w:color w:val="auto"/>
          <w:sz w:val="24"/>
          <w:szCs w:val="24"/>
          <w:highlight w:val="none"/>
        </w:rPr>
        <w:t xml:space="preserve">性审查的投标文件进行商务评审。评标委员会 </w:t>
      </w:r>
      <w:r>
        <w:rPr>
          <w:rFonts w:ascii="宋体" w:hAnsi="宋体" w:eastAsia="宋体" w:cs="宋体"/>
          <w:color w:val="auto"/>
          <w:spacing w:val="-3"/>
          <w:sz w:val="24"/>
          <w:szCs w:val="24"/>
          <w:highlight w:val="none"/>
        </w:rPr>
        <w:t>应对商务报价的范围、数量、单价、费用组成和总价等进行全面审阅和对比分析，找</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出报价差异的原因及存在的问题。</w:t>
      </w:r>
    </w:p>
    <w:p w14:paraId="19047FB7">
      <w:pPr>
        <w:spacing w:before="185" w:line="312" w:lineRule="auto"/>
        <w:ind w:left="5" w:right="64" w:firstLine="477"/>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4.6.2  </w:t>
      </w:r>
      <w:r>
        <w:rPr>
          <w:rFonts w:ascii="宋体" w:hAnsi="宋体" w:eastAsia="宋体" w:cs="宋体"/>
          <w:color w:val="auto"/>
          <w:spacing w:val="1"/>
          <w:sz w:val="24"/>
          <w:szCs w:val="24"/>
          <w:highlight w:val="none"/>
        </w:rPr>
        <w:t>商务评审应以报价口径范围</w:t>
      </w:r>
      <w:r>
        <w:rPr>
          <w:rFonts w:ascii="宋体" w:hAnsi="宋体" w:eastAsia="宋体" w:cs="宋体"/>
          <w:color w:val="auto"/>
          <w:sz w:val="24"/>
          <w:szCs w:val="24"/>
          <w:highlight w:val="none"/>
        </w:rPr>
        <w:t xml:space="preserve">一致的投标评标价为依据。投标评标价应在最 </w:t>
      </w:r>
      <w:r>
        <w:rPr>
          <w:rFonts w:ascii="宋体" w:hAnsi="宋体" w:eastAsia="宋体" w:cs="宋体"/>
          <w:color w:val="auto"/>
          <w:spacing w:val="-3"/>
          <w:sz w:val="24"/>
          <w:szCs w:val="24"/>
          <w:highlight w:val="none"/>
        </w:rPr>
        <w:t>终报价的基础上，按照招标文件约定的因素和方法进行计算。凡属招标文件的原因造</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成报价口径范围不一致的，应调整投标报价。其中算术错误的调整原则为：</w:t>
      </w:r>
    </w:p>
    <w:p w14:paraId="1068E8A6">
      <w:pPr>
        <w:spacing w:before="182" w:line="220" w:lineRule="auto"/>
        <w:ind w:left="54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）用数字表示的金额与文字表示的数额不一致时，以文字数额为准。</w:t>
      </w:r>
    </w:p>
    <w:p w14:paraId="456280EE">
      <w:pPr>
        <w:spacing w:before="184" w:line="324" w:lineRule="auto"/>
        <w:ind w:left="5" w:right="2" w:firstLine="54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2</w:t>
      </w:r>
      <w:r>
        <w:rPr>
          <w:rFonts w:ascii="宋体" w:hAnsi="宋体" w:eastAsia="宋体" w:cs="宋体"/>
          <w:color w:val="auto"/>
          <w:spacing w:val="-7"/>
          <w:sz w:val="24"/>
          <w:szCs w:val="24"/>
          <w:highlight w:val="none"/>
        </w:rPr>
        <w:t>）凡属投标人自身失误造成多算、少算、漏算的，不调整投标报价。若有算</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术性差错，均在投标报价不变的前提下按招标人要求调整单价及有关费用，调整后的</w:t>
      </w:r>
      <w:r>
        <w:rPr>
          <w:rFonts w:ascii="宋体" w:hAnsi="宋体" w:eastAsia="宋体" w:cs="宋体"/>
          <w:color w:val="auto"/>
          <w:spacing w:val="7"/>
          <w:sz w:val="24"/>
          <w:szCs w:val="24"/>
          <w:highlight w:val="none"/>
        </w:rPr>
        <w:t xml:space="preserve"> </w:t>
      </w:r>
      <w:r>
        <w:rPr>
          <w:rFonts w:ascii="宋体" w:hAnsi="宋体" w:eastAsia="宋体" w:cs="宋体"/>
          <w:color w:val="auto"/>
          <w:spacing w:val="-1"/>
          <w:sz w:val="24"/>
          <w:szCs w:val="24"/>
          <w:highlight w:val="none"/>
        </w:rPr>
        <w:t>单价及有关费用对投标人起约束作用，如果投标人不接受修正后的单价及</w:t>
      </w:r>
      <w:r>
        <w:rPr>
          <w:rFonts w:ascii="宋体" w:hAnsi="宋体" w:eastAsia="宋体" w:cs="宋体"/>
          <w:color w:val="auto"/>
          <w:spacing w:val="-2"/>
          <w:sz w:val="24"/>
          <w:szCs w:val="24"/>
          <w:highlight w:val="none"/>
        </w:rPr>
        <w:t>有关费用，</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则按商务评审不合格处理。</w:t>
      </w:r>
    </w:p>
    <w:p w14:paraId="56A05601">
      <w:pPr>
        <w:spacing w:before="180" w:line="290" w:lineRule="auto"/>
        <w:ind w:left="14" w:right="64" w:firstLine="525"/>
        <w:rPr>
          <w:rFonts w:ascii="宋体" w:hAnsi="宋体" w:eastAsia="宋体" w:cs="宋体"/>
          <w:strike/>
          <w:dstrike w:val="0"/>
          <w:color w:val="auto"/>
          <w:sz w:val="25"/>
          <w:szCs w:val="25"/>
          <w:highlight w:val="none"/>
        </w:rPr>
      </w:pPr>
      <w:r>
        <w:rPr>
          <w:rFonts w:ascii="Times New Roman" w:hAnsi="Times New Roman" w:eastAsia="Times New Roman" w:cs="Times New Roman"/>
          <w:b/>
          <w:bCs/>
          <w:color w:val="auto"/>
          <w:spacing w:val="-1"/>
          <w:sz w:val="24"/>
          <w:szCs w:val="24"/>
          <w:highlight w:val="none"/>
        </w:rPr>
        <w:t xml:space="preserve">4.6.3  </w:t>
      </w:r>
      <w:r>
        <w:rPr>
          <w:rFonts w:ascii="宋体" w:hAnsi="宋体" w:eastAsia="宋体" w:cs="宋体"/>
          <w:spacing w:val="-1"/>
          <w:sz w:val="24"/>
          <w:szCs w:val="24"/>
        </w:rPr>
        <w:t>投标报价如存在投标人须知前附表</w:t>
      </w:r>
      <w:r>
        <w:rPr>
          <w:rFonts w:ascii="Times New Roman" w:hAnsi="Times New Roman" w:eastAsia="Times New Roman" w:cs="Times New Roman"/>
          <w:spacing w:val="-1"/>
          <w:sz w:val="24"/>
          <w:szCs w:val="24"/>
        </w:rPr>
        <w:t xml:space="preserve">10.8  </w:t>
      </w:r>
      <w:r>
        <w:rPr>
          <w:rFonts w:ascii="宋体" w:hAnsi="宋体" w:eastAsia="宋体" w:cs="宋体"/>
          <w:spacing w:val="-1"/>
          <w:sz w:val="24"/>
          <w:szCs w:val="24"/>
        </w:rPr>
        <w:t>“</w:t>
      </w:r>
      <w:r>
        <w:rPr>
          <w:rFonts w:ascii="Times New Roman" w:hAnsi="Times New Roman" w:eastAsia="Times New Roman" w:cs="Times New Roman"/>
          <w:spacing w:val="-1"/>
          <w:sz w:val="24"/>
          <w:szCs w:val="24"/>
        </w:rPr>
        <w:t>5.</w:t>
      </w:r>
      <w:r>
        <w:rPr>
          <w:rFonts w:ascii="宋体" w:hAnsi="宋体" w:eastAsia="宋体" w:cs="宋体"/>
          <w:spacing w:val="-1"/>
          <w:sz w:val="24"/>
          <w:szCs w:val="24"/>
        </w:rPr>
        <w:t>商务评审”情况之一的，由评</w:t>
      </w:r>
      <w:r>
        <w:rPr>
          <w:rFonts w:ascii="宋体" w:hAnsi="宋体" w:eastAsia="宋体" w:cs="宋体"/>
          <w:spacing w:val="-3"/>
          <w:sz w:val="24"/>
          <w:szCs w:val="24"/>
        </w:rPr>
        <w:t>标委员会全体成员按照少数服从多数的原则记名投票（不得弃权）认定，作为商务评</w:t>
      </w:r>
      <w:r>
        <w:rPr>
          <w:rFonts w:ascii="宋体" w:hAnsi="宋体" w:eastAsia="宋体" w:cs="宋体"/>
          <w:spacing w:val="-1"/>
          <w:sz w:val="24"/>
          <w:szCs w:val="24"/>
        </w:rPr>
        <w:t>审不合格处理予以否决其投标，不再进行后续评审。</w:t>
      </w:r>
    </w:p>
    <w:p w14:paraId="5FF95684">
      <w:pPr>
        <w:spacing w:before="180" w:line="220" w:lineRule="auto"/>
        <w:ind w:left="523"/>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4.</w:t>
      </w:r>
      <w:r>
        <w:rPr>
          <w:rFonts w:hint="eastAsia" w:ascii="Times New Roman" w:hAnsi="Times New Roman" w:eastAsia="宋体" w:cs="Times New Roman"/>
          <w:b/>
          <w:bCs/>
          <w:color w:val="auto"/>
          <w:spacing w:val="-2"/>
          <w:sz w:val="24"/>
          <w:szCs w:val="24"/>
          <w:highlight w:val="none"/>
          <w:lang w:val="en-US" w:eastAsia="zh-CN"/>
        </w:rPr>
        <w:t>6</w:t>
      </w:r>
      <w:r>
        <w:rPr>
          <w:rFonts w:ascii="Times New Roman" w:hAnsi="Times New Roman" w:eastAsia="Times New Roman" w:cs="Times New Roman"/>
          <w:b/>
          <w:bCs/>
          <w:color w:val="auto"/>
          <w:spacing w:val="-2"/>
          <w:sz w:val="24"/>
          <w:szCs w:val="24"/>
          <w:highlight w:val="none"/>
        </w:rPr>
        <w:t xml:space="preserve">.4  </w:t>
      </w:r>
      <w:r>
        <w:rPr>
          <w:rFonts w:ascii="宋体" w:hAnsi="宋体" w:eastAsia="宋体" w:cs="宋体"/>
          <w:color w:val="auto"/>
          <w:spacing w:val="-2"/>
          <w:sz w:val="24"/>
          <w:szCs w:val="24"/>
          <w:highlight w:val="none"/>
        </w:rPr>
        <w:t>商务评审不合格的投标文件不再进入后续评分。</w:t>
      </w:r>
    </w:p>
    <w:p w14:paraId="652CDF25">
      <w:pPr>
        <w:spacing w:before="179" w:line="220" w:lineRule="auto"/>
        <w:ind w:left="523"/>
        <w:rPr>
          <w:rFonts w:ascii="宋体" w:hAnsi="宋体" w:eastAsia="宋体" w:cs="宋体"/>
          <w:color w:val="auto"/>
          <w:spacing w:val="-1"/>
          <w:sz w:val="24"/>
          <w:szCs w:val="24"/>
          <w:highlight w:val="none"/>
        </w:rPr>
      </w:pPr>
      <w:r>
        <w:rPr>
          <w:rFonts w:ascii="Times New Roman" w:hAnsi="Times New Roman" w:eastAsia="Times New Roman" w:cs="Times New Roman"/>
          <w:b/>
          <w:bCs/>
          <w:color w:val="auto"/>
          <w:spacing w:val="-1"/>
          <w:sz w:val="24"/>
          <w:szCs w:val="24"/>
          <w:highlight w:val="none"/>
        </w:rPr>
        <w:t>4.</w:t>
      </w:r>
      <w:r>
        <w:rPr>
          <w:rFonts w:hint="eastAsia" w:ascii="Times New Roman" w:hAnsi="Times New Roman" w:eastAsia="宋体" w:cs="Times New Roman"/>
          <w:b/>
          <w:bCs/>
          <w:color w:val="auto"/>
          <w:spacing w:val="-1"/>
          <w:sz w:val="24"/>
          <w:szCs w:val="24"/>
          <w:highlight w:val="none"/>
          <w:lang w:val="en-US" w:eastAsia="zh-CN"/>
        </w:rPr>
        <w:t>6</w:t>
      </w:r>
      <w:r>
        <w:rPr>
          <w:rFonts w:ascii="Times New Roman" w:hAnsi="Times New Roman" w:eastAsia="Times New Roman" w:cs="Times New Roman"/>
          <w:b/>
          <w:bCs/>
          <w:color w:val="auto"/>
          <w:spacing w:val="-1"/>
          <w:sz w:val="24"/>
          <w:szCs w:val="24"/>
          <w:highlight w:val="none"/>
        </w:rPr>
        <w:t xml:space="preserve">.5  </w:t>
      </w:r>
      <w:r>
        <w:rPr>
          <w:rFonts w:ascii="宋体" w:hAnsi="宋体" w:eastAsia="宋体" w:cs="宋体"/>
          <w:color w:val="auto"/>
          <w:spacing w:val="-1"/>
          <w:sz w:val="24"/>
          <w:szCs w:val="24"/>
          <w:highlight w:val="none"/>
        </w:rPr>
        <w:t>商务评分计算办法：</w:t>
      </w:r>
    </w:p>
    <w:p w14:paraId="01B3B795">
      <w:pPr>
        <w:spacing w:before="179" w:line="220" w:lineRule="auto"/>
        <w:ind w:left="523"/>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1</w:t>
      </w:r>
      <w:r>
        <w:rPr>
          <w:rFonts w:ascii="Times New Roman" w:hAnsi="Times New Roman" w:eastAsia="Times New Roman" w:cs="Times New Roman"/>
          <w:color w:val="auto"/>
          <w:spacing w:val="-29"/>
          <w:sz w:val="24"/>
          <w:szCs w:val="24"/>
          <w:highlight w:val="none"/>
        </w:rPr>
        <w:t xml:space="preserve"> </w:t>
      </w:r>
      <w:r>
        <w:rPr>
          <w:rFonts w:ascii="宋体" w:hAnsi="宋体" w:eastAsia="宋体" w:cs="宋体"/>
          <w:color w:val="auto"/>
          <w:spacing w:val="-6"/>
          <w:sz w:val="24"/>
          <w:szCs w:val="24"/>
          <w:highlight w:val="none"/>
        </w:rPr>
        <w:t>．评分基准价的确定</w:t>
      </w:r>
    </w:p>
    <w:p w14:paraId="4188EE16">
      <w:pPr>
        <w:spacing w:before="185" w:line="352" w:lineRule="auto"/>
        <w:ind w:left="13" w:right="71" w:firstLine="492"/>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除计算差错外，确认后的评分基准价在本次招标期间保持不变。计算差错，仅限</w:t>
      </w:r>
      <w:r>
        <w:rPr>
          <w:rFonts w:ascii="宋体" w:hAnsi="宋体" w:eastAsia="宋体" w:cs="宋体"/>
          <w:color w:val="auto"/>
          <w:spacing w:val="13"/>
          <w:sz w:val="24"/>
          <w:szCs w:val="24"/>
          <w:highlight w:val="none"/>
        </w:rPr>
        <w:t xml:space="preserve"> </w:t>
      </w:r>
      <w:r>
        <w:rPr>
          <w:rFonts w:ascii="宋体" w:hAnsi="宋体" w:eastAsia="宋体" w:cs="宋体"/>
          <w:color w:val="auto"/>
          <w:sz w:val="24"/>
          <w:szCs w:val="24"/>
          <w:highlight w:val="none"/>
        </w:rPr>
        <w:t>于以下两种情况</w:t>
      </w:r>
      <w:r>
        <w:rPr>
          <w:rFonts w:ascii="宋体" w:hAnsi="宋体" w:eastAsia="宋体" w:cs="宋体"/>
          <w:color w:val="auto"/>
          <w:spacing w:val="-27"/>
          <w:sz w:val="24"/>
          <w:szCs w:val="24"/>
          <w:highlight w:val="none"/>
        </w:rPr>
        <w:t>：（</w:t>
      </w:r>
      <w:r>
        <w:rPr>
          <w:rFonts w:ascii="Times New Roman" w:hAnsi="Times New Roman" w:eastAsia="Times New Roman" w:cs="Times New Roman"/>
          <w:color w:val="auto"/>
          <w:sz w:val="24"/>
          <w:szCs w:val="24"/>
          <w:highlight w:val="none"/>
        </w:rPr>
        <w:t>1</w:t>
      </w:r>
      <w:r>
        <w:rPr>
          <w:rFonts w:ascii="宋体" w:hAnsi="宋体" w:eastAsia="宋体" w:cs="宋体"/>
          <w:color w:val="auto"/>
          <w:sz w:val="24"/>
          <w:szCs w:val="24"/>
          <w:highlight w:val="none"/>
        </w:rPr>
        <w:t>）纯算术性四则运算差错</w:t>
      </w:r>
      <w:r>
        <w:rPr>
          <w:rFonts w:ascii="宋体" w:hAnsi="宋体" w:eastAsia="宋体" w:cs="宋体"/>
          <w:color w:val="auto"/>
          <w:spacing w:val="-27"/>
          <w:sz w:val="24"/>
          <w:szCs w:val="24"/>
          <w:highlight w:val="none"/>
        </w:rPr>
        <w:t>；（</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）未按约定的计算方法，多计或</w:t>
      </w:r>
      <w:r>
        <w:rPr>
          <w:rFonts w:ascii="宋体" w:hAnsi="宋体" w:eastAsia="宋体" w:cs="宋体"/>
          <w:color w:val="auto"/>
          <w:spacing w:val="2"/>
          <w:sz w:val="24"/>
          <w:szCs w:val="24"/>
          <w:highlight w:val="none"/>
        </w:rPr>
        <w:t xml:space="preserve"> </w:t>
      </w:r>
      <w:r>
        <w:rPr>
          <w:rFonts w:ascii="宋体" w:hAnsi="宋体" w:eastAsia="宋体" w:cs="宋体"/>
          <w:color w:val="auto"/>
          <w:spacing w:val="-6"/>
          <w:sz w:val="24"/>
          <w:szCs w:val="24"/>
          <w:highlight w:val="none"/>
        </w:rPr>
        <w:t>者少计投标人报价的。由于评标差错导致否决投标错误， 重新评标纠正等情况，不属</w:t>
      </w:r>
      <w:r>
        <w:rPr>
          <w:rFonts w:ascii="宋体" w:hAnsi="宋体" w:eastAsia="宋体" w:cs="宋体"/>
          <w:color w:val="auto"/>
          <w:spacing w:val="2"/>
          <w:sz w:val="24"/>
          <w:szCs w:val="24"/>
          <w:highlight w:val="none"/>
        </w:rPr>
        <w:t xml:space="preserve"> </w:t>
      </w:r>
      <w:r>
        <w:rPr>
          <w:rFonts w:ascii="宋体" w:hAnsi="宋体" w:eastAsia="宋体" w:cs="宋体"/>
          <w:color w:val="auto"/>
          <w:spacing w:val="-7"/>
          <w:sz w:val="24"/>
          <w:szCs w:val="24"/>
          <w:highlight w:val="none"/>
        </w:rPr>
        <w:t>于计算差错。</w:t>
      </w:r>
    </w:p>
    <w:p w14:paraId="3F2DF466">
      <w:pPr>
        <w:spacing w:before="36" w:line="218" w:lineRule="auto"/>
        <w:ind w:left="55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平均报价值、</w:t>
      </w:r>
      <w:r>
        <w:rPr>
          <w:rFonts w:ascii="Times New Roman" w:hAnsi="Times New Roman" w:eastAsia="Times New Roman" w:cs="Times New Roman"/>
          <w:color w:val="auto"/>
          <w:spacing w:val="-2"/>
          <w:sz w:val="24"/>
          <w:szCs w:val="24"/>
          <w:highlight w:val="none"/>
        </w:rPr>
        <w:t>B</w:t>
      </w:r>
      <w:r>
        <w:rPr>
          <w:rFonts w:ascii="宋体" w:hAnsi="宋体" w:eastAsia="宋体" w:cs="宋体"/>
          <w:color w:val="auto"/>
          <w:spacing w:val="-2"/>
          <w:sz w:val="24"/>
          <w:szCs w:val="24"/>
          <w:highlight w:val="none"/>
        </w:rPr>
        <w:t>值</w:t>
      </w:r>
      <w:r>
        <w:rPr>
          <w:rFonts w:hint="eastAsia" w:ascii="宋体" w:hAnsi="宋体" w:eastAsia="宋体" w:cs="宋体"/>
          <w:color w:val="auto"/>
          <w:spacing w:val="-2"/>
          <w:sz w:val="24"/>
          <w:szCs w:val="24"/>
          <w:highlight w:val="none"/>
          <w:lang w:eastAsia="zh-CN"/>
        </w:rPr>
        <w:t>、评分基准价</w:t>
      </w:r>
      <w:r>
        <w:rPr>
          <w:rFonts w:ascii="宋体" w:hAnsi="宋体" w:eastAsia="宋体" w:cs="宋体"/>
          <w:color w:val="auto"/>
          <w:spacing w:val="-2"/>
          <w:sz w:val="24"/>
          <w:szCs w:val="24"/>
          <w:highlight w:val="none"/>
        </w:rPr>
        <w:t>取整数，小数点后四舍五入。</w:t>
      </w:r>
    </w:p>
    <w:p w14:paraId="22B92BB2">
      <w:pPr>
        <w:spacing w:before="182" w:line="221" w:lineRule="auto"/>
        <w:ind w:left="57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1</w:t>
      </w:r>
      <w:r>
        <w:rPr>
          <w:rFonts w:ascii="宋体" w:hAnsi="宋体" w:eastAsia="宋体" w:cs="宋体"/>
          <w:strike/>
          <w:dstrike w:val="0"/>
          <w:color w:val="auto"/>
          <w:spacing w:val="-7"/>
          <w:sz w:val="24"/>
          <w:szCs w:val="24"/>
          <w:highlight w:val="none"/>
        </w:rPr>
        <w:t>：</w:t>
      </w:r>
    </w:p>
    <w:p w14:paraId="05802C56">
      <w:pPr>
        <w:spacing w:before="180" w:line="218" w:lineRule="auto"/>
        <w:ind w:left="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4E5F0468">
      <w:pPr>
        <w:spacing w:before="182" w:line="290" w:lineRule="auto"/>
        <w:ind w:left="17" w:right="68" w:firstLine="55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□企业信用等级为</w:t>
      </w:r>
      <w:r>
        <w:rPr>
          <w:rFonts w:ascii="Times New Roman" w:hAnsi="Times New Roman" w:eastAsia="Times New Roman" w:cs="Times New Roman"/>
          <w:strike/>
          <w:dstrike w:val="0"/>
          <w:color w:val="auto"/>
          <w:spacing w:val="-3"/>
          <w:sz w:val="24"/>
          <w:szCs w:val="24"/>
          <w:highlight w:val="none"/>
        </w:rPr>
        <w:t>D</w:t>
      </w:r>
      <w:r>
        <w:rPr>
          <w:rFonts w:ascii="宋体" w:hAnsi="宋体" w:eastAsia="宋体" w:cs="宋体"/>
          <w:strike/>
          <w:dstrike w:val="0"/>
          <w:color w:val="auto"/>
          <w:spacing w:val="-3"/>
          <w:sz w:val="24"/>
          <w:szCs w:val="24"/>
          <w:highlight w:val="none"/>
        </w:rPr>
        <w:t>及以下等级或无信用评价</w:t>
      </w:r>
      <w:r>
        <w:rPr>
          <w:rFonts w:ascii="宋体" w:hAnsi="宋体" w:eastAsia="宋体" w:cs="宋体"/>
          <w:strike/>
          <w:dstrike w:val="0"/>
          <w:color w:val="auto"/>
          <w:spacing w:val="-4"/>
          <w:sz w:val="24"/>
          <w:szCs w:val="24"/>
          <w:highlight w:val="none"/>
        </w:rPr>
        <w:t>等级的，不计入平均报价值的计算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6"/>
          <w:sz w:val="24"/>
          <w:szCs w:val="24"/>
          <w:highlight w:val="none"/>
        </w:rPr>
        <w:t>范围；</w:t>
      </w:r>
    </w:p>
    <w:p w14:paraId="011407B8">
      <w:pPr>
        <w:spacing w:before="179" w:line="284" w:lineRule="auto"/>
        <w:ind w:left="12" w:right="6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68E71B60">
      <w:pPr>
        <w:spacing w:before="180" w:line="218"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6CA75DC1">
      <w:pPr>
        <w:spacing w:before="187" w:line="333" w:lineRule="auto"/>
        <w:ind w:left="12" w:right="63" w:firstLine="54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5"/>
          <w:sz w:val="24"/>
          <w:szCs w:val="24"/>
          <w:highlight w:val="none"/>
        </w:rPr>
        <w:t>5</w:t>
      </w:r>
      <w:r>
        <w:rPr>
          <w:rFonts w:ascii="宋体" w:hAnsi="宋体" w:eastAsia="宋体" w:cs="宋体"/>
          <w:strike/>
          <w:dstrike w:val="0"/>
          <w:color w:val="auto"/>
          <w:spacing w:val="-5"/>
          <w:sz w:val="24"/>
          <w:szCs w:val="24"/>
          <w:highlight w:val="none"/>
        </w:rPr>
        <w:t>家，平</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均报价值为计入平均报价值计算范围的投标评标价中剔除投标评标价由高到低</w:t>
      </w:r>
      <w:r>
        <w:rPr>
          <w:rFonts w:ascii="宋体" w:hAnsi="宋体" w:eastAsia="宋体" w:cs="宋体"/>
          <w:strike/>
          <w:dstrike w:val="0"/>
          <w:color w:val="auto"/>
          <w:spacing w:val="3"/>
          <w:sz w:val="24"/>
          <w:szCs w:val="24"/>
          <w:highlight w:val="none"/>
        </w:rPr>
        <w:t>排序</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前</w:t>
      </w:r>
      <w:r>
        <w:rPr>
          <w:rFonts w:ascii="Times New Roman" w:hAnsi="Times New Roman" w:eastAsia="Times New Roman" w:cs="Times New Roman"/>
          <w:strike/>
          <w:dstrike w:val="0"/>
          <w:color w:val="auto"/>
          <w:spacing w:val="3"/>
          <w:sz w:val="24"/>
          <w:szCs w:val="24"/>
          <w:highlight w:val="none"/>
        </w:rPr>
        <w:t>A</w:t>
      </w:r>
      <w:r>
        <w:rPr>
          <w:rFonts w:ascii="宋体" w:hAnsi="宋体" w:eastAsia="宋体" w:cs="宋体"/>
          <w:strike/>
          <w:dstrike w:val="0"/>
          <w:color w:val="auto"/>
          <w:spacing w:val="3"/>
          <w:sz w:val="24"/>
          <w:szCs w:val="24"/>
          <w:highlight w:val="none"/>
        </w:rPr>
        <w:t>个投标评标价和投标评标价由低到高排序前</w:t>
      </w:r>
      <w:r>
        <w:rPr>
          <w:rFonts w:ascii="Times New Roman" w:hAnsi="Times New Roman" w:eastAsia="Times New Roman" w:cs="Times New Roman"/>
          <w:strike/>
          <w:dstrike w:val="0"/>
          <w:color w:val="auto"/>
          <w:spacing w:val="3"/>
          <w:sz w:val="24"/>
          <w:szCs w:val="24"/>
          <w:highlight w:val="none"/>
        </w:rPr>
        <w:t>A</w:t>
      </w:r>
      <w:r>
        <w:rPr>
          <w:rFonts w:ascii="宋体" w:hAnsi="宋体" w:eastAsia="宋体" w:cs="宋体"/>
          <w:strike/>
          <w:dstrike w:val="0"/>
          <w:color w:val="auto"/>
          <w:spacing w:val="3"/>
          <w:sz w:val="24"/>
          <w:szCs w:val="24"/>
          <w:highlight w:val="none"/>
        </w:rPr>
        <w:t>个</w:t>
      </w:r>
      <w:r>
        <w:rPr>
          <w:rFonts w:ascii="宋体" w:hAnsi="宋体" w:eastAsia="宋体" w:cs="宋体"/>
          <w:strike/>
          <w:dstrike w:val="0"/>
          <w:color w:val="auto"/>
          <w:spacing w:val="2"/>
          <w:sz w:val="24"/>
          <w:szCs w:val="24"/>
          <w:highlight w:val="none"/>
        </w:rPr>
        <w:t>投标评标价后的算术平均值［</w:t>
      </w:r>
      <w:r>
        <w:rPr>
          <w:rFonts w:ascii="Times New Roman" w:hAnsi="Times New Roman" w:eastAsia="Times New Roman" w:cs="Times New Roman"/>
          <w:strike/>
          <w:dstrike w:val="0"/>
          <w:color w:val="auto"/>
          <w:spacing w:val="2"/>
          <w:sz w:val="24"/>
          <w:szCs w:val="24"/>
          <w:highlight w:val="none"/>
        </w:rPr>
        <w:t>A</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为计入平均报价值计算范围的投标人个数的</w:t>
      </w:r>
      <w:r>
        <w:rPr>
          <w:rFonts w:ascii="宋体" w:hAnsi="宋体" w:eastAsia="宋体" w:cs="宋体"/>
          <w:strike/>
          <w:dstrike w:val="0"/>
          <w:color w:val="auto"/>
          <w:spacing w:val="55"/>
          <w:sz w:val="25"/>
          <w:szCs w:val="25"/>
          <w:highlight w:val="none"/>
          <w:u w:val="single" w:color="auto"/>
        </w:rPr>
        <w:t xml:space="preserve"> </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20%</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3</w:t>
      </w:r>
      <w:r>
        <w:rPr>
          <w:rFonts w:ascii="Times New Roman" w:hAnsi="Times New Roman" w:eastAsia="Times New Roman" w:cs="Times New Roman"/>
          <w:i/>
          <w:iCs/>
          <w:strike/>
          <w:dstrike w:val="0"/>
          <w:color w:val="auto"/>
          <w:spacing w:val="-5"/>
          <w:sz w:val="24"/>
          <w:szCs w:val="24"/>
          <w:highlight w:val="none"/>
          <w:u w:val="single" w:color="auto"/>
        </w:rPr>
        <w:t>0%</w:t>
      </w:r>
      <w:r>
        <w:rPr>
          <w:rFonts w:ascii="宋体" w:hAnsi="宋体" w:eastAsia="宋体" w:cs="宋体"/>
          <w:i/>
          <w:iCs/>
          <w:strike/>
          <w:dstrike w:val="0"/>
          <w:color w:val="auto"/>
          <w:spacing w:val="-5"/>
          <w:sz w:val="25"/>
          <w:szCs w:val="25"/>
          <w:highlight w:val="none"/>
          <w:u w:val="single" w:color="auto"/>
        </w:rPr>
        <w:t>，由招标人自主确定</w:t>
      </w:r>
      <w:r>
        <w:rPr>
          <w:rFonts w:ascii="宋体" w:hAnsi="宋体" w:eastAsia="宋体" w:cs="宋体"/>
          <w:i/>
          <w:iCs/>
          <w:strike/>
          <w:dstrike w:val="0"/>
          <w:color w:val="auto"/>
          <w:spacing w:val="-17"/>
          <w:sz w:val="25"/>
          <w:szCs w:val="25"/>
          <w:highlight w:val="none"/>
          <w:u w:val="single" w:color="auto"/>
        </w:rPr>
        <w:t>）</w:t>
      </w:r>
      <w:r>
        <w:rPr>
          <w:rFonts w:ascii="宋体" w:hAnsi="宋体" w:eastAsia="宋体" w:cs="宋体"/>
          <w:strike/>
          <w:dstrike w:val="0"/>
          <w:color w:val="auto"/>
          <w:spacing w:val="-43"/>
          <w:sz w:val="25"/>
          <w:szCs w:val="25"/>
          <w:highlight w:val="none"/>
          <w:u w:val="single" w:color="auto"/>
        </w:rPr>
        <w:t xml:space="preserve"> </w:t>
      </w:r>
      <w:r>
        <w:rPr>
          <w:rFonts w:ascii="宋体" w:hAnsi="宋体" w:eastAsia="宋体" w:cs="宋体"/>
          <w:strike/>
          <w:dstrike w:val="0"/>
          <w:color w:val="auto"/>
          <w:spacing w:val="-96"/>
          <w:sz w:val="25"/>
          <w:szCs w:val="25"/>
          <w:highlight w:val="none"/>
        </w:rPr>
        <w:t xml:space="preserve"> </w:t>
      </w:r>
      <w:r>
        <w:rPr>
          <w:rFonts w:ascii="宋体" w:hAnsi="宋体" w:eastAsia="宋体" w:cs="宋体"/>
          <w:strike/>
          <w:dstrike w:val="0"/>
          <w:color w:val="auto"/>
          <w:spacing w:val="-17"/>
          <w:sz w:val="24"/>
          <w:szCs w:val="24"/>
          <w:highlight w:val="none"/>
        </w:rPr>
        <w:t>，</w:t>
      </w:r>
      <w:r>
        <w:rPr>
          <w:rFonts w:ascii="宋体" w:hAnsi="宋体" w:eastAsia="宋体" w:cs="宋体"/>
          <w:strike/>
          <w:dstrike w:val="0"/>
          <w:color w:val="auto"/>
          <w:sz w:val="24"/>
          <w:szCs w:val="24"/>
          <w:highlight w:val="none"/>
        </w:rPr>
        <w:t xml:space="preserve"> 并取整数，小数点后四舍五入</w:t>
      </w:r>
      <w:r>
        <w:rPr>
          <w:rFonts w:ascii="宋体" w:hAnsi="宋体" w:eastAsia="宋体" w:cs="宋体"/>
          <w:strike/>
          <w:dstrike w:val="0"/>
          <w:color w:val="auto"/>
          <w:spacing w:val="6"/>
          <w:sz w:val="24"/>
          <w:szCs w:val="24"/>
          <w:highlight w:val="none"/>
        </w:rPr>
        <w:t>］；</w:t>
      </w:r>
      <w:r>
        <w:rPr>
          <w:rFonts w:ascii="宋体" w:hAnsi="宋体" w:eastAsia="宋体" w:cs="宋体"/>
          <w:strike/>
          <w:dstrike w:val="0"/>
          <w:color w:val="auto"/>
          <w:sz w:val="24"/>
          <w:szCs w:val="24"/>
          <w:highlight w:val="none"/>
        </w:rPr>
        <w:t>若计入平均报价值计算范围的投标人少于</w:t>
      </w:r>
      <w:r>
        <w:rPr>
          <w:rFonts w:ascii="Times New Roman" w:hAnsi="Times New Roman" w:eastAsia="Times New Roman" w:cs="Times New Roman"/>
          <w:strike/>
          <w:dstrike w:val="0"/>
          <w:color w:val="auto"/>
          <w:sz w:val="24"/>
          <w:szCs w:val="24"/>
          <w:highlight w:val="none"/>
        </w:rPr>
        <w:t>5</w:t>
      </w:r>
      <w:r>
        <w:rPr>
          <w:rFonts w:ascii="宋体" w:hAnsi="宋体" w:eastAsia="宋体" w:cs="宋体"/>
          <w:strike/>
          <w:dstrike w:val="0"/>
          <w:color w:val="auto"/>
          <w:sz w:val="24"/>
          <w:szCs w:val="24"/>
          <w:highlight w:val="none"/>
        </w:rPr>
        <w:t xml:space="preserve">家，平 </w:t>
      </w:r>
      <w:r>
        <w:rPr>
          <w:rFonts w:ascii="宋体" w:hAnsi="宋体" w:eastAsia="宋体" w:cs="宋体"/>
          <w:strike/>
          <w:dstrike w:val="0"/>
          <w:color w:val="auto"/>
          <w:spacing w:val="-2"/>
          <w:sz w:val="24"/>
          <w:szCs w:val="24"/>
          <w:highlight w:val="none"/>
        </w:rPr>
        <w:t>均报价值为所有计入平均报价值计算范围的投标评标价的算术平均值。</w:t>
      </w:r>
    </w:p>
    <w:p w14:paraId="004AEC02">
      <w:pPr>
        <w:spacing w:before="182" w:line="218" w:lineRule="auto"/>
        <w:ind w:left="49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）评分基准价的确定：</w:t>
      </w:r>
    </w:p>
    <w:p w14:paraId="6AC7FC86">
      <w:pPr>
        <w:spacing w:before="142" w:line="323" w:lineRule="exact"/>
        <w:ind w:left="490"/>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position w:val="2"/>
          <w:sz w:val="24"/>
          <w:szCs w:val="24"/>
          <w:highlight w:val="none"/>
        </w:rPr>
        <w:t>评分基准价</w:t>
      </w:r>
      <w:r>
        <w:rPr>
          <w:rFonts w:ascii="Times New Roman" w:hAnsi="Times New Roman" w:eastAsia="Times New Roman" w:cs="Times New Roman"/>
          <w:strike/>
          <w:dstrike w:val="0"/>
          <w:color w:val="auto"/>
          <w:position w:val="2"/>
          <w:sz w:val="24"/>
          <w:szCs w:val="24"/>
          <w:highlight w:val="none"/>
        </w:rPr>
        <w:t>=</w:t>
      </w:r>
      <w:r>
        <w:rPr>
          <w:rFonts w:ascii="宋体" w:hAnsi="宋体" w:eastAsia="宋体" w:cs="宋体"/>
          <w:strike/>
          <w:dstrike w:val="0"/>
          <w:color w:val="auto"/>
          <w:position w:val="2"/>
          <w:sz w:val="24"/>
          <w:szCs w:val="24"/>
          <w:highlight w:val="none"/>
        </w:rPr>
        <w:t>（</w:t>
      </w:r>
      <w:r>
        <w:rPr>
          <w:rFonts w:ascii="Times New Roman" w:hAnsi="Times New Roman" w:eastAsia="Times New Roman" w:cs="Times New Roman"/>
          <w:strike/>
          <w:dstrike w:val="0"/>
          <w:color w:val="auto"/>
          <w:position w:val="2"/>
          <w:sz w:val="24"/>
          <w:szCs w:val="24"/>
          <w:highlight w:val="none"/>
        </w:rPr>
        <w:t>Q</w:t>
      </w:r>
      <w:r>
        <w:rPr>
          <w:rFonts w:ascii="宋体" w:hAnsi="宋体" w:eastAsia="宋体" w:cs="宋体"/>
          <w:strike/>
          <w:dstrike w:val="0"/>
          <w:color w:val="auto"/>
          <w:position w:val="2"/>
          <w:sz w:val="24"/>
          <w:szCs w:val="24"/>
          <w:highlight w:val="none"/>
        </w:rPr>
        <w:t>×最高投标限价</w:t>
      </w:r>
      <w:r>
        <w:rPr>
          <w:rFonts w:ascii="Times New Roman" w:hAnsi="Times New Roman" w:eastAsia="Times New Roman" w:cs="Times New Roman"/>
          <w:strike/>
          <w:dstrike w:val="0"/>
          <w:color w:val="auto"/>
          <w:position w:val="2"/>
          <w:sz w:val="24"/>
          <w:szCs w:val="24"/>
          <w:highlight w:val="none"/>
        </w:rPr>
        <w:t>+</w:t>
      </w:r>
      <w:r>
        <w:rPr>
          <w:rFonts w:ascii="宋体" w:hAnsi="宋体" w:eastAsia="宋体" w:cs="宋体"/>
          <w:strike/>
          <w:dstrike w:val="0"/>
          <w:color w:val="auto"/>
          <w:position w:val="2"/>
          <w:sz w:val="24"/>
          <w:szCs w:val="24"/>
          <w:highlight w:val="none"/>
        </w:rPr>
        <w:t>（</w:t>
      </w:r>
      <w:r>
        <w:rPr>
          <w:rFonts w:ascii="Times New Roman" w:hAnsi="Times New Roman" w:eastAsia="Times New Roman" w:cs="Times New Roman"/>
          <w:strike/>
          <w:dstrike w:val="0"/>
          <w:color w:val="auto"/>
          <w:position w:val="2"/>
          <w:sz w:val="24"/>
          <w:szCs w:val="24"/>
          <w:highlight w:val="none"/>
        </w:rPr>
        <w:t>1-Q</w:t>
      </w:r>
      <w:r>
        <w:rPr>
          <w:rFonts w:ascii="宋体" w:hAnsi="宋体" w:eastAsia="宋体" w:cs="宋体"/>
          <w:strike/>
          <w:dstrike w:val="0"/>
          <w:color w:val="auto"/>
          <w:position w:val="2"/>
          <w:sz w:val="24"/>
          <w:szCs w:val="24"/>
          <w:highlight w:val="none"/>
        </w:rPr>
        <w:t>）</w:t>
      </w:r>
      <w:r>
        <w:rPr>
          <w:rFonts w:ascii="Times New Roman" w:hAnsi="Times New Roman" w:eastAsia="Times New Roman" w:cs="Times New Roman"/>
          <w:strike/>
          <w:dstrike w:val="0"/>
          <w:color w:val="auto"/>
          <w:position w:val="2"/>
          <w:sz w:val="24"/>
          <w:szCs w:val="24"/>
          <w:highlight w:val="none"/>
        </w:rPr>
        <w:t>×</w:t>
      </w:r>
      <w:r>
        <w:rPr>
          <w:rFonts w:ascii="宋体" w:hAnsi="宋体" w:eastAsia="宋体" w:cs="宋体"/>
          <w:strike/>
          <w:dstrike w:val="0"/>
          <w:color w:val="auto"/>
          <w:position w:val="2"/>
          <w:sz w:val="24"/>
          <w:szCs w:val="24"/>
          <w:highlight w:val="none"/>
        </w:rPr>
        <w:t>平</w:t>
      </w:r>
      <w:r>
        <w:rPr>
          <w:rFonts w:ascii="宋体" w:hAnsi="宋体" w:eastAsia="宋体" w:cs="宋体"/>
          <w:strike/>
          <w:dstrike w:val="0"/>
          <w:color w:val="auto"/>
          <w:spacing w:val="-1"/>
          <w:position w:val="2"/>
          <w:sz w:val="24"/>
          <w:szCs w:val="24"/>
          <w:highlight w:val="none"/>
        </w:rPr>
        <w:t>均报价值）×</w:t>
      </w:r>
      <w:r>
        <w:rPr>
          <w:rFonts w:ascii="Times New Roman" w:hAnsi="Times New Roman" w:eastAsia="Times New Roman" w:cs="Times New Roman"/>
          <w:strike/>
          <w:dstrike w:val="0"/>
          <w:color w:val="auto"/>
          <w:spacing w:val="-1"/>
          <w:position w:val="2"/>
          <w:sz w:val="24"/>
          <w:szCs w:val="24"/>
          <w:highlight w:val="none"/>
        </w:rPr>
        <w:t>(1-X%)</w:t>
      </w:r>
    </w:p>
    <w:p w14:paraId="06F5173B">
      <w:pPr>
        <w:spacing w:before="184" w:line="338" w:lineRule="auto"/>
        <w:ind w:firstLine="49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1"/>
          <w:sz w:val="24"/>
          <w:szCs w:val="24"/>
          <w:highlight w:val="none"/>
        </w:rPr>
        <w:t>最高投标限价权重</w:t>
      </w:r>
      <w:r>
        <w:rPr>
          <w:rFonts w:ascii="Times New Roman" w:hAnsi="Times New Roman" w:eastAsia="Times New Roman" w:cs="Times New Roman"/>
          <w:strike/>
          <w:dstrike w:val="0"/>
          <w:color w:val="auto"/>
          <w:spacing w:val="11"/>
          <w:sz w:val="24"/>
          <w:szCs w:val="24"/>
          <w:highlight w:val="none"/>
        </w:rPr>
        <w:t>Q</w:t>
      </w:r>
      <w:r>
        <w:rPr>
          <w:rFonts w:ascii="宋体" w:hAnsi="宋体" w:eastAsia="宋体" w:cs="宋体"/>
          <w:strike/>
          <w:dstrike w:val="0"/>
          <w:color w:val="auto"/>
          <w:spacing w:val="11"/>
          <w:sz w:val="24"/>
          <w:szCs w:val="24"/>
          <w:highlight w:val="none"/>
        </w:rPr>
        <w:t>值为□</w:t>
      </w:r>
      <w:r>
        <w:rPr>
          <w:rFonts w:ascii="宋体" w:hAnsi="宋体" w:eastAsia="宋体" w:cs="宋体"/>
          <w:strike/>
          <w:dstrike w:val="0"/>
          <w:color w:val="auto"/>
          <w:spacing w:val="-87"/>
          <w:sz w:val="24"/>
          <w:szCs w:val="24"/>
          <w:highlight w:val="none"/>
        </w:rPr>
        <w:t xml:space="preserve"> </w:t>
      </w:r>
      <w:r>
        <w:rPr>
          <w:rFonts w:ascii="宋体" w:hAnsi="宋体" w:eastAsia="宋体" w:cs="宋体"/>
          <w:strike/>
          <w:dstrike w:val="0"/>
          <w:color w:val="auto"/>
          <w:spacing w:val="11"/>
          <w:sz w:val="25"/>
          <w:szCs w:val="25"/>
          <w:highlight w:val="none"/>
          <w:u w:val="single" w:color="auto"/>
        </w:rPr>
        <w:t xml:space="preserve">    </w:t>
      </w:r>
      <w:r>
        <w:rPr>
          <w:rFonts w:ascii="宋体" w:hAnsi="宋体" w:eastAsia="宋体" w:cs="宋体"/>
          <w:i/>
          <w:iCs/>
          <w:strike/>
          <w:dstrike w:val="0"/>
          <w:color w:val="auto"/>
          <w:spacing w:val="11"/>
          <w:sz w:val="25"/>
          <w:szCs w:val="25"/>
          <w:highlight w:val="none"/>
          <w:u w:val="single" w:color="auto"/>
        </w:rPr>
        <w:t>（</w:t>
      </w:r>
      <w:r>
        <w:rPr>
          <w:rFonts w:ascii="Times New Roman" w:hAnsi="Times New Roman" w:eastAsia="Times New Roman" w:cs="Times New Roman"/>
          <w:i/>
          <w:iCs/>
          <w:strike/>
          <w:dstrike w:val="0"/>
          <w:color w:val="auto"/>
          <w:spacing w:val="11"/>
          <w:sz w:val="24"/>
          <w:szCs w:val="24"/>
          <w:highlight w:val="none"/>
          <w:u w:val="single" w:color="auto"/>
        </w:rPr>
        <w:t>0.30</w:t>
      </w:r>
      <w:r>
        <w:rPr>
          <w:rFonts w:ascii="宋体" w:hAnsi="宋体" w:eastAsia="宋体" w:cs="宋体"/>
          <w:i/>
          <w:iCs/>
          <w:strike/>
          <w:dstrike w:val="0"/>
          <w:color w:val="auto"/>
          <w:spacing w:val="11"/>
          <w:sz w:val="25"/>
          <w:szCs w:val="25"/>
          <w:highlight w:val="none"/>
          <w:u w:val="single" w:color="auto"/>
        </w:rPr>
        <w:t>或</w:t>
      </w:r>
      <w:r>
        <w:rPr>
          <w:rFonts w:ascii="Times New Roman" w:hAnsi="Times New Roman" w:eastAsia="Times New Roman" w:cs="Times New Roman"/>
          <w:i/>
          <w:iCs/>
          <w:strike/>
          <w:dstrike w:val="0"/>
          <w:color w:val="auto"/>
          <w:spacing w:val="11"/>
          <w:sz w:val="24"/>
          <w:szCs w:val="24"/>
          <w:highlight w:val="none"/>
          <w:u w:val="single" w:color="auto"/>
        </w:rPr>
        <w:t>0.35</w:t>
      </w:r>
      <w:r>
        <w:rPr>
          <w:rFonts w:ascii="宋体" w:hAnsi="宋体" w:eastAsia="宋体" w:cs="宋体"/>
          <w:i/>
          <w:iCs/>
          <w:strike/>
          <w:dstrike w:val="0"/>
          <w:color w:val="auto"/>
          <w:spacing w:val="11"/>
          <w:sz w:val="25"/>
          <w:szCs w:val="25"/>
          <w:highlight w:val="none"/>
          <w:u w:val="single" w:color="auto"/>
        </w:rPr>
        <w:t>或</w:t>
      </w:r>
      <w:r>
        <w:rPr>
          <w:rFonts w:ascii="Times New Roman" w:hAnsi="Times New Roman" w:eastAsia="Times New Roman" w:cs="Times New Roman"/>
          <w:i/>
          <w:iCs/>
          <w:strike/>
          <w:dstrike w:val="0"/>
          <w:color w:val="auto"/>
          <w:spacing w:val="11"/>
          <w:sz w:val="24"/>
          <w:szCs w:val="24"/>
          <w:highlight w:val="none"/>
          <w:u w:val="single" w:color="auto"/>
        </w:rPr>
        <w:t>0.40</w:t>
      </w:r>
      <w:r>
        <w:rPr>
          <w:rFonts w:ascii="Times New Roman" w:hAnsi="Times New Roman" w:eastAsia="Times New Roman" w:cs="Times New Roman"/>
          <w:i/>
          <w:iCs/>
          <w:strike/>
          <w:dstrike w:val="0"/>
          <w:color w:val="auto"/>
          <w:spacing w:val="-12"/>
          <w:sz w:val="24"/>
          <w:szCs w:val="24"/>
          <w:highlight w:val="none"/>
          <w:u w:val="single" w:color="auto"/>
        </w:rPr>
        <w:t xml:space="preserve"> </w:t>
      </w:r>
      <w:r>
        <w:rPr>
          <w:rFonts w:ascii="宋体" w:hAnsi="宋体" w:eastAsia="宋体" w:cs="宋体"/>
          <w:i/>
          <w:iCs/>
          <w:strike/>
          <w:dstrike w:val="0"/>
          <w:color w:val="auto"/>
          <w:spacing w:val="11"/>
          <w:sz w:val="25"/>
          <w:szCs w:val="25"/>
          <w:highlight w:val="none"/>
          <w:u w:val="single" w:color="auto"/>
        </w:rPr>
        <w:t>，由招标人自主确定）</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0.30</w:t>
      </w:r>
      <w:r>
        <w:rPr>
          <w:rFonts w:ascii="Times New Roman" w:hAnsi="Times New Roman" w:eastAsia="Times New Roman" w:cs="Times New Roman"/>
          <w:strike/>
          <w:dstrike w:val="0"/>
          <w:color w:val="auto"/>
          <w:spacing w:val="-34"/>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0.35</w:t>
      </w:r>
      <w:r>
        <w:rPr>
          <w:rFonts w:ascii="Times New Roman" w:hAnsi="Times New Roman" w:eastAsia="Times New Roman" w:cs="Times New Roman"/>
          <w:strike/>
          <w:dstrike w:val="0"/>
          <w:color w:val="auto"/>
          <w:spacing w:val="-34"/>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0.40</w:t>
      </w:r>
      <w:r>
        <w:rPr>
          <w:rFonts w:ascii="Times New Roman" w:hAnsi="Times New Roman" w:eastAsia="Times New Roman" w:cs="Times New Roman"/>
          <w:strike/>
          <w:dstrike w:val="0"/>
          <w:color w:val="auto"/>
          <w:spacing w:val="-30"/>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，由招标人在</w:t>
      </w:r>
      <w:r>
        <w:rPr>
          <w:rFonts w:ascii="宋体" w:hAnsi="宋体" w:eastAsia="宋体" w:cs="宋体"/>
          <w:strike/>
          <w:dstrike w:val="0"/>
          <w:color w:val="auto"/>
          <w:spacing w:val="-5"/>
          <w:sz w:val="24"/>
          <w:szCs w:val="24"/>
          <w:highlight w:val="none"/>
          <w:u w:val="single" w:color="auto"/>
        </w:rPr>
        <w:t>开标现场随机抽取</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i/>
          <w:iCs/>
          <w:strike/>
          <w:dstrike w:val="0"/>
          <w:color w:val="auto"/>
          <w:spacing w:val="-5"/>
          <w:sz w:val="25"/>
          <w:szCs w:val="25"/>
          <w:highlight w:val="none"/>
        </w:rPr>
        <w:t>。</w:t>
      </w:r>
      <w:r>
        <w:rPr>
          <w:rFonts w:ascii="宋体" w:hAnsi="宋体" w:eastAsia="宋体" w:cs="宋体"/>
          <w:strike/>
          <w:dstrike w:val="0"/>
          <w:color w:val="auto"/>
          <w:spacing w:val="-5"/>
          <w:sz w:val="24"/>
          <w:szCs w:val="24"/>
          <w:highlight w:val="none"/>
        </w:rPr>
        <w:t>下浮值</w:t>
      </w:r>
      <w:r>
        <w:rPr>
          <w:rFonts w:ascii="Times New Roman" w:hAnsi="Times New Roman" w:eastAsia="Times New Roman" w:cs="Times New Roman"/>
          <w:strike/>
          <w:dstrike w:val="0"/>
          <w:color w:val="auto"/>
          <w:spacing w:val="-5"/>
          <w:sz w:val="24"/>
          <w:szCs w:val="24"/>
          <w:highlight w:val="none"/>
        </w:rPr>
        <w:t>X</w:t>
      </w:r>
      <w:r>
        <w:rPr>
          <w:rFonts w:ascii="宋体" w:hAnsi="宋体" w:eastAsia="宋体" w:cs="宋体"/>
          <w:strike/>
          <w:dstrike w:val="0"/>
          <w:color w:val="auto"/>
          <w:spacing w:val="-5"/>
          <w:sz w:val="24"/>
          <w:szCs w:val="24"/>
          <w:highlight w:val="none"/>
        </w:rPr>
        <w:t>值在开标时由招标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人在开标现场随机抽取，下浮</w:t>
      </w:r>
      <w:r>
        <w:rPr>
          <w:rFonts w:ascii="Times New Roman" w:hAnsi="Times New Roman" w:eastAsia="Times New Roman" w:cs="Times New Roman"/>
          <w:strike/>
          <w:dstrike w:val="0"/>
          <w:color w:val="auto"/>
          <w:spacing w:val="-3"/>
          <w:sz w:val="24"/>
          <w:szCs w:val="24"/>
          <w:highlight w:val="none"/>
        </w:rPr>
        <w:t>X</w:t>
      </w:r>
      <w:r>
        <w:rPr>
          <w:rFonts w:ascii="宋体" w:hAnsi="宋体" w:eastAsia="宋体" w:cs="宋体"/>
          <w:strike/>
          <w:dstrike w:val="0"/>
          <w:color w:val="auto"/>
          <w:spacing w:val="-3"/>
          <w:sz w:val="24"/>
          <w:szCs w:val="24"/>
          <w:highlight w:val="none"/>
        </w:rPr>
        <w:t>值由招标人在</w:t>
      </w:r>
      <w:r>
        <w:rPr>
          <w:rFonts w:ascii="宋体" w:hAnsi="宋体" w:eastAsia="宋体" w:cs="宋体"/>
          <w:strike/>
          <w:dstrike w:val="0"/>
          <w:color w:val="auto"/>
          <w:spacing w:val="121"/>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（由招标人在</w:t>
      </w:r>
      <w:r>
        <w:rPr>
          <w:rFonts w:ascii="Times New Roman" w:hAnsi="Times New Roman" w:eastAsia="Times New Roman" w:cs="Times New Roman"/>
          <w:i/>
          <w:iCs/>
          <w:strike/>
          <w:dstrike w:val="0"/>
          <w:color w:val="auto"/>
          <w:spacing w:val="-3"/>
          <w:sz w:val="24"/>
          <w:szCs w:val="24"/>
          <w:highlight w:val="none"/>
          <w:u w:val="single" w:color="auto"/>
        </w:rPr>
        <w:t>0</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5</w:t>
      </w:r>
      <w:r>
        <w:rPr>
          <w:rFonts w:ascii="宋体" w:hAnsi="宋体" w:eastAsia="宋体" w:cs="宋体"/>
          <w:i/>
          <w:iCs/>
          <w:strike/>
          <w:dstrike w:val="0"/>
          <w:color w:val="auto"/>
          <w:spacing w:val="-3"/>
          <w:sz w:val="25"/>
          <w:szCs w:val="25"/>
          <w:highlight w:val="none"/>
          <w:u w:val="single" w:color="auto"/>
        </w:rPr>
        <w:t>之间自行确定，</w:t>
      </w:r>
      <w:r>
        <w:rPr>
          <w:rFonts w:ascii="宋体" w:hAnsi="宋体" w:eastAsia="宋体" w:cs="宋体"/>
          <w:i/>
          <w:iCs/>
          <w:strike/>
          <w:dstrike w:val="0"/>
          <w:color w:val="auto"/>
          <w:spacing w:val="-3"/>
          <w:sz w:val="25"/>
          <w:szCs w:val="25"/>
          <w:highlight w:val="none"/>
        </w:rPr>
        <w:t>但</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7"/>
          <w:sz w:val="25"/>
          <w:szCs w:val="25"/>
          <w:highlight w:val="none"/>
          <w:u w:val="single" w:color="auto"/>
        </w:rPr>
        <w:t>应为</w:t>
      </w:r>
      <w:r>
        <w:rPr>
          <w:rFonts w:ascii="Times New Roman" w:hAnsi="Times New Roman" w:eastAsia="Times New Roman" w:cs="Times New Roman"/>
          <w:i/>
          <w:iCs/>
          <w:strike/>
          <w:dstrike w:val="0"/>
          <w:color w:val="auto"/>
          <w:spacing w:val="-7"/>
          <w:sz w:val="24"/>
          <w:szCs w:val="24"/>
          <w:highlight w:val="none"/>
          <w:u w:val="single" w:color="auto"/>
        </w:rPr>
        <w:t>5</w:t>
      </w:r>
      <w:r>
        <w:rPr>
          <w:rFonts w:ascii="宋体" w:hAnsi="宋体" w:eastAsia="宋体" w:cs="宋体"/>
          <w:i/>
          <w:iCs/>
          <w:strike/>
          <w:dstrike w:val="0"/>
          <w:color w:val="auto"/>
          <w:spacing w:val="-7"/>
          <w:sz w:val="25"/>
          <w:szCs w:val="25"/>
          <w:highlight w:val="none"/>
          <w:u w:val="single" w:color="auto"/>
        </w:rPr>
        <w:t>个数组成的等差递增数列，最小公差大于等于</w:t>
      </w:r>
      <w:r>
        <w:rPr>
          <w:rFonts w:ascii="Times New Roman" w:hAnsi="Times New Roman" w:eastAsia="Times New Roman" w:cs="Times New Roman"/>
          <w:i/>
          <w:iCs/>
          <w:strike/>
          <w:dstrike w:val="0"/>
          <w:color w:val="auto"/>
          <w:spacing w:val="-7"/>
          <w:sz w:val="24"/>
          <w:szCs w:val="24"/>
          <w:highlight w:val="none"/>
          <w:u w:val="single" w:color="auto"/>
        </w:rPr>
        <w:t>0.5</w:t>
      </w:r>
      <w:r>
        <w:rPr>
          <w:rFonts w:ascii="宋体" w:hAnsi="宋体" w:eastAsia="宋体" w:cs="宋体"/>
          <w:i/>
          <w:iCs/>
          <w:strike/>
          <w:dstrike w:val="0"/>
          <w:color w:val="auto"/>
          <w:spacing w:val="-7"/>
          <w:sz w:val="25"/>
          <w:szCs w:val="25"/>
          <w:highlight w:val="none"/>
          <w:u w:val="single" w:color="auto"/>
        </w:rPr>
        <w:t>）</w:t>
      </w:r>
      <w:r>
        <w:rPr>
          <w:rFonts w:ascii="宋体" w:hAnsi="宋体" w:eastAsia="宋体" w:cs="宋体"/>
          <w:strike/>
          <w:dstrike w:val="0"/>
          <w:color w:val="auto"/>
          <w:spacing w:val="-7"/>
          <w:sz w:val="24"/>
          <w:szCs w:val="24"/>
          <w:highlight w:val="none"/>
        </w:rPr>
        <w:t>之中</w:t>
      </w:r>
      <w:r>
        <w:rPr>
          <w:rFonts w:ascii="宋体" w:hAnsi="宋体" w:eastAsia="宋体" w:cs="宋体"/>
          <w:strike/>
          <w:dstrike w:val="0"/>
          <w:color w:val="auto"/>
          <w:spacing w:val="-8"/>
          <w:sz w:val="24"/>
          <w:szCs w:val="24"/>
          <w:highlight w:val="none"/>
        </w:rPr>
        <w:t>随机抽取确定。</w:t>
      </w:r>
    </w:p>
    <w:p w14:paraId="22BF0AE2">
      <w:pPr>
        <w:spacing w:before="38" w:line="221" w:lineRule="auto"/>
        <w:ind w:left="575"/>
        <w:rPr>
          <w:rFonts w:ascii="宋体" w:hAnsi="宋体" w:eastAsia="宋体" w:cs="宋体"/>
          <w:color w:val="auto"/>
          <w:sz w:val="24"/>
          <w:szCs w:val="24"/>
          <w:highlight w:val="none"/>
        </w:rPr>
      </w:pPr>
      <w:r>
        <w:rPr>
          <w:rFonts w:hint="eastAsia" w:ascii="宋体" w:hAnsi="宋体" w:eastAsia="宋体" w:cs="宋体"/>
          <w:color w:val="auto"/>
          <w:spacing w:val="-7"/>
          <w:sz w:val="24"/>
          <w:szCs w:val="24"/>
          <w:highlight w:val="none"/>
          <w:lang w:eastAsia="zh-CN"/>
        </w:rPr>
        <w:t>☑</w:t>
      </w:r>
      <w:r>
        <w:rPr>
          <w:rFonts w:ascii="宋体" w:hAnsi="宋体" w:eastAsia="宋体" w:cs="宋体"/>
          <w:color w:val="auto"/>
          <w:spacing w:val="-7"/>
          <w:sz w:val="24"/>
          <w:szCs w:val="24"/>
          <w:highlight w:val="none"/>
        </w:rPr>
        <w:t>方法</w:t>
      </w:r>
      <w:r>
        <w:rPr>
          <w:rFonts w:ascii="Times New Roman" w:hAnsi="Times New Roman" w:eastAsia="Times New Roman" w:cs="Times New Roman"/>
          <w:color w:val="auto"/>
          <w:spacing w:val="-7"/>
          <w:sz w:val="24"/>
          <w:szCs w:val="24"/>
          <w:highlight w:val="none"/>
        </w:rPr>
        <w:t>2</w:t>
      </w:r>
      <w:r>
        <w:rPr>
          <w:rFonts w:ascii="宋体" w:hAnsi="宋体" w:eastAsia="宋体" w:cs="宋体"/>
          <w:color w:val="auto"/>
          <w:spacing w:val="-7"/>
          <w:sz w:val="24"/>
          <w:szCs w:val="24"/>
          <w:highlight w:val="none"/>
        </w:rPr>
        <w:t>：</w:t>
      </w:r>
    </w:p>
    <w:p w14:paraId="56D46C70">
      <w:pPr>
        <w:spacing w:before="181" w:line="218" w:lineRule="auto"/>
        <w:ind w:left="557"/>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1</w:t>
      </w:r>
      <w:r>
        <w:rPr>
          <w:rFonts w:ascii="宋体" w:hAnsi="宋体" w:eastAsia="宋体" w:cs="宋体"/>
          <w:color w:val="auto"/>
          <w:spacing w:val="-5"/>
          <w:sz w:val="24"/>
          <w:szCs w:val="24"/>
          <w:highlight w:val="none"/>
        </w:rPr>
        <w:t>）平均报价值计算范围的确定：</w:t>
      </w:r>
    </w:p>
    <w:p w14:paraId="259E9FB3">
      <w:pPr>
        <w:spacing w:before="182" w:line="290" w:lineRule="auto"/>
        <w:ind w:left="17" w:right="68" w:firstLine="558"/>
        <w:rPr>
          <w:rFonts w:ascii="宋体" w:hAnsi="宋体" w:eastAsia="宋体" w:cs="宋体"/>
          <w:color w:val="auto"/>
          <w:sz w:val="24"/>
          <w:szCs w:val="24"/>
          <w:highlight w:val="none"/>
        </w:rPr>
      </w:pPr>
      <w:r>
        <w:rPr>
          <w:rFonts w:hint="eastAsia" w:ascii="宋体" w:hAnsi="宋体" w:eastAsia="宋体" w:cs="宋体"/>
          <w:color w:val="auto"/>
          <w:spacing w:val="-3"/>
          <w:sz w:val="24"/>
          <w:szCs w:val="24"/>
          <w:highlight w:val="none"/>
          <w:lang w:eastAsia="zh-CN"/>
        </w:rPr>
        <w:t>☑</w:t>
      </w:r>
      <w:r>
        <w:rPr>
          <w:rFonts w:ascii="宋体" w:hAnsi="宋体" w:eastAsia="宋体" w:cs="宋体"/>
          <w:color w:val="auto"/>
          <w:spacing w:val="-3"/>
          <w:sz w:val="24"/>
          <w:szCs w:val="24"/>
          <w:highlight w:val="none"/>
        </w:rPr>
        <w:t>企业信用等级为</w:t>
      </w:r>
      <w:r>
        <w:rPr>
          <w:rFonts w:ascii="Times New Roman" w:hAnsi="Times New Roman" w:eastAsia="Times New Roman" w:cs="Times New Roman"/>
          <w:color w:val="auto"/>
          <w:spacing w:val="-3"/>
          <w:sz w:val="24"/>
          <w:szCs w:val="24"/>
          <w:highlight w:val="none"/>
        </w:rPr>
        <w:t>D</w:t>
      </w:r>
      <w:r>
        <w:rPr>
          <w:rFonts w:ascii="宋体" w:hAnsi="宋体" w:eastAsia="宋体" w:cs="宋体"/>
          <w:color w:val="auto"/>
          <w:spacing w:val="-3"/>
          <w:sz w:val="24"/>
          <w:szCs w:val="24"/>
          <w:highlight w:val="none"/>
        </w:rPr>
        <w:t>及以下等级或无信用评价</w:t>
      </w:r>
      <w:r>
        <w:rPr>
          <w:rFonts w:ascii="宋体" w:hAnsi="宋体" w:eastAsia="宋体" w:cs="宋体"/>
          <w:color w:val="auto"/>
          <w:spacing w:val="-4"/>
          <w:sz w:val="24"/>
          <w:szCs w:val="24"/>
          <w:highlight w:val="none"/>
        </w:rPr>
        <w:t>等级的，不计入平均报价值的计算</w:t>
      </w:r>
      <w:r>
        <w:rPr>
          <w:rFonts w:ascii="宋体" w:hAnsi="宋体" w:eastAsia="宋体" w:cs="宋体"/>
          <w:color w:val="auto"/>
          <w:sz w:val="24"/>
          <w:szCs w:val="24"/>
          <w:highlight w:val="none"/>
        </w:rPr>
        <w:t xml:space="preserve"> </w:t>
      </w:r>
      <w:r>
        <w:rPr>
          <w:rFonts w:ascii="宋体" w:hAnsi="宋体" w:eastAsia="宋体" w:cs="宋体"/>
          <w:color w:val="auto"/>
          <w:spacing w:val="-16"/>
          <w:sz w:val="24"/>
          <w:szCs w:val="24"/>
          <w:highlight w:val="none"/>
        </w:rPr>
        <w:t>范围；</w:t>
      </w:r>
    </w:p>
    <w:p w14:paraId="6E90BF12">
      <w:pPr>
        <w:spacing w:before="180" w:line="218" w:lineRule="auto"/>
        <w:ind w:firstLine="464" w:firstLineChars="200"/>
        <w:rPr>
          <w:rFonts w:ascii="Times New Roman" w:hAnsi="Times New Roman" w:eastAsia="Times New Roman" w:cs="Times New Roman"/>
          <w:color w:val="auto"/>
          <w:sz w:val="24"/>
          <w:szCs w:val="24"/>
          <w:highlight w:val="yellow"/>
        </w:rPr>
      </w:pP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4"/>
          <w:sz w:val="24"/>
          <w:szCs w:val="24"/>
          <w:highlight w:val="none"/>
        </w:rPr>
        <w:t>低于</w:t>
      </w:r>
      <w:r>
        <w:rPr>
          <w:rFonts w:ascii="Times New Roman" w:hAnsi="Times New Roman" w:eastAsia="Times New Roman" w:cs="Times New Roman"/>
          <w:color w:val="auto"/>
          <w:spacing w:val="-4"/>
          <w:sz w:val="24"/>
          <w:szCs w:val="24"/>
          <w:highlight w:val="none"/>
        </w:rPr>
        <w:t>B</w:t>
      </w:r>
      <w:r>
        <w:rPr>
          <w:rFonts w:ascii="宋体" w:hAnsi="宋体" w:eastAsia="宋体" w:cs="宋体"/>
          <w:color w:val="auto"/>
          <w:spacing w:val="-4"/>
          <w:sz w:val="24"/>
          <w:szCs w:val="24"/>
          <w:highlight w:val="none"/>
        </w:rPr>
        <w:t>值的投标评标价，不计入平均报价值</w:t>
      </w:r>
      <w:r>
        <w:rPr>
          <w:rFonts w:ascii="宋体" w:hAnsi="宋体" w:eastAsia="宋体" w:cs="宋体"/>
          <w:color w:val="auto"/>
          <w:spacing w:val="-5"/>
          <w:sz w:val="24"/>
          <w:szCs w:val="24"/>
          <w:highlight w:val="none"/>
        </w:rPr>
        <w:t>的计算范围。</w:t>
      </w:r>
      <w:r>
        <w:rPr>
          <w:rFonts w:ascii="Times New Roman" w:hAnsi="Times New Roman" w:eastAsia="Times New Roman" w:cs="Times New Roman"/>
          <w:color w:val="auto"/>
          <w:spacing w:val="-5"/>
          <w:sz w:val="24"/>
          <w:szCs w:val="24"/>
          <w:highlight w:val="none"/>
        </w:rPr>
        <w:t>B=</w:t>
      </w:r>
      <w:r>
        <w:rPr>
          <w:rFonts w:ascii="宋体" w:hAnsi="宋体" w:eastAsia="宋体" w:cs="宋体"/>
          <w:color w:val="auto"/>
          <w:spacing w:val="-5"/>
          <w:sz w:val="24"/>
          <w:szCs w:val="24"/>
          <w:highlight w:val="none"/>
        </w:rPr>
        <w:t>招标人最高投标限</w:t>
      </w:r>
      <w:r>
        <w:rPr>
          <w:rFonts w:ascii="宋体" w:hAnsi="宋体" w:eastAsia="宋体" w:cs="宋体"/>
          <w:color w:val="auto"/>
          <w:spacing w:val="-3"/>
          <w:sz w:val="24"/>
          <w:szCs w:val="24"/>
          <w:highlight w:val="none"/>
        </w:rPr>
        <w:t>价×</w:t>
      </w:r>
      <w:r>
        <w:rPr>
          <w:rFonts w:ascii="宋体" w:hAnsi="宋体" w:eastAsia="宋体" w:cs="宋体"/>
          <w:color w:val="auto"/>
          <w:spacing w:val="-3"/>
          <w:sz w:val="25"/>
          <w:szCs w:val="25"/>
          <w:highlight w:val="none"/>
          <w:u w:val="single" w:color="auto"/>
        </w:rPr>
        <w:t xml:space="preserve">  </w:t>
      </w:r>
      <w:r>
        <w:rPr>
          <w:rFonts w:hint="eastAsia" w:ascii="宋体" w:hAnsi="宋体" w:eastAsia="宋体" w:cs="宋体"/>
          <w:color w:val="auto"/>
          <w:spacing w:val="-3"/>
          <w:sz w:val="25"/>
          <w:szCs w:val="25"/>
          <w:highlight w:val="none"/>
          <w:u w:val="single" w:color="auto"/>
          <w:lang w:val="en-US" w:eastAsia="zh-CN"/>
        </w:rPr>
        <w:t>80</w:t>
      </w:r>
      <w:r>
        <w:rPr>
          <w:rFonts w:ascii="宋体" w:hAnsi="宋体" w:eastAsia="宋体" w:cs="宋体"/>
          <w:i/>
          <w:iCs/>
          <w:color w:val="auto"/>
          <w:spacing w:val="-3"/>
          <w:sz w:val="25"/>
          <w:szCs w:val="25"/>
          <w:highlight w:val="none"/>
          <w:u w:val="single" w:color="auto"/>
        </w:rPr>
        <w:t>（</w:t>
      </w:r>
      <w:r>
        <w:rPr>
          <w:rFonts w:ascii="Times New Roman" w:hAnsi="Times New Roman" w:eastAsia="Times New Roman" w:cs="Times New Roman"/>
          <w:i/>
          <w:iCs/>
          <w:color w:val="auto"/>
          <w:spacing w:val="-3"/>
          <w:sz w:val="24"/>
          <w:szCs w:val="24"/>
          <w:highlight w:val="none"/>
          <w:u w:val="single" w:color="auto"/>
        </w:rPr>
        <w:t>80~90</w:t>
      </w:r>
      <w:r>
        <w:rPr>
          <w:rFonts w:ascii="宋体" w:hAnsi="宋体" w:eastAsia="宋体" w:cs="宋体"/>
          <w:i/>
          <w:iCs/>
          <w:color w:val="auto"/>
          <w:spacing w:val="-3"/>
          <w:sz w:val="25"/>
          <w:szCs w:val="25"/>
          <w:highlight w:val="none"/>
          <w:u w:val="single" w:color="auto"/>
        </w:rPr>
        <w:t>，由招标人自主确定）</w:t>
      </w:r>
      <w:r>
        <w:rPr>
          <w:rFonts w:ascii="宋体" w:hAnsi="宋体" w:eastAsia="宋体" w:cs="宋体"/>
          <w:color w:val="auto"/>
          <w:spacing w:val="46"/>
          <w:sz w:val="25"/>
          <w:szCs w:val="25"/>
          <w:highlight w:val="none"/>
          <w:u w:val="single" w:color="auto"/>
        </w:rPr>
        <w:t xml:space="preserve"> </w:t>
      </w:r>
      <w:r>
        <w:rPr>
          <w:rFonts w:ascii="宋体" w:hAnsi="宋体" w:eastAsia="宋体" w:cs="宋体"/>
          <w:color w:val="auto"/>
          <w:spacing w:val="-117"/>
          <w:sz w:val="25"/>
          <w:szCs w:val="25"/>
          <w:highlight w:val="none"/>
        </w:rPr>
        <w:t xml:space="preserve"> </w:t>
      </w:r>
      <w:r>
        <w:rPr>
          <w:rFonts w:ascii="Times New Roman" w:hAnsi="Times New Roman" w:eastAsia="Times New Roman" w:cs="Times New Roman"/>
          <w:color w:val="auto"/>
          <w:spacing w:val="-3"/>
          <w:sz w:val="24"/>
          <w:szCs w:val="24"/>
          <w:highlight w:val="none"/>
        </w:rPr>
        <w:t>%</w:t>
      </w:r>
    </w:p>
    <w:p w14:paraId="26FBEB84">
      <w:pPr>
        <w:spacing w:before="181" w:line="218" w:lineRule="auto"/>
        <w:ind w:left="55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除以上情形外，通过商务评审的投标评标价均计入平均报价值计算范围。</w:t>
      </w:r>
    </w:p>
    <w:p w14:paraId="423ABD29">
      <w:pPr>
        <w:spacing w:before="179" w:line="349" w:lineRule="auto"/>
        <w:ind w:right="215" w:firstLine="491"/>
        <w:rPr>
          <w:rFonts w:hint="eastAsia" w:ascii="宋体" w:hAnsi="宋体" w:eastAsia="宋体" w:cs="宋体"/>
          <w:color w:val="auto"/>
          <w:sz w:val="24"/>
          <w:szCs w:val="24"/>
          <w:highlight w:val="none"/>
          <w:lang w:eastAsia="zh-CN"/>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）平均报价值的确定：若计入平均报价值计算范围的投标人大于等于</w:t>
      </w: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家，</w:t>
      </w:r>
      <w:r>
        <w:rPr>
          <w:rFonts w:ascii="宋体" w:hAnsi="宋体" w:eastAsia="宋体" w:cs="宋体"/>
          <w:color w:val="auto"/>
          <w:spacing w:val="18"/>
          <w:sz w:val="24"/>
          <w:szCs w:val="24"/>
          <w:highlight w:val="none"/>
        </w:rPr>
        <w:t xml:space="preserve"> </w:t>
      </w:r>
      <w:r>
        <w:rPr>
          <w:rFonts w:ascii="宋体" w:hAnsi="宋体" w:eastAsia="宋体" w:cs="宋体"/>
          <w:color w:val="auto"/>
          <w:sz w:val="24"/>
          <w:szCs w:val="24"/>
          <w:highlight w:val="none"/>
        </w:rPr>
        <w:t>平均报价值为计入平均报价值计算范围的投标评标价中剔除投标评标价</w:t>
      </w:r>
      <w:r>
        <w:rPr>
          <w:rFonts w:ascii="宋体" w:hAnsi="宋体" w:eastAsia="宋体" w:cs="宋体"/>
          <w:color w:val="auto"/>
          <w:spacing w:val="-1"/>
          <w:sz w:val="24"/>
          <w:szCs w:val="24"/>
          <w:highlight w:val="none"/>
        </w:rPr>
        <w:t>由高到低排</w:t>
      </w:r>
      <w:r>
        <w:rPr>
          <w:rFonts w:ascii="宋体" w:hAnsi="宋体" w:eastAsia="宋体" w:cs="宋体"/>
          <w:color w:val="auto"/>
          <w:sz w:val="24"/>
          <w:szCs w:val="24"/>
          <w:highlight w:val="none"/>
        </w:rPr>
        <w:t xml:space="preserve"> 序前</w:t>
      </w:r>
      <w:r>
        <w:rPr>
          <w:rFonts w:ascii="Times New Roman" w:hAnsi="Times New Roman" w:eastAsia="Times New Roman" w:cs="Times New Roman"/>
          <w:color w:val="auto"/>
          <w:sz w:val="24"/>
          <w:szCs w:val="24"/>
          <w:highlight w:val="none"/>
        </w:rPr>
        <w:t>A</w:t>
      </w:r>
      <w:r>
        <w:rPr>
          <w:rFonts w:ascii="宋体" w:hAnsi="宋体" w:eastAsia="宋体" w:cs="宋体"/>
          <w:color w:val="auto"/>
          <w:sz w:val="24"/>
          <w:szCs w:val="24"/>
          <w:highlight w:val="none"/>
        </w:rPr>
        <w:t>个投标评标价和投标评标价由低到高排序前</w:t>
      </w:r>
      <w:r>
        <w:rPr>
          <w:rFonts w:ascii="Times New Roman" w:hAnsi="Times New Roman" w:eastAsia="Times New Roman" w:cs="Times New Roman"/>
          <w:color w:val="auto"/>
          <w:sz w:val="24"/>
          <w:szCs w:val="24"/>
          <w:highlight w:val="none"/>
        </w:rPr>
        <w:t>A</w:t>
      </w:r>
      <w:r>
        <w:rPr>
          <w:rFonts w:ascii="宋体" w:hAnsi="宋体" w:eastAsia="宋体" w:cs="宋体"/>
          <w:color w:val="auto"/>
          <w:sz w:val="24"/>
          <w:szCs w:val="24"/>
          <w:highlight w:val="none"/>
        </w:rPr>
        <w:t>个投标评标价后</w:t>
      </w:r>
      <w:r>
        <w:rPr>
          <w:rFonts w:ascii="宋体" w:hAnsi="宋体" w:eastAsia="宋体" w:cs="宋体"/>
          <w:color w:val="auto"/>
          <w:spacing w:val="-1"/>
          <w:sz w:val="24"/>
          <w:szCs w:val="24"/>
          <w:highlight w:val="none"/>
        </w:rPr>
        <w:t>的算术平均值</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A</w:t>
      </w:r>
      <w:r>
        <w:rPr>
          <w:rFonts w:ascii="宋体" w:hAnsi="宋体" w:eastAsia="宋体" w:cs="宋体"/>
          <w:color w:val="auto"/>
          <w:spacing w:val="-1"/>
          <w:sz w:val="24"/>
          <w:szCs w:val="24"/>
          <w:highlight w:val="none"/>
        </w:rPr>
        <w:t>为计入平均报价值计算范围的投标人个数的</w:t>
      </w:r>
      <w:r>
        <w:rPr>
          <w:rFonts w:ascii="宋体" w:hAnsi="宋体" w:eastAsia="宋体" w:cs="宋体"/>
          <w:color w:val="auto"/>
          <w:spacing w:val="-1"/>
          <w:sz w:val="24"/>
          <w:szCs w:val="24"/>
          <w:highlight w:val="none"/>
          <w:u w:val="single" w:color="auto"/>
        </w:rPr>
        <w:t xml:space="preserve">  </w:t>
      </w:r>
      <w:r>
        <w:rPr>
          <w:rFonts w:ascii="Times New Roman" w:hAnsi="Times New Roman" w:eastAsia="Times New Roman" w:cs="Times New Roman"/>
          <w:i/>
          <w:iCs/>
          <w:color w:val="auto"/>
          <w:spacing w:val="-1"/>
          <w:sz w:val="24"/>
          <w:szCs w:val="24"/>
          <w:highlight w:val="none"/>
          <w:u w:val="single" w:color="auto"/>
        </w:rPr>
        <w:t>20%</w:t>
      </w:r>
      <w:r>
        <w:rPr>
          <w:rFonts w:ascii="宋体" w:hAnsi="宋体" w:eastAsia="宋体" w:cs="宋体"/>
          <w:color w:val="auto"/>
          <w:spacing w:val="-1"/>
          <w:sz w:val="24"/>
          <w:szCs w:val="24"/>
          <w:highlight w:val="none"/>
          <w:u w:val="single" w:color="auto"/>
        </w:rPr>
        <w:t>（</w:t>
      </w:r>
      <w:r>
        <w:rPr>
          <w:rFonts w:ascii="Times New Roman" w:hAnsi="Times New Roman" w:eastAsia="Times New Roman" w:cs="Times New Roman"/>
          <w:i/>
          <w:iCs/>
          <w:color w:val="auto"/>
          <w:spacing w:val="-1"/>
          <w:sz w:val="24"/>
          <w:szCs w:val="24"/>
          <w:highlight w:val="none"/>
          <w:u w:val="single" w:color="auto"/>
        </w:rPr>
        <w:t>20%</w:t>
      </w:r>
      <w:r>
        <w:rPr>
          <w:rFonts w:ascii="宋体" w:hAnsi="宋体" w:eastAsia="宋体" w:cs="宋体"/>
          <w:i/>
          <w:iCs/>
          <w:color w:val="auto"/>
          <w:spacing w:val="-1"/>
          <w:sz w:val="25"/>
          <w:szCs w:val="25"/>
          <w:highlight w:val="none"/>
          <w:u w:val="single" w:color="auto"/>
        </w:rPr>
        <w:t>～</w:t>
      </w:r>
      <w:r>
        <w:rPr>
          <w:rFonts w:ascii="Times New Roman" w:hAnsi="Times New Roman" w:eastAsia="Times New Roman" w:cs="Times New Roman"/>
          <w:i/>
          <w:iCs/>
          <w:color w:val="auto"/>
          <w:spacing w:val="-1"/>
          <w:sz w:val="24"/>
          <w:szCs w:val="24"/>
          <w:highlight w:val="none"/>
          <w:u w:val="single" w:color="auto"/>
        </w:rPr>
        <w:t>30%</w:t>
      </w:r>
      <w:r>
        <w:rPr>
          <w:rFonts w:ascii="宋体" w:hAnsi="宋体" w:eastAsia="宋体" w:cs="宋体"/>
          <w:i/>
          <w:iCs/>
          <w:color w:val="auto"/>
          <w:spacing w:val="-1"/>
          <w:sz w:val="25"/>
          <w:szCs w:val="25"/>
          <w:highlight w:val="none"/>
          <w:u w:val="single" w:color="auto"/>
        </w:rPr>
        <w:t>，由招标人自主确定</w:t>
      </w:r>
      <w:r>
        <w:rPr>
          <w:rFonts w:ascii="宋体" w:hAnsi="宋体" w:eastAsia="宋体" w:cs="宋体"/>
          <w:i/>
          <w:iCs/>
          <w:color w:val="auto"/>
          <w:spacing w:val="2"/>
          <w:sz w:val="25"/>
          <w:szCs w:val="25"/>
          <w:highlight w:val="none"/>
          <w:u w:val="single" w:color="auto"/>
        </w:rPr>
        <w:t>）</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并取整数，小数点后四舍五入</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若计入平均报价值计算范围的投标人少于</w:t>
      </w: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家，平均报价值为所有计入平均报价值计算范围的投标评标价的算术平</w:t>
      </w:r>
      <w:r>
        <w:rPr>
          <w:rFonts w:ascii="宋体" w:hAnsi="宋体" w:eastAsia="宋体" w:cs="宋体"/>
          <w:color w:val="auto"/>
          <w:spacing w:val="-2"/>
          <w:sz w:val="24"/>
          <w:szCs w:val="24"/>
          <w:highlight w:val="none"/>
        </w:rPr>
        <w:t>均值</w:t>
      </w:r>
      <w:r>
        <w:rPr>
          <w:rFonts w:hint="eastAsia" w:ascii="宋体" w:hAnsi="宋体" w:eastAsia="宋体" w:cs="宋体"/>
          <w:color w:val="auto"/>
          <w:spacing w:val="-2"/>
          <w:sz w:val="24"/>
          <w:szCs w:val="24"/>
          <w:highlight w:val="none"/>
          <w:lang w:eastAsia="zh-CN"/>
        </w:rPr>
        <w:t>。</w:t>
      </w:r>
    </w:p>
    <w:p w14:paraId="3EB06278">
      <w:pPr>
        <w:spacing w:line="323" w:lineRule="exact"/>
        <w:ind w:left="491"/>
        <w:rPr>
          <w:rFonts w:ascii="宋体" w:hAnsi="宋体" w:eastAsia="宋体" w:cs="宋体"/>
          <w:color w:val="auto"/>
          <w:sz w:val="24"/>
          <w:szCs w:val="24"/>
          <w:highlight w:val="none"/>
        </w:rPr>
      </w:pPr>
      <w:r>
        <w:rPr>
          <w:rFonts w:ascii="宋体" w:hAnsi="宋体" w:eastAsia="宋体" w:cs="宋体"/>
          <w:color w:val="auto"/>
          <w:spacing w:val="-1"/>
          <w:position w:val="1"/>
          <w:sz w:val="24"/>
          <w:szCs w:val="24"/>
          <w:highlight w:val="none"/>
        </w:rPr>
        <w:t>（</w:t>
      </w:r>
      <w:r>
        <w:rPr>
          <w:rFonts w:ascii="Times New Roman" w:hAnsi="Times New Roman" w:eastAsia="Times New Roman" w:cs="Times New Roman"/>
          <w:color w:val="auto"/>
          <w:spacing w:val="-1"/>
          <w:position w:val="1"/>
          <w:sz w:val="24"/>
          <w:szCs w:val="24"/>
          <w:highlight w:val="none"/>
        </w:rPr>
        <w:t>3</w:t>
      </w:r>
      <w:r>
        <w:rPr>
          <w:rFonts w:ascii="宋体" w:hAnsi="宋体" w:eastAsia="宋体" w:cs="宋体"/>
          <w:color w:val="auto"/>
          <w:spacing w:val="-1"/>
          <w:position w:val="1"/>
          <w:sz w:val="24"/>
          <w:szCs w:val="24"/>
          <w:highlight w:val="none"/>
        </w:rPr>
        <w:t>）评分基准价的确定：评分基准价</w:t>
      </w:r>
      <w:r>
        <w:rPr>
          <w:rFonts w:ascii="Times New Roman" w:hAnsi="Times New Roman" w:eastAsia="Times New Roman" w:cs="Times New Roman"/>
          <w:color w:val="auto"/>
          <w:spacing w:val="-1"/>
          <w:position w:val="1"/>
          <w:sz w:val="24"/>
          <w:szCs w:val="24"/>
          <w:highlight w:val="none"/>
        </w:rPr>
        <w:t>=</w:t>
      </w:r>
      <w:r>
        <w:rPr>
          <w:rFonts w:ascii="宋体" w:hAnsi="宋体" w:eastAsia="宋体" w:cs="宋体"/>
          <w:color w:val="auto"/>
          <w:spacing w:val="-1"/>
          <w:position w:val="1"/>
          <w:sz w:val="24"/>
          <w:szCs w:val="24"/>
          <w:highlight w:val="none"/>
        </w:rPr>
        <w:t>平均报价值</w:t>
      </w:r>
      <w:r>
        <w:rPr>
          <w:rFonts w:ascii="Times New Roman" w:hAnsi="Times New Roman" w:eastAsia="Times New Roman" w:cs="Times New Roman"/>
          <w:color w:val="auto"/>
          <w:spacing w:val="-1"/>
          <w:position w:val="1"/>
          <w:sz w:val="24"/>
          <w:szCs w:val="24"/>
          <w:highlight w:val="none"/>
        </w:rPr>
        <w:t>×</w:t>
      </w:r>
      <w:r>
        <w:rPr>
          <w:rFonts w:ascii="宋体" w:hAnsi="宋体" w:eastAsia="宋体" w:cs="宋体"/>
          <w:color w:val="auto"/>
          <w:spacing w:val="-1"/>
          <w:position w:val="1"/>
          <w:sz w:val="24"/>
          <w:szCs w:val="24"/>
          <w:highlight w:val="none"/>
        </w:rPr>
        <w:t>（</w:t>
      </w:r>
      <w:r>
        <w:rPr>
          <w:rFonts w:ascii="Times New Roman" w:hAnsi="Times New Roman" w:eastAsia="Times New Roman" w:cs="Times New Roman"/>
          <w:color w:val="auto"/>
          <w:spacing w:val="-1"/>
          <w:position w:val="1"/>
          <w:sz w:val="24"/>
          <w:szCs w:val="24"/>
          <w:highlight w:val="none"/>
        </w:rPr>
        <w:t>1-X%</w:t>
      </w:r>
      <w:r>
        <w:rPr>
          <w:rFonts w:ascii="宋体" w:hAnsi="宋体" w:eastAsia="宋体" w:cs="宋体"/>
          <w:color w:val="auto"/>
          <w:spacing w:val="-1"/>
          <w:position w:val="1"/>
          <w:sz w:val="24"/>
          <w:szCs w:val="24"/>
          <w:highlight w:val="none"/>
        </w:rPr>
        <w:t>）</w:t>
      </w:r>
    </w:p>
    <w:p w14:paraId="309C2FA5">
      <w:pPr>
        <w:spacing w:before="187" w:line="332" w:lineRule="auto"/>
        <w:ind w:left="13" w:firstLine="523"/>
        <w:rPr>
          <w:rFonts w:ascii="宋体" w:hAnsi="宋体" w:eastAsia="宋体" w:cs="宋体"/>
          <w:color w:val="auto"/>
          <w:sz w:val="24"/>
          <w:szCs w:val="24"/>
          <w:highlight w:val="none"/>
        </w:rPr>
      </w:pPr>
      <w:r>
        <w:rPr>
          <w:rFonts w:ascii="Times New Roman" w:hAnsi="Times New Roman" w:eastAsia="Times New Roman" w:cs="Times New Roman"/>
          <w:color w:val="auto"/>
          <w:spacing w:val="-5"/>
          <w:sz w:val="24"/>
          <w:szCs w:val="24"/>
          <w:highlight w:val="none"/>
        </w:rPr>
        <w:t>X</w:t>
      </w:r>
      <w:r>
        <w:rPr>
          <w:rFonts w:ascii="宋体" w:hAnsi="宋体" w:eastAsia="宋体" w:cs="宋体"/>
          <w:color w:val="auto"/>
          <w:spacing w:val="-5"/>
          <w:sz w:val="24"/>
          <w:szCs w:val="24"/>
          <w:highlight w:val="none"/>
        </w:rPr>
        <w:t>值在开标时由招标人在</w:t>
      </w:r>
      <w:r>
        <w:rPr>
          <w:rFonts w:ascii="宋体" w:hAnsi="宋体" w:eastAsia="宋体" w:cs="宋体"/>
          <w:color w:val="auto"/>
          <w:spacing w:val="31"/>
          <w:sz w:val="25"/>
          <w:szCs w:val="25"/>
          <w:highlight w:val="none"/>
          <w:u w:val="single" w:color="auto"/>
        </w:rPr>
        <w:t xml:space="preserve">  </w:t>
      </w:r>
      <w:r>
        <w:rPr>
          <w:rFonts w:hint="eastAsia" w:ascii="宋体" w:hAnsi="宋体" w:eastAsia="宋体" w:cs="宋体"/>
          <w:b/>
          <w:bCs/>
          <w:i/>
          <w:iCs/>
          <w:color w:val="auto"/>
          <w:spacing w:val="22"/>
          <w:sz w:val="25"/>
          <w:szCs w:val="25"/>
          <w:highlight w:val="none"/>
          <w:u w:val="single"/>
          <w:lang w:val="en-US" w:eastAsia="zh-CN"/>
        </w:rPr>
        <w:t>1.0、1.5、2、2.5、3.0</w:t>
      </w:r>
      <w:r>
        <w:rPr>
          <w:rFonts w:ascii="宋体" w:hAnsi="宋体" w:eastAsia="宋体" w:cs="宋体"/>
          <w:i/>
          <w:iCs/>
          <w:color w:val="auto"/>
          <w:spacing w:val="-5"/>
          <w:sz w:val="25"/>
          <w:szCs w:val="25"/>
          <w:highlight w:val="none"/>
          <w:u w:val="single" w:color="auto"/>
        </w:rPr>
        <w:t>（由招标人在</w:t>
      </w:r>
      <w:r>
        <w:rPr>
          <w:rFonts w:ascii="Times New Roman" w:hAnsi="Times New Roman" w:eastAsia="Times New Roman" w:cs="Times New Roman"/>
          <w:i/>
          <w:iCs/>
          <w:color w:val="auto"/>
          <w:spacing w:val="-5"/>
          <w:sz w:val="24"/>
          <w:szCs w:val="24"/>
          <w:highlight w:val="none"/>
          <w:u w:val="single" w:color="auto"/>
        </w:rPr>
        <w:t>0</w:t>
      </w:r>
      <w:r>
        <w:rPr>
          <w:rFonts w:ascii="宋体" w:hAnsi="宋体" w:eastAsia="宋体" w:cs="宋体"/>
          <w:i/>
          <w:iCs/>
          <w:color w:val="auto"/>
          <w:spacing w:val="-5"/>
          <w:sz w:val="25"/>
          <w:szCs w:val="25"/>
          <w:highlight w:val="none"/>
          <w:u w:val="single" w:color="auto"/>
        </w:rPr>
        <w:t>～</w:t>
      </w:r>
      <w:r>
        <w:rPr>
          <w:rFonts w:ascii="Times New Roman" w:hAnsi="Times New Roman" w:eastAsia="Times New Roman" w:cs="Times New Roman"/>
          <w:i/>
          <w:iCs/>
          <w:color w:val="auto"/>
          <w:spacing w:val="-5"/>
          <w:sz w:val="24"/>
          <w:szCs w:val="24"/>
          <w:highlight w:val="none"/>
          <w:u w:val="single" w:color="auto"/>
        </w:rPr>
        <w:t>3</w:t>
      </w:r>
      <w:r>
        <w:rPr>
          <w:rFonts w:ascii="宋体" w:hAnsi="宋体" w:eastAsia="宋体" w:cs="宋体"/>
          <w:i/>
          <w:iCs/>
          <w:color w:val="auto"/>
          <w:spacing w:val="-5"/>
          <w:sz w:val="25"/>
          <w:szCs w:val="25"/>
          <w:highlight w:val="none"/>
          <w:u w:val="single" w:color="auto"/>
        </w:rPr>
        <w:t>之间自行确定</w:t>
      </w:r>
      <w:r>
        <w:rPr>
          <w:rFonts w:ascii="宋体" w:hAnsi="宋体" w:eastAsia="宋体" w:cs="宋体"/>
          <w:i/>
          <w:iCs/>
          <w:color w:val="auto"/>
          <w:spacing w:val="-6"/>
          <w:sz w:val="25"/>
          <w:szCs w:val="25"/>
          <w:highlight w:val="none"/>
          <w:u w:val="single" w:color="auto"/>
        </w:rPr>
        <w:t>，但应为</w:t>
      </w:r>
      <w:r>
        <w:rPr>
          <w:rFonts w:ascii="Times New Roman" w:hAnsi="Times New Roman" w:eastAsia="Times New Roman" w:cs="Times New Roman"/>
          <w:i/>
          <w:iCs/>
          <w:color w:val="auto"/>
          <w:spacing w:val="-6"/>
          <w:sz w:val="24"/>
          <w:szCs w:val="24"/>
          <w:highlight w:val="none"/>
          <w:u w:val="single" w:color="auto"/>
        </w:rPr>
        <w:t>5</w:t>
      </w:r>
      <w:r>
        <w:rPr>
          <w:rFonts w:ascii="宋体" w:hAnsi="宋体" w:eastAsia="宋体" w:cs="宋体"/>
          <w:i/>
          <w:iCs/>
          <w:color w:val="auto"/>
          <w:spacing w:val="-6"/>
          <w:sz w:val="25"/>
          <w:szCs w:val="25"/>
          <w:highlight w:val="none"/>
          <w:u w:val="single" w:color="auto"/>
        </w:rPr>
        <w:t>个数组成</w:t>
      </w:r>
      <w:r>
        <w:rPr>
          <w:rFonts w:ascii="宋体" w:hAnsi="宋体" w:eastAsia="宋体" w:cs="宋体"/>
          <w:i/>
          <w:iCs/>
          <w:color w:val="auto"/>
          <w:spacing w:val="-8"/>
          <w:sz w:val="25"/>
          <w:szCs w:val="25"/>
          <w:highlight w:val="none"/>
          <w:u w:val="single" w:color="auto"/>
        </w:rPr>
        <w:t>的等差递增数列，最小公差大于等于</w:t>
      </w:r>
      <w:r>
        <w:rPr>
          <w:rFonts w:ascii="Times New Roman" w:hAnsi="Times New Roman" w:eastAsia="Times New Roman" w:cs="Times New Roman"/>
          <w:i/>
          <w:iCs/>
          <w:color w:val="auto"/>
          <w:spacing w:val="-8"/>
          <w:sz w:val="24"/>
          <w:szCs w:val="24"/>
          <w:highlight w:val="none"/>
          <w:u w:val="single" w:color="auto"/>
        </w:rPr>
        <w:t>0.5</w:t>
      </w:r>
      <w:r>
        <w:rPr>
          <w:rFonts w:ascii="宋体" w:hAnsi="宋体" w:eastAsia="宋体" w:cs="宋体"/>
          <w:i/>
          <w:iCs/>
          <w:color w:val="auto"/>
          <w:spacing w:val="-8"/>
          <w:sz w:val="25"/>
          <w:szCs w:val="25"/>
          <w:highlight w:val="none"/>
          <w:u w:val="single" w:color="auto"/>
        </w:rPr>
        <w:t>）</w:t>
      </w:r>
      <w:r>
        <w:rPr>
          <w:rFonts w:ascii="宋体" w:hAnsi="宋体" w:eastAsia="宋体" w:cs="宋体"/>
          <w:color w:val="auto"/>
          <w:spacing w:val="117"/>
          <w:sz w:val="25"/>
          <w:szCs w:val="25"/>
          <w:highlight w:val="none"/>
          <w:u w:val="single" w:color="auto"/>
        </w:rPr>
        <w:t xml:space="preserve"> </w:t>
      </w:r>
      <w:r>
        <w:rPr>
          <w:rFonts w:ascii="宋体" w:hAnsi="宋体" w:eastAsia="宋体" w:cs="宋体"/>
          <w:color w:val="auto"/>
          <w:spacing w:val="-114"/>
          <w:sz w:val="25"/>
          <w:szCs w:val="25"/>
          <w:highlight w:val="none"/>
        </w:rPr>
        <w:t xml:space="preserve"> </w:t>
      </w:r>
      <w:r>
        <w:rPr>
          <w:rFonts w:ascii="宋体" w:hAnsi="宋体" w:eastAsia="宋体" w:cs="宋体"/>
          <w:color w:val="auto"/>
          <w:spacing w:val="-8"/>
          <w:sz w:val="24"/>
          <w:szCs w:val="24"/>
          <w:highlight w:val="none"/>
        </w:rPr>
        <w:t>之中随机抽取确定。</w:t>
      </w:r>
    </w:p>
    <w:p w14:paraId="1D417179">
      <w:pPr>
        <w:spacing w:before="35" w:line="221" w:lineRule="auto"/>
        <w:ind w:left="50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w:t>
      </w:r>
    </w:p>
    <w:p w14:paraId="06AFBF8C">
      <w:pPr>
        <w:spacing w:before="178"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73D1DF59">
      <w:pPr>
        <w:spacing w:before="185" w:line="289" w:lineRule="auto"/>
        <w:ind w:left="11" w:right="66" w:firstLine="55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□企业信用等级为</w:t>
      </w:r>
      <w:r>
        <w:rPr>
          <w:rFonts w:ascii="Times New Roman" w:hAnsi="Times New Roman" w:eastAsia="Times New Roman" w:cs="Times New Roman"/>
          <w:strike/>
          <w:dstrike w:val="0"/>
          <w:color w:val="auto"/>
          <w:spacing w:val="-3"/>
          <w:sz w:val="24"/>
          <w:szCs w:val="24"/>
          <w:highlight w:val="none"/>
        </w:rPr>
        <w:t>D</w:t>
      </w:r>
      <w:r>
        <w:rPr>
          <w:rFonts w:ascii="宋体" w:hAnsi="宋体" w:eastAsia="宋体" w:cs="宋体"/>
          <w:strike/>
          <w:dstrike w:val="0"/>
          <w:color w:val="auto"/>
          <w:spacing w:val="-3"/>
          <w:sz w:val="24"/>
          <w:szCs w:val="24"/>
          <w:highlight w:val="none"/>
        </w:rPr>
        <w:t>及以下等级或无信用评价</w:t>
      </w:r>
      <w:r>
        <w:rPr>
          <w:rFonts w:ascii="宋体" w:hAnsi="宋体" w:eastAsia="宋体" w:cs="宋体"/>
          <w:strike/>
          <w:dstrike w:val="0"/>
          <w:color w:val="auto"/>
          <w:spacing w:val="-4"/>
          <w:sz w:val="24"/>
          <w:szCs w:val="24"/>
          <w:highlight w:val="none"/>
        </w:rPr>
        <w:t>等级的，不计入平均报价值的计算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6"/>
          <w:sz w:val="24"/>
          <w:szCs w:val="24"/>
          <w:highlight w:val="none"/>
        </w:rPr>
        <w:t>范围；</w:t>
      </w:r>
    </w:p>
    <w:p w14:paraId="4A4F4783">
      <w:pPr>
        <w:spacing w:before="183" w:line="284" w:lineRule="auto"/>
        <w:ind w:left="6" w:right="63"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4E2DC7F2">
      <w:pPr>
        <w:spacing w:before="179"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7A589D1E">
      <w:pPr>
        <w:spacing w:before="182" w:line="349" w:lineRule="auto"/>
        <w:ind w:right="215"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3AC0DCE1">
      <w:pPr>
        <w:spacing w:line="331" w:lineRule="auto"/>
        <w:ind w:left="8" w:right="66" w:firstLine="4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1"/>
          <w:sz w:val="24"/>
          <w:szCs w:val="24"/>
          <w:highlight w:val="none"/>
        </w:rPr>
        <w:t>）评分基准价的确定：评分基准价</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（平均报价值</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参与计算平均报价的次低</w:t>
      </w:r>
      <w:r>
        <w:rPr>
          <w:rFonts w:ascii="宋体" w:hAnsi="宋体" w:eastAsia="宋体" w:cs="宋体"/>
          <w:strike/>
          <w:dstrike w:val="0"/>
          <w:color w:val="auto"/>
          <w:spacing w:val="17"/>
          <w:sz w:val="24"/>
          <w:szCs w:val="24"/>
          <w:highlight w:val="none"/>
        </w:rPr>
        <w:t xml:space="preserve"> </w:t>
      </w:r>
      <w:r>
        <w:rPr>
          <w:rFonts w:ascii="宋体" w:hAnsi="宋体" w:eastAsia="宋体" w:cs="宋体"/>
          <w:strike/>
          <w:dstrike w:val="0"/>
          <w:color w:val="auto"/>
          <w:spacing w:val="-1"/>
          <w:sz w:val="24"/>
          <w:szCs w:val="24"/>
          <w:highlight w:val="none"/>
        </w:rPr>
        <w:t>投标评标价）</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1-X%</w:t>
      </w:r>
      <w:r>
        <w:rPr>
          <w:rFonts w:ascii="宋体" w:hAnsi="宋体" w:eastAsia="宋体" w:cs="宋体"/>
          <w:strike/>
          <w:dstrike w:val="0"/>
          <w:color w:val="auto"/>
          <w:spacing w:val="-1"/>
          <w:sz w:val="24"/>
          <w:szCs w:val="24"/>
          <w:highlight w:val="none"/>
        </w:rPr>
        <w:t>）</w:t>
      </w:r>
    </w:p>
    <w:p w14:paraId="4EADCB62">
      <w:pPr>
        <w:spacing w:before="116" w:line="330" w:lineRule="auto"/>
        <w:ind w:left="13" w:firstLine="52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5"/>
          <w:sz w:val="24"/>
          <w:szCs w:val="24"/>
          <w:highlight w:val="none"/>
        </w:rPr>
        <w:t>X</w:t>
      </w:r>
      <w:r>
        <w:rPr>
          <w:rFonts w:ascii="宋体" w:hAnsi="宋体" w:eastAsia="宋体" w:cs="宋体"/>
          <w:strike/>
          <w:dstrike w:val="0"/>
          <w:color w:val="auto"/>
          <w:spacing w:val="-5"/>
          <w:sz w:val="24"/>
          <w:szCs w:val="24"/>
          <w:highlight w:val="none"/>
        </w:rPr>
        <w:t>值在开标时由招标人在</w:t>
      </w:r>
      <w:r>
        <w:rPr>
          <w:rFonts w:ascii="宋体" w:hAnsi="宋体" w:eastAsia="宋体" w:cs="宋体"/>
          <w:strike/>
          <w:dstrike w:val="0"/>
          <w:color w:val="auto"/>
          <w:spacing w:val="31"/>
          <w:sz w:val="25"/>
          <w:szCs w:val="25"/>
          <w:highlight w:val="none"/>
          <w:u w:val="single" w:color="auto"/>
        </w:rPr>
        <w:t xml:space="preserve">  </w:t>
      </w:r>
      <w:r>
        <w:rPr>
          <w:rFonts w:ascii="宋体" w:hAnsi="宋体" w:eastAsia="宋体" w:cs="宋体"/>
          <w:i/>
          <w:iCs/>
          <w:strike/>
          <w:dstrike w:val="0"/>
          <w:color w:val="auto"/>
          <w:spacing w:val="-5"/>
          <w:sz w:val="25"/>
          <w:szCs w:val="25"/>
          <w:highlight w:val="none"/>
          <w:u w:val="single" w:color="auto"/>
        </w:rPr>
        <w:t>（由招标人在</w:t>
      </w:r>
      <w:r>
        <w:rPr>
          <w:rFonts w:ascii="Times New Roman" w:hAnsi="Times New Roman" w:eastAsia="Times New Roman" w:cs="Times New Roman"/>
          <w:i/>
          <w:iCs/>
          <w:strike/>
          <w:dstrike w:val="0"/>
          <w:color w:val="auto"/>
          <w:spacing w:val="-5"/>
          <w:sz w:val="24"/>
          <w:szCs w:val="24"/>
          <w:highlight w:val="none"/>
          <w:u w:val="single" w:color="auto"/>
        </w:rPr>
        <w:t>0</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2</w:t>
      </w:r>
      <w:r>
        <w:rPr>
          <w:rFonts w:ascii="宋体" w:hAnsi="宋体" w:eastAsia="宋体" w:cs="宋体"/>
          <w:i/>
          <w:iCs/>
          <w:strike/>
          <w:dstrike w:val="0"/>
          <w:color w:val="auto"/>
          <w:spacing w:val="-5"/>
          <w:sz w:val="25"/>
          <w:szCs w:val="25"/>
          <w:highlight w:val="none"/>
          <w:u w:val="single" w:color="auto"/>
        </w:rPr>
        <w:t>之间自行确定</w:t>
      </w:r>
      <w:r>
        <w:rPr>
          <w:rFonts w:ascii="宋体" w:hAnsi="宋体" w:eastAsia="宋体" w:cs="宋体"/>
          <w:i/>
          <w:iCs/>
          <w:strike/>
          <w:dstrike w:val="0"/>
          <w:color w:val="auto"/>
          <w:spacing w:val="-6"/>
          <w:sz w:val="25"/>
          <w:szCs w:val="25"/>
          <w:highlight w:val="none"/>
          <w:u w:val="single" w:color="auto"/>
        </w:rPr>
        <w:t>，但应为</w:t>
      </w:r>
      <w:r>
        <w:rPr>
          <w:rFonts w:ascii="Times New Roman" w:hAnsi="Times New Roman" w:eastAsia="Times New Roman" w:cs="Times New Roman"/>
          <w:i/>
          <w:iCs/>
          <w:strike/>
          <w:dstrike w:val="0"/>
          <w:color w:val="auto"/>
          <w:spacing w:val="-6"/>
          <w:sz w:val="24"/>
          <w:szCs w:val="24"/>
          <w:highlight w:val="none"/>
          <w:u w:val="single" w:color="auto"/>
        </w:rPr>
        <w:t>5</w:t>
      </w:r>
      <w:r>
        <w:rPr>
          <w:rFonts w:ascii="宋体" w:hAnsi="宋体" w:eastAsia="宋体" w:cs="宋体"/>
          <w:i/>
          <w:iCs/>
          <w:strike/>
          <w:dstrike w:val="0"/>
          <w:color w:val="auto"/>
          <w:spacing w:val="-6"/>
          <w:sz w:val="25"/>
          <w:szCs w:val="25"/>
          <w:highlight w:val="none"/>
          <w:u w:val="single" w:color="auto"/>
        </w:rPr>
        <w:t>个数组成</w:t>
      </w:r>
      <w:r>
        <w:rPr>
          <w:rFonts w:ascii="宋体" w:hAnsi="宋体" w:eastAsia="宋体" w:cs="宋体"/>
          <w:strike/>
          <w:dstrike w:val="0"/>
          <w:color w:val="auto"/>
          <w:spacing w:val="1"/>
          <w:sz w:val="25"/>
          <w:szCs w:val="25"/>
          <w:highlight w:val="none"/>
        </w:rPr>
        <w:t xml:space="preserve"> </w:t>
      </w:r>
      <w:r>
        <w:rPr>
          <w:rFonts w:ascii="宋体" w:hAnsi="宋体" w:eastAsia="宋体" w:cs="宋体"/>
          <w:i/>
          <w:iCs/>
          <w:strike/>
          <w:dstrike w:val="0"/>
          <w:color w:val="auto"/>
          <w:spacing w:val="-7"/>
          <w:sz w:val="25"/>
          <w:szCs w:val="25"/>
          <w:highlight w:val="none"/>
          <w:u w:val="single" w:color="auto"/>
        </w:rPr>
        <w:t>的等差递增数列</w:t>
      </w:r>
      <w:r>
        <w:rPr>
          <w:rFonts w:ascii="Times New Roman" w:hAnsi="Times New Roman" w:eastAsia="Times New Roman" w:cs="Times New Roman"/>
          <w:i/>
          <w:iCs/>
          <w:strike/>
          <w:dstrike w:val="0"/>
          <w:color w:val="auto"/>
          <w:spacing w:val="-7"/>
          <w:sz w:val="24"/>
          <w:szCs w:val="24"/>
          <w:highlight w:val="none"/>
          <w:u w:val="single" w:color="auto"/>
        </w:rPr>
        <w:t>,</w:t>
      </w:r>
      <w:r>
        <w:rPr>
          <w:rFonts w:ascii="Times New Roman" w:hAnsi="Times New Roman" w:eastAsia="Times New Roman" w:cs="Times New Roman"/>
          <w:i/>
          <w:iCs/>
          <w:strike/>
          <w:dstrike w:val="0"/>
          <w:color w:val="auto"/>
          <w:spacing w:val="53"/>
          <w:sz w:val="24"/>
          <w:szCs w:val="24"/>
          <w:highlight w:val="none"/>
          <w:u w:val="single" w:color="auto"/>
        </w:rPr>
        <w:t xml:space="preserve"> </w:t>
      </w:r>
      <w:r>
        <w:rPr>
          <w:rFonts w:ascii="宋体" w:hAnsi="宋体" w:eastAsia="宋体" w:cs="宋体"/>
          <w:i/>
          <w:iCs/>
          <w:strike/>
          <w:dstrike w:val="0"/>
          <w:color w:val="auto"/>
          <w:spacing w:val="-7"/>
          <w:sz w:val="25"/>
          <w:szCs w:val="25"/>
          <w:highlight w:val="none"/>
          <w:u w:val="single" w:color="auto"/>
        </w:rPr>
        <w:t>最小公差大于等于</w:t>
      </w:r>
      <w:r>
        <w:rPr>
          <w:rFonts w:ascii="Times New Roman" w:hAnsi="Times New Roman" w:eastAsia="Times New Roman" w:cs="Times New Roman"/>
          <w:i/>
          <w:iCs/>
          <w:strike/>
          <w:dstrike w:val="0"/>
          <w:color w:val="auto"/>
          <w:spacing w:val="-7"/>
          <w:sz w:val="24"/>
          <w:szCs w:val="24"/>
          <w:highlight w:val="none"/>
          <w:u w:val="single" w:color="auto"/>
        </w:rPr>
        <w:t>0.5</w:t>
      </w:r>
      <w:r>
        <w:rPr>
          <w:rFonts w:ascii="宋体" w:hAnsi="宋体" w:eastAsia="宋体" w:cs="宋体"/>
          <w:i/>
          <w:iCs/>
          <w:strike/>
          <w:dstrike w:val="0"/>
          <w:color w:val="auto"/>
          <w:spacing w:val="-7"/>
          <w:sz w:val="25"/>
          <w:szCs w:val="25"/>
          <w:highlight w:val="none"/>
          <w:u w:val="single" w:color="auto"/>
        </w:rPr>
        <w:t>）</w:t>
      </w:r>
      <w:r>
        <w:rPr>
          <w:rFonts w:ascii="宋体" w:hAnsi="宋体" w:eastAsia="宋体" w:cs="宋体"/>
          <w:strike/>
          <w:dstrike w:val="0"/>
          <w:color w:val="auto"/>
          <w:spacing w:val="105"/>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7"/>
          <w:sz w:val="24"/>
          <w:szCs w:val="24"/>
          <w:highlight w:val="none"/>
        </w:rPr>
        <w:t>之中随机抽取确定。</w:t>
      </w:r>
    </w:p>
    <w:p w14:paraId="32F57BCE">
      <w:pPr>
        <w:spacing w:before="40" w:line="221" w:lineRule="auto"/>
        <w:ind w:left="51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4</w:t>
      </w:r>
      <w:r>
        <w:rPr>
          <w:rFonts w:ascii="宋体" w:hAnsi="宋体" w:eastAsia="宋体" w:cs="宋体"/>
          <w:strike/>
          <w:dstrike w:val="0"/>
          <w:color w:val="auto"/>
          <w:spacing w:val="-7"/>
          <w:sz w:val="24"/>
          <w:szCs w:val="24"/>
          <w:highlight w:val="none"/>
        </w:rPr>
        <w:t>：</w:t>
      </w:r>
    </w:p>
    <w:p w14:paraId="77BC973F">
      <w:pPr>
        <w:spacing w:before="178"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31DAC7AE">
      <w:pPr>
        <w:spacing w:before="48" w:line="290" w:lineRule="auto"/>
        <w:ind w:left="11" w:right="2" w:firstLine="55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□企业信用等级为</w:t>
      </w:r>
      <w:r>
        <w:rPr>
          <w:rFonts w:ascii="Times New Roman" w:hAnsi="Times New Roman" w:eastAsia="Times New Roman" w:cs="Times New Roman"/>
          <w:strike/>
          <w:dstrike w:val="0"/>
          <w:color w:val="auto"/>
          <w:spacing w:val="-3"/>
          <w:sz w:val="24"/>
          <w:szCs w:val="24"/>
          <w:highlight w:val="none"/>
        </w:rPr>
        <w:t>D</w:t>
      </w:r>
      <w:r>
        <w:rPr>
          <w:rFonts w:ascii="宋体" w:hAnsi="宋体" w:eastAsia="宋体" w:cs="宋体"/>
          <w:strike/>
          <w:dstrike w:val="0"/>
          <w:color w:val="auto"/>
          <w:spacing w:val="-3"/>
          <w:sz w:val="24"/>
          <w:szCs w:val="24"/>
          <w:highlight w:val="none"/>
        </w:rPr>
        <w:t>及以下等级或无信用评价</w:t>
      </w:r>
      <w:r>
        <w:rPr>
          <w:rFonts w:ascii="宋体" w:hAnsi="宋体" w:eastAsia="宋体" w:cs="宋体"/>
          <w:strike/>
          <w:dstrike w:val="0"/>
          <w:color w:val="auto"/>
          <w:spacing w:val="-4"/>
          <w:sz w:val="24"/>
          <w:szCs w:val="24"/>
          <w:highlight w:val="none"/>
        </w:rPr>
        <w:t>等级的，不计入平均报价值的计算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6"/>
          <w:sz w:val="24"/>
          <w:szCs w:val="24"/>
          <w:highlight w:val="none"/>
        </w:rPr>
        <w:t>范围；</w:t>
      </w:r>
    </w:p>
    <w:p w14:paraId="48061FFC">
      <w:pPr>
        <w:spacing w:before="179" w:line="284" w:lineRule="auto"/>
        <w:ind w:left="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790A9096">
      <w:pPr>
        <w:spacing w:before="179"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15E0B33A">
      <w:pPr>
        <w:spacing w:before="183" w:line="331" w:lineRule="auto"/>
        <w:ind w:right="151"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4C382462">
      <w:pPr>
        <w:spacing w:before="184" w:line="218" w:lineRule="auto"/>
        <w:ind w:left="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）评分基准价的确定：</w:t>
      </w:r>
    </w:p>
    <w:p w14:paraId="30527AAA">
      <w:pPr>
        <w:spacing w:before="182" w:line="212"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评分基准价</w:t>
      </w:r>
      <w:r>
        <w:rPr>
          <w:rFonts w:ascii="Times New Roman" w:hAnsi="Times New Roman" w:eastAsia="Times New Roman" w:cs="Times New Roman"/>
          <w:strike/>
          <w:dstrike w:val="0"/>
          <w:color w:val="auto"/>
          <w:spacing w:val="-1"/>
          <w:sz w:val="24"/>
          <w:szCs w:val="24"/>
          <w:highlight w:val="none"/>
        </w:rPr>
        <w:t>=Q</w:t>
      </w:r>
      <w:r>
        <w:rPr>
          <w:rFonts w:ascii="宋体" w:hAnsi="宋体" w:eastAsia="宋体" w:cs="宋体"/>
          <w:strike/>
          <w:dstrike w:val="0"/>
          <w:color w:val="auto"/>
          <w:spacing w:val="-1"/>
          <w:sz w:val="24"/>
          <w:szCs w:val="24"/>
          <w:highlight w:val="none"/>
        </w:rPr>
        <w:t>×最高投标限价</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1-Q</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平均报价值</w:t>
      </w:r>
    </w:p>
    <w:p w14:paraId="6DFFA2B3">
      <w:pPr>
        <w:spacing w:before="191" w:line="324" w:lineRule="auto"/>
        <w:ind w:left="30" w:right="278" w:firstLine="458"/>
        <w:rPr>
          <w:rFonts w:ascii="宋体" w:hAnsi="宋体" w:eastAsia="宋体" w:cs="宋体"/>
          <w:color w:val="auto"/>
          <w:sz w:val="25"/>
          <w:szCs w:val="25"/>
          <w:highlight w:val="none"/>
        </w:rPr>
      </w:pPr>
      <w:r>
        <w:rPr>
          <w:rFonts w:ascii="宋体" w:hAnsi="宋体" w:eastAsia="宋体" w:cs="宋体"/>
          <w:strike/>
          <w:dstrike w:val="0"/>
          <w:color w:val="auto"/>
          <w:spacing w:val="-2"/>
          <w:sz w:val="24"/>
          <w:szCs w:val="24"/>
          <w:highlight w:val="none"/>
        </w:rPr>
        <w:t>最高投标限价权重</w:t>
      </w:r>
      <w:r>
        <w:rPr>
          <w:rFonts w:ascii="Times New Roman" w:hAnsi="Times New Roman" w:eastAsia="Times New Roman" w:cs="Times New Roman"/>
          <w:strike/>
          <w:dstrike w:val="0"/>
          <w:color w:val="auto"/>
          <w:spacing w:val="-2"/>
          <w:sz w:val="24"/>
          <w:szCs w:val="24"/>
          <w:highlight w:val="none"/>
        </w:rPr>
        <w:t>Q</w:t>
      </w:r>
      <w:r>
        <w:rPr>
          <w:rFonts w:ascii="宋体" w:hAnsi="宋体" w:eastAsia="宋体" w:cs="宋体"/>
          <w:strike/>
          <w:dstrike w:val="0"/>
          <w:color w:val="auto"/>
          <w:spacing w:val="-2"/>
          <w:sz w:val="24"/>
          <w:szCs w:val="24"/>
          <w:highlight w:val="none"/>
        </w:rPr>
        <w:t>值为□</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i/>
          <w:iCs/>
          <w:strike/>
          <w:dstrike w:val="0"/>
          <w:color w:val="auto"/>
          <w:spacing w:val="-2"/>
          <w:sz w:val="25"/>
          <w:szCs w:val="25"/>
          <w:highlight w:val="none"/>
          <w:u w:val="single" w:color="auto"/>
        </w:rPr>
        <w:t>（</w:t>
      </w:r>
      <w:r>
        <w:rPr>
          <w:rFonts w:ascii="Times New Roman" w:hAnsi="Times New Roman" w:eastAsia="Times New Roman" w:cs="Times New Roman"/>
          <w:i/>
          <w:iCs/>
          <w:strike/>
          <w:dstrike w:val="0"/>
          <w:color w:val="auto"/>
          <w:spacing w:val="-2"/>
          <w:sz w:val="24"/>
          <w:szCs w:val="24"/>
          <w:highlight w:val="none"/>
          <w:u w:val="single" w:color="auto"/>
        </w:rPr>
        <w:t>0.30</w:t>
      </w:r>
      <w:r>
        <w:rPr>
          <w:rFonts w:ascii="宋体" w:hAnsi="宋体" w:eastAsia="宋体" w:cs="宋体"/>
          <w:i/>
          <w:iCs/>
          <w:strike/>
          <w:dstrike w:val="0"/>
          <w:color w:val="auto"/>
          <w:spacing w:val="-2"/>
          <w:sz w:val="25"/>
          <w:szCs w:val="25"/>
          <w:highlight w:val="none"/>
          <w:u w:val="single" w:color="auto"/>
        </w:rPr>
        <w:t>或</w:t>
      </w:r>
      <w:r>
        <w:rPr>
          <w:rFonts w:ascii="Times New Roman" w:hAnsi="Times New Roman" w:eastAsia="Times New Roman" w:cs="Times New Roman"/>
          <w:i/>
          <w:iCs/>
          <w:strike/>
          <w:dstrike w:val="0"/>
          <w:color w:val="auto"/>
          <w:spacing w:val="-2"/>
          <w:sz w:val="24"/>
          <w:szCs w:val="24"/>
          <w:highlight w:val="none"/>
          <w:u w:val="single" w:color="auto"/>
        </w:rPr>
        <w:t>0.35</w:t>
      </w:r>
      <w:r>
        <w:rPr>
          <w:rFonts w:ascii="宋体" w:hAnsi="宋体" w:eastAsia="宋体" w:cs="宋体"/>
          <w:i/>
          <w:iCs/>
          <w:strike/>
          <w:dstrike w:val="0"/>
          <w:color w:val="auto"/>
          <w:spacing w:val="-2"/>
          <w:sz w:val="25"/>
          <w:szCs w:val="25"/>
          <w:highlight w:val="none"/>
          <w:u w:val="single" w:color="auto"/>
        </w:rPr>
        <w:t>或</w:t>
      </w:r>
      <w:r>
        <w:rPr>
          <w:rFonts w:ascii="Times New Roman" w:hAnsi="Times New Roman" w:eastAsia="Times New Roman" w:cs="Times New Roman"/>
          <w:i/>
          <w:iCs/>
          <w:strike/>
          <w:dstrike w:val="0"/>
          <w:color w:val="auto"/>
          <w:spacing w:val="-2"/>
          <w:sz w:val="24"/>
          <w:szCs w:val="24"/>
          <w:highlight w:val="none"/>
          <w:u w:val="single" w:color="auto"/>
        </w:rPr>
        <w:t>0.40</w:t>
      </w:r>
      <w:r>
        <w:rPr>
          <w:rFonts w:ascii="Times New Roman" w:hAnsi="Times New Roman" w:eastAsia="Times New Roman" w:cs="Times New Roman"/>
          <w:i/>
          <w:iCs/>
          <w:strike/>
          <w:dstrike w:val="0"/>
          <w:color w:val="auto"/>
          <w:spacing w:val="-28"/>
          <w:sz w:val="24"/>
          <w:szCs w:val="24"/>
          <w:highlight w:val="none"/>
          <w:u w:val="single" w:color="auto"/>
        </w:rPr>
        <w:t xml:space="preserve"> </w:t>
      </w:r>
      <w:r>
        <w:rPr>
          <w:rFonts w:ascii="宋体" w:hAnsi="宋体" w:eastAsia="宋体" w:cs="宋体"/>
          <w:i/>
          <w:iCs/>
          <w:strike/>
          <w:dstrike w:val="0"/>
          <w:color w:val="auto"/>
          <w:spacing w:val="-2"/>
          <w:sz w:val="25"/>
          <w:szCs w:val="25"/>
          <w:highlight w:val="none"/>
          <w:u w:val="single" w:color="auto"/>
        </w:rPr>
        <w:t>，由招标人自主确定）</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0.30</w:t>
      </w:r>
      <w:r>
        <w:rPr>
          <w:rFonts w:ascii="Times New Roman" w:hAnsi="Times New Roman" w:eastAsia="Times New Roman" w:cs="Times New Roman"/>
          <w:strike/>
          <w:dstrike w:val="0"/>
          <w:color w:val="auto"/>
          <w:spacing w:val="-34"/>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0.35</w:t>
      </w:r>
      <w:r>
        <w:rPr>
          <w:rFonts w:ascii="Times New Roman" w:hAnsi="Times New Roman" w:eastAsia="Times New Roman" w:cs="Times New Roman"/>
          <w:strike/>
          <w:dstrike w:val="0"/>
          <w:color w:val="auto"/>
          <w:spacing w:val="-33"/>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0.40</w:t>
      </w:r>
      <w:r>
        <w:rPr>
          <w:rFonts w:ascii="Times New Roman" w:hAnsi="Times New Roman" w:eastAsia="Times New Roman" w:cs="Times New Roman"/>
          <w:strike/>
          <w:dstrike w:val="0"/>
          <w:color w:val="auto"/>
          <w:spacing w:val="-31"/>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，由招标人在开</w:t>
      </w:r>
      <w:r>
        <w:rPr>
          <w:rFonts w:ascii="宋体" w:hAnsi="宋体" w:eastAsia="宋体" w:cs="宋体"/>
          <w:strike/>
          <w:dstrike w:val="0"/>
          <w:color w:val="auto"/>
          <w:spacing w:val="-5"/>
          <w:sz w:val="24"/>
          <w:szCs w:val="24"/>
          <w:highlight w:val="none"/>
          <w:u w:val="single" w:color="auto"/>
        </w:rPr>
        <w:t>标现场随机抽取</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i/>
          <w:iCs/>
          <w:strike/>
          <w:dstrike w:val="0"/>
          <w:color w:val="auto"/>
          <w:spacing w:val="-5"/>
          <w:sz w:val="25"/>
          <w:szCs w:val="25"/>
          <w:highlight w:val="none"/>
        </w:rPr>
        <w:t>。</w:t>
      </w:r>
    </w:p>
    <w:p w14:paraId="6F04E4B8">
      <w:pPr>
        <w:spacing w:before="57" w:line="221" w:lineRule="auto"/>
        <w:ind w:left="510"/>
        <w:rPr>
          <w:rFonts w:ascii="宋体" w:hAnsi="宋体" w:eastAsia="宋体" w:cs="宋体"/>
          <w:strike/>
          <w:dstrike w:val="0"/>
          <w:color w:val="auto"/>
          <w:sz w:val="24"/>
          <w:szCs w:val="24"/>
          <w:highlight w:val="none"/>
        </w:rPr>
      </w:pPr>
      <w:r>
        <w:rPr>
          <w:rFonts w:hint="eastAsia" w:ascii="宋体" w:hAnsi="宋体" w:eastAsia="宋体" w:cs="宋体"/>
          <w:strike/>
          <w:dstrike w:val="0"/>
          <w:color w:val="auto"/>
          <w:spacing w:val="-7"/>
          <w:sz w:val="24"/>
          <w:szCs w:val="24"/>
          <w:highlight w:val="none"/>
          <w:lang w:eastAsia="zh-CN"/>
        </w:rPr>
        <w:t>□</w:t>
      </w: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5</w:t>
      </w:r>
      <w:r>
        <w:rPr>
          <w:rFonts w:ascii="宋体" w:hAnsi="宋体" w:eastAsia="宋体" w:cs="宋体"/>
          <w:strike/>
          <w:dstrike w:val="0"/>
          <w:color w:val="auto"/>
          <w:spacing w:val="-7"/>
          <w:sz w:val="24"/>
          <w:szCs w:val="24"/>
          <w:highlight w:val="none"/>
        </w:rPr>
        <w:t>：</w:t>
      </w:r>
    </w:p>
    <w:p w14:paraId="6FFF3BCD">
      <w:pPr>
        <w:spacing w:before="181"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7AA8BC1A">
      <w:pPr>
        <w:spacing w:before="183" w:line="290" w:lineRule="auto"/>
        <w:ind w:left="11" w:right="2" w:firstLine="55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□企业信用等级为</w:t>
      </w:r>
      <w:r>
        <w:rPr>
          <w:rFonts w:ascii="Times New Roman" w:hAnsi="Times New Roman" w:eastAsia="Times New Roman" w:cs="Times New Roman"/>
          <w:strike/>
          <w:dstrike w:val="0"/>
          <w:color w:val="auto"/>
          <w:spacing w:val="-3"/>
          <w:sz w:val="24"/>
          <w:szCs w:val="24"/>
          <w:highlight w:val="none"/>
        </w:rPr>
        <w:t>D</w:t>
      </w:r>
      <w:r>
        <w:rPr>
          <w:rFonts w:ascii="宋体" w:hAnsi="宋体" w:eastAsia="宋体" w:cs="宋体"/>
          <w:strike/>
          <w:dstrike w:val="0"/>
          <w:color w:val="auto"/>
          <w:spacing w:val="-3"/>
          <w:sz w:val="24"/>
          <w:szCs w:val="24"/>
          <w:highlight w:val="none"/>
        </w:rPr>
        <w:t>及以下等级或无信用评价</w:t>
      </w:r>
      <w:r>
        <w:rPr>
          <w:rFonts w:ascii="宋体" w:hAnsi="宋体" w:eastAsia="宋体" w:cs="宋体"/>
          <w:strike/>
          <w:dstrike w:val="0"/>
          <w:color w:val="auto"/>
          <w:spacing w:val="-4"/>
          <w:sz w:val="24"/>
          <w:szCs w:val="24"/>
          <w:highlight w:val="none"/>
        </w:rPr>
        <w:t>等级的，不计入平均报价值的计算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6"/>
          <w:sz w:val="24"/>
          <w:szCs w:val="24"/>
          <w:highlight w:val="none"/>
        </w:rPr>
        <w:t>范围；</w:t>
      </w:r>
    </w:p>
    <w:p w14:paraId="0E1CEF49">
      <w:pPr>
        <w:spacing w:before="179" w:line="284" w:lineRule="auto"/>
        <w:ind w:left="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421C2BEF">
      <w:pPr>
        <w:spacing w:before="180"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3CF4F68F">
      <w:pPr>
        <w:spacing w:before="183" w:line="331" w:lineRule="auto"/>
        <w:ind w:right="151"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24773ECC">
      <w:pPr>
        <w:spacing w:before="141" w:line="323" w:lineRule="exact"/>
        <w:ind w:left="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position w:val="1"/>
          <w:sz w:val="24"/>
          <w:szCs w:val="24"/>
          <w:highlight w:val="none"/>
        </w:rPr>
        <w:t>（</w:t>
      </w:r>
      <w:r>
        <w:rPr>
          <w:rFonts w:ascii="Times New Roman" w:hAnsi="Times New Roman" w:eastAsia="Times New Roman" w:cs="Times New Roman"/>
          <w:strike/>
          <w:dstrike w:val="0"/>
          <w:color w:val="auto"/>
          <w:spacing w:val="-1"/>
          <w:position w:val="1"/>
          <w:sz w:val="24"/>
          <w:szCs w:val="24"/>
          <w:highlight w:val="none"/>
        </w:rPr>
        <w:t>3</w:t>
      </w:r>
      <w:r>
        <w:rPr>
          <w:rFonts w:ascii="宋体" w:hAnsi="宋体" w:eastAsia="宋体" w:cs="宋体"/>
          <w:strike/>
          <w:dstrike w:val="0"/>
          <w:color w:val="auto"/>
          <w:spacing w:val="-1"/>
          <w:position w:val="1"/>
          <w:sz w:val="24"/>
          <w:szCs w:val="24"/>
          <w:highlight w:val="none"/>
        </w:rPr>
        <w:t>）评分基准价的确定：评分基准价</w:t>
      </w:r>
      <w:r>
        <w:rPr>
          <w:rFonts w:ascii="Times New Roman" w:hAnsi="Times New Roman" w:eastAsia="Times New Roman" w:cs="Times New Roman"/>
          <w:strike/>
          <w:dstrike w:val="0"/>
          <w:color w:val="auto"/>
          <w:spacing w:val="-1"/>
          <w:position w:val="1"/>
          <w:sz w:val="24"/>
          <w:szCs w:val="24"/>
          <w:highlight w:val="none"/>
        </w:rPr>
        <w:t>=</w:t>
      </w:r>
      <w:r>
        <w:rPr>
          <w:rFonts w:ascii="宋体" w:hAnsi="宋体" w:eastAsia="宋体" w:cs="宋体"/>
          <w:strike/>
          <w:dstrike w:val="0"/>
          <w:color w:val="auto"/>
          <w:spacing w:val="-1"/>
          <w:position w:val="1"/>
          <w:sz w:val="24"/>
          <w:szCs w:val="24"/>
          <w:highlight w:val="none"/>
        </w:rPr>
        <w:t>平均报价值</w:t>
      </w:r>
    </w:p>
    <w:p w14:paraId="0806980E">
      <w:pPr>
        <w:spacing w:before="186" w:line="221" w:lineRule="auto"/>
        <w:ind w:left="51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6</w:t>
      </w:r>
      <w:r>
        <w:rPr>
          <w:rFonts w:ascii="宋体" w:hAnsi="宋体" w:eastAsia="宋体" w:cs="宋体"/>
          <w:strike/>
          <w:dstrike w:val="0"/>
          <w:color w:val="auto"/>
          <w:spacing w:val="-7"/>
          <w:sz w:val="24"/>
          <w:szCs w:val="24"/>
          <w:highlight w:val="none"/>
        </w:rPr>
        <w:t>：</w:t>
      </w:r>
    </w:p>
    <w:p w14:paraId="0EF11432">
      <w:pPr>
        <w:spacing w:before="48" w:line="218"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44BCD778">
      <w:pPr>
        <w:spacing w:before="185" w:line="289" w:lineRule="auto"/>
        <w:ind w:left="15" w:right="19" w:firstLine="55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□企业信用等级为</w:t>
      </w:r>
      <w:r>
        <w:rPr>
          <w:rFonts w:ascii="Times New Roman" w:hAnsi="Times New Roman" w:eastAsia="Times New Roman" w:cs="Times New Roman"/>
          <w:strike/>
          <w:dstrike w:val="0"/>
          <w:color w:val="auto"/>
          <w:spacing w:val="-3"/>
          <w:sz w:val="24"/>
          <w:szCs w:val="24"/>
          <w:highlight w:val="none"/>
        </w:rPr>
        <w:t>D</w:t>
      </w:r>
      <w:r>
        <w:rPr>
          <w:rFonts w:ascii="宋体" w:hAnsi="宋体" w:eastAsia="宋体" w:cs="宋体"/>
          <w:strike/>
          <w:dstrike w:val="0"/>
          <w:color w:val="auto"/>
          <w:spacing w:val="-3"/>
          <w:sz w:val="24"/>
          <w:szCs w:val="24"/>
          <w:highlight w:val="none"/>
        </w:rPr>
        <w:t>及以下等级或无信用评价</w:t>
      </w:r>
      <w:r>
        <w:rPr>
          <w:rFonts w:ascii="宋体" w:hAnsi="宋体" w:eastAsia="宋体" w:cs="宋体"/>
          <w:strike/>
          <w:dstrike w:val="0"/>
          <w:color w:val="auto"/>
          <w:spacing w:val="-4"/>
          <w:sz w:val="24"/>
          <w:szCs w:val="24"/>
          <w:highlight w:val="none"/>
        </w:rPr>
        <w:t>等级的，不计入平均报价值的计算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6"/>
          <w:sz w:val="24"/>
          <w:szCs w:val="24"/>
          <w:highlight w:val="none"/>
        </w:rPr>
        <w:t>范围；</w:t>
      </w:r>
    </w:p>
    <w:p w14:paraId="2A51E3A6">
      <w:pPr>
        <w:spacing w:before="182" w:line="283" w:lineRule="auto"/>
        <w:ind w:left="10" w:right="1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289B9885">
      <w:pPr>
        <w:spacing w:before="181" w:line="218" w:lineRule="auto"/>
        <w:ind w:left="56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1C733F07">
      <w:pPr>
        <w:spacing w:before="183" w:line="331" w:lineRule="auto"/>
        <w:ind w:left="3" w:right="168"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7A6DEF24">
      <w:pPr>
        <w:spacing w:before="138" w:line="306" w:lineRule="auto"/>
        <w:ind w:left="12" w:right="21" w:firstLine="54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）评分基准价的确定：评分基准价</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（平均报价值</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参</w:t>
      </w:r>
      <w:r>
        <w:rPr>
          <w:rFonts w:ascii="宋体" w:hAnsi="宋体" w:eastAsia="宋体" w:cs="宋体"/>
          <w:strike/>
          <w:dstrike w:val="0"/>
          <w:color w:val="auto"/>
          <w:spacing w:val="-3"/>
          <w:sz w:val="24"/>
          <w:szCs w:val="24"/>
          <w:highlight w:val="none"/>
        </w:rPr>
        <w:t>与计算平均报价的次低</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投标评标价）</w:t>
      </w:r>
      <w:r>
        <w:rPr>
          <w:rFonts w:ascii="Times New Roman" w:hAnsi="Times New Roman" w:eastAsia="Times New Roman" w:cs="Times New Roman"/>
          <w:strike/>
          <w:dstrike w:val="0"/>
          <w:color w:val="auto"/>
          <w:spacing w:val="-2"/>
          <w:sz w:val="24"/>
          <w:szCs w:val="24"/>
          <w:highlight w:val="none"/>
        </w:rPr>
        <w:t>/2</w:t>
      </w:r>
    </w:p>
    <w:p w14:paraId="43C9A793">
      <w:pPr>
        <w:spacing w:before="182" w:line="218" w:lineRule="auto"/>
        <w:ind w:left="545"/>
        <w:rPr>
          <w:rFonts w:ascii="宋体" w:hAnsi="宋体" w:eastAsia="宋体" w:cs="宋体"/>
          <w:color w:val="auto"/>
          <w:sz w:val="24"/>
          <w:szCs w:val="24"/>
          <w:highlight w:val="none"/>
        </w:rPr>
      </w:pPr>
      <w:r>
        <w:rPr>
          <w:rFonts w:ascii="Times New Roman" w:hAnsi="Times New Roman" w:eastAsia="Times New Roman" w:cs="Times New Roman"/>
          <w:color w:val="auto"/>
          <w:spacing w:val="-8"/>
          <w:sz w:val="24"/>
          <w:szCs w:val="24"/>
          <w:highlight w:val="none"/>
        </w:rPr>
        <w:t>2</w:t>
      </w:r>
      <w:r>
        <w:rPr>
          <w:rFonts w:ascii="Times New Roman" w:hAnsi="Times New Roman" w:eastAsia="Times New Roman" w:cs="Times New Roman"/>
          <w:color w:val="auto"/>
          <w:spacing w:val="-19"/>
          <w:sz w:val="24"/>
          <w:szCs w:val="24"/>
          <w:highlight w:val="none"/>
        </w:rPr>
        <w:t xml:space="preserve"> </w:t>
      </w:r>
      <w:r>
        <w:rPr>
          <w:rFonts w:ascii="宋体" w:hAnsi="宋体" w:eastAsia="宋体" w:cs="宋体"/>
          <w:color w:val="auto"/>
          <w:spacing w:val="-8"/>
          <w:sz w:val="24"/>
          <w:szCs w:val="24"/>
          <w:highlight w:val="none"/>
        </w:rPr>
        <w:t>．商务报价评分的确定：</w:t>
      </w:r>
    </w:p>
    <w:p w14:paraId="361CE9F4">
      <w:pPr>
        <w:spacing w:before="142" w:line="306" w:lineRule="auto"/>
        <w:ind w:left="27" w:right="61" w:firstLine="46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1</w:t>
      </w:r>
      <w:r>
        <w:rPr>
          <w:rFonts w:ascii="宋体" w:hAnsi="宋体" w:eastAsia="宋体" w:cs="宋体"/>
          <w:color w:val="auto"/>
          <w:spacing w:val="-1"/>
          <w:sz w:val="24"/>
          <w:szCs w:val="24"/>
          <w:highlight w:val="none"/>
        </w:rPr>
        <w:t>）投标报价的偏差率</w:t>
      </w:r>
      <w:r>
        <w:rPr>
          <w:rFonts w:ascii="Times New Roman" w:hAnsi="Times New Roman" w:eastAsia="Times New Roman" w:cs="Times New Roman"/>
          <w:color w:val="auto"/>
          <w:spacing w:val="-1"/>
          <w:sz w:val="24"/>
          <w:szCs w:val="24"/>
          <w:highlight w:val="none"/>
        </w:rPr>
        <w:t>=</w:t>
      </w:r>
      <w:r>
        <w:rPr>
          <w:rFonts w:ascii="宋体" w:hAnsi="宋体" w:eastAsia="宋体" w:cs="宋体"/>
          <w:color w:val="auto"/>
          <w:spacing w:val="-1"/>
          <w:sz w:val="24"/>
          <w:szCs w:val="24"/>
          <w:highlight w:val="none"/>
        </w:rPr>
        <w:t>（投标评标价—评分</w:t>
      </w:r>
      <w:r>
        <w:rPr>
          <w:rFonts w:ascii="宋体" w:hAnsi="宋体" w:eastAsia="宋体" w:cs="宋体"/>
          <w:color w:val="auto"/>
          <w:spacing w:val="-2"/>
          <w:sz w:val="24"/>
          <w:szCs w:val="24"/>
          <w:highlight w:val="none"/>
        </w:rPr>
        <w:t>基准价）</w:t>
      </w:r>
      <w:r>
        <w:rPr>
          <w:rFonts w:ascii="Times New Roman" w:hAnsi="Times New Roman" w:eastAsia="Times New Roman" w:cs="Times New Roman"/>
          <w:color w:val="auto"/>
          <w:spacing w:val="-2"/>
          <w:sz w:val="24"/>
          <w:szCs w:val="24"/>
          <w:highlight w:val="none"/>
        </w:rPr>
        <w:t>/</w:t>
      </w:r>
      <w:r>
        <w:rPr>
          <w:rFonts w:ascii="宋体" w:hAnsi="宋体" w:eastAsia="宋体" w:cs="宋体"/>
          <w:color w:val="auto"/>
          <w:spacing w:val="-2"/>
          <w:sz w:val="24"/>
          <w:szCs w:val="24"/>
          <w:highlight w:val="none"/>
        </w:rPr>
        <w:t>评分基准价</w:t>
      </w:r>
      <w:r>
        <w:rPr>
          <w:rFonts w:ascii="Times New Roman" w:hAnsi="Times New Roman" w:eastAsia="Times New Roman" w:cs="Times New Roman"/>
          <w:color w:val="auto"/>
          <w:spacing w:val="-2"/>
          <w:sz w:val="24"/>
          <w:szCs w:val="24"/>
          <w:highlight w:val="none"/>
        </w:rPr>
        <w:t>×</w:t>
      </w:r>
      <w:r>
        <w:rPr>
          <w:rFonts w:ascii="Times New Roman" w:hAnsi="Times New Roman" w:eastAsia="Times New Roman" w:cs="Times New Roman"/>
          <w:color w:val="auto"/>
          <w:spacing w:val="27"/>
          <w:w w:val="101"/>
          <w:sz w:val="24"/>
          <w:szCs w:val="24"/>
          <w:highlight w:val="none"/>
        </w:rPr>
        <w:t xml:space="preserve"> </w:t>
      </w:r>
      <w:r>
        <w:rPr>
          <w:rFonts w:ascii="Times New Roman" w:hAnsi="Times New Roman" w:eastAsia="Times New Roman" w:cs="Times New Roman"/>
          <w:color w:val="auto"/>
          <w:spacing w:val="-2"/>
          <w:sz w:val="24"/>
          <w:szCs w:val="24"/>
          <w:highlight w:val="none"/>
        </w:rPr>
        <w:t>100%</w:t>
      </w:r>
      <w:r>
        <w:rPr>
          <w:rFonts w:ascii="宋体" w:hAnsi="宋体" w:eastAsia="宋体" w:cs="宋体"/>
          <w:color w:val="auto"/>
          <w:spacing w:val="-2"/>
          <w:sz w:val="24"/>
          <w:szCs w:val="24"/>
          <w:highlight w:val="none"/>
        </w:rPr>
        <w:t>（保</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留</w:t>
      </w:r>
      <w:r>
        <w:rPr>
          <w:rFonts w:ascii="Times New Roman" w:hAnsi="Times New Roman" w:eastAsia="Times New Roman" w:cs="Times New Roman"/>
          <w:color w:val="auto"/>
          <w:spacing w:val="-3"/>
          <w:sz w:val="24"/>
          <w:szCs w:val="24"/>
          <w:highlight w:val="none"/>
        </w:rPr>
        <w:t>2</w:t>
      </w:r>
      <w:r>
        <w:rPr>
          <w:rFonts w:ascii="宋体" w:hAnsi="宋体" w:eastAsia="宋体" w:cs="宋体"/>
          <w:color w:val="auto"/>
          <w:spacing w:val="-3"/>
          <w:sz w:val="24"/>
          <w:szCs w:val="24"/>
          <w:highlight w:val="none"/>
        </w:rPr>
        <w:t>位小数，第</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位四舍五入）</w:t>
      </w:r>
    </w:p>
    <w:p w14:paraId="2F9BA78B">
      <w:pPr>
        <w:spacing w:before="180" w:line="218" w:lineRule="auto"/>
        <w:ind w:left="49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）商务报价评分（保留</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位小数，第</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2"/>
          <w:sz w:val="24"/>
          <w:szCs w:val="24"/>
          <w:highlight w:val="none"/>
        </w:rPr>
        <w:t>位四舍五入）</w:t>
      </w:r>
    </w:p>
    <w:p w14:paraId="4B021796">
      <w:pPr>
        <w:spacing w:before="186" w:line="347" w:lineRule="auto"/>
        <w:ind w:left="43" w:right="48" w:firstLine="461"/>
        <w:rPr>
          <w:rFonts w:ascii="宋体" w:hAnsi="宋体" w:eastAsia="宋体" w:cs="宋体"/>
          <w:color w:val="auto"/>
          <w:sz w:val="12"/>
          <w:szCs w:val="12"/>
          <w:highlight w:val="none"/>
        </w:rPr>
      </w:pPr>
      <w:r>
        <w:rPr>
          <w:rFonts w:ascii="宋体" w:hAnsi="宋体" w:eastAsia="宋体" w:cs="宋体"/>
          <w:color w:val="auto"/>
          <w:spacing w:val="-3"/>
          <w:sz w:val="24"/>
          <w:szCs w:val="24"/>
          <w:highlight w:val="none"/>
        </w:rPr>
        <w:t>当投标评标价≤评分基准价，商务报价评分＝商务分值（</w:t>
      </w:r>
      <w:r>
        <w:rPr>
          <w:rFonts w:ascii="Times New Roman" w:hAnsi="Times New Roman" w:eastAsia="Times New Roman" w:cs="Times New Roman"/>
          <w:color w:val="auto"/>
          <w:spacing w:val="-3"/>
          <w:sz w:val="24"/>
          <w:szCs w:val="24"/>
          <w:highlight w:val="none"/>
        </w:rPr>
        <w:t>95</w:t>
      </w:r>
      <w:r>
        <w:rPr>
          <w:rFonts w:ascii="宋体" w:hAnsi="宋体" w:eastAsia="宋体" w:cs="宋体"/>
          <w:color w:val="auto"/>
          <w:spacing w:val="-3"/>
          <w:sz w:val="24"/>
          <w:szCs w:val="24"/>
          <w:highlight w:val="none"/>
        </w:rPr>
        <w:t>分</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偏差率×</w:t>
      </w:r>
      <w:r>
        <w:rPr>
          <w:rFonts w:ascii="宋体" w:hAnsi="宋体" w:eastAsia="宋体" w:cs="宋体"/>
          <w:color w:val="auto"/>
          <w:spacing w:val="-45"/>
          <w:sz w:val="24"/>
          <w:szCs w:val="24"/>
          <w:highlight w:val="none"/>
        </w:rPr>
        <w:t xml:space="preserve"> </w:t>
      </w:r>
      <w:r>
        <w:rPr>
          <w:rFonts w:ascii="Times New Roman" w:hAnsi="Times New Roman" w:eastAsia="Times New Roman" w:cs="Times New Roman"/>
          <w:color w:val="auto"/>
          <w:spacing w:val="-3"/>
          <w:sz w:val="24"/>
          <w:szCs w:val="24"/>
          <w:highlight w:val="none"/>
        </w:rPr>
        <w:t>100</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12"/>
          <w:sz w:val="24"/>
          <w:szCs w:val="24"/>
          <w:highlight w:val="none"/>
        </w:rPr>
        <w:t>×</w:t>
      </w:r>
      <w:r>
        <w:rPr>
          <w:rFonts w:ascii="Times New Roman" w:hAnsi="Times New Roman" w:eastAsia="Times New Roman" w:cs="Times New Roman"/>
          <w:color w:val="auto"/>
          <w:spacing w:val="-12"/>
          <w:sz w:val="24"/>
          <w:szCs w:val="24"/>
          <w:highlight w:val="none"/>
        </w:rPr>
        <w:t>F</w:t>
      </w:r>
      <w:r>
        <w:rPr>
          <w:rFonts w:ascii="Times New Roman" w:hAnsi="Times New Roman" w:eastAsia="Times New Roman" w:cs="Times New Roman"/>
          <w:color w:val="auto"/>
          <w:spacing w:val="-12"/>
          <w:position w:val="-1"/>
          <w:sz w:val="16"/>
          <w:szCs w:val="16"/>
          <w:highlight w:val="none"/>
        </w:rPr>
        <w:t>1</w:t>
      </w:r>
      <w:r>
        <w:rPr>
          <w:rFonts w:ascii="宋体" w:hAnsi="宋体" w:eastAsia="宋体" w:cs="宋体"/>
          <w:color w:val="auto"/>
          <w:spacing w:val="-12"/>
          <w:position w:val="-1"/>
          <w:sz w:val="12"/>
          <w:szCs w:val="12"/>
          <w:highlight w:val="none"/>
        </w:rPr>
        <w:t>；</w:t>
      </w:r>
    </w:p>
    <w:p w14:paraId="31C1DFB4">
      <w:pPr>
        <w:spacing w:before="31" w:line="350" w:lineRule="auto"/>
        <w:ind w:left="43" w:right="48" w:firstLine="46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当投标评标价＞评分基准价，商务报价评分＝商务分值（</w:t>
      </w:r>
      <w:r>
        <w:rPr>
          <w:rFonts w:ascii="Times New Roman" w:hAnsi="Times New Roman" w:eastAsia="Times New Roman" w:cs="Times New Roman"/>
          <w:color w:val="auto"/>
          <w:spacing w:val="-3"/>
          <w:sz w:val="24"/>
          <w:szCs w:val="24"/>
          <w:highlight w:val="none"/>
        </w:rPr>
        <w:t>95</w:t>
      </w:r>
      <w:r>
        <w:rPr>
          <w:rFonts w:ascii="宋体" w:hAnsi="宋体" w:eastAsia="宋体" w:cs="宋体"/>
          <w:color w:val="auto"/>
          <w:spacing w:val="-3"/>
          <w:sz w:val="24"/>
          <w:szCs w:val="24"/>
          <w:highlight w:val="none"/>
        </w:rPr>
        <w:t>分</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偏差率×</w:t>
      </w:r>
      <w:r>
        <w:rPr>
          <w:rFonts w:ascii="宋体" w:hAnsi="宋体" w:eastAsia="宋体" w:cs="宋体"/>
          <w:color w:val="auto"/>
          <w:spacing w:val="-45"/>
          <w:sz w:val="24"/>
          <w:szCs w:val="24"/>
          <w:highlight w:val="none"/>
        </w:rPr>
        <w:t xml:space="preserve"> </w:t>
      </w:r>
      <w:r>
        <w:rPr>
          <w:rFonts w:ascii="Times New Roman" w:hAnsi="Times New Roman" w:eastAsia="Times New Roman" w:cs="Times New Roman"/>
          <w:color w:val="auto"/>
          <w:spacing w:val="-3"/>
          <w:sz w:val="24"/>
          <w:szCs w:val="24"/>
          <w:highlight w:val="none"/>
        </w:rPr>
        <w:t>100</w:t>
      </w:r>
      <w:r>
        <w:rPr>
          <w:rFonts w:ascii="Times New Roman" w:hAnsi="Times New Roman" w:eastAsia="Times New Roman" w:cs="Times New Roman"/>
          <w:color w:val="auto"/>
          <w:sz w:val="24"/>
          <w:szCs w:val="24"/>
          <w:highlight w:val="none"/>
        </w:rPr>
        <w:t xml:space="preserve"> </w:t>
      </w:r>
      <w:r>
        <w:rPr>
          <w:rFonts w:ascii="宋体" w:hAnsi="宋体" w:eastAsia="宋体" w:cs="宋体"/>
          <w:color w:val="auto"/>
          <w:spacing w:val="-12"/>
          <w:sz w:val="24"/>
          <w:szCs w:val="24"/>
          <w:highlight w:val="none"/>
        </w:rPr>
        <w:t>×</w:t>
      </w:r>
      <w:r>
        <w:rPr>
          <w:rFonts w:ascii="Times New Roman" w:hAnsi="Times New Roman" w:eastAsia="Times New Roman" w:cs="Times New Roman"/>
          <w:color w:val="auto"/>
          <w:spacing w:val="-12"/>
          <w:sz w:val="24"/>
          <w:szCs w:val="24"/>
          <w:highlight w:val="none"/>
        </w:rPr>
        <w:t>F</w:t>
      </w:r>
      <w:r>
        <w:rPr>
          <w:rFonts w:ascii="Times New Roman" w:hAnsi="Times New Roman" w:eastAsia="Times New Roman" w:cs="Times New Roman"/>
          <w:color w:val="auto"/>
          <w:spacing w:val="-12"/>
          <w:position w:val="-1"/>
          <w:sz w:val="16"/>
          <w:szCs w:val="16"/>
          <w:highlight w:val="none"/>
        </w:rPr>
        <w:t>2</w:t>
      </w:r>
      <w:r>
        <w:rPr>
          <w:rFonts w:ascii="宋体" w:hAnsi="宋体" w:eastAsia="宋体" w:cs="宋体"/>
          <w:color w:val="auto"/>
          <w:spacing w:val="-12"/>
          <w:sz w:val="24"/>
          <w:szCs w:val="24"/>
          <w:highlight w:val="none"/>
        </w:rPr>
        <w:t>。</w:t>
      </w:r>
    </w:p>
    <w:p w14:paraId="5ADDDC5B">
      <w:pPr>
        <w:spacing w:before="23" w:line="332" w:lineRule="auto"/>
        <w:ind w:right="201" w:firstLine="483"/>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F</w:t>
      </w:r>
      <w:r>
        <w:rPr>
          <w:rFonts w:ascii="Times New Roman" w:hAnsi="Times New Roman" w:eastAsia="Times New Roman" w:cs="Times New Roman"/>
          <w:color w:val="auto"/>
          <w:spacing w:val="-3"/>
          <w:position w:val="-1"/>
          <w:sz w:val="16"/>
          <w:szCs w:val="16"/>
          <w:highlight w:val="none"/>
        </w:rPr>
        <w:t>1</w:t>
      </w:r>
      <w:r>
        <w:rPr>
          <w:rFonts w:ascii="宋体" w:hAnsi="宋体" w:eastAsia="宋体" w:cs="宋体"/>
          <w:color w:val="auto"/>
          <w:spacing w:val="-3"/>
          <w:sz w:val="24"/>
          <w:szCs w:val="24"/>
          <w:highlight w:val="none"/>
        </w:rPr>
        <w:t>取</w:t>
      </w:r>
      <w:r>
        <w:rPr>
          <w:rFonts w:ascii="宋体" w:hAnsi="宋体" w:eastAsia="宋体" w:cs="宋体"/>
          <w:color w:val="auto"/>
          <w:spacing w:val="111"/>
          <w:sz w:val="25"/>
          <w:szCs w:val="25"/>
          <w:highlight w:val="none"/>
          <w:u w:val="single" w:color="auto"/>
        </w:rPr>
        <w:t xml:space="preserve"> </w:t>
      </w:r>
      <w:r>
        <w:rPr>
          <w:rFonts w:ascii="Times New Roman" w:hAnsi="Times New Roman" w:eastAsia="Times New Roman" w:cs="Times New Roman"/>
          <w:i/>
          <w:iCs/>
          <w:color w:val="auto"/>
          <w:spacing w:val="-3"/>
          <w:sz w:val="24"/>
          <w:szCs w:val="24"/>
          <w:highlight w:val="none"/>
          <w:u w:val="single" w:color="auto"/>
        </w:rPr>
        <w:t>1.25</w:t>
      </w:r>
      <w:r>
        <w:rPr>
          <w:rFonts w:ascii="宋体" w:hAnsi="宋体" w:eastAsia="宋体" w:cs="宋体"/>
          <w:i/>
          <w:iCs/>
          <w:color w:val="auto"/>
          <w:spacing w:val="-3"/>
          <w:sz w:val="25"/>
          <w:szCs w:val="25"/>
          <w:highlight w:val="none"/>
          <w:u w:val="single" w:color="auto"/>
        </w:rPr>
        <w:t>（由招标人在</w:t>
      </w:r>
      <w:r>
        <w:rPr>
          <w:rFonts w:ascii="Times New Roman" w:hAnsi="Times New Roman" w:eastAsia="Times New Roman" w:cs="Times New Roman"/>
          <w:i/>
          <w:iCs/>
          <w:color w:val="auto"/>
          <w:spacing w:val="-3"/>
          <w:sz w:val="24"/>
          <w:szCs w:val="24"/>
          <w:highlight w:val="none"/>
          <w:u w:val="single" w:color="auto"/>
        </w:rPr>
        <w:t>0.25~1.25</w:t>
      </w:r>
      <w:r>
        <w:rPr>
          <w:rFonts w:ascii="宋体" w:hAnsi="宋体" w:eastAsia="宋体" w:cs="宋体"/>
          <w:i/>
          <w:iCs/>
          <w:color w:val="auto"/>
          <w:spacing w:val="-3"/>
          <w:sz w:val="25"/>
          <w:szCs w:val="25"/>
          <w:highlight w:val="none"/>
          <w:u w:val="single" w:color="auto"/>
        </w:rPr>
        <w:t>之间自行确定</w:t>
      </w:r>
      <w:r>
        <w:rPr>
          <w:rFonts w:ascii="宋体" w:hAnsi="宋体" w:eastAsia="宋体" w:cs="宋体"/>
          <w:i/>
          <w:iCs/>
          <w:color w:val="auto"/>
          <w:spacing w:val="-13"/>
          <w:sz w:val="25"/>
          <w:szCs w:val="25"/>
          <w:highlight w:val="none"/>
          <w:u w:val="single" w:color="auto"/>
        </w:rPr>
        <w:t>）</w:t>
      </w:r>
      <w:r>
        <w:rPr>
          <w:rFonts w:ascii="宋体" w:hAnsi="宋体" w:eastAsia="宋体" w:cs="宋体"/>
          <w:color w:val="auto"/>
          <w:spacing w:val="45"/>
          <w:sz w:val="25"/>
          <w:szCs w:val="25"/>
          <w:highlight w:val="none"/>
          <w:u w:val="single" w:color="auto"/>
        </w:rPr>
        <w:t xml:space="preserve"> </w:t>
      </w:r>
      <w:r>
        <w:rPr>
          <w:rFonts w:ascii="宋体" w:hAnsi="宋体" w:eastAsia="宋体" w:cs="宋体"/>
          <w:color w:val="auto"/>
          <w:spacing w:val="-96"/>
          <w:sz w:val="25"/>
          <w:szCs w:val="25"/>
          <w:highlight w:val="none"/>
        </w:rPr>
        <w:t xml:space="preserve"> </w:t>
      </w:r>
      <w:r>
        <w:rPr>
          <w:rFonts w:ascii="宋体" w:hAnsi="宋体" w:eastAsia="宋体" w:cs="宋体"/>
          <w:color w:val="auto"/>
          <w:spacing w:val="-13"/>
          <w:sz w:val="24"/>
          <w:szCs w:val="24"/>
          <w:highlight w:val="none"/>
        </w:rPr>
        <w:t>，</w:t>
      </w:r>
      <w:r>
        <w:rPr>
          <w:rFonts w:ascii="Times New Roman" w:hAnsi="Times New Roman" w:eastAsia="Times New Roman" w:cs="Times New Roman"/>
          <w:color w:val="auto"/>
          <w:spacing w:val="-3"/>
          <w:sz w:val="24"/>
          <w:szCs w:val="24"/>
          <w:highlight w:val="none"/>
        </w:rPr>
        <w:t>F</w:t>
      </w:r>
      <w:r>
        <w:rPr>
          <w:rFonts w:ascii="Times New Roman" w:hAnsi="Times New Roman" w:eastAsia="Times New Roman" w:cs="Times New Roman"/>
          <w:color w:val="auto"/>
          <w:spacing w:val="-3"/>
          <w:position w:val="-1"/>
          <w:sz w:val="16"/>
          <w:szCs w:val="16"/>
          <w:highlight w:val="none"/>
        </w:rPr>
        <w:t>2</w:t>
      </w:r>
      <w:r>
        <w:rPr>
          <w:rFonts w:ascii="宋体" w:hAnsi="宋体" w:eastAsia="宋体" w:cs="宋体"/>
          <w:color w:val="auto"/>
          <w:spacing w:val="-3"/>
          <w:sz w:val="24"/>
          <w:szCs w:val="24"/>
          <w:highlight w:val="none"/>
        </w:rPr>
        <w:t>取</w:t>
      </w:r>
      <w:r>
        <w:rPr>
          <w:rFonts w:ascii="宋体" w:hAnsi="宋体" w:eastAsia="宋体" w:cs="宋体"/>
          <w:color w:val="auto"/>
          <w:spacing w:val="110"/>
          <w:sz w:val="25"/>
          <w:szCs w:val="25"/>
          <w:highlight w:val="none"/>
          <w:u w:val="single" w:color="auto"/>
        </w:rPr>
        <w:t xml:space="preserve"> </w:t>
      </w:r>
      <w:r>
        <w:rPr>
          <w:rFonts w:ascii="Times New Roman" w:hAnsi="Times New Roman" w:eastAsia="Times New Roman" w:cs="Times New Roman"/>
          <w:i/>
          <w:iCs/>
          <w:color w:val="auto"/>
          <w:spacing w:val="-3"/>
          <w:sz w:val="24"/>
          <w:szCs w:val="24"/>
          <w:highlight w:val="none"/>
          <w:u w:val="single" w:color="auto"/>
        </w:rPr>
        <w:t>1.5</w:t>
      </w:r>
      <w:r>
        <w:rPr>
          <w:rFonts w:ascii="宋体" w:hAnsi="宋体" w:eastAsia="宋体" w:cs="宋体"/>
          <w:i/>
          <w:iCs/>
          <w:color w:val="auto"/>
          <w:spacing w:val="-3"/>
          <w:sz w:val="25"/>
          <w:szCs w:val="25"/>
          <w:highlight w:val="none"/>
          <w:u w:val="single" w:color="auto"/>
        </w:rPr>
        <w:t>（由招标人在</w:t>
      </w:r>
      <w:r>
        <w:rPr>
          <w:rFonts w:ascii="Times New Roman" w:hAnsi="Times New Roman" w:eastAsia="Times New Roman" w:cs="Times New Roman"/>
          <w:i/>
          <w:iCs/>
          <w:color w:val="auto"/>
          <w:spacing w:val="-3"/>
          <w:sz w:val="24"/>
          <w:szCs w:val="24"/>
          <w:highlight w:val="none"/>
          <w:u w:val="single" w:color="auto"/>
        </w:rPr>
        <w:t>0.5~1.5</w:t>
      </w:r>
      <w:r>
        <w:rPr>
          <w:rFonts w:ascii="Times New Roman" w:hAnsi="Times New Roman" w:eastAsia="Times New Roman" w:cs="Times New Roman"/>
          <w:i/>
          <w:iCs/>
          <w:color w:val="auto"/>
          <w:sz w:val="24"/>
          <w:szCs w:val="24"/>
          <w:highlight w:val="none"/>
        </w:rPr>
        <w:t xml:space="preserve"> </w:t>
      </w:r>
      <w:r>
        <w:rPr>
          <w:rFonts w:ascii="宋体" w:hAnsi="宋体" w:eastAsia="宋体" w:cs="宋体"/>
          <w:i/>
          <w:iCs/>
          <w:color w:val="auto"/>
          <w:spacing w:val="-7"/>
          <w:position w:val="1"/>
          <w:sz w:val="25"/>
          <w:szCs w:val="25"/>
          <w:highlight w:val="none"/>
          <w:u w:val="single" w:color="auto"/>
        </w:rPr>
        <w:t>之间自行确定，</w:t>
      </w:r>
      <w:r>
        <w:rPr>
          <w:rFonts w:ascii="Times New Roman" w:hAnsi="Times New Roman" w:eastAsia="Times New Roman" w:cs="Times New Roman"/>
          <w:i/>
          <w:iCs/>
          <w:color w:val="auto"/>
          <w:spacing w:val="-7"/>
          <w:position w:val="1"/>
          <w:sz w:val="24"/>
          <w:szCs w:val="24"/>
          <w:highlight w:val="none"/>
          <w:u w:val="single" w:color="auto"/>
        </w:rPr>
        <w:t>F</w:t>
      </w:r>
      <w:r>
        <w:rPr>
          <w:rFonts w:ascii="Times New Roman" w:hAnsi="Times New Roman" w:eastAsia="Times New Roman" w:cs="Times New Roman"/>
          <w:i/>
          <w:iCs/>
          <w:color w:val="auto"/>
          <w:spacing w:val="-7"/>
          <w:sz w:val="16"/>
          <w:szCs w:val="16"/>
          <w:highlight w:val="none"/>
          <w:u w:val="single" w:color="auto"/>
        </w:rPr>
        <w:t>2</w:t>
      </w:r>
      <w:r>
        <w:rPr>
          <w:rFonts w:ascii="Times New Roman" w:hAnsi="Times New Roman" w:eastAsia="Times New Roman" w:cs="Times New Roman"/>
          <w:i/>
          <w:iCs/>
          <w:color w:val="auto"/>
          <w:spacing w:val="-17"/>
          <w:sz w:val="16"/>
          <w:szCs w:val="16"/>
          <w:highlight w:val="none"/>
          <w:u w:val="single" w:color="auto"/>
        </w:rPr>
        <w:t xml:space="preserve"> </w:t>
      </w:r>
      <w:r>
        <w:rPr>
          <w:rFonts w:ascii="宋体" w:hAnsi="宋体" w:eastAsia="宋体" w:cs="宋体"/>
          <w:i/>
          <w:iCs/>
          <w:color w:val="auto"/>
          <w:spacing w:val="-7"/>
          <w:position w:val="1"/>
          <w:sz w:val="25"/>
          <w:szCs w:val="25"/>
          <w:highlight w:val="none"/>
          <w:u w:val="single" w:color="auto"/>
        </w:rPr>
        <w:t>≥</w:t>
      </w:r>
      <w:r>
        <w:rPr>
          <w:rFonts w:ascii="Times New Roman" w:hAnsi="Times New Roman" w:eastAsia="Times New Roman" w:cs="Times New Roman"/>
          <w:i/>
          <w:iCs/>
          <w:color w:val="auto"/>
          <w:spacing w:val="-7"/>
          <w:position w:val="1"/>
          <w:sz w:val="24"/>
          <w:szCs w:val="24"/>
          <w:highlight w:val="none"/>
          <w:u w:val="single" w:color="auto"/>
        </w:rPr>
        <w:t>F</w:t>
      </w:r>
      <w:r>
        <w:rPr>
          <w:rFonts w:ascii="Times New Roman" w:hAnsi="Times New Roman" w:eastAsia="Times New Roman" w:cs="Times New Roman"/>
          <w:i/>
          <w:iCs/>
          <w:color w:val="auto"/>
          <w:spacing w:val="-7"/>
          <w:sz w:val="16"/>
          <w:szCs w:val="16"/>
          <w:highlight w:val="none"/>
          <w:u w:val="single" w:color="auto"/>
        </w:rPr>
        <w:t>1</w:t>
      </w:r>
      <w:r>
        <w:rPr>
          <w:rFonts w:ascii="Times New Roman" w:hAnsi="Times New Roman" w:eastAsia="Times New Roman" w:cs="Times New Roman"/>
          <w:i/>
          <w:iCs/>
          <w:color w:val="auto"/>
          <w:spacing w:val="-19"/>
          <w:sz w:val="16"/>
          <w:szCs w:val="16"/>
          <w:highlight w:val="none"/>
          <w:u w:val="single" w:color="auto"/>
        </w:rPr>
        <w:t xml:space="preserve"> </w:t>
      </w:r>
      <w:r>
        <w:rPr>
          <w:rFonts w:ascii="Times New Roman" w:hAnsi="Times New Roman" w:eastAsia="Times New Roman" w:cs="Times New Roman"/>
          <w:i/>
          <w:iCs/>
          <w:color w:val="auto"/>
          <w:spacing w:val="-7"/>
          <w:position w:val="1"/>
          <w:sz w:val="24"/>
          <w:szCs w:val="24"/>
          <w:highlight w:val="none"/>
          <w:u w:val="single" w:color="auto"/>
        </w:rPr>
        <w:t>+0.25</w:t>
      </w:r>
      <w:r>
        <w:rPr>
          <w:rFonts w:ascii="宋体" w:hAnsi="宋体" w:eastAsia="宋体" w:cs="宋体"/>
          <w:i/>
          <w:iCs/>
          <w:color w:val="auto"/>
          <w:spacing w:val="18"/>
          <w:position w:val="1"/>
          <w:sz w:val="25"/>
          <w:szCs w:val="25"/>
          <w:highlight w:val="none"/>
          <w:u w:val="single" w:color="auto"/>
        </w:rPr>
        <w:t>），</w:t>
      </w:r>
      <w:r>
        <w:rPr>
          <w:rFonts w:ascii="宋体" w:hAnsi="宋体" w:eastAsia="宋体" w:cs="宋体"/>
          <w:i/>
          <w:iCs/>
          <w:color w:val="auto"/>
          <w:spacing w:val="-7"/>
          <w:position w:val="1"/>
          <w:sz w:val="25"/>
          <w:szCs w:val="25"/>
          <w:highlight w:val="none"/>
          <w:u w:val="single" w:color="auto"/>
        </w:rPr>
        <w:t>且</w:t>
      </w:r>
      <w:r>
        <w:rPr>
          <w:rFonts w:ascii="Times New Roman" w:hAnsi="Times New Roman" w:eastAsia="Times New Roman" w:cs="Times New Roman"/>
          <w:i/>
          <w:iCs/>
          <w:color w:val="auto"/>
          <w:spacing w:val="-7"/>
          <w:position w:val="1"/>
          <w:sz w:val="24"/>
          <w:szCs w:val="24"/>
          <w:highlight w:val="none"/>
          <w:u w:val="single" w:color="auto"/>
        </w:rPr>
        <w:t>F2</w:t>
      </w:r>
      <w:r>
        <w:rPr>
          <w:rFonts w:ascii="宋体" w:hAnsi="宋体" w:eastAsia="宋体" w:cs="宋体"/>
          <w:i/>
          <w:iCs/>
          <w:color w:val="auto"/>
          <w:spacing w:val="-7"/>
          <w:position w:val="1"/>
          <w:sz w:val="25"/>
          <w:szCs w:val="25"/>
          <w:highlight w:val="none"/>
          <w:u w:val="single" w:color="auto"/>
        </w:rPr>
        <w:t>≤</w:t>
      </w:r>
      <w:r>
        <w:rPr>
          <w:rFonts w:ascii="Times New Roman" w:hAnsi="Times New Roman" w:eastAsia="Times New Roman" w:cs="Times New Roman"/>
          <w:i/>
          <w:iCs/>
          <w:color w:val="auto"/>
          <w:spacing w:val="-7"/>
          <w:position w:val="1"/>
          <w:sz w:val="24"/>
          <w:szCs w:val="24"/>
          <w:highlight w:val="none"/>
          <w:u w:val="single" w:color="auto"/>
        </w:rPr>
        <w:t>2</w:t>
      </w:r>
      <w:r>
        <w:rPr>
          <w:rFonts w:ascii="宋体" w:hAnsi="宋体" w:eastAsia="宋体" w:cs="宋体"/>
          <w:i/>
          <w:iCs/>
          <w:color w:val="auto"/>
          <w:spacing w:val="-7"/>
          <w:position w:val="1"/>
          <w:sz w:val="25"/>
          <w:szCs w:val="25"/>
          <w:highlight w:val="none"/>
          <w:u w:val="single" w:color="auto"/>
        </w:rPr>
        <w:t>×</w:t>
      </w:r>
      <w:r>
        <w:rPr>
          <w:rFonts w:ascii="Times New Roman" w:hAnsi="Times New Roman" w:eastAsia="Times New Roman" w:cs="Times New Roman"/>
          <w:i/>
          <w:iCs/>
          <w:color w:val="auto"/>
          <w:spacing w:val="-7"/>
          <w:position w:val="1"/>
          <w:sz w:val="24"/>
          <w:szCs w:val="24"/>
          <w:highlight w:val="none"/>
          <w:u w:val="single" w:color="auto"/>
        </w:rPr>
        <w:t xml:space="preserve">F1    </w:t>
      </w:r>
      <w:r>
        <w:rPr>
          <w:rFonts w:ascii="宋体" w:hAnsi="宋体" w:eastAsia="宋体" w:cs="宋体"/>
          <w:color w:val="auto"/>
          <w:spacing w:val="-7"/>
          <w:position w:val="1"/>
          <w:sz w:val="24"/>
          <w:szCs w:val="24"/>
          <w:highlight w:val="none"/>
        </w:rPr>
        <w:t>。</w:t>
      </w:r>
    </w:p>
    <w:p w14:paraId="19CB645D">
      <w:pPr>
        <w:spacing w:before="33" w:line="212" w:lineRule="auto"/>
        <w:ind w:left="49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商务报价评分值的最低分</w:t>
      </w:r>
      <w:r>
        <w:rPr>
          <w:rFonts w:ascii="宋体" w:hAnsi="宋体" w:eastAsia="宋体" w:cs="宋体"/>
          <w:color w:val="auto"/>
          <w:spacing w:val="63"/>
          <w:sz w:val="25"/>
          <w:szCs w:val="25"/>
          <w:highlight w:val="none"/>
          <w:u w:val="single" w:color="auto"/>
        </w:rPr>
        <w:t xml:space="preserve">  </w:t>
      </w:r>
      <w:r>
        <w:rPr>
          <w:rFonts w:hint="eastAsia" w:ascii="宋体" w:hAnsi="宋体" w:eastAsia="宋体" w:cs="宋体"/>
          <w:color w:val="auto"/>
          <w:spacing w:val="63"/>
          <w:sz w:val="25"/>
          <w:szCs w:val="25"/>
          <w:highlight w:val="none"/>
          <w:u w:val="single" w:color="auto"/>
          <w:lang w:val="en-US" w:eastAsia="zh-CN"/>
        </w:rPr>
        <w:t>50</w:t>
      </w:r>
      <w:r>
        <w:rPr>
          <w:rFonts w:ascii="宋体" w:hAnsi="宋体" w:eastAsia="宋体" w:cs="宋体"/>
          <w:i/>
          <w:iCs/>
          <w:color w:val="auto"/>
          <w:spacing w:val="-5"/>
          <w:sz w:val="25"/>
          <w:szCs w:val="25"/>
          <w:highlight w:val="none"/>
          <w:u w:val="single" w:color="auto"/>
        </w:rPr>
        <w:t>（不得低于</w:t>
      </w:r>
      <w:r>
        <w:rPr>
          <w:rFonts w:ascii="Times New Roman" w:hAnsi="Times New Roman" w:eastAsia="Times New Roman" w:cs="Times New Roman"/>
          <w:i/>
          <w:iCs/>
          <w:color w:val="auto"/>
          <w:spacing w:val="-5"/>
          <w:sz w:val="24"/>
          <w:szCs w:val="24"/>
          <w:highlight w:val="none"/>
          <w:u w:val="single" w:color="auto"/>
        </w:rPr>
        <w:t>50</w:t>
      </w:r>
      <w:r>
        <w:rPr>
          <w:rFonts w:ascii="宋体" w:hAnsi="宋体" w:eastAsia="宋体" w:cs="宋体"/>
          <w:i/>
          <w:iCs/>
          <w:color w:val="auto"/>
          <w:spacing w:val="-5"/>
          <w:sz w:val="25"/>
          <w:szCs w:val="25"/>
          <w:highlight w:val="none"/>
          <w:u w:val="single" w:color="auto"/>
        </w:rPr>
        <w:t>）</w:t>
      </w:r>
      <w:r>
        <w:rPr>
          <w:rFonts w:ascii="宋体" w:hAnsi="宋体" w:eastAsia="宋体" w:cs="宋体"/>
          <w:color w:val="auto"/>
          <w:spacing w:val="105"/>
          <w:sz w:val="25"/>
          <w:szCs w:val="25"/>
          <w:highlight w:val="none"/>
          <w:u w:val="single" w:color="auto"/>
        </w:rPr>
        <w:t xml:space="preserve"> </w:t>
      </w:r>
      <w:r>
        <w:rPr>
          <w:rFonts w:ascii="宋体" w:hAnsi="宋体" w:eastAsia="宋体" w:cs="宋体"/>
          <w:color w:val="auto"/>
          <w:spacing w:val="-113"/>
          <w:sz w:val="25"/>
          <w:szCs w:val="25"/>
          <w:highlight w:val="none"/>
        </w:rPr>
        <w:t xml:space="preserve"> </w:t>
      </w:r>
      <w:r>
        <w:rPr>
          <w:rFonts w:ascii="宋体" w:hAnsi="宋体" w:eastAsia="宋体" w:cs="宋体"/>
          <w:color w:val="auto"/>
          <w:spacing w:val="-5"/>
          <w:sz w:val="24"/>
          <w:szCs w:val="24"/>
          <w:highlight w:val="none"/>
        </w:rPr>
        <w:t>分。</w:t>
      </w:r>
    </w:p>
    <w:p w14:paraId="15A62F73">
      <w:pPr>
        <w:spacing w:before="180" w:line="220" w:lineRule="auto"/>
        <w:ind w:left="6"/>
        <w:outlineLvl w:val="2"/>
        <w:rPr>
          <w:rFonts w:ascii="宋体" w:hAnsi="宋体" w:eastAsia="宋体" w:cs="宋体"/>
          <w:color w:val="auto"/>
          <w:sz w:val="24"/>
          <w:szCs w:val="24"/>
          <w:highlight w:val="none"/>
        </w:rPr>
      </w:pPr>
      <w:bookmarkStart w:id="321" w:name="bookmark204"/>
      <w:bookmarkEnd w:id="321"/>
      <w:bookmarkStart w:id="322" w:name="bookmark203"/>
      <w:bookmarkEnd w:id="322"/>
      <w:bookmarkStart w:id="323" w:name="_Toc5647"/>
      <w:bookmarkStart w:id="324" w:name="_Toc32346"/>
      <w:r>
        <w:rPr>
          <w:rFonts w:ascii="Times New Roman" w:hAnsi="Times New Roman" w:eastAsia="Times New Roman" w:cs="Times New Roman"/>
          <w:b/>
          <w:bCs/>
          <w:color w:val="auto"/>
          <w:spacing w:val="-3"/>
          <w:sz w:val="24"/>
          <w:szCs w:val="24"/>
          <w:highlight w:val="none"/>
        </w:rPr>
        <w:t>4.7</w:t>
      </w:r>
      <w:r>
        <w:rPr>
          <w:rFonts w:ascii="Times New Roman" w:hAnsi="Times New Roman" w:eastAsia="Times New Roman" w:cs="Times New Roman"/>
          <w:b/>
          <w:bCs/>
          <w:color w:val="auto"/>
          <w:spacing w:val="4"/>
          <w:sz w:val="24"/>
          <w:szCs w:val="24"/>
          <w:highlight w:val="none"/>
        </w:rPr>
        <w:t xml:space="preserve">  </w:t>
      </w:r>
      <w:r>
        <w:rPr>
          <w:rFonts w:ascii="宋体" w:hAnsi="宋体" w:eastAsia="宋体" w:cs="宋体"/>
          <w:b/>
          <w:bCs/>
          <w:color w:val="auto"/>
          <w:spacing w:val="-3"/>
          <w:sz w:val="24"/>
          <w:szCs w:val="24"/>
          <w:highlight w:val="none"/>
        </w:rPr>
        <w:t>询标</w:t>
      </w:r>
      <w:bookmarkEnd w:id="323"/>
      <w:bookmarkEnd w:id="324"/>
    </w:p>
    <w:p w14:paraId="1C36BA54">
      <w:pPr>
        <w:spacing w:before="183" w:line="356" w:lineRule="auto"/>
        <w:ind w:left="11" w:firstLine="491"/>
        <w:jc w:val="both"/>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 xml:space="preserve">1.  </w:t>
      </w:r>
      <w:r>
        <w:rPr>
          <w:rFonts w:ascii="宋体" w:hAnsi="宋体" w:eastAsia="宋体" w:cs="宋体"/>
          <w:color w:val="auto"/>
          <w:spacing w:val="-4"/>
          <w:sz w:val="24"/>
          <w:szCs w:val="24"/>
          <w:highlight w:val="none"/>
        </w:rPr>
        <w:t>凡评标委员会拟作出否决投标决定的，应先向投标人进行书面</w:t>
      </w:r>
      <w:r>
        <w:rPr>
          <w:rFonts w:ascii="宋体" w:hAnsi="宋体" w:eastAsia="宋体" w:cs="宋体"/>
          <w:color w:val="auto"/>
          <w:spacing w:val="-5"/>
          <w:sz w:val="24"/>
          <w:szCs w:val="24"/>
          <w:highlight w:val="none"/>
        </w:rPr>
        <w:t>询问核实。未进</w:t>
      </w:r>
      <w:r>
        <w:rPr>
          <w:rFonts w:ascii="宋体" w:hAnsi="宋体" w:eastAsia="宋体" w:cs="宋体"/>
          <w:color w:val="auto"/>
          <w:sz w:val="24"/>
          <w:szCs w:val="24"/>
          <w:highlight w:val="none"/>
        </w:rPr>
        <w:t xml:space="preserve"> </w:t>
      </w:r>
      <w:r>
        <w:rPr>
          <w:rFonts w:ascii="宋体" w:hAnsi="宋体" w:eastAsia="宋体" w:cs="宋体"/>
          <w:color w:val="auto"/>
          <w:spacing w:val="-15"/>
          <w:sz w:val="24"/>
          <w:szCs w:val="24"/>
          <w:highlight w:val="none"/>
        </w:rPr>
        <w:t>行询问核实</w:t>
      </w:r>
      <w:r>
        <w:rPr>
          <w:rFonts w:ascii="宋体" w:hAnsi="宋体" w:eastAsia="宋体" w:cs="宋体"/>
          <w:color w:val="auto"/>
          <w:spacing w:val="-14"/>
          <w:sz w:val="24"/>
          <w:szCs w:val="24"/>
          <w:highlight w:val="none"/>
        </w:rPr>
        <w:t>程序的，不得做出否决投标决定，</w:t>
      </w:r>
      <w:r>
        <w:rPr>
          <w:rFonts w:ascii="宋体" w:hAnsi="宋体" w:eastAsia="宋体" w:cs="宋体"/>
          <w:color w:val="auto"/>
          <w:spacing w:val="-15"/>
          <w:sz w:val="24"/>
          <w:szCs w:val="24"/>
          <w:highlight w:val="none"/>
        </w:rPr>
        <w:t>投标人放弃接受询问核实机会的除外。投</w:t>
      </w:r>
      <w:r>
        <w:rPr>
          <w:rFonts w:ascii="宋体" w:hAnsi="宋体" w:eastAsia="宋体" w:cs="宋体"/>
          <w:color w:val="auto"/>
          <w:spacing w:val="-10"/>
          <w:sz w:val="24"/>
          <w:szCs w:val="24"/>
          <w:highlight w:val="none"/>
        </w:rPr>
        <w:t>标</w:t>
      </w:r>
      <w:r>
        <w:rPr>
          <w:rFonts w:ascii="宋体" w:hAnsi="宋体" w:eastAsia="宋体" w:cs="宋体"/>
          <w:color w:val="auto"/>
          <w:sz w:val="24"/>
          <w:szCs w:val="24"/>
          <w:highlight w:val="none"/>
        </w:rPr>
        <w:t xml:space="preserve"> </w:t>
      </w:r>
      <w:r>
        <w:rPr>
          <w:rFonts w:ascii="宋体" w:hAnsi="宋体" w:eastAsia="宋体" w:cs="宋体"/>
          <w:color w:val="auto"/>
          <w:spacing w:val="-21"/>
          <w:sz w:val="24"/>
          <w:szCs w:val="24"/>
          <w:highlight w:val="none"/>
        </w:rPr>
        <w:t>人应自行关注系统</w:t>
      </w:r>
      <w:r>
        <w:rPr>
          <w:rFonts w:ascii="宋体" w:hAnsi="宋体" w:eastAsia="宋体" w:cs="宋体"/>
          <w:color w:val="auto"/>
          <w:spacing w:val="-20"/>
          <w:sz w:val="24"/>
          <w:szCs w:val="24"/>
          <w:highlight w:val="none"/>
        </w:rPr>
        <w:t>中评标委员会发出的澄清并及时答复，在规定的时限内投标人</w:t>
      </w:r>
      <w:r>
        <w:rPr>
          <w:rFonts w:ascii="宋体" w:hAnsi="宋体" w:eastAsia="宋体" w:cs="宋体"/>
          <w:color w:val="auto"/>
          <w:spacing w:val="-21"/>
          <w:sz w:val="24"/>
          <w:szCs w:val="24"/>
          <w:highlight w:val="none"/>
        </w:rPr>
        <w:t>不参加核</w:t>
      </w:r>
      <w:r>
        <w:rPr>
          <w:rFonts w:ascii="宋体" w:hAnsi="宋体" w:eastAsia="宋体" w:cs="宋体"/>
          <w:color w:val="auto"/>
          <w:spacing w:val="-13"/>
          <w:sz w:val="24"/>
          <w:szCs w:val="24"/>
          <w:highlight w:val="none"/>
        </w:rPr>
        <w:t>实</w:t>
      </w:r>
      <w:r>
        <w:rPr>
          <w:rFonts w:ascii="宋体" w:hAnsi="宋体" w:eastAsia="宋体" w:cs="宋体"/>
          <w:color w:val="auto"/>
          <w:sz w:val="24"/>
          <w:szCs w:val="24"/>
          <w:highlight w:val="none"/>
        </w:rPr>
        <w:t xml:space="preserve"> </w:t>
      </w:r>
      <w:r>
        <w:rPr>
          <w:rFonts w:ascii="宋体" w:hAnsi="宋体" w:eastAsia="宋体" w:cs="宋体"/>
          <w:color w:val="auto"/>
          <w:spacing w:val="-22"/>
          <w:sz w:val="24"/>
          <w:szCs w:val="24"/>
          <w:highlight w:val="none"/>
        </w:rPr>
        <w:t>或不予答复的，视为放弃接受询问核实机会。</w:t>
      </w:r>
    </w:p>
    <w:p w14:paraId="16D5B5FA">
      <w:pPr>
        <w:spacing w:before="48" w:line="348" w:lineRule="auto"/>
        <w:ind w:left="23" w:right="202" w:firstLine="424"/>
        <w:rPr>
          <w:rFonts w:ascii="宋体" w:hAnsi="宋体" w:eastAsia="宋体" w:cs="宋体"/>
          <w:color w:val="auto"/>
          <w:sz w:val="24"/>
          <w:szCs w:val="24"/>
          <w:highlight w:val="none"/>
        </w:rPr>
      </w:pPr>
      <w:r>
        <w:rPr>
          <w:rFonts w:ascii="Times New Roman" w:hAnsi="Times New Roman" w:eastAsia="Times New Roman" w:cs="Times New Roman"/>
          <w:color w:val="auto"/>
          <w:spacing w:val="-15"/>
          <w:sz w:val="24"/>
          <w:szCs w:val="24"/>
          <w:highlight w:val="none"/>
        </w:rPr>
        <w:t xml:space="preserve">2.  </w:t>
      </w:r>
      <w:r>
        <w:rPr>
          <w:rFonts w:ascii="宋体" w:hAnsi="宋体" w:eastAsia="宋体" w:cs="宋体"/>
          <w:color w:val="auto"/>
          <w:spacing w:val="-15"/>
          <w:sz w:val="24"/>
          <w:szCs w:val="24"/>
          <w:highlight w:val="none"/>
        </w:rPr>
        <w:t>除本评标办法规定的否决情形以外，招标文件中其他条款均不得作为否决</w:t>
      </w:r>
      <w:r>
        <w:rPr>
          <w:rFonts w:ascii="宋体" w:hAnsi="宋体" w:eastAsia="宋体" w:cs="宋体"/>
          <w:color w:val="auto"/>
          <w:spacing w:val="-16"/>
          <w:sz w:val="24"/>
          <w:szCs w:val="24"/>
          <w:highlight w:val="none"/>
        </w:rPr>
        <w:t>投标文件</w:t>
      </w:r>
      <w:r>
        <w:rPr>
          <w:rFonts w:ascii="宋体" w:hAnsi="宋体" w:eastAsia="宋体" w:cs="宋体"/>
          <w:color w:val="auto"/>
          <w:sz w:val="24"/>
          <w:szCs w:val="24"/>
          <w:highlight w:val="none"/>
        </w:rPr>
        <w:t xml:space="preserve"> </w:t>
      </w:r>
      <w:r>
        <w:rPr>
          <w:rFonts w:ascii="宋体" w:hAnsi="宋体" w:eastAsia="宋体" w:cs="宋体"/>
          <w:color w:val="auto"/>
          <w:spacing w:val="-12"/>
          <w:sz w:val="24"/>
          <w:szCs w:val="24"/>
          <w:highlight w:val="none"/>
        </w:rPr>
        <w:t>的依据。</w:t>
      </w:r>
    </w:p>
    <w:p w14:paraId="4850EB07">
      <w:pPr>
        <w:spacing w:before="32" w:line="220" w:lineRule="auto"/>
        <w:outlineLvl w:val="2"/>
        <w:rPr>
          <w:rFonts w:ascii="宋体" w:hAnsi="宋体" w:eastAsia="宋体" w:cs="宋体"/>
          <w:color w:val="auto"/>
          <w:sz w:val="24"/>
          <w:szCs w:val="24"/>
          <w:highlight w:val="none"/>
        </w:rPr>
      </w:pPr>
      <w:bookmarkStart w:id="325" w:name="bookmark205"/>
      <w:bookmarkEnd w:id="325"/>
      <w:bookmarkStart w:id="326" w:name="bookmark206"/>
      <w:bookmarkEnd w:id="326"/>
      <w:bookmarkStart w:id="327" w:name="_Toc17400"/>
      <w:bookmarkStart w:id="328" w:name="_Toc10339"/>
      <w:r>
        <w:rPr>
          <w:rFonts w:ascii="Times New Roman" w:hAnsi="Times New Roman" w:eastAsia="Times New Roman" w:cs="Times New Roman"/>
          <w:b/>
          <w:bCs/>
          <w:color w:val="auto"/>
          <w:spacing w:val="-2"/>
          <w:sz w:val="24"/>
          <w:szCs w:val="24"/>
          <w:highlight w:val="none"/>
        </w:rPr>
        <w:t xml:space="preserve">4.8  </w:t>
      </w:r>
      <w:r>
        <w:rPr>
          <w:rFonts w:ascii="宋体" w:hAnsi="宋体" w:eastAsia="宋体" w:cs="宋体"/>
          <w:b/>
          <w:bCs/>
          <w:color w:val="auto"/>
          <w:spacing w:val="-2"/>
          <w:sz w:val="24"/>
          <w:szCs w:val="24"/>
          <w:highlight w:val="none"/>
        </w:rPr>
        <w:t>投标文件的综合评分</w:t>
      </w:r>
      <w:bookmarkEnd w:id="327"/>
      <w:bookmarkEnd w:id="328"/>
    </w:p>
    <w:p w14:paraId="0C0BCA9A">
      <w:pPr>
        <w:spacing w:before="182" w:line="345" w:lineRule="auto"/>
        <w:ind w:left="3" w:right="407" w:firstLine="48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投标文件的综合评分为投标文件的商务报价评分与投标文件的资信评分之和</w:t>
      </w:r>
      <w:r>
        <w:rPr>
          <w:rFonts w:hint="eastAsia" w:ascii="宋体" w:hAnsi="宋体" w:eastAsia="宋体" w:cs="宋体"/>
          <w:color w:val="auto"/>
          <w:spacing w:val="-2"/>
          <w:sz w:val="24"/>
          <w:szCs w:val="24"/>
          <w:highlight w:val="none"/>
          <w:lang w:eastAsia="zh-CN"/>
        </w:rPr>
        <w:t>，</w:t>
      </w:r>
      <w:r>
        <w:rPr>
          <w:rFonts w:ascii="宋体" w:hAnsi="宋体" w:eastAsia="宋体" w:cs="宋体"/>
          <w:color w:val="auto"/>
          <w:spacing w:val="1"/>
          <w:sz w:val="24"/>
          <w:szCs w:val="24"/>
          <w:highlight w:val="none"/>
        </w:rPr>
        <w:t xml:space="preserve"> </w:t>
      </w:r>
      <w:r>
        <w:rPr>
          <w:rFonts w:ascii="宋体" w:hAnsi="宋体" w:eastAsia="宋体" w:cs="宋体"/>
          <w:color w:val="auto"/>
          <w:spacing w:val="-4"/>
          <w:sz w:val="24"/>
          <w:szCs w:val="24"/>
          <w:highlight w:val="none"/>
        </w:rPr>
        <w:t>满分为</w:t>
      </w:r>
      <w:r>
        <w:rPr>
          <w:rFonts w:ascii="Times New Roman" w:hAnsi="Times New Roman" w:eastAsia="Times New Roman" w:cs="Times New Roman"/>
          <w:color w:val="auto"/>
          <w:spacing w:val="-4"/>
          <w:sz w:val="24"/>
          <w:szCs w:val="24"/>
          <w:highlight w:val="none"/>
        </w:rPr>
        <w:t>100</w:t>
      </w:r>
      <w:r>
        <w:rPr>
          <w:rFonts w:ascii="宋体" w:hAnsi="宋体" w:eastAsia="宋体" w:cs="宋体"/>
          <w:color w:val="auto"/>
          <w:spacing w:val="-4"/>
          <w:sz w:val="24"/>
          <w:szCs w:val="24"/>
          <w:highlight w:val="none"/>
        </w:rPr>
        <w:t>分。</w:t>
      </w:r>
    </w:p>
    <w:p w14:paraId="5412029F">
      <w:pPr>
        <w:spacing w:before="36" w:line="219" w:lineRule="auto"/>
        <w:ind w:left="27"/>
        <w:outlineLvl w:val="2"/>
        <w:rPr>
          <w:rFonts w:ascii="宋体" w:hAnsi="宋体" w:eastAsia="宋体" w:cs="宋体"/>
          <w:strike/>
          <w:dstrike w:val="0"/>
          <w:color w:val="auto"/>
          <w:sz w:val="24"/>
          <w:szCs w:val="24"/>
          <w:highlight w:val="none"/>
        </w:rPr>
      </w:pPr>
      <w:bookmarkStart w:id="329" w:name="bookmark208"/>
      <w:bookmarkEnd w:id="329"/>
      <w:bookmarkStart w:id="330" w:name="bookmark207"/>
      <w:bookmarkEnd w:id="330"/>
      <w:bookmarkStart w:id="331" w:name="_Toc19025"/>
      <w:bookmarkStart w:id="332" w:name="_Toc31744"/>
      <w:r>
        <w:rPr>
          <w:rFonts w:ascii="宋体" w:hAnsi="宋体" w:eastAsia="宋体" w:cs="宋体"/>
          <w:b/>
          <w:bCs/>
          <w:strike/>
          <w:dstrike w:val="0"/>
          <w:color w:val="auto"/>
          <w:spacing w:val="-4"/>
          <w:sz w:val="24"/>
          <w:szCs w:val="24"/>
          <w:highlight w:val="none"/>
        </w:rPr>
        <w:t>□</w:t>
      </w:r>
      <w:r>
        <w:rPr>
          <w:rFonts w:ascii="Times New Roman" w:hAnsi="Times New Roman" w:eastAsia="Times New Roman" w:cs="Times New Roman"/>
          <w:b/>
          <w:bCs/>
          <w:strike/>
          <w:dstrike w:val="0"/>
          <w:color w:val="auto"/>
          <w:spacing w:val="-4"/>
          <w:sz w:val="24"/>
          <w:szCs w:val="24"/>
          <w:highlight w:val="none"/>
        </w:rPr>
        <w:t xml:space="preserve">4.9  </w:t>
      </w:r>
      <w:r>
        <w:rPr>
          <w:rFonts w:ascii="宋体" w:hAnsi="宋体" w:eastAsia="宋体" w:cs="宋体"/>
          <w:b/>
          <w:bCs/>
          <w:strike/>
          <w:dstrike w:val="0"/>
          <w:color w:val="auto"/>
          <w:spacing w:val="-4"/>
          <w:sz w:val="24"/>
          <w:szCs w:val="24"/>
          <w:highlight w:val="none"/>
        </w:rPr>
        <w:t>推荐中标候选人</w:t>
      </w:r>
      <w:bookmarkEnd w:id="331"/>
      <w:bookmarkEnd w:id="332"/>
    </w:p>
    <w:p w14:paraId="355647AA">
      <w:pPr>
        <w:spacing w:before="181" w:line="354" w:lineRule="auto"/>
        <w:ind w:left="2" w:right="205" w:firstLine="54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评标委员会根据综合评分对通过商务评审的投标文件按照由高到低的顺序进行</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10"/>
          <w:sz w:val="24"/>
          <w:szCs w:val="24"/>
          <w:highlight w:val="none"/>
        </w:rPr>
        <w:t>排序，推荐中标候选人。综合评分相同时，报价</w:t>
      </w:r>
      <w:r>
        <w:rPr>
          <w:rFonts w:ascii="宋体" w:hAnsi="宋体" w:eastAsia="宋体" w:cs="宋体"/>
          <w:strike/>
          <w:dstrike w:val="0"/>
          <w:color w:val="auto"/>
          <w:spacing w:val="-11"/>
          <w:sz w:val="24"/>
          <w:szCs w:val="24"/>
          <w:highlight w:val="none"/>
        </w:rPr>
        <w:t>低者优先。综合评分、报价均相同时，</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以资信评分高者优先；综合评分、报价、资信评分均相同时，由评标委员会全体成员</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按照少数服从多数的原则记名投票（不得弃权）决定中标</w:t>
      </w:r>
      <w:r>
        <w:rPr>
          <w:rFonts w:hint="eastAsia" w:ascii="宋体" w:hAnsi="宋体" w:eastAsia="宋体" w:cs="宋体"/>
          <w:strike/>
          <w:dstrike w:val="0"/>
          <w:color w:val="auto"/>
          <w:spacing w:val="-3"/>
          <w:sz w:val="24"/>
          <w:szCs w:val="24"/>
          <w:highlight w:val="none"/>
          <w:lang w:eastAsia="zh-CN"/>
        </w:rPr>
        <w:t>候选人</w:t>
      </w:r>
      <w:r>
        <w:rPr>
          <w:rFonts w:ascii="宋体" w:hAnsi="宋体" w:eastAsia="宋体" w:cs="宋体"/>
          <w:strike/>
          <w:dstrike w:val="0"/>
          <w:color w:val="auto"/>
          <w:spacing w:val="-3"/>
          <w:sz w:val="24"/>
          <w:szCs w:val="24"/>
          <w:highlight w:val="none"/>
        </w:rPr>
        <w:t>或确定中标候选人排</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5"/>
          <w:sz w:val="24"/>
          <w:szCs w:val="24"/>
          <w:highlight w:val="none"/>
        </w:rPr>
        <w:t>序。</w:t>
      </w:r>
    </w:p>
    <w:p w14:paraId="58CF48E1">
      <w:pPr>
        <w:spacing w:before="34" w:line="219"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0E0656F3">
      <w:pPr>
        <w:spacing w:before="183" w:line="219" w:lineRule="auto"/>
        <w:ind w:left="27"/>
        <w:outlineLvl w:val="2"/>
        <w:rPr>
          <w:rFonts w:ascii="宋体" w:hAnsi="宋体" w:eastAsia="宋体" w:cs="宋体"/>
          <w:color w:val="auto"/>
          <w:sz w:val="24"/>
          <w:szCs w:val="24"/>
          <w:highlight w:val="none"/>
        </w:rPr>
      </w:pPr>
      <w:bookmarkStart w:id="333" w:name="bookmark210"/>
      <w:bookmarkEnd w:id="333"/>
      <w:bookmarkStart w:id="334" w:name="bookmark209"/>
      <w:bookmarkEnd w:id="334"/>
      <w:bookmarkStart w:id="335" w:name="_Toc19377"/>
      <w:bookmarkStart w:id="336" w:name="_Toc13174"/>
      <w:r>
        <w:rPr>
          <w:rFonts w:hint="eastAsia" w:ascii="宋体" w:hAnsi="宋体" w:eastAsia="宋体" w:cs="宋体"/>
          <w:b/>
          <w:bCs/>
          <w:color w:val="auto"/>
          <w:spacing w:val="-3"/>
          <w:sz w:val="24"/>
          <w:szCs w:val="24"/>
          <w:highlight w:val="none"/>
          <w:lang w:eastAsia="zh-CN"/>
        </w:rPr>
        <w:t>☑</w:t>
      </w:r>
      <w:r>
        <w:rPr>
          <w:rFonts w:ascii="Times New Roman" w:hAnsi="Times New Roman" w:eastAsia="Times New Roman" w:cs="Times New Roman"/>
          <w:b/>
          <w:bCs/>
          <w:color w:val="auto"/>
          <w:spacing w:val="-3"/>
          <w:sz w:val="24"/>
          <w:szCs w:val="24"/>
          <w:highlight w:val="none"/>
        </w:rPr>
        <w:t xml:space="preserve">4.9  </w:t>
      </w:r>
      <w:r>
        <w:rPr>
          <w:rFonts w:ascii="宋体" w:hAnsi="宋体" w:eastAsia="宋体" w:cs="宋体"/>
          <w:b/>
          <w:bCs/>
          <w:color w:val="auto"/>
          <w:spacing w:val="-3"/>
          <w:sz w:val="24"/>
          <w:szCs w:val="24"/>
          <w:highlight w:val="none"/>
        </w:rPr>
        <w:t>推荐中标候选人（适用于评定分离）</w:t>
      </w:r>
      <w:bookmarkEnd w:id="335"/>
      <w:bookmarkEnd w:id="336"/>
    </w:p>
    <w:p w14:paraId="02316211">
      <w:pPr>
        <w:spacing w:before="181" w:line="350" w:lineRule="auto"/>
        <w:ind w:left="1" w:firstLine="480"/>
        <w:jc w:val="both"/>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评标委员会对投标人按综合评分从高到低进行排序，并按照排序推荐中标候选人</w:t>
      </w: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3"/>
          <w:sz w:val="24"/>
          <w:szCs w:val="24"/>
          <w:highlight w:val="none"/>
        </w:rPr>
        <w:t>进入推荐名单的中标候选人不排名次。若推荐最后一名综合得分相同，由评标委员会</w:t>
      </w:r>
      <w:r>
        <w:rPr>
          <w:rFonts w:ascii="宋体" w:hAnsi="宋体" w:eastAsia="宋体" w:cs="宋体"/>
          <w:color w:val="auto"/>
          <w:spacing w:val="5"/>
          <w:sz w:val="24"/>
          <w:szCs w:val="24"/>
          <w:highlight w:val="none"/>
        </w:rPr>
        <w:t xml:space="preserve">  </w:t>
      </w:r>
      <w:r>
        <w:rPr>
          <w:rFonts w:ascii="宋体" w:hAnsi="宋体" w:eastAsia="宋体" w:cs="宋体"/>
          <w:color w:val="auto"/>
          <w:sz w:val="24"/>
          <w:szCs w:val="24"/>
          <w:highlight w:val="none"/>
        </w:rPr>
        <w:t>全体成员按照少数服从多数的原则记名投票</w:t>
      </w:r>
      <w:r>
        <w:rPr>
          <w:rFonts w:ascii="宋体" w:hAnsi="宋体" w:eastAsia="宋体" w:cs="宋体"/>
          <w:color w:val="auto"/>
          <w:spacing w:val="-1"/>
          <w:sz w:val="24"/>
          <w:szCs w:val="24"/>
          <w:highlight w:val="none"/>
        </w:rPr>
        <w:t>推荐（不得弃权）。</w:t>
      </w:r>
    </w:p>
    <w:p w14:paraId="73FB7750">
      <w:pPr>
        <w:spacing w:before="36" w:line="219" w:lineRule="auto"/>
        <w:ind w:left="4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本评标办法未尽事宜由评标委员会集体讨论决定。</w:t>
      </w:r>
    </w:p>
    <w:p w14:paraId="2125E647">
      <w:pPr>
        <w:spacing w:before="182" w:line="218" w:lineRule="auto"/>
        <w:outlineLvl w:val="2"/>
        <w:rPr>
          <w:rFonts w:ascii="宋体" w:hAnsi="宋体" w:eastAsia="宋体" w:cs="宋体"/>
          <w:color w:val="auto"/>
          <w:sz w:val="24"/>
          <w:szCs w:val="24"/>
          <w:highlight w:val="none"/>
        </w:rPr>
      </w:pPr>
      <w:bookmarkStart w:id="337" w:name="bookmark212"/>
      <w:bookmarkEnd w:id="337"/>
      <w:bookmarkStart w:id="338" w:name="bookmark211"/>
      <w:bookmarkEnd w:id="338"/>
      <w:bookmarkStart w:id="339" w:name="_Toc15913"/>
      <w:bookmarkStart w:id="340" w:name="_Toc32241"/>
      <w:r>
        <w:rPr>
          <w:rFonts w:ascii="Times New Roman" w:hAnsi="Times New Roman" w:eastAsia="Times New Roman" w:cs="Times New Roman"/>
          <w:b/>
          <w:bCs/>
          <w:color w:val="auto"/>
          <w:spacing w:val="-2"/>
          <w:sz w:val="24"/>
          <w:szCs w:val="24"/>
          <w:highlight w:val="none"/>
        </w:rPr>
        <w:t xml:space="preserve">4.10  </w:t>
      </w:r>
      <w:r>
        <w:rPr>
          <w:rFonts w:ascii="宋体" w:hAnsi="宋体" w:eastAsia="宋体" w:cs="宋体"/>
          <w:b/>
          <w:bCs/>
          <w:color w:val="auto"/>
          <w:spacing w:val="-2"/>
          <w:sz w:val="24"/>
          <w:szCs w:val="24"/>
          <w:highlight w:val="none"/>
        </w:rPr>
        <w:t>评标报告</w:t>
      </w:r>
      <w:bookmarkEnd w:id="339"/>
      <w:bookmarkEnd w:id="340"/>
    </w:p>
    <w:p w14:paraId="26C4B2EC">
      <w:pPr>
        <w:spacing w:before="184" w:line="289" w:lineRule="auto"/>
        <w:ind w:left="4" w:right="205" w:firstLine="47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4.10.1  </w:t>
      </w:r>
      <w:r>
        <w:rPr>
          <w:rFonts w:ascii="宋体" w:hAnsi="宋体" w:eastAsia="宋体" w:cs="宋体"/>
          <w:color w:val="auto"/>
          <w:spacing w:val="-2"/>
          <w:sz w:val="24"/>
          <w:szCs w:val="24"/>
          <w:highlight w:val="none"/>
        </w:rPr>
        <w:t>评标委员会对投标文件作出的评审结论，</w:t>
      </w:r>
      <w:r>
        <w:rPr>
          <w:rFonts w:ascii="宋体" w:hAnsi="宋体" w:eastAsia="宋体" w:cs="宋体"/>
          <w:color w:val="auto"/>
          <w:spacing w:val="-3"/>
          <w:sz w:val="24"/>
          <w:szCs w:val="24"/>
          <w:highlight w:val="none"/>
        </w:rPr>
        <w:t>应当符合有关法律、法规、规章</w:t>
      </w:r>
      <w:r>
        <w:rPr>
          <w:rFonts w:ascii="宋体" w:hAnsi="宋体" w:eastAsia="宋体" w:cs="宋体"/>
          <w:color w:val="auto"/>
          <w:spacing w:val="-5"/>
          <w:sz w:val="24"/>
          <w:szCs w:val="24"/>
          <w:highlight w:val="none"/>
        </w:rPr>
        <w:t>和招标文件的规定。</w:t>
      </w:r>
    </w:p>
    <w:p w14:paraId="39EB0F8D">
      <w:pPr>
        <w:spacing w:before="181" w:line="324" w:lineRule="auto"/>
        <w:ind w:left="2" w:right="122" w:firstLine="480"/>
        <w:rPr>
          <w:rFonts w:ascii="宋体" w:hAnsi="宋体" w:eastAsia="宋体" w:cs="宋体"/>
          <w:color w:val="auto"/>
          <w:sz w:val="24"/>
          <w:szCs w:val="24"/>
          <w:highlight w:val="none"/>
        </w:rPr>
      </w:pPr>
      <w:r>
        <w:rPr>
          <w:rFonts w:ascii="Times New Roman" w:hAnsi="Times New Roman" w:eastAsia="Times New Roman" w:cs="Times New Roman"/>
          <w:b/>
          <w:bCs/>
          <w:color w:val="auto"/>
          <w:spacing w:val="-6"/>
          <w:sz w:val="24"/>
          <w:szCs w:val="24"/>
          <w:highlight w:val="none"/>
        </w:rPr>
        <w:t xml:space="preserve">4.10.2  </w:t>
      </w:r>
      <w:r>
        <w:rPr>
          <w:rFonts w:ascii="宋体" w:hAnsi="宋体" w:eastAsia="宋体" w:cs="宋体"/>
          <w:color w:val="auto"/>
          <w:spacing w:val="-6"/>
          <w:sz w:val="24"/>
          <w:szCs w:val="24"/>
          <w:highlight w:val="none"/>
        </w:rPr>
        <w:t>评标委员会应根据评标情况，推荐中标候选人，</w:t>
      </w:r>
      <w:r>
        <w:rPr>
          <w:rFonts w:ascii="宋体" w:hAnsi="宋体" w:eastAsia="宋体" w:cs="宋体"/>
          <w:color w:val="auto"/>
          <w:spacing w:val="-7"/>
          <w:sz w:val="24"/>
          <w:szCs w:val="24"/>
          <w:highlight w:val="none"/>
        </w:rPr>
        <w:t>并向招标人提交评标报告</w:t>
      </w:r>
      <w:r>
        <w:rPr>
          <w:rFonts w:hint="eastAsia" w:ascii="宋体" w:hAnsi="宋体" w:eastAsia="宋体" w:cs="宋体"/>
          <w:color w:val="auto"/>
          <w:spacing w:val="-7"/>
          <w:sz w:val="24"/>
          <w:szCs w:val="24"/>
          <w:highlight w:val="none"/>
          <w:lang w:eastAsia="zh-CN"/>
        </w:rPr>
        <w:t>。</w:t>
      </w:r>
      <w:r>
        <w:rPr>
          <w:rFonts w:ascii="宋体" w:hAnsi="宋体" w:eastAsia="宋体" w:cs="宋体"/>
          <w:color w:val="auto"/>
          <w:spacing w:val="-3"/>
          <w:sz w:val="24"/>
          <w:szCs w:val="24"/>
          <w:highlight w:val="none"/>
        </w:rPr>
        <w:t>评标报告由评标委员会成员起草，评标委员会全体成员应在评标报告上签字确认，评</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标专家如有保留意见可以在评标报告中阐明。评标委员会成员拒绝在评标报告上签字</w:t>
      </w:r>
      <w:r>
        <w:rPr>
          <w:rFonts w:ascii="宋体" w:hAnsi="宋体" w:eastAsia="宋体" w:cs="宋体"/>
          <w:color w:val="auto"/>
          <w:spacing w:val="10"/>
          <w:sz w:val="24"/>
          <w:szCs w:val="24"/>
          <w:highlight w:val="none"/>
        </w:rPr>
        <w:t xml:space="preserve"> </w:t>
      </w:r>
      <w:r>
        <w:rPr>
          <w:rFonts w:ascii="宋体" w:hAnsi="宋体" w:eastAsia="宋体" w:cs="宋体"/>
          <w:color w:val="auto"/>
          <w:spacing w:val="-2"/>
          <w:sz w:val="24"/>
          <w:szCs w:val="24"/>
          <w:highlight w:val="none"/>
        </w:rPr>
        <w:t>又不书面说明其不同意见和理由的，视为同意评标结果。</w:t>
      </w:r>
    </w:p>
    <w:p w14:paraId="7E61F18A">
      <w:pPr>
        <w:spacing w:before="184" w:line="218"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4.10.3  </w:t>
      </w:r>
      <w:r>
        <w:rPr>
          <w:rFonts w:ascii="宋体" w:hAnsi="宋体" w:eastAsia="宋体" w:cs="宋体"/>
          <w:color w:val="auto"/>
          <w:spacing w:val="-3"/>
          <w:sz w:val="24"/>
          <w:szCs w:val="24"/>
          <w:highlight w:val="none"/>
        </w:rPr>
        <w:t>评标报告应包括以下内容：</w:t>
      </w:r>
    </w:p>
    <w:p w14:paraId="16D518DC">
      <w:pPr>
        <w:spacing w:before="182" w:line="220" w:lineRule="auto"/>
        <w:ind w:left="489"/>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1</w:t>
      </w:r>
      <w:r>
        <w:rPr>
          <w:rFonts w:ascii="宋体" w:hAnsi="宋体" w:eastAsia="宋体" w:cs="宋体"/>
          <w:color w:val="auto"/>
          <w:spacing w:val="-6"/>
          <w:sz w:val="24"/>
          <w:szCs w:val="24"/>
          <w:highlight w:val="none"/>
        </w:rPr>
        <w:t>）开标记录。</w:t>
      </w:r>
    </w:p>
    <w:p w14:paraId="3AC64D5F">
      <w:pPr>
        <w:spacing w:before="181" w:line="220"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2</w:t>
      </w:r>
      <w:r>
        <w:rPr>
          <w:rFonts w:ascii="宋体" w:hAnsi="宋体" w:eastAsia="宋体" w:cs="宋体"/>
          <w:color w:val="auto"/>
          <w:spacing w:val="-4"/>
          <w:sz w:val="24"/>
          <w:szCs w:val="24"/>
          <w:highlight w:val="none"/>
        </w:rPr>
        <w:t>）评标内容、过程和结果。</w:t>
      </w:r>
    </w:p>
    <w:p w14:paraId="630FFC6C">
      <w:pPr>
        <w:spacing w:before="183" w:line="219"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）被否决情况说明及依据。</w:t>
      </w:r>
    </w:p>
    <w:p w14:paraId="1B07C654">
      <w:pPr>
        <w:spacing w:before="181" w:line="220" w:lineRule="auto"/>
        <w:ind w:left="489"/>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4</w:t>
      </w:r>
      <w:r>
        <w:rPr>
          <w:rFonts w:ascii="宋体" w:hAnsi="宋体" w:eastAsia="宋体" w:cs="宋体"/>
          <w:color w:val="auto"/>
          <w:spacing w:val="-5"/>
          <w:sz w:val="24"/>
          <w:szCs w:val="24"/>
          <w:highlight w:val="none"/>
        </w:rPr>
        <w:t>）询标澄清纪要。</w:t>
      </w:r>
    </w:p>
    <w:p w14:paraId="7783F4B8">
      <w:pPr>
        <w:tabs>
          <w:tab w:val="center" w:pos="4461"/>
        </w:tabs>
        <w:spacing w:before="181" w:line="220" w:lineRule="auto"/>
        <w:ind w:left="489"/>
        <w:rPr>
          <w:rFonts w:hint="eastAsia" w:ascii="宋体" w:hAnsi="宋体" w:eastAsia="宋体" w:cs="宋体"/>
          <w:color w:val="auto"/>
          <w:spacing w:val="-3"/>
          <w:sz w:val="24"/>
          <w:szCs w:val="24"/>
          <w:highlight w:val="none"/>
          <w:lang w:eastAsia="zh-CN"/>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）中标候选人的优劣对比和存在问题</w:t>
      </w:r>
      <w:r>
        <w:rPr>
          <w:rFonts w:hint="eastAsia" w:ascii="宋体" w:hAnsi="宋体" w:eastAsia="宋体" w:cs="宋体"/>
          <w:color w:val="auto"/>
          <w:spacing w:val="-3"/>
          <w:sz w:val="24"/>
          <w:szCs w:val="24"/>
          <w:highlight w:val="none"/>
          <w:lang w:eastAsia="zh-CN"/>
        </w:rPr>
        <w:t>。</w:t>
      </w:r>
    </w:p>
    <w:p w14:paraId="13F676E9">
      <w:pPr>
        <w:tabs>
          <w:tab w:val="center" w:pos="4461"/>
        </w:tabs>
        <w:spacing w:before="181" w:line="220" w:lineRule="auto"/>
        <w:ind w:left="4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6</w:t>
      </w:r>
      <w:r>
        <w:rPr>
          <w:rFonts w:ascii="宋体" w:hAnsi="宋体" w:eastAsia="宋体" w:cs="宋体"/>
          <w:color w:val="auto"/>
          <w:spacing w:val="-4"/>
          <w:sz w:val="24"/>
          <w:szCs w:val="24"/>
          <w:highlight w:val="none"/>
        </w:rPr>
        <w:t>）中标候选人投标业绩。</w:t>
      </w:r>
    </w:p>
    <w:p w14:paraId="545C4022">
      <w:pPr>
        <w:spacing w:before="55" w:line="219" w:lineRule="auto"/>
        <w:ind w:firstLine="456" w:firstLineChars="200"/>
        <w:outlineLvl w:val="1"/>
        <w:rPr>
          <w:rFonts w:ascii="宋体" w:hAnsi="宋体" w:eastAsia="宋体" w:cs="宋体"/>
          <w:color w:val="auto"/>
          <w:spacing w:val="-6"/>
          <w:sz w:val="24"/>
          <w:szCs w:val="24"/>
          <w:highlight w:val="none"/>
        </w:rPr>
      </w:pPr>
      <w:bookmarkStart w:id="341" w:name="_Toc10543"/>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7</w:t>
      </w:r>
      <w:r>
        <w:rPr>
          <w:rFonts w:ascii="宋体" w:hAnsi="宋体" w:eastAsia="宋体" w:cs="宋体"/>
          <w:color w:val="auto"/>
          <w:spacing w:val="-6"/>
          <w:sz w:val="24"/>
          <w:szCs w:val="24"/>
          <w:highlight w:val="none"/>
        </w:rPr>
        <w:t>）其他建议。</w:t>
      </w:r>
      <w:bookmarkEnd w:id="341"/>
      <w:bookmarkStart w:id="342" w:name="bookmark213"/>
      <w:bookmarkEnd w:id="342"/>
      <w:bookmarkStart w:id="343" w:name="bookmark216"/>
      <w:bookmarkEnd w:id="343"/>
      <w:bookmarkStart w:id="344" w:name="bookmark214"/>
      <w:bookmarkEnd w:id="344"/>
      <w:bookmarkStart w:id="345" w:name="_Toc29406"/>
    </w:p>
    <w:p w14:paraId="3C190A00">
      <w:pPr>
        <w:spacing w:before="55" w:line="219" w:lineRule="auto"/>
        <w:ind w:left="2292"/>
        <w:outlineLvl w:val="1"/>
        <w:rPr>
          <w:rFonts w:ascii="宋体" w:hAnsi="宋体" w:eastAsia="宋体" w:cs="宋体"/>
          <w:b/>
          <w:bCs/>
          <w:color w:val="auto"/>
          <w:spacing w:val="-3"/>
          <w:sz w:val="28"/>
          <w:szCs w:val="28"/>
          <w:highlight w:val="none"/>
        </w:rPr>
      </w:pPr>
    </w:p>
    <w:p w14:paraId="016E734A">
      <w:pPr>
        <w:spacing w:before="55" w:line="219" w:lineRule="auto"/>
        <w:ind w:left="2292"/>
        <w:outlineLvl w:val="1"/>
        <w:rPr>
          <w:rFonts w:ascii="宋体" w:hAnsi="宋体" w:eastAsia="宋体" w:cs="宋体"/>
          <w:b/>
          <w:bCs/>
          <w:color w:val="auto"/>
          <w:spacing w:val="-3"/>
          <w:sz w:val="28"/>
          <w:szCs w:val="28"/>
          <w:highlight w:val="none"/>
        </w:rPr>
      </w:pPr>
    </w:p>
    <w:p w14:paraId="493EEDD6">
      <w:pPr>
        <w:spacing w:before="55" w:line="219" w:lineRule="auto"/>
        <w:ind w:left="2292"/>
        <w:outlineLvl w:val="1"/>
        <w:rPr>
          <w:rFonts w:ascii="宋体" w:hAnsi="宋体" w:eastAsia="宋体" w:cs="宋体"/>
          <w:b/>
          <w:bCs/>
          <w:color w:val="auto"/>
          <w:spacing w:val="-3"/>
          <w:sz w:val="28"/>
          <w:szCs w:val="28"/>
          <w:highlight w:val="none"/>
        </w:rPr>
      </w:pPr>
    </w:p>
    <w:p w14:paraId="7D03D5B6">
      <w:pPr>
        <w:spacing w:before="55" w:line="219" w:lineRule="auto"/>
        <w:ind w:left="2292"/>
        <w:outlineLvl w:val="1"/>
        <w:rPr>
          <w:rFonts w:ascii="宋体" w:hAnsi="宋体" w:eastAsia="宋体" w:cs="宋体"/>
          <w:b/>
          <w:bCs/>
          <w:color w:val="auto"/>
          <w:spacing w:val="-3"/>
          <w:sz w:val="28"/>
          <w:szCs w:val="28"/>
          <w:highlight w:val="none"/>
        </w:rPr>
      </w:pPr>
    </w:p>
    <w:p w14:paraId="449BD649">
      <w:pPr>
        <w:spacing w:before="55" w:line="219" w:lineRule="auto"/>
        <w:ind w:left="2292"/>
        <w:outlineLvl w:val="1"/>
        <w:rPr>
          <w:rFonts w:ascii="宋体" w:hAnsi="宋体" w:eastAsia="宋体" w:cs="宋体"/>
          <w:b/>
          <w:bCs/>
          <w:color w:val="auto"/>
          <w:spacing w:val="-3"/>
          <w:sz w:val="28"/>
          <w:szCs w:val="28"/>
          <w:highlight w:val="none"/>
        </w:rPr>
      </w:pPr>
    </w:p>
    <w:p w14:paraId="4359F69E">
      <w:pPr>
        <w:spacing w:before="55" w:line="219" w:lineRule="auto"/>
        <w:ind w:left="2292"/>
        <w:outlineLvl w:val="1"/>
        <w:rPr>
          <w:rFonts w:ascii="宋体" w:hAnsi="宋体" w:eastAsia="宋体" w:cs="宋体"/>
          <w:b/>
          <w:bCs/>
          <w:color w:val="auto"/>
          <w:spacing w:val="-3"/>
          <w:sz w:val="28"/>
          <w:szCs w:val="28"/>
          <w:highlight w:val="none"/>
        </w:rPr>
      </w:pPr>
    </w:p>
    <w:p w14:paraId="098E56F1">
      <w:pPr>
        <w:spacing w:before="55" w:line="219" w:lineRule="auto"/>
        <w:ind w:left="2292"/>
        <w:outlineLvl w:val="1"/>
        <w:rPr>
          <w:rFonts w:ascii="宋体" w:hAnsi="宋体" w:eastAsia="宋体" w:cs="宋体"/>
          <w:b/>
          <w:bCs/>
          <w:color w:val="auto"/>
          <w:spacing w:val="-3"/>
          <w:sz w:val="28"/>
          <w:szCs w:val="28"/>
          <w:highlight w:val="none"/>
        </w:rPr>
      </w:pPr>
    </w:p>
    <w:p w14:paraId="32ACD3B1">
      <w:pPr>
        <w:spacing w:before="55" w:line="219" w:lineRule="auto"/>
        <w:ind w:left="2292"/>
        <w:outlineLvl w:val="1"/>
        <w:rPr>
          <w:rFonts w:ascii="宋体" w:hAnsi="宋体" w:eastAsia="宋体" w:cs="宋体"/>
          <w:b/>
          <w:bCs/>
          <w:color w:val="auto"/>
          <w:spacing w:val="-3"/>
          <w:sz w:val="28"/>
          <w:szCs w:val="28"/>
          <w:highlight w:val="none"/>
        </w:rPr>
      </w:pPr>
    </w:p>
    <w:p w14:paraId="7E32CDDA">
      <w:pPr>
        <w:spacing w:before="55" w:line="219" w:lineRule="auto"/>
        <w:ind w:left="2292"/>
        <w:outlineLvl w:val="1"/>
        <w:rPr>
          <w:rFonts w:ascii="宋体" w:hAnsi="宋体" w:eastAsia="宋体" w:cs="宋体"/>
          <w:b/>
          <w:bCs/>
          <w:color w:val="auto"/>
          <w:spacing w:val="-3"/>
          <w:sz w:val="28"/>
          <w:szCs w:val="28"/>
          <w:highlight w:val="none"/>
        </w:rPr>
      </w:pPr>
    </w:p>
    <w:p w14:paraId="7F42E7DC">
      <w:pPr>
        <w:spacing w:before="55" w:line="219" w:lineRule="auto"/>
        <w:ind w:left="2292"/>
        <w:outlineLvl w:val="1"/>
        <w:rPr>
          <w:rFonts w:ascii="宋体" w:hAnsi="宋体" w:eastAsia="宋体" w:cs="宋体"/>
          <w:b/>
          <w:bCs/>
          <w:color w:val="auto"/>
          <w:spacing w:val="-3"/>
          <w:sz w:val="28"/>
          <w:szCs w:val="28"/>
          <w:highlight w:val="none"/>
        </w:rPr>
      </w:pPr>
    </w:p>
    <w:p w14:paraId="77A159A6">
      <w:pPr>
        <w:spacing w:before="55" w:line="219" w:lineRule="auto"/>
        <w:ind w:left="2292"/>
        <w:outlineLvl w:val="1"/>
        <w:rPr>
          <w:rFonts w:ascii="宋体" w:hAnsi="宋体" w:eastAsia="宋体" w:cs="宋体"/>
          <w:b/>
          <w:bCs/>
          <w:color w:val="auto"/>
          <w:spacing w:val="-3"/>
          <w:sz w:val="28"/>
          <w:szCs w:val="28"/>
          <w:highlight w:val="none"/>
        </w:rPr>
      </w:pPr>
    </w:p>
    <w:p w14:paraId="4C4D30BF">
      <w:pPr>
        <w:spacing w:before="55" w:line="219" w:lineRule="auto"/>
        <w:ind w:left="2292"/>
        <w:outlineLvl w:val="1"/>
        <w:rPr>
          <w:rFonts w:ascii="宋体" w:hAnsi="宋体" w:eastAsia="宋体" w:cs="宋体"/>
          <w:b/>
          <w:bCs/>
          <w:color w:val="auto"/>
          <w:spacing w:val="-3"/>
          <w:sz w:val="28"/>
          <w:szCs w:val="28"/>
          <w:highlight w:val="none"/>
        </w:rPr>
      </w:pPr>
    </w:p>
    <w:p w14:paraId="575FBA2A">
      <w:pPr>
        <w:spacing w:before="55" w:line="219" w:lineRule="auto"/>
        <w:ind w:left="2292"/>
        <w:outlineLvl w:val="1"/>
        <w:rPr>
          <w:rFonts w:ascii="宋体" w:hAnsi="宋体" w:eastAsia="宋体" w:cs="宋体"/>
          <w:b/>
          <w:bCs/>
          <w:color w:val="auto"/>
          <w:spacing w:val="-3"/>
          <w:sz w:val="28"/>
          <w:szCs w:val="28"/>
          <w:highlight w:val="none"/>
        </w:rPr>
      </w:pPr>
    </w:p>
    <w:p w14:paraId="4DC2F435">
      <w:pPr>
        <w:spacing w:before="55" w:line="219" w:lineRule="auto"/>
        <w:ind w:left="2292"/>
        <w:outlineLvl w:val="1"/>
        <w:rPr>
          <w:rFonts w:ascii="宋体" w:hAnsi="宋体" w:eastAsia="宋体" w:cs="宋体"/>
          <w:b/>
          <w:bCs/>
          <w:color w:val="auto"/>
          <w:spacing w:val="-3"/>
          <w:sz w:val="28"/>
          <w:szCs w:val="28"/>
          <w:highlight w:val="none"/>
        </w:rPr>
      </w:pPr>
    </w:p>
    <w:p w14:paraId="6AB4BB1A">
      <w:pPr>
        <w:spacing w:before="55" w:line="219" w:lineRule="auto"/>
        <w:ind w:left="2292"/>
        <w:outlineLvl w:val="1"/>
        <w:rPr>
          <w:rFonts w:ascii="宋体" w:hAnsi="宋体" w:eastAsia="宋体" w:cs="宋体"/>
          <w:b/>
          <w:bCs/>
          <w:color w:val="auto"/>
          <w:spacing w:val="-3"/>
          <w:sz w:val="28"/>
          <w:szCs w:val="28"/>
          <w:highlight w:val="none"/>
        </w:rPr>
      </w:pPr>
    </w:p>
    <w:p w14:paraId="51129CF1">
      <w:pPr>
        <w:spacing w:before="55" w:line="219" w:lineRule="auto"/>
        <w:ind w:left="2292"/>
        <w:outlineLvl w:val="1"/>
        <w:rPr>
          <w:rFonts w:ascii="宋体" w:hAnsi="宋体" w:eastAsia="宋体" w:cs="宋体"/>
          <w:b/>
          <w:bCs/>
          <w:color w:val="auto"/>
          <w:spacing w:val="-3"/>
          <w:sz w:val="28"/>
          <w:szCs w:val="28"/>
          <w:highlight w:val="none"/>
        </w:rPr>
      </w:pPr>
    </w:p>
    <w:p w14:paraId="475519D8">
      <w:pPr>
        <w:spacing w:before="55" w:line="219" w:lineRule="auto"/>
        <w:ind w:left="2292"/>
        <w:outlineLvl w:val="1"/>
        <w:rPr>
          <w:rFonts w:ascii="宋体" w:hAnsi="宋体" w:eastAsia="宋体" w:cs="宋体"/>
          <w:b/>
          <w:bCs/>
          <w:color w:val="auto"/>
          <w:spacing w:val="-3"/>
          <w:sz w:val="28"/>
          <w:szCs w:val="28"/>
          <w:highlight w:val="none"/>
        </w:rPr>
      </w:pPr>
    </w:p>
    <w:p w14:paraId="2638D5FF">
      <w:pPr>
        <w:spacing w:before="55" w:line="219" w:lineRule="auto"/>
        <w:ind w:left="2292"/>
        <w:outlineLvl w:val="1"/>
        <w:rPr>
          <w:rFonts w:ascii="宋体" w:hAnsi="宋体" w:eastAsia="宋体" w:cs="宋体"/>
          <w:b/>
          <w:bCs/>
          <w:color w:val="auto"/>
          <w:spacing w:val="-3"/>
          <w:sz w:val="28"/>
          <w:szCs w:val="28"/>
          <w:highlight w:val="none"/>
        </w:rPr>
      </w:pPr>
    </w:p>
    <w:p w14:paraId="156A71A6">
      <w:pPr>
        <w:spacing w:before="55" w:line="219" w:lineRule="auto"/>
        <w:ind w:left="2292"/>
        <w:outlineLvl w:val="1"/>
        <w:rPr>
          <w:rFonts w:ascii="宋体" w:hAnsi="宋体" w:eastAsia="宋体" w:cs="宋体"/>
          <w:b/>
          <w:bCs/>
          <w:color w:val="auto"/>
          <w:spacing w:val="-3"/>
          <w:sz w:val="28"/>
          <w:szCs w:val="28"/>
          <w:highlight w:val="none"/>
        </w:rPr>
      </w:pPr>
    </w:p>
    <w:p w14:paraId="2E0DE53A">
      <w:pPr>
        <w:spacing w:before="55" w:line="219" w:lineRule="auto"/>
        <w:ind w:left="2292"/>
        <w:outlineLvl w:val="1"/>
        <w:rPr>
          <w:rFonts w:ascii="宋体" w:hAnsi="宋体" w:eastAsia="宋体" w:cs="宋体"/>
          <w:b/>
          <w:bCs/>
          <w:color w:val="auto"/>
          <w:spacing w:val="-3"/>
          <w:sz w:val="28"/>
          <w:szCs w:val="28"/>
          <w:highlight w:val="none"/>
        </w:rPr>
      </w:pPr>
    </w:p>
    <w:p w14:paraId="3941BBF9">
      <w:pPr>
        <w:spacing w:before="55" w:line="219" w:lineRule="auto"/>
        <w:ind w:left="2292"/>
        <w:outlineLvl w:val="1"/>
        <w:rPr>
          <w:rFonts w:ascii="宋体" w:hAnsi="宋体" w:eastAsia="宋体" w:cs="宋体"/>
          <w:b/>
          <w:bCs/>
          <w:color w:val="auto"/>
          <w:spacing w:val="-3"/>
          <w:sz w:val="28"/>
          <w:szCs w:val="28"/>
          <w:highlight w:val="none"/>
        </w:rPr>
      </w:pPr>
    </w:p>
    <w:p w14:paraId="3462E549">
      <w:pPr>
        <w:spacing w:before="55" w:line="219" w:lineRule="auto"/>
        <w:ind w:left="2292"/>
        <w:outlineLvl w:val="1"/>
        <w:rPr>
          <w:rFonts w:ascii="宋体" w:hAnsi="宋体" w:eastAsia="宋体" w:cs="宋体"/>
          <w:b/>
          <w:bCs/>
          <w:color w:val="auto"/>
          <w:spacing w:val="-3"/>
          <w:sz w:val="28"/>
          <w:szCs w:val="28"/>
          <w:highlight w:val="none"/>
        </w:rPr>
      </w:pPr>
    </w:p>
    <w:p w14:paraId="4354BFEC">
      <w:pPr>
        <w:spacing w:before="55" w:line="219" w:lineRule="auto"/>
        <w:ind w:left="2292"/>
        <w:outlineLvl w:val="1"/>
        <w:rPr>
          <w:rFonts w:ascii="宋体" w:hAnsi="宋体" w:eastAsia="宋体" w:cs="宋体"/>
          <w:b/>
          <w:bCs/>
          <w:color w:val="auto"/>
          <w:spacing w:val="-3"/>
          <w:sz w:val="28"/>
          <w:szCs w:val="28"/>
          <w:highlight w:val="none"/>
        </w:rPr>
      </w:pPr>
    </w:p>
    <w:p w14:paraId="4993B47A">
      <w:pPr>
        <w:spacing w:before="55" w:line="219" w:lineRule="auto"/>
        <w:ind w:left="2292"/>
        <w:outlineLvl w:val="1"/>
        <w:rPr>
          <w:rFonts w:ascii="宋体" w:hAnsi="宋体" w:eastAsia="宋体" w:cs="宋体"/>
          <w:b/>
          <w:bCs/>
          <w:color w:val="auto"/>
          <w:spacing w:val="-3"/>
          <w:sz w:val="28"/>
          <w:szCs w:val="28"/>
          <w:highlight w:val="none"/>
        </w:rPr>
      </w:pPr>
    </w:p>
    <w:p w14:paraId="37644236">
      <w:pPr>
        <w:spacing w:before="55" w:line="219" w:lineRule="auto"/>
        <w:ind w:left="2292"/>
        <w:outlineLvl w:val="1"/>
        <w:rPr>
          <w:rFonts w:ascii="宋体" w:hAnsi="宋体" w:eastAsia="宋体" w:cs="宋体"/>
          <w:b/>
          <w:bCs/>
          <w:color w:val="auto"/>
          <w:spacing w:val="-3"/>
          <w:sz w:val="28"/>
          <w:szCs w:val="28"/>
          <w:highlight w:val="none"/>
        </w:rPr>
      </w:pPr>
    </w:p>
    <w:p w14:paraId="1F30B061">
      <w:pPr>
        <w:spacing w:before="55" w:line="219" w:lineRule="auto"/>
        <w:ind w:left="2292"/>
        <w:outlineLvl w:val="1"/>
        <w:rPr>
          <w:rFonts w:ascii="宋体" w:hAnsi="宋体" w:eastAsia="宋体" w:cs="宋体"/>
          <w:color w:val="auto"/>
          <w:sz w:val="28"/>
          <w:szCs w:val="28"/>
          <w:highlight w:val="none"/>
        </w:rPr>
      </w:pPr>
      <w:bookmarkStart w:id="346" w:name="_Toc12203"/>
      <w:r>
        <w:rPr>
          <w:rFonts w:ascii="宋体" w:hAnsi="宋体" w:eastAsia="宋体" w:cs="宋体"/>
          <w:b/>
          <w:bCs/>
          <w:color w:val="auto"/>
          <w:spacing w:val="-3"/>
          <w:sz w:val="28"/>
          <w:szCs w:val="28"/>
          <w:highlight w:val="none"/>
        </w:rPr>
        <w:t>方法二：技术打分制的综合评估法</w:t>
      </w:r>
      <w:bookmarkEnd w:id="345"/>
      <w:bookmarkEnd w:id="346"/>
    </w:p>
    <w:p w14:paraId="0172DB68">
      <w:pPr>
        <w:pStyle w:val="3"/>
        <w:spacing w:line="241" w:lineRule="auto"/>
        <w:rPr>
          <w:color w:val="auto"/>
          <w:highlight w:val="none"/>
        </w:rPr>
      </w:pPr>
    </w:p>
    <w:p w14:paraId="7D7DF79C">
      <w:pPr>
        <w:spacing w:before="91" w:line="219" w:lineRule="auto"/>
        <w:ind w:left="13"/>
        <w:outlineLvl w:val="1"/>
        <w:rPr>
          <w:rFonts w:ascii="宋体" w:hAnsi="宋体" w:eastAsia="宋体" w:cs="宋体"/>
          <w:strike w:val="0"/>
          <w:dstrike w:val="0"/>
          <w:color w:val="auto"/>
          <w:sz w:val="28"/>
          <w:szCs w:val="28"/>
          <w:highlight w:val="none"/>
        </w:rPr>
      </w:pPr>
      <w:bookmarkStart w:id="347" w:name="bookmark215"/>
      <w:bookmarkEnd w:id="347"/>
      <w:bookmarkStart w:id="348" w:name="_Toc8385"/>
      <w:bookmarkStart w:id="349" w:name="_Toc22786"/>
      <w:r>
        <w:rPr>
          <w:rFonts w:ascii="Times New Roman" w:hAnsi="Times New Roman" w:eastAsia="Times New Roman" w:cs="Times New Roman"/>
          <w:b/>
          <w:bCs/>
          <w:strike w:val="0"/>
          <w:dstrike w:val="0"/>
          <w:color w:val="auto"/>
          <w:spacing w:val="-10"/>
          <w:sz w:val="28"/>
          <w:szCs w:val="28"/>
          <w:highlight w:val="none"/>
        </w:rPr>
        <w:t>1</w:t>
      </w:r>
      <w:r>
        <w:rPr>
          <w:rFonts w:ascii="Times New Roman" w:hAnsi="Times New Roman" w:eastAsia="Times New Roman" w:cs="Times New Roman"/>
          <w:b/>
          <w:bCs/>
          <w:strike w:val="0"/>
          <w:dstrike w:val="0"/>
          <w:color w:val="auto"/>
          <w:spacing w:val="6"/>
          <w:sz w:val="28"/>
          <w:szCs w:val="28"/>
          <w:highlight w:val="none"/>
        </w:rPr>
        <w:t xml:space="preserve">  </w:t>
      </w:r>
      <w:r>
        <w:rPr>
          <w:rFonts w:ascii="宋体" w:hAnsi="宋体" w:eastAsia="宋体" w:cs="宋体"/>
          <w:b/>
          <w:bCs/>
          <w:strike w:val="0"/>
          <w:dstrike w:val="0"/>
          <w:color w:val="auto"/>
          <w:spacing w:val="-10"/>
          <w:sz w:val="28"/>
          <w:szCs w:val="28"/>
          <w:highlight w:val="none"/>
        </w:rPr>
        <w:t>依据</w:t>
      </w:r>
      <w:bookmarkEnd w:id="348"/>
      <w:bookmarkEnd w:id="349"/>
    </w:p>
    <w:p w14:paraId="0B056BE4">
      <w:pPr>
        <w:pStyle w:val="3"/>
        <w:spacing w:line="244" w:lineRule="auto"/>
        <w:rPr>
          <w:strike/>
          <w:dstrike w:val="0"/>
          <w:color w:val="auto"/>
          <w:highlight w:val="none"/>
        </w:rPr>
      </w:pPr>
    </w:p>
    <w:p w14:paraId="7A3E7473">
      <w:pPr>
        <w:spacing w:before="78" w:line="354" w:lineRule="auto"/>
        <w:ind w:left="11" w:right="80" w:firstLine="47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为规范招标的评标工作，根据《中华人民共和国招标投标法》、《中华人民共和</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国招标投标法实施条例》、《评标委员会和评标办法暂行规定》（原国家发展计划委</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3"/>
          <w:sz w:val="24"/>
          <w:szCs w:val="24"/>
          <w:highlight w:val="none"/>
        </w:rPr>
        <w:t>员会等七部委令第</w:t>
      </w:r>
      <w:r>
        <w:rPr>
          <w:rFonts w:ascii="Times New Roman" w:hAnsi="Times New Roman" w:eastAsia="Times New Roman" w:cs="Times New Roman"/>
          <w:strike/>
          <w:dstrike w:val="0"/>
          <w:color w:val="auto"/>
          <w:spacing w:val="-3"/>
          <w:sz w:val="24"/>
          <w:szCs w:val="24"/>
          <w:highlight w:val="none"/>
        </w:rPr>
        <w:t>12</w:t>
      </w:r>
      <w:r>
        <w:rPr>
          <w:rFonts w:ascii="宋体" w:hAnsi="宋体" w:eastAsia="宋体" w:cs="宋体"/>
          <w:strike/>
          <w:dstrike w:val="0"/>
          <w:color w:val="auto"/>
          <w:spacing w:val="-3"/>
          <w:sz w:val="24"/>
          <w:szCs w:val="24"/>
          <w:highlight w:val="none"/>
        </w:rPr>
        <w:t>号）、《工程建设项目施工招标投标办法》（原国家发展计划委</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9"/>
          <w:sz w:val="24"/>
          <w:szCs w:val="24"/>
          <w:highlight w:val="none"/>
        </w:rPr>
        <w:t>员会等七部委令第</w:t>
      </w:r>
      <w:r>
        <w:rPr>
          <w:rFonts w:ascii="Times New Roman" w:hAnsi="Times New Roman" w:eastAsia="Times New Roman" w:cs="Times New Roman"/>
          <w:strike/>
          <w:dstrike w:val="0"/>
          <w:color w:val="auto"/>
          <w:spacing w:val="-9"/>
          <w:sz w:val="24"/>
          <w:szCs w:val="24"/>
          <w:highlight w:val="none"/>
        </w:rPr>
        <w:t>30</w:t>
      </w:r>
      <w:r>
        <w:rPr>
          <w:rFonts w:ascii="宋体" w:hAnsi="宋体" w:eastAsia="宋体" w:cs="宋体"/>
          <w:strike/>
          <w:dstrike w:val="0"/>
          <w:color w:val="auto"/>
          <w:spacing w:val="-9"/>
          <w:sz w:val="24"/>
          <w:szCs w:val="24"/>
          <w:highlight w:val="none"/>
        </w:rPr>
        <w:t>号）、《关于废止和修改部分招标投标规章和规范性文件的决定》</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2"/>
          <w:sz w:val="24"/>
          <w:szCs w:val="24"/>
          <w:highlight w:val="none"/>
        </w:rPr>
        <w:t>（九部委第</w:t>
      </w:r>
      <w:r>
        <w:rPr>
          <w:rFonts w:ascii="Times New Roman" w:hAnsi="Times New Roman" w:eastAsia="Times New Roman" w:cs="Times New Roman"/>
          <w:strike/>
          <w:dstrike w:val="0"/>
          <w:color w:val="auto"/>
          <w:spacing w:val="-2"/>
          <w:sz w:val="24"/>
          <w:szCs w:val="24"/>
          <w:highlight w:val="none"/>
        </w:rPr>
        <w:t>23</w:t>
      </w:r>
      <w:r>
        <w:rPr>
          <w:rFonts w:ascii="宋体" w:hAnsi="宋体" w:eastAsia="宋体" w:cs="宋体"/>
          <w:strike/>
          <w:dstrike w:val="0"/>
          <w:color w:val="auto"/>
          <w:spacing w:val="-2"/>
          <w:sz w:val="24"/>
          <w:szCs w:val="24"/>
          <w:highlight w:val="none"/>
        </w:rPr>
        <w:t>号令）等有关的法律、法规和规章制度规定，制定本办法。</w:t>
      </w:r>
    </w:p>
    <w:p w14:paraId="107AEC7A">
      <w:pPr>
        <w:spacing w:before="162" w:line="221" w:lineRule="auto"/>
        <w:ind w:left="2"/>
        <w:outlineLvl w:val="1"/>
        <w:rPr>
          <w:rFonts w:ascii="宋体" w:hAnsi="宋体" w:eastAsia="宋体" w:cs="宋体"/>
          <w:strike w:val="0"/>
          <w:dstrike w:val="0"/>
          <w:color w:val="auto"/>
          <w:sz w:val="28"/>
          <w:szCs w:val="28"/>
          <w:highlight w:val="none"/>
        </w:rPr>
      </w:pPr>
      <w:bookmarkStart w:id="350" w:name="bookmark217"/>
      <w:bookmarkEnd w:id="350"/>
      <w:bookmarkStart w:id="351" w:name="bookmark218"/>
      <w:bookmarkEnd w:id="351"/>
      <w:bookmarkStart w:id="352" w:name="_Toc26186"/>
      <w:bookmarkStart w:id="353" w:name="_Toc5061"/>
      <w:r>
        <w:rPr>
          <w:rFonts w:ascii="Times New Roman" w:hAnsi="Times New Roman" w:eastAsia="Times New Roman" w:cs="Times New Roman"/>
          <w:b/>
          <w:bCs/>
          <w:strike w:val="0"/>
          <w:dstrike w:val="0"/>
          <w:color w:val="auto"/>
          <w:spacing w:val="-2"/>
          <w:sz w:val="28"/>
          <w:szCs w:val="28"/>
          <w:highlight w:val="none"/>
        </w:rPr>
        <w:t xml:space="preserve">2  </w:t>
      </w:r>
      <w:r>
        <w:rPr>
          <w:rFonts w:ascii="宋体" w:hAnsi="宋体" w:eastAsia="宋体" w:cs="宋体"/>
          <w:b/>
          <w:bCs/>
          <w:strike w:val="0"/>
          <w:dstrike w:val="0"/>
          <w:color w:val="auto"/>
          <w:spacing w:val="-2"/>
          <w:sz w:val="28"/>
          <w:szCs w:val="28"/>
          <w:highlight w:val="none"/>
        </w:rPr>
        <w:t>评标原则</w:t>
      </w:r>
      <w:bookmarkEnd w:id="352"/>
      <w:bookmarkEnd w:id="353"/>
    </w:p>
    <w:p w14:paraId="5DA4A70B">
      <w:pPr>
        <w:pStyle w:val="3"/>
        <w:spacing w:line="244" w:lineRule="auto"/>
        <w:rPr>
          <w:strike/>
          <w:dstrike w:val="0"/>
          <w:color w:val="auto"/>
          <w:highlight w:val="none"/>
        </w:rPr>
      </w:pPr>
    </w:p>
    <w:p w14:paraId="03046460">
      <w:pPr>
        <w:spacing w:before="78" w:line="219" w:lineRule="auto"/>
        <w:ind w:left="4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评标应遵循公平、公正、科学、择优的原则。</w:t>
      </w:r>
    </w:p>
    <w:p w14:paraId="50789CEF">
      <w:pPr>
        <w:spacing w:before="306" w:line="221" w:lineRule="auto"/>
        <w:outlineLvl w:val="1"/>
        <w:rPr>
          <w:rFonts w:ascii="宋体" w:hAnsi="宋体" w:eastAsia="宋体" w:cs="宋体"/>
          <w:strike w:val="0"/>
          <w:dstrike w:val="0"/>
          <w:color w:val="auto"/>
          <w:sz w:val="28"/>
          <w:szCs w:val="28"/>
          <w:highlight w:val="none"/>
        </w:rPr>
      </w:pPr>
      <w:bookmarkStart w:id="354" w:name="bookmark219"/>
      <w:bookmarkEnd w:id="354"/>
      <w:bookmarkStart w:id="355" w:name="bookmark220"/>
      <w:bookmarkEnd w:id="355"/>
      <w:bookmarkStart w:id="356" w:name="_Toc25245"/>
      <w:bookmarkStart w:id="357" w:name="_Toc9087"/>
      <w:r>
        <w:rPr>
          <w:rFonts w:ascii="Times New Roman" w:hAnsi="Times New Roman" w:eastAsia="Times New Roman" w:cs="Times New Roman"/>
          <w:b/>
          <w:bCs/>
          <w:strike w:val="0"/>
          <w:dstrike w:val="0"/>
          <w:color w:val="auto"/>
          <w:spacing w:val="-2"/>
          <w:sz w:val="28"/>
          <w:szCs w:val="28"/>
          <w:highlight w:val="none"/>
        </w:rPr>
        <w:t xml:space="preserve">3  </w:t>
      </w:r>
      <w:r>
        <w:rPr>
          <w:rFonts w:ascii="宋体" w:hAnsi="宋体" w:eastAsia="宋体" w:cs="宋体"/>
          <w:b/>
          <w:bCs/>
          <w:strike w:val="0"/>
          <w:dstrike w:val="0"/>
          <w:color w:val="auto"/>
          <w:spacing w:val="-2"/>
          <w:sz w:val="28"/>
          <w:szCs w:val="28"/>
          <w:highlight w:val="none"/>
        </w:rPr>
        <w:t>评标组织</w:t>
      </w:r>
      <w:bookmarkEnd w:id="356"/>
      <w:bookmarkEnd w:id="357"/>
    </w:p>
    <w:p w14:paraId="0220C1CA">
      <w:pPr>
        <w:pStyle w:val="3"/>
        <w:spacing w:line="245" w:lineRule="auto"/>
        <w:rPr>
          <w:strike/>
          <w:dstrike w:val="0"/>
          <w:color w:val="auto"/>
          <w:highlight w:val="none"/>
        </w:rPr>
      </w:pPr>
    </w:p>
    <w:p w14:paraId="2A6D732F">
      <w:pPr>
        <w:spacing w:before="78" w:line="346" w:lineRule="auto"/>
        <w:ind w:left="6" w:right="80"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评标工作由招标人依法组建的评标委员会负责，评标委员会的组建办法详见投标</w:t>
      </w:r>
      <w:r>
        <w:rPr>
          <w:rFonts w:ascii="宋体" w:hAnsi="宋体" w:eastAsia="宋体" w:cs="宋体"/>
          <w:strike/>
          <w:dstrike w:val="0"/>
          <w:color w:val="auto"/>
          <w:spacing w:val="4"/>
          <w:sz w:val="24"/>
          <w:szCs w:val="24"/>
          <w:highlight w:val="none"/>
        </w:rPr>
        <w:t xml:space="preserve"> </w:t>
      </w:r>
      <w:r>
        <w:rPr>
          <w:rFonts w:ascii="宋体" w:hAnsi="宋体" w:eastAsia="宋体" w:cs="宋体"/>
          <w:strike/>
          <w:dstrike w:val="0"/>
          <w:color w:val="auto"/>
          <w:spacing w:val="-6"/>
          <w:sz w:val="24"/>
          <w:szCs w:val="24"/>
          <w:highlight w:val="none"/>
        </w:rPr>
        <w:t>人须知前附表。</w:t>
      </w:r>
    </w:p>
    <w:p w14:paraId="1A9ABB9E">
      <w:pPr>
        <w:spacing w:before="39" w:line="220" w:lineRule="auto"/>
        <w:ind w:left="2"/>
        <w:outlineLvl w:val="1"/>
        <w:rPr>
          <w:rFonts w:ascii="宋体" w:hAnsi="宋体" w:eastAsia="宋体" w:cs="宋体"/>
          <w:strike w:val="0"/>
          <w:dstrike w:val="0"/>
          <w:color w:val="auto"/>
          <w:sz w:val="28"/>
          <w:szCs w:val="28"/>
          <w:highlight w:val="none"/>
        </w:rPr>
      </w:pPr>
      <w:bookmarkStart w:id="358" w:name="bookmark221"/>
      <w:bookmarkEnd w:id="358"/>
      <w:bookmarkStart w:id="359" w:name="bookmark222"/>
      <w:bookmarkEnd w:id="359"/>
      <w:bookmarkStart w:id="360" w:name="bookmark224"/>
      <w:bookmarkEnd w:id="360"/>
      <w:bookmarkStart w:id="361" w:name="_Toc25755"/>
      <w:bookmarkStart w:id="362" w:name="_Toc31205"/>
      <w:r>
        <w:rPr>
          <w:rFonts w:ascii="Times New Roman" w:hAnsi="Times New Roman" w:eastAsia="Times New Roman" w:cs="Times New Roman"/>
          <w:b/>
          <w:bCs/>
          <w:strike w:val="0"/>
          <w:dstrike w:val="0"/>
          <w:color w:val="auto"/>
          <w:spacing w:val="-2"/>
          <w:sz w:val="28"/>
          <w:szCs w:val="28"/>
          <w:highlight w:val="none"/>
        </w:rPr>
        <w:t xml:space="preserve">4  </w:t>
      </w:r>
      <w:r>
        <w:rPr>
          <w:rFonts w:ascii="宋体" w:hAnsi="宋体" w:eastAsia="宋体" w:cs="宋体"/>
          <w:b/>
          <w:bCs/>
          <w:strike w:val="0"/>
          <w:dstrike w:val="0"/>
          <w:color w:val="auto"/>
          <w:spacing w:val="-2"/>
          <w:sz w:val="28"/>
          <w:szCs w:val="28"/>
          <w:highlight w:val="none"/>
        </w:rPr>
        <w:t>评标程序和内容</w:t>
      </w:r>
      <w:bookmarkEnd w:id="361"/>
      <w:bookmarkEnd w:id="362"/>
    </w:p>
    <w:p w14:paraId="23122429">
      <w:pPr>
        <w:spacing w:before="206" w:line="220" w:lineRule="auto"/>
        <w:ind w:left="1"/>
        <w:outlineLvl w:val="2"/>
        <w:rPr>
          <w:rFonts w:ascii="宋体" w:hAnsi="宋体" w:eastAsia="宋体" w:cs="宋体"/>
          <w:strike w:val="0"/>
          <w:dstrike w:val="0"/>
          <w:color w:val="auto"/>
          <w:sz w:val="24"/>
          <w:szCs w:val="24"/>
          <w:highlight w:val="none"/>
        </w:rPr>
      </w:pPr>
      <w:bookmarkStart w:id="363" w:name="bookmark223"/>
      <w:bookmarkEnd w:id="363"/>
      <w:bookmarkStart w:id="364" w:name="_Toc21773"/>
      <w:bookmarkStart w:id="365" w:name="_Toc8321"/>
      <w:r>
        <w:rPr>
          <w:rFonts w:ascii="Times New Roman" w:hAnsi="Times New Roman" w:eastAsia="Times New Roman" w:cs="Times New Roman"/>
          <w:b/>
          <w:bCs/>
          <w:strike w:val="0"/>
          <w:dstrike w:val="0"/>
          <w:color w:val="auto"/>
          <w:spacing w:val="-2"/>
          <w:sz w:val="24"/>
          <w:szCs w:val="24"/>
          <w:highlight w:val="none"/>
        </w:rPr>
        <w:t xml:space="preserve">4.1  </w:t>
      </w:r>
      <w:r>
        <w:rPr>
          <w:rFonts w:ascii="宋体" w:hAnsi="宋体" w:eastAsia="宋体" w:cs="宋体"/>
          <w:b/>
          <w:bCs/>
          <w:strike w:val="0"/>
          <w:dstrike w:val="0"/>
          <w:color w:val="auto"/>
          <w:spacing w:val="-2"/>
          <w:sz w:val="24"/>
          <w:szCs w:val="24"/>
          <w:highlight w:val="none"/>
        </w:rPr>
        <w:t>评标的一般程序</w:t>
      </w:r>
      <w:bookmarkEnd w:id="364"/>
      <w:bookmarkEnd w:id="365"/>
    </w:p>
    <w:p w14:paraId="65EEF26F">
      <w:pPr>
        <w:spacing w:before="181"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）熟悉招标文件和评标办法。</w:t>
      </w:r>
    </w:p>
    <w:p w14:paraId="47D086BB">
      <w:pPr>
        <w:spacing w:before="180" w:line="220" w:lineRule="auto"/>
        <w:ind w:left="56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）投标文件的技术符合性审查。</w:t>
      </w:r>
    </w:p>
    <w:p w14:paraId="69FB8F24">
      <w:pPr>
        <w:spacing w:before="182"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）投标文件的技术评审。</w:t>
      </w:r>
    </w:p>
    <w:p w14:paraId="1F1F2E12">
      <w:pPr>
        <w:spacing w:before="179"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4</w:t>
      </w:r>
      <w:r>
        <w:rPr>
          <w:rFonts w:ascii="宋体" w:hAnsi="宋体" w:eastAsia="宋体" w:cs="宋体"/>
          <w:strike/>
          <w:dstrike w:val="0"/>
          <w:color w:val="auto"/>
          <w:spacing w:val="-4"/>
          <w:sz w:val="24"/>
          <w:szCs w:val="24"/>
          <w:highlight w:val="none"/>
        </w:rPr>
        <w:t>）投标文件的资信评审。</w:t>
      </w:r>
    </w:p>
    <w:p w14:paraId="705B069F">
      <w:pPr>
        <w:spacing w:before="182"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）投标文件的商务符合性审查。</w:t>
      </w:r>
    </w:p>
    <w:p w14:paraId="32EECA26">
      <w:pPr>
        <w:spacing w:before="180" w:line="220"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）投标文件的商务评审。</w:t>
      </w:r>
    </w:p>
    <w:p w14:paraId="0EF7DB44">
      <w:pPr>
        <w:spacing w:before="183" w:line="289" w:lineRule="auto"/>
        <w:ind w:left="7" w:right="78" w:firstLine="51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7</w:t>
      </w:r>
      <w:r>
        <w:rPr>
          <w:rFonts w:ascii="宋体" w:hAnsi="宋体" w:eastAsia="宋体" w:cs="宋体"/>
          <w:strike/>
          <w:dstrike w:val="0"/>
          <w:color w:val="auto"/>
          <w:spacing w:val="-1"/>
          <w:sz w:val="24"/>
          <w:szCs w:val="24"/>
          <w:highlight w:val="none"/>
        </w:rPr>
        <w:t>）必要时对投标文件中的问题进行询标，拟作出否决投标决定前，应对相关</w:t>
      </w:r>
      <w:r>
        <w:rPr>
          <w:rFonts w:ascii="宋体" w:hAnsi="宋体" w:eastAsia="宋体" w:cs="宋体"/>
          <w:strike/>
          <w:dstrike w:val="0"/>
          <w:color w:val="auto"/>
          <w:spacing w:val="13"/>
          <w:sz w:val="24"/>
          <w:szCs w:val="24"/>
          <w:highlight w:val="none"/>
        </w:rPr>
        <w:t xml:space="preserve"> </w:t>
      </w:r>
      <w:r>
        <w:rPr>
          <w:rFonts w:ascii="宋体" w:hAnsi="宋体" w:eastAsia="宋体" w:cs="宋体"/>
          <w:strike/>
          <w:dstrike w:val="0"/>
          <w:color w:val="auto"/>
          <w:spacing w:val="-2"/>
          <w:sz w:val="24"/>
          <w:szCs w:val="24"/>
          <w:highlight w:val="none"/>
        </w:rPr>
        <w:t>投标人进行询问核实。</w:t>
      </w:r>
    </w:p>
    <w:p w14:paraId="5AE41B7A">
      <w:pPr>
        <w:spacing w:before="181" w:line="219"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8</w:t>
      </w:r>
      <w:r>
        <w:rPr>
          <w:rFonts w:ascii="宋体" w:hAnsi="宋体" w:eastAsia="宋体" w:cs="宋体"/>
          <w:strike/>
          <w:dstrike w:val="0"/>
          <w:color w:val="auto"/>
          <w:spacing w:val="-5"/>
          <w:sz w:val="24"/>
          <w:szCs w:val="24"/>
          <w:highlight w:val="none"/>
        </w:rPr>
        <w:t>）推荐中标候选人。</w:t>
      </w:r>
    </w:p>
    <w:p w14:paraId="39D693F0">
      <w:pPr>
        <w:spacing w:before="182" w:line="218" w:lineRule="auto"/>
        <w:ind w:left="52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9</w:t>
      </w:r>
      <w:r>
        <w:rPr>
          <w:rFonts w:ascii="宋体" w:hAnsi="宋体" w:eastAsia="宋体" w:cs="宋体"/>
          <w:strike/>
          <w:dstrike w:val="0"/>
          <w:color w:val="auto"/>
          <w:spacing w:val="-5"/>
          <w:sz w:val="24"/>
          <w:szCs w:val="24"/>
          <w:highlight w:val="none"/>
        </w:rPr>
        <w:t>）完成评标报告。</w:t>
      </w:r>
    </w:p>
    <w:p w14:paraId="3FDA3991">
      <w:pPr>
        <w:spacing w:before="184" w:line="220" w:lineRule="auto"/>
        <w:ind w:left="1"/>
        <w:outlineLvl w:val="2"/>
        <w:rPr>
          <w:rFonts w:ascii="宋体" w:hAnsi="宋体" w:eastAsia="宋体" w:cs="宋体"/>
          <w:strike w:val="0"/>
          <w:dstrike w:val="0"/>
          <w:color w:val="auto"/>
          <w:sz w:val="24"/>
          <w:szCs w:val="24"/>
          <w:highlight w:val="none"/>
        </w:rPr>
      </w:pPr>
      <w:bookmarkStart w:id="366" w:name="bookmark226"/>
      <w:bookmarkEnd w:id="366"/>
      <w:bookmarkStart w:id="367" w:name="bookmark225"/>
      <w:bookmarkEnd w:id="367"/>
      <w:bookmarkStart w:id="368" w:name="_Toc16090"/>
      <w:bookmarkStart w:id="369" w:name="_Toc20280"/>
      <w:r>
        <w:rPr>
          <w:rFonts w:ascii="Times New Roman" w:hAnsi="Times New Roman" w:eastAsia="Times New Roman" w:cs="Times New Roman"/>
          <w:b/>
          <w:bCs/>
          <w:strike w:val="0"/>
          <w:dstrike w:val="0"/>
          <w:color w:val="auto"/>
          <w:spacing w:val="-2"/>
          <w:sz w:val="24"/>
          <w:szCs w:val="24"/>
          <w:highlight w:val="none"/>
        </w:rPr>
        <w:t xml:space="preserve">4.2  </w:t>
      </w:r>
      <w:r>
        <w:rPr>
          <w:rFonts w:ascii="宋体" w:hAnsi="宋体" w:eastAsia="宋体" w:cs="宋体"/>
          <w:b/>
          <w:bCs/>
          <w:strike w:val="0"/>
          <w:dstrike w:val="0"/>
          <w:color w:val="auto"/>
          <w:spacing w:val="-2"/>
          <w:sz w:val="24"/>
          <w:szCs w:val="24"/>
          <w:highlight w:val="none"/>
        </w:rPr>
        <w:t>投标文件的技术符合性审查</w:t>
      </w:r>
      <w:bookmarkEnd w:id="368"/>
      <w:bookmarkEnd w:id="369"/>
    </w:p>
    <w:p w14:paraId="32ED3819">
      <w:pPr>
        <w:spacing w:before="179" w:line="347" w:lineRule="auto"/>
        <w:ind w:left="5" w:firstLine="54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4.2.1  </w:t>
      </w:r>
      <w:r>
        <w:rPr>
          <w:rFonts w:ascii="宋体" w:hAnsi="宋体" w:eastAsia="宋体" w:cs="宋体"/>
          <w:strike/>
          <w:dstrike w:val="0"/>
          <w:color w:val="auto"/>
          <w:spacing w:val="-1"/>
          <w:sz w:val="24"/>
          <w:szCs w:val="24"/>
          <w:highlight w:val="none"/>
        </w:rPr>
        <w:t>评标委员会应依照招标文件的要求和规定，首</w:t>
      </w:r>
      <w:r>
        <w:rPr>
          <w:rFonts w:ascii="宋体" w:hAnsi="宋体" w:eastAsia="宋体" w:cs="宋体"/>
          <w:strike/>
          <w:dstrike w:val="0"/>
          <w:color w:val="auto"/>
          <w:spacing w:val="-2"/>
          <w:sz w:val="24"/>
          <w:szCs w:val="24"/>
          <w:highlight w:val="none"/>
        </w:rPr>
        <w:t>先对投标人的投标资格和投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标文件进行技术符合性审查。技术符合性审查未通过的投标文件不再进入后续评审。</w:t>
      </w:r>
    </w:p>
    <w:p w14:paraId="77D6EA93">
      <w:pPr>
        <w:spacing w:line="347"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0AB71FFE">
      <w:pPr>
        <w:spacing w:before="49" w:line="289" w:lineRule="auto"/>
        <w:ind w:left="20" w:right="61" w:firstLine="52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4.2.2  </w:t>
      </w:r>
      <w:r>
        <w:rPr>
          <w:rFonts w:ascii="宋体" w:hAnsi="宋体" w:eastAsia="宋体" w:cs="宋体"/>
          <w:strike/>
          <w:dstrike w:val="0"/>
          <w:color w:val="auto"/>
          <w:spacing w:val="-1"/>
          <w:sz w:val="24"/>
          <w:szCs w:val="24"/>
          <w:highlight w:val="none"/>
        </w:rPr>
        <w:t>投标人不得通过补充、修改或撤销投标文件中</w:t>
      </w:r>
      <w:r>
        <w:rPr>
          <w:rFonts w:ascii="宋体" w:hAnsi="宋体" w:eastAsia="宋体" w:cs="宋体"/>
          <w:strike/>
          <w:dstrike w:val="0"/>
          <w:color w:val="auto"/>
          <w:spacing w:val="-2"/>
          <w:sz w:val="24"/>
          <w:szCs w:val="24"/>
          <w:highlight w:val="none"/>
        </w:rPr>
        <w:t>的内容使其成为实质性响应</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72E04FFD">
      <w:pPr>
        <w:spacing w:before="180" w:line="313" w:lineRule="auto"/>
        <w:ind w:left="2" w:firstLine="546"/>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4.2.3  </w:t>
      </w:r>
      <w:r>
        <w:rPr>
          <w:rFonts w:ascii="宋体" w:hAnsi="宋体" w:eastAsia="宋体" w:cs="宋体"/>
          <w:strike/>
          <w:dstrike w:val="0"/>
          <w:color w:val="auto"/>
          <w:spacing w:val="-1"/>
          <w:sz w:val="24"/>
          <w:szCs w:val="24"/>
          <w:highlight w:val="none"/>
        </w:rPr>
        <w:t>投标文件如存在以下情况之一的，由评标委员</w:t>
      </w:r>
      <w:r>
        <w:rPr>
          <w:rFonts w:ascii="宋体" w:hAnsi="宋体" w:eastAsia="宋体" w:cs="宋体"/>
          <w:strike/>
          <w:dstrike w:val="0"/>
          <w:color w:val="auto"/>
          <w:spacing w:val="-2"/>
          <w:sz w:val="24"/>
          <w:szCs w:val="24"/>
          <w:highlight w:val="none"/>
        </w:rPr>
        <w:t>会全体成员按照少数服从多</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数的原则记名投票（不得弃权）认定，作为技术符合性审查未通过予以否</w:t>
      </w:r>
      <w:r>
        <w:rPr>
          <w:rFonts w:ascii="宋体" w:hAnsi="宋体" w:eastAsia="宋体" w:cs="宋体"/>
          <w:strike/>
          <w:dstrike w:val="0"/>
          <w:color w:val="auto"/>
          <w:spacing w:val="-2"/>
          <w:sz w:val="24"/>
          <w:szCs w:val="24"/>
          <w:highlight w:val="none"/>
        </w:rPr>
        <w:t>决其投标，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6"/>
          <w:sz w:val="24"/>
          <w:szCs w:val="24"/>
          <w:highlight w:val="none"/>
        </w:rPr>
        <w:t>不再进行后续的评审：</w:t>
      </w:r>
    </w:p>
    <w:p w14:paraId="4452615B">
      <w:pPr>
        <w:spacing w:before="182" w:line="288" w:lineRule="auto"/>
        <w:ind w:right="73"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5149F3CE">
      <w:pPr>
        <w:spacing w:before="184" w:line="288" w:lineRule="auto"/>
        <w:ind w:left="20" w:right="79" w:firstLine="5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w:t>
      </w:r>
      <w:r>
        <w:rPr>
          <w:rFonts w:ascii="宋体" w:hAnsi="宋体" w:eastAsia="宋体" w:cs="宋体"/>
          <w:strike/>
          <w:dstrike w:val="0"/>
          <w:color w:val="auto"/>
          <w:spacing w:val="-3"/>
          <w:sz w:val="24"/>
          <w:szCs w:val="24"/>
          <w:highlight w:val="none"/>
        </w:rPr>
        <w:t>效授权委托书</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的或投标人法定代表人亲自签署投标文件，未提供法定代表人身份证明的。</w:t>
      </w:r>
    </w:p>
    <w:p w14:paraId="4CD03525">
      <w:pPr>
        <w:spacing w:before="183" w:line="219" w:lineRule="auto"/>
        <w:ind w:left="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11FE32A9">
      <w:pPr>
        <w:spacing w:before="182" w:line="289" w:lineRule="auto"/>
        <w:ind w:left="19" w:right="76"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5833D569">
      <w:pPr>
        <w:spacing w:before="181" w:line="220" w:lineRule="auto"/>
        <w:ind w:left="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）项目负责人、技术负责人或副项目负责人（若有）不明确的。</w:t>
      </w:r>
    </w:p>
    <w:p w14:paraId="58E58496">
      <w:pPr>
        <w:spacing w:before="184" w:line="288" w:lineRule="auto"/>
        <w:ind w:left="1" w:right="74"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6B24A89C">
      <w:pPr>
        <w:spacing w:before="182" w:line="290" w:lineRule="auto"/>
        <w:ind w:left="2" w:right="73"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）同一投标人提交两个及以上不同的投标文件且未声明哪一个有效的（招标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文件要求提交备选投标的除外）。</w:t>
      </w:r>
    </w:p>
    <w:p w14:paraId="66ED04F6">
      <w:pPr>
        <w:spacing w:before="181" w:line="290" w:lineRule="auto"/>
        <w:ind w:left="1" w:right="6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12"/>
          <w:sz w:val="24"/>
          <w:szCs w:val="24"/>
          <w:highlight w:val="none"/>
        </w:rPr>
        <w:t xml:space="preserve"> </w:t>
      </w:r>
      <w:r>
        <w:rPr>
          <w:rFonts w:ascii="宋体" w:hAnsi="宋体" w:eastAsia="宋体" w:cs="宋体"/>
          <w:strike/>
          <w:dstrike w:val="0"/>
          <w:color w:val="auto"/>
          <w:spacing w:val="-4"/>
          <w:sz w:val="24"/>
          <w:szCs w:val="24"/>
          <w:highlight w:val="none"/>
        </w:rPr>
        <w:t>保证金有缺陷而不能接受的。</w:t>
      </w:r>
    </w:p>
    <w:p w14:paraId="2FE66FBB">
      <w:pPr>
        <w:spacing w:before="180" w:line="290" w:lineRule="auto"/>
        <w:ind w:left="4" w:right="61" w:firstLine="55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9</w:t>
      </w:r>
      <w:r>
        <w:rPr>
          <w:rFonts w:ascii="宋体" w:hAnsi="宋体" w:eastAsia="宋体" w:cs="宋体"/>
          <w:strike/>
          <w:dstrike w:val="0"/>
          <w:color w:val="auto"/>
          <w:spacing w:val="-7"/>
          <w:sz w:val="24"/>
          <w:szCs w:val="24"/>
          <w:highlight w:val="none"/>
        </w:rPr>
        <w:t>）投标工期和质量不满足招标文件要求的（以投标人须知前附表第</w:t>
      </w:r>
      <w:r>
        <w:rPr>
          <w:rFonts w:ascii="Times New Roman" w:hAnsi="Times New Roman" w:eastAsia="Times New Roman" w:cs="Times New Roman"/>
          <w:strike/>
          <w:dstrike w:val="0"/>
          <w:color w:val="auto"/>
          <w:spacing w:val="-7"/>
          <w:sz w:val="24"/>
          <w:szCs w:val="24"/>
          <w:highlight w:val="none"/>
        </w:rPr>
        <w:t>1.3.2</w:t>
      </w: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8"/>
          <w:sz w:val="24"/>
          <w:szCs w:val="24"/>
          <w:highlight w:val="none"/>
        </w:rPr>
        <w:t>.3.3</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项为准）。</w:t>
      </w:r>
    </w:p>
    <w:p w14:paraId="396F38B7">
      <w:pPr>
        <w:spacing w:before="178" w:line="290" w:lineRule="auto"/>
        <w:ind w:left="2" w:right="61"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10</w:t>
      </w:r>
      <w:r>
        <w:rPr>
          <w:rFonts w:ascii="宋体" w:hAnsi="宋体" w:eastAsia="宋体" w:cs="宋体"/>
          <w:strike/>
          <w:dstrike w:val="0"/>
          <w:color w:val="auto"/>
          <w:spacing w:val="2"/>
          <w:sz w:val="24"/>
          <w:szCs w:val="24"/>
          <w:highlight w:val="none"/>
        </w:rPr>
        <w:t>）采用的验收标准或主要技术指标达不到国家强制性标</w:t>
      </w:r>
      <w:r>
        <w:rPr>
          <w:rFonts w:ascii="宋体" w:hAnsi="宋体" w:eastAsia="宋体" w:cs="宋体"/>
          <w:strike/>
          <w:dstrike w:val="0"/>
          <w:color w:val="auto"/>
          <w:spacing w:val="1"/>
          <w:sz w:val="24"/>
          <w:szCs w:val="24"/>
          <w:highlight w:val="none"/>
        </w:rPr>
        <w:t>准或招标文件以下</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0"/>
          <w:sz w:val="24"/>
          <w:szCs w:val="24"/>
          <w:highlight w:val="none"/>
        </w:rPr>
        <w:t>条款规定的：</w:t>
      </w:r>
    </w:p>
    <w:p w14:paraId="495503E0">
      <w:pPr>
        <w:spacing w:before="180" w:line="213" w:lineRule="auto"/>
        <w:ind w:left="554"/>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8"/>
          <w:sz w:val="25"/>
          <w:szCs w:val="25"/>
          <w:highlight w:val="none"/>
        </w:rPr>
        <w:t>……（由招标人自行扩充，如无，请填“无”）</w:t>
      </w:r>
    </w:p>
    <w:p w14:paraId="3FE20A93">
      <w:pPr>
        <w:spacing w:before="179" w:line="290" w:lineRule="auto"/>
        <w:ind w:left="1" w:right="6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11</w:t>
      </w:r>
      <w:r>
        <w:rPr>
          <w:rFonts w:ascii="宋体" w:hAnsi="宋体" w:eastAsia="宋体" w:cs="宋体"/>
          <w:strike/>
          <w:dstrike w:val="0"/>
          <w:color w:val="auto"/>
          <w:spacing w:val="2"/>
          <w:sz w:val="24"/>
          <w:szCs w:val="24"/>
          <w:highlight w:val="none"/>
        </w:rPr>
        <w:t>）采用的施工工艺、方法或质量安全管理措施不能满足</w:t>
      </w:r>
      <w:r>
        <w:rPr>
          <w:rFonts w:ascii="宋体" w:hAnsi="宋体" w:eastAsia="宋体" w:cs="宋体"/>
          <w:strike/>
          <w:dstrike w:val="0"/>
          <w:color w:val="auto"/>
          <w:spacing w:val="1"/>
          <w:sz w:val="24"/>
          <w:szCs w:val="24"/>
          <w:highlight w:val="none"/>
        </w:rPr>
        <w:t>国家强制性标准或</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要求的。</w:t>
      </w:r>
    </w:p>
    <w:p w14:paraId="69A8FA96">
      <w:pPr>
        <w:spacing w:before="180" w:line="289" w:lineRule="auto"/>
        <w:ind w:left="2" w:right="64"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12</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w:t>
      </w:r>
      <w:r>
        <w:rPr>
          <w:rFonts w:ascii="宋体" w:hAnsi="宋体" w:eastAsia="宋体" w:cs="宋体"/>
          <w:strike/>
          <w:dstrike w:val="0"/>
          <w:color w:val="auto"/>
          <w:spacing w:val="-5"/>
          <w:sz w:val="24"/>
          <w:szCs w:val="24"/>
          <w:highlight w:val="none"/>
        </w:rPr>
        <w:t>或投标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人须知“</w:t>
      </w:r>
      <w:r>
        <w:rPr>
          <w:rFonts w:ascii="Times New Roman" w:hAnsi="Times New Roman" w:eastAsia="Times New Roman" w:cs="Times New Roman"/>
          <w:strike/>
          <w:dstrike w:val="0"/>
          <w:color w:val="auto"/>
          <w:spacing w:val="-2"/>
          <w:sz w:val="24"/>
          <w:szCs w:val="24"/>
          <w:highlight w:val="none"/>
        </w:rPr>
        <w:t xml:space="preserve">9.2  </w:t>
      </w:r>
      <w:r>
        <w:rPr>
          <w:rFonts w:ascii="宋体" w:hAnsi="宋体" w:eastAsia="宋体" w:cs="宋体"/>
          <w:strike/>
          <w:dstrike w:val="0"/>
          <w:color w:val="auto"/>
          <w:spacing w:val="-2"/>
          <w:sz w:val="24"/>
          <w:szCs w:val="24"/>
          <w:highlight w:val="none"/>
        </w:rPr>
        <w:t>对投标人的纪律要求</w:t>
      </w:r>
      <w:r>
        <w:rPr>
          <w:rFonts w:ascii="宋体" w:hAnsi="宋体" w:eastAsia="宋体" w:cs="宋体"/>
          <w:strike/>
          <w:dstrike w:val="0"/>
          <w:color w:val="auto"/>
          <w:spacing w:val="-88"/>
          <w:sz w:val="24"/>
          <w:szCs w:val="24"/>
          <w:highlight w:val="none"/>
        </w:rPr>
        <w:t xml:space="preserve"> </w:t>
      </w:r>
      <w:r>
        <w:rPr>
          <w:rFonts w:ascii="宋体" w:hAnsi="宋体" w:eastAsia="宋体" w:cs="宋体"/>
          <w:strike/>
          <w:dstrike w:val="0"/>
          <w:color w:val="auto"/>
          <w:spacing w:val="-2"/>
          <w:sz w:val="24"/>
          <w:szCs w:val="24"/>
          <w:highlight w:val="none"/>
        </w:rPr>
        <w:t>”项规定</w:t>
      </w:r>
      <w:r>
        <w:rPr>
          <w:rFonts w:ascii="宋体" w:hAnsi="宋体" w:eastAsia="宋体" w:cs="宋体"/>
          <w:strike/>
          <w:dstrike w:val="0"/>
          <w:color w:val="auto"/>
          <w:spacing w:val="-3"/>
          <w:sz w:val="24"/>
          <w:szCs w:val="24"/>
          <w:highlight w:val="none"/>
        </w:rPr>
        <w:t>情形之一的。</w:t>
      </w:r>
    </w:p>
    <w:p w14:paraId="2D187A44">
      <w:pPr>
        <w:spacing w:before="183" w:line="213" w:lineRule="auto"/>
        <w:ind w:left="557"/>
        <w:rPr>
          <w:rFonts w:ascii="宋体" w:hAnsi="宋体" w:eastAsia="宋体" w:cs="宋体"/>
          <w:strike/>
          <w:dstrike w:val="0"/>
          <w:color w:val="auto"/>
          <w:sz w:val="25"/>
          <w:szCs w:val="25"/>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13</w:t>
      </w:r>
      <w:r>
        <w:rPr>
          <w:rFonts w:ascii="宋体" w:hAnsi="宋体" w:eastAsia="宋体" w:cs="宋体"/>
          <w:strike/>
          <w:dstrike w:val="0"/>
          <w:color w:val="auto"/>
          <w:spacing w:val="-5"/>
          <w:sz w:val="24"/>
          <w:szCs w:val="24"/>
          <w:highlight w:val="none"/>
        </w:rPr>
        <w:t>）</w:t>
      </w:r>
      <w:r>
        <w:rPr>
          <w:rFonts w:ascii="宋体" w:hAnsi="宋体" w:eastAsia="宋体" w:cs="宋体"/>
          <w:i/>
          <w:iCs/>
          <w:strike/>
          <w:dstrike w:val="0"/>
          <w:color w:val="auto"/>
          <w:spacing w:val="-5"/>
          <w:sz w:val="25"/>
          <w:szCs w:val="25"/>
          <w:highlight w:val="none"/>
        </w:rPr>
        <w:t>……（由招标人自行扩充）</w:t>
      </w:r>
    </w:p>
    <w:p w14:paraId="2AF537FF">
      <w:pPr>
        <w:spacing w:before="177" w:line="219" w:lineRule="auto"/>
        <w:ind w:left="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14</w:t>
      </w:r>
      <w:r>
        <w:rPr>
          <w:rFonts w:ascii="宋体" w:hAnsi="宋体" w:eastAsia="宋体" w:cs="宋体"/>
          <w:strike/>
          <w:dstrike w:val="0"/>
          <w:color w:val="auto"/>
          <w:spacing w:val="-2"/>
          <w:sz w:val="24"/>
          <w:szCs w:val="24"/>
          <w:highlight w:val="none"/>
        </w:rPr>
        <w:t>）存在法律、法规、规章规定的其他无效投标情况的。</w:t>
      </w:r>
    </w:p>
    <w:p w14:paraId="5E634DB0">
      <w:pPr>
        <w:spacing w:line="219"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FD84C2C">
      <w:pPr>
        <w:spacing w:before="47" w:line="220" w:lineRule="auto"/>
        <w:ind w:left="6"/>
        <w:outlineLvl w:val="2"/>
        <w:rPr>
          <w:rFonts w:ascii="宋体" w:hAnsi="宋体" w:eastAsia="宋体" w:cs="宋体"/>
          <w:strike w:val="0"/>
          <w:dstrike w:val="0"/>
          <w:color w:val="auto"/>
          <w:sz w:val="24"/>
          <w:szCs w:val="24"/>
          <w:highlight w:val="none"/>
        </w:rPr>
      </w:pPr>
      <w:bookmarkStart w:id="370" w:name="bookmark227"/>
      <w:bookmarkEnd w:id="370"/>
      <w:bookmarkStart w:id="371" w:name="bookmark228"/>
      <w:bookmarkEnd w:id="371"/>
      <w:bookmarkStart w:id="372" w:name="_Toc2496"/>
      <w:bookmarkStart w:id="373" w:name="_Toc26275"/>
      <w:r>
        <w:rPr>
          <w:rFonts w:ascii="Times New Roman" w:hAnsi="Times New Roman" w:eastAsia="Times New Roman" w:cs="Times New Roman"/>
          <w:b/>
          <w:bCs/>
          <w:strike w:val="0"/>
          <w:dstrike w:val="0"/>
          <w:color w:val="auto"/>
          <w:spacing w:val="-2"/>
          <w:sz w:val="24"/>
          <w:szCs w:val="24"/>
          <w:highlight w:val="none"/>
        </w:rPr>
        <w:t xml:space="preserve">4.3  </w:t>
      </w:r>
      <w:r>
        <w:rPr>
          <w:rFonts w:ascii="宋体" w:hAnsi="宋体" w:eastAsia="宋体" w:cs="宋体"/>
          <w:b/>
          <w:bCs/>
          <w:strike w:val="0"/>
          <w:dstrike w:val="0"/>
          <w:color w:val="auto"/>
          <w:spacing w:val="-2"/>
          <w:sz w:val="24"/>
          <w:szCs w:val="24"/>
          <w:highlight w:val="none"/>
        </w:rPr>
        <w:t>投标文件的技术评审</w:t>
      </w:r>
      <w:bookmarkEnd w:id="372"/>
      <w:bookmarkEnd w:id="373"/>
    </w:p>
    <w:p w14:paraId="40C279C0">
      <w:pPr>
        <w:spacing w:before="182" w:line="219" w:lineRule="auto"/>
        <w:ind w:left="55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4.3.1  </w:t>
      </w:r>
      <w:r>
        <w:rPr>
          <w:rFonts w:ascii="宋体" w:hAnsi="宋体" w:eastAsia="宋体" w:cs="宋体"/>
          <w:strike/>
          <w:dstrike w:val="0"/>
          <w:color w:val="auto"/>
          <w:spacing w:val="-1"/>
          <w:sz w:val="24"/>
          <w:szCs w:val="24"/>
          <w:highlight w:val="none"/>
        </w:rPr>
        <w:t>评标委员会应对通过技术符合性审查的投标文件进</w:t>
      </w:r>
      <w:r>
        <w:rPr>
          <w:rFonts w:ascii="宋体" w:hAnsi="宋体" w:eastAsia="宋体" w:cs="宋体"/>
          <w:strike/>
          <w:dstrike w:val="0"/>
          <w:color w:val="auto"/>
          <w:spacing w:val="-2"/>
          <w:sz w:val="24"/>
          <w:szCs w:val="24"/>
          <w:highlight w:val="none"/>
        </w:rPr>
        <w:t>行技术评审。</w:t>
      </w:r>
    </w:p>
    <w:p w14:paraId="00DBCA8D">
      <w:pPr>
        <w:spacing w:before="180" w:line="290" w:lineRule="auto"/>
        <w:ind w:left="29" w:right="68" w:firstLine="52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4.3.2  </w:t>
      </w:r>
      <w:r>
        <w:rPr>
          <w:rFonts w:ascii="宋体" w:hAnsi="宋体" w:eastAsia="宋体" w:cs="宋体"/>
          <w:strike/>
          <w:dstrike w:val="0"/>
          <w:color w:val="auto"/>
          <w:spacing w:val="-1"/>
          <w:sz w:val="24"/>
          <w:szCs w:val="24"/>
          <w:highlight w:val="none"/>
        </w:rPr>
        <w:t>如投标文件有以下情况之一的，由评标委员会全体成员按</w:t>
      </w:r>
      <w:r>
        <w:rPr>
          <w:rFonts w:ascii="宋体" w:hAnsi="宋体" w:eastAsia="宋体" w:cs="宋体"/>
          <w:strike/>
          <w:dstrike w:val="0"/>
          <w:color w:val="auto"/>
          <w:spacing w:val="-2"/>
          <w:sz w:val="24"/>
          <w:szCs w:val="24"/>
          <w:highlight w:val="none"/>
        </w:rPr>
        <w:t>照少数服从多数</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的原则记名投票（不得弃权）认定，作为技术评审不合格处理：</w:t>
      </w:r>
    </w:p>
    <w:p w14:paraId="5EBDEE54">
      <w:pPr>
        <w:spacing w:before="179" w:line="220" w:lineRule="auto"/>
        <w:ind w:left="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）主要的施工技术方案或安全保障措施不可</w:t>
      </w:r>
      <w:r>
        <w:rPr>
          <w:rFonts w:ascii="宋体" w:hAnsi="宋体" w:eastAsia="宋体" w:cs="宋体"/>
          <w:strike/>
          <w:dstrike w:val="0"/>
          <w:color w:val="auto"/>
          <w:spacing w:val="-3"/>
          <w:sz w:val="24"/>
          <w:szCs w:val="24"/>
          <w:highlight w:val="none"/>
        </w:rPr>
        <w:t>行的。</w:t>
      </w:r>
    </w:p>
    <w:p w14:paraId="10C6E7A2">
      <w:pPr>
        <w:spacing w:before="182" w:line="219" w:lineRule="auto"/>
        <w:ind w:left="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）主要施工机械设备不能满足施工需要的。</w:t>
      </w:r>
    </w:p>
    <w:p w14:paraId="413B7FD1">
      <w:pPr>
        <w:spacing w:before="181" w:line="219" w:lineRule="auto"/>
        <w:ind w:left="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）附有工程无法适用的其他技术和管理</w:t>
      </w:r>
      <w:r>
        <w:rPr>
          <w:rFonts w:ascii="宋体" w:hAnsi="宋体" w:eastAsia="宋体" w:cs="宋体"/>
          <w:strike/>
          <w:dstrike w:val="0"/>
          <w:color w:val="auto"/>
          <w:spacing w:val="-3"/>
          <w:sz w:val="24"/>
          <w:szCs w:val="24"/>
          <w:highlight w:val="none"/>
        </w:rPr>
        <w:t>条款的。</w:t>
      </w:r>
    </w:p>
    <w:p w14:paraId="6F00B68E">
      <w:pPr>
        <w:spacing w:before="183" w:line="213" w:lineRule="auto"/>
        <w:ind w:left="566"/>
        <w:rPr>
          <w:rFonts w:ascii="宋体" w:hAnsi="宋体" w:eastAsia="宋体" w:cs="宋体"/>
          <w:strike/>
          <w:dstrike w:val="0"/>
          <w:color w:val="auto"/>
          <w:sz w:val="25"/>
          <w:szCs w:val="25"/>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w:t>
      </w:r>
      <w:r>
        <w:rPr>
          <w:rFonts w:ascii="宋体" w:hAnsi="宋体" w:eastAsia="宋体" w:cs="宋体"/>
          <w:i/>
          <w:iCs/>
          <w:strike/>
          <w:dstrike w:val="0"/>
          <w:color w:val="auto"/>
          <w:spacing w:val="-5"/>
          <w:sz w:val="25"/>
          <w:szCs w:val="25"/>
          <w:highlight w:val="none"/>
        </w:rPr>
        <w:t>……（由招标人自行扩充）</w:t>
      </w:r>
    </w:p>
    <w:p w14:paraId="5BBDD549">
      <w:pPr>
        <w:spacing w:before="177" w:line="220" w:lineRule="auto"/>
        <w:ind w:left="55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4.3.3  </w:t>
      </w:r>
      <w:r>
        <w:rPr>
          <w:rFonts w:ascii="宋体" w:hAnsi="宋体" w:eastAsia="宋体" w:cs="宋体"/>
          <w:strike/>
          <w:dstrike w:val="0"/>
          <w:color w:val="auto"/>
          <w:spacing w:val="-2"/>
          <w:sz w:val="24"/>
          <w:szCs w:val="24"/>
          <w:highlight w:val="none"/>
        </w:rPr>
        <w:t>技术评审不合格的投标文件不再进入后续评审。</w:t>
      </w:r>
    </w:p>
    <w:p w14:paraId="36BAD6EC">
      <w:pPr>
        <w:spacing w:before="181" w:line="350" w:lineRule="auto"/>
        <w:ind w:firstLine="546"/>
        <w:jc w:val="both"/>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4.3.4  </w:t>
      </w:r>
      <w:r>
        <w:rPr>
          <w:rFonts w:ascii="宋体" w:hAnsi="宋体" w:eastAsia="宋体" w:cs="宋体"/>
          <w:strike/>
          <w:dstrike w:val="0"/>
          <w:color w:val="auto"/>
          <w:spacing w:val="-1"/>
          <w:sz w:val="24"/>
          <w:szCs w:val="24"/>
          <w:highlight w:val="none"/>
        </w:rPr>
        <w:t>评标委员会对通过技术评审的投标文件进行技术评分，评标专家对投标文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件的技术部分进行详细评审后采用记名方式</w:t>
      </w:r>
      <w:r>
        <w:rPr>
          <w:rFonts w:ascii="宋体" w:hAnsi="宋体" w:eastAsia="宋体" w:cs="宋体"/>
          <w:strike/>
          <w:dstrike w:val="0"/>
          <w:color w:val="auto"/>
          <w:spacing w:val="-3"/>
          <w:sz w:val="24"/>
          <w:szCs w:val="24"/>
          <w:highlight w:val="none"/>
        </w:rPr>
        <w:t>各自评分，技术评分为全体评标专家评分</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（扣除一个最高和一个最低分）的算术平均值（保留</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 xml:space="preserve">位小数，四舍五入）。如某一 </w:t>
      </w:r>
      <w:r>
        <w:rPr>
          <w:rFonts w:ascii="宋体" w:hAnsi="宋体" w:eastAsia="宋体" w:cs="宋体"/>
          <w:strike/>
          <w:dstrike w:val="0"/>
          <w:color w:val="auto"/>
          <w:spacing w:val="-3"/>
          <w:sz w:val="24"/>
          <w:szCs w:val="24"/>
          <w:highlight w:val="none"/>
        </w:rPr>
        <w:t>份评分表的某一项评分，超过评分细则所规定的分值范围，则该份评分表无效。技术</w:t>
      </w:r>
      <w:r>
        <w:rPr>
          <w:rFonts w:ascii="宋体" w:hAnsi="宋体" w:eastAsia="宋体" w:cs="宋体"/>
          <w:strike/>
          <w:dstrike w:val="0"/>
          <w:color w:val="auto"/>
          <w:spacing w:val="17"/>
          <w:sz w:val="24"/>
          <w:szCs w:val="24"/>
          <w:highlight w:val="none"/>
        </w:rPr>
        <w:t xml:space="preserve"> </w:t>
      </w:r>
      <w:r>
        <w:rPr>
          <w:rFonts w:ascii="宋体" w:hAnsi="宋体" w:eastAsia="宋体" w:cs="宋体"/>
          <w:strike/>
          <w:dstrike w:val="0"/>
          <w:color w:val="auto"/>
          <w:spacing w:val="-9"/>
          <w:sz w:val="24"/>
          <w:szCs w:val="24"/>
          <w:highlight w:val="none"/>
        </w:rPr>
        <w:t>评分满分</w:t>
      </w:r>
      <w:r>
        <w:rPr>
          <w:rFonts w:ascii="宋体" w:hAnsi="宋体" w:eastAsia="宋体" w:cs="宋体"/>
          <w:strike/>
          <w:dstrike w:val="0"/>
          <w:color w:val="auto"/>
          <w:spacing w:val="-9"/>
          <w:sz w:val="24"/>
          <w:szCs w:val="24"/>
          <w:highlight w:val="none"/>
          <w:u w:val="single" w:color="auto"/>
        </w:rPr>
        <w:t xml:space="preserve">  </w:t>
      </w:r>
      <w:r>
        <w:rPr>
          <w:rFonts w:ascii="宋体" w:hAnsi="宋体" w:eastAsia="宋体" w:cs="宋体"/>
          <w:strike/>
          <w:dstrike w:val="0"/>
          <w:color w:val="auto"/>
          <w:spacing w:val="-92"/>
          <w:sz w:val="24"/>
          <w:szCs w:val="24"/>
          <w:highlight w:val="none"/>
        </w:rPr>
        <w:t xml:space="preserve"> </w:t>
      </w:r>
      <w:r>
        <w:rPr>
          <w:rFonts w:ascii="宋体" w:hAnsi="宋体" w:eastAsia="宋体" w:cs="宋体"/>
          <w:strike/>
          <w:dstrike w:val="0"/>
          <w:color w:val="auto"/>
          <w:spacing w:val="-9"/>
          <w:sz w:val="24"/>
          <w:szCs w:val="24"/>
          <w:highlight w:val="none"/>
        </w:rPr>
        <w:t>分</w:t>
      </w:r>
      <w:r>
        <w:rPr>
          <w:rFonts w:ascii="宋体" w:hAnsi="宋体" w:eastAsia="宋体" w:cs="宋体"/>
          <w:i/>
          <w:iCs/>
          <w:strike/>
          <w:dstrike w:val="0"/>
          <w:color w:val="auto"/>
          <w:spacing w:val="-9"/>
          <w:sz w:val="25"/>
          <w:szCs w:val="25"/>
          <w:highlight w:val="none"/>
        </w:rPr>
        <w:t>（与资信评分之和不得超过</w:t>
      </w:r>
      <w:r>
        <w:rPr>
          <w:rFonts w:ascii="Times New Roman" w:hAnsi="Times New Roman" w:eastAsia="Times New Roman" w:cs="Times New Roman"/>
          <w:i/>
          <w:iCs/>
          <w:strike/>
          <w:dstrike w:val="0"/>
          <w:color w:val="auto"/>
          <w:spacing w:val="-9"/>
          <w:sz w:val="24"/>
          <w:szCs w:val="24"/>
          <w:highlight w:val="none"/>
        </w:rPr>
        <w:t>30</w:t>
      </w:r>
      <w:r>
        <w:rPr>
          <w:rFonts w:ascii="宋体" w:hAnsi="宋体" w:eastAsia="宋体" w:cs="宋体"/>
          <w:i/>
          <w:iCs/>
          <w:strike/>
          <w:dstrike w:val="0"/>
          <w:color w:val="auto"/>
          <w:spacing w:val="-9"/>
          <w:sz w:val="25"/>
          <w:szCs w:val="25"/>
          <w:highlight w:val="none"/>
        </w:rPr>
        <w:t>分，且各分项最低得分不得低于分项最高</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7"/>
          <w:sz w:val="25"/>
          <w:szCs w:val="25"/>
          <w:highlight w:val="none"/>
        </w:rPr>
        <w:t>得分的</w:t>
      </w:r>
      <w:r>
        <w:rPr>
          <w:rFonts w:ascii="Times New Roman" w:hAnsi="Times New Roman" w:eastAsia="Times New Roman" w:cs="Times New Roman"/>
          <w:i/>
          <w:iCs/>
          <w:strike/>
          <w:dstrike w:val="0"/>
          <w:color w:val="auto"/>
          <w:spacing w:val="-7"/>
          <w:sz w:val="24"/>
          <w:szCs w:val="24"/>
          <w:highlight w:val="none"/>
        </w:rPr>
        <w:t>60%</w:t>
      </w:r>
      <w:r>
        <w:rPr>
          <w:rFonts w:ascii="宋体" w:hAnsi="宋体" w:eastAsia="宋体" w:cs="宋体"/>
          <w:i/>
          <w:iCs/>
          <w:strike/>
          <w:dstrike w:val="0"/>
          <w:color w:val="auto"/>
          <w:spacing w:val="-7"/>
          <w:sz w:val="25"/>
          <w:szCs w:val="25"/>
          <w:highlight w:val="none"/>
        </w:rPr>
        <w:t>，缺项不受最低分限制按零分计）</w:t>
      </w:r>
      <w:r>
        <w:rPr>
          <w:rFonts w:ascii="宋体" w:hAnsi="宋体" w:eastAsia="宋体" w:cs="宋体"/>
          <w:strike/>
          <w:dstrike w:val="0"/>
          <w:color w:val="auto"/>
          <w:spacing w:val="-7"/>
          <w:sz w:val="24"/>
          <w:szCs w:val="24"/>
          <w:highlight w:val="none"/>
        </w:rPr>
        <w:t>。</w:t>
      </w:r>
    </w:p>
    <w:p w14:paraId="452143A5">
      <w:pPr>
        <w:spacing w:before="34" w:line="212" w:lineRule="auto"/>
        <w:ind w:left="3560"/>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技术评分标准表</w:t>
      </w:r>
    </w:p>
    <w:tbl>
      <w:tblPr>
        <w:tblStyle w:val="32"/>
        <w:tblW w:w="8759" w:type="dxa"/>
        <w:tblInd w:w="8"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5800"/>
        <w:gridCol w:w="1133"/>
        <w:gridCol w:w="999"/>
      </w:tblGrid>
      <w:tr w14:paraId="0898FB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27" w:type="dxa"/>
            <w:vMerge w:val="restart"/>
            <w:tcBorders>
              <w:top w:val="single" w:color="000000" w:sz="6" w:space="0"/>
              <w:left w:val="single" w:color="000000" w:sz="6" w:space="0"/>
              <w:bottom w:val="nil"/>
            </w:tcBorders>
            <w:vAlign w:val="top"/>
          </w:tcPr>
          <w:p w14:paraId="70FB5297">
            <w:pPr>
              <w:spacing w:line="287" w:lineRule="auto"/>
              <w:rPr>
                <w:rFonts w:ascii="Arial"/>
                <w:strike/>
                <w:dstrike w:val="0"/>
                <w:color w:val="auto"/>
                <w:sz w:val="21"/>
                <w:highlight w:val="none"/>
              </w:rPr>
            </w:pPr>
          </w:p>
          <w:p w14:paraId="07C64A77">
            <w:pPr>
              <w:pStyle w:val="33"/>
              <w:spacing w:before="69" w:line="222" w:lineRule="auto"/>
              <w:ind w:left="201"/>
              <w:rPr>
                <w:strike/>
                <w:dstrike w:val="0"/>
                <w:color w:val="auto"/>
                <w:sz w:val="21"/>
                <w:szCs w:val="21"/>
                <w:highlight w:val="none"/>
              </w:rPr>
            </w:pPr>
            <w:r>
              <w:rPr>
                <w:strike/>
                <w:dstrike w:val="0"/>
                <w:color w:val="auto"/>
                <w:spacing w:val="-2"/>
                <w:sz w:val="21"/>
                <w:szCs w:val="21"/>
                <w:highlight w:val="none"/>
              </w:rPr>
              <w:t>序号</w:t>
            </w:r>
          </w:p>
        </w:tc>
        <w:tc>
          <w:tcPr>
            <w:tcW w:w="5800" w:type="dxa"/>
            <w:vMerge w:val="restart"/>
            <w:tcBorders>
              <w:top w:val="single" w:color="000000" w:sz="6" w:space="0"/>
              <w:bottom w:val="nil"/>
            </w:tcBorders>
            <w:vAlign w:val="top"/>
          </w:tcPr>
          <w:p w14:paraId="650E3327">
            <w:pPr>
              <w:spacing w:line="287" w:lineRule="auto"/>
              <w:rPr>
                <w:rFonts w:ascii="Arial"/>
                <w:strike/>
                <w:dstrike w:val="0"/>
                <w:color w:val="auto"/>
                <w:sz w:val="21"/>
                <w:highlight w:val="none"/>
              </w:rPr>
            </w:pPr>
          </w:p>
          <w:p w14:paraId="465AEEDB">
            <w:pPr>
              <w:pStyle w:val="33"/>
              <w:spacing w:before="68" w:line="221" w:lineRule="auto"/>
              <w:ind w:left="2194"/>
              <w:rPr>
                <w:strike/>
                <w:dstrike w:val="0"/>
                <w:color w:val="auto"/>
                <w:sz w:val="21"/>
                <w:szCs w:val="21"/>
                <w:highlight w:val="none"/>
              </w:rPr>
            </w:pPr>
            <w:r>
              <w:rPr>
                <w:strike/>
                <w:dstrike w:val="0"/>
                <w:color w:val="auto"/>
                <w:spacing w:val="-13"/>
                <w:sz w:val="21"/>
                <w:szCs w:val="21"/>
                <w:highlight w:val="none"/>
              </w:rPr>
              <w:t>内</w:t>
            </w:r>
            <w:r>
              <w:rPr>
                <w:strike/>
                <w:dstrike w:val="0"/>
                <w:color w:val="auto"/>
                <w:spacing w:val="6"/>
                <w:sz w:val="21"/>
                <w:szCs w:val="21"/>
                <w:highlight w:val="none"/>
              </w:rPr>
              <w:t xml:space="preserve">  </w:t>
            </w:r>
            <w:r>
              <w:rPr>
                <w:strike/>
                <w:dstrike w:val="0"/>
                <w:color w:val="auto"/>
                <w:spacing w:val="-13"/>
                <w:sz w:val="21"/>
                <w:szCs w:val="21"/>
                <w:highlight w:val="none"/>
              </w:rPr>
              <w:t>容</w:t>
            </w:r>
            <w:r>
              <w:rPr>
                <w:strike/>
                <w:dstrike w:val="0"/>
                <w:color w:val="auto"/>
                <w:spacing w:val="4"/>
                <w:sz w:val="21"/>
                <w:szCs w:val="21"/>
                <w:highlight w:val="none"/>
              </w:rPr>
              <w:t xml:space="preserve">  </w:t>
            </w:r>
            <w:r>
              <w:rPr>
                <w:strike/>
                <w:dstrike w:val="0"/>
                <w:color w:val="auto"/>
                <w:spacing w:val="-13"/>
                <w:sz w:val="21"/>
                <w:szCs w:val="21"/>
                <w:highlight w:val="none"/>
              </w:rPr>
              <w:t>要</w:t>
            </w:r>
            <w:r>
              <w:rPr>
                <w:strike/>
                <w:dstrike w:val="0"/>
                <w:color w:val="auto"/>
                <w:spacing w:val="4"/>
                <w:sz w:val="21"/>
                <w:szCs w:val="21"/>
                <w:highlight w:val="none"/>
              </w:rPr>
              <w:t xml:space="preserve">  </w:t>
            </w:r>
            <w:r>
              <w:rPr>
                <w:strike/>
                <w:dstrike w:val="0"/>
                <w:color w:val="auto"/>
                <w:spacing w:val="-13"/>
                <w:sz w:val="21"/>
                <w:szCs w:val="21"/>
                <w:highlight w:val="none"/>
              </w:rPr>
              <w:t>求</w:t>
            </w:r>
          </w:p>
        </w:tc>
        <w:tc>
          <w:tcPr>
            <w:tcW w:w="2132" w:type="dxa"/>
            <w:gridSpan w:val="2"/>
            <w:tcBorders>
              <w:top w:val="single" w:color="000000" w:sz="6" w:space="0"/>
              <w:right w:val="single" w:color="000000" w:sz="6" w:space="0"/>
            </w:tcBorders>
            <w:vAlign w:val="top"/>
          </w:tcPr>
          <w:p w14:paraId="1A3CE296">
            <w:pPr>
              <w:pStyle w:val="33"/>
              <w:spacing w:before="124" w:line="221" w:lineRule="auto"/>
              <w:ind w:left="706"/>
              <w:rPr>
                <w:strike/>
                <w:dstrike w:val="0"/>
                <w:color w:val="auto"/>
                <w:sz w:val="21"/>
                <w:szCs w:val="21"/>
                <w:highlight w:val="none"/>
              </w:rPr>
            </w:pPr>
            <w:r>
              <w:rPr>
                <w:strike/>
                <w:dstrike w:val="0"/>
                <w:color w:val="auto"/>
                <w:spacing w:val="-4"/>
                <w:sz w:val="21"/>
                <w:szCs w:val="21"/>
                <w:highlight w:val="none"/>
              </w:rPr>
              <w:t>得</w:t>
            </w:r>
            <w:r>
              <w:rPr>
                <w:strike/>
                <w:dstrike w:val="0"/>
                <w:color w:val="auto"/>
                <w:spacing w:val="3"/>
                <w:sz w:val="21"/>
                <w:szCs w:val="21"/>
                <w:highlight w:val="none"/>
              </w:rPr>
              <w:t xml:space="preserve">   </w:t>
            </w:r>
            <w:r>
              <w:rPr>
                <w:strike/>
                <w:dstrike w:val="0"/>
                <w:color w:val="auto"/>
                <w:spacing w:val="-4"/>
                <w:sz w:val="21"/>
                <w:szCs w:val="21"/>
                <w:highlight w:val="none"/>
              </w:rPr>
              <w:t>分</w:t>
            </w:r>
          </w:p>
        </w:tc>
      </w:tr>
      <w:tr w14:paraId="16741E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vMerge w:val="continue"/>
            <w:tcBorders>
              <w:top w:val="nil"/>
              <w:left w:val="single" w:color="000000" w:sz="6" w:space="0"/>
            </w:tcBorders>
            <w:vAlign w:val="top"/>
          </w:tcPr>
          <w:p w14:paraId="6A3DDFF5">
            <w:pPr>
              <w:rPr>
                <w:rFonts w:ascii="Arial"/>
                <w:strike/>
                <w:dstrike w:val="0"/>
                <w:color w:val="auto"/>
                <w:sz w:val="21"/>
                <w:highlight w:val="none"/>
              </w:rPr>
            </w:pPr>
          </w:p>
        </w:tc>
        <w:tc>
          <w:tcPr>
            <w:tcW w:w="5800" w:type="dxa"/>
            <w:vMerge w:val="continue"/>
            <w:tcBorders>
              <w:top w:val="nil"/>
            </w:tcBorders>
            <w:vAlign w:val="top"/>
          </w:tcPr>
          <w:p w14:paraId="09439B8D">
            <w:pPr>
              <w:rPr>
                <w:rFonts w:ascii="Arial"/>
                <w:strike/>
                <w:dstrike w:val="0"/>
                <w:color w:val="auto"/>
                <w:sz w:val="21"/>
                <w:highlight w:val="none"/>
              </w:rPr>
            </w:pPr>
          </w:p>
        </w:tc>
        <w:tc>
          <w:tcPr>
            <w:tcW w:w="1133" w:type="dxa"/>
            <w:vAlign w:val="top"/>
          </w:tcPr>
          <w:p w14:paraId="0218AEC9">
            <w:pPr>
              <w:pStyle w:val="33"/>
              <w:spacing w:before="121" w:line="221" w:lineRule="auto"/>
              <w:ind w:left="367"/>
              <w:rPr>
                <w:strike/>
                <w:dstrike w:val="0"/>
                <w:color w:val="auto"/>
                <w:sz w:val="21"/>
                <w:szCs w:val="21"/>
                <w:highlight w:val="none"/>
              </w:rPr>
            </w:pPr>
            <w:r>
              <w:rPr>
                <w:strike/>
                <w:dstrike w:val="0"/>
                <w:color w:val="auto"/>
                <w:spacing w:val="-3"/>
                <w:sz w:val="21"/>
                <w:szCs w:val="21"/>
                <w:highlight w:val="none"/>
              </w:rPr>
              <w:t>最高</w:t>
            </w:r>
          </w:p>
        </w:tc>
        <w:tc>
          <w:tcPr>
            <w:tcW w:w="999" w:type="dxa"/>
            <w:tcBorders>
              <w:right w:val="single" w:color="000000" w:sz="6" w:space="0"/>
            </w:tcBorders>
            <w:vAlign w:val="top"/>
          </w:tcPr>
          <w:p w14:paraId="2C7FCE91">
            <w:pPr>
              <w:pStyle w:val="33"/>
              <w:spacing w:before="121" w:line="221" w:lineRule="auto"/>
              <w:ind w:left="297"/>
              <w:rPr>
                <w:strike/>
                <w:dstrike w:val="0"/>
                <w:color w:val="auto"/>
                <w:sz w:val="21"/>
                <w:szCs w:val="21"/>
                <w:highlight w:val="none"/>
              </w:rPr>
            </w:pPr>
            <w:r>
              <w:rPr>
                <w:strike/>
                <w:dstrike w:val="0"/>
                <w:color w:val="auto"/>
                <w:spacing w:val="-3"/>
                <w:sz w:val="21"/>
                <w:szCs w:val="21"/>
                <w:highlight w:val="none"/>
              </w:rPr>
              <w:t>最低</w:t>
            </w:r>
          </w:p>
        </w:tc>
      </w:tr>
      <w:tr w14:paraId="55305C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left w:val="single" w:color="000000" w:sz="6" w:space="0"/>
            </w:tcBorders>
            <w:vAlign w:val="top"/>
          </w:tcPr>
          <w:p w14:paraId="0F8468CD">
            <w:pPr>
              <w:spacing w:before="164" w:line="187" w:lineRule="auto"/>
              <w:ind w:left="374"/>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5800" w:type="dxa"/>
            <w:vAlign w:val="top"/>
          </w:tcPr>
          <w:p w14:paraId="7B7F1269">
            <w:pPr>
              <w:spacing w:before="162" w:line="179" w:lineRule="auto"/>
              <w:ind w:left="103"/>
              <w:rPr>
                <w:rFonts w:ascii="隶书" w:hAnsi="隶书" w:eastAsia="隶书" w:cs="隶书"/>
                <w:strike/>
                <w:dstrike w:val="0"/>
                <w:color w:val="auto"/>
                <w:sz w:val="21"/>
                <w:szCs w:val="21"/>
                <w:highlight w:val="none"/>
              </w:rPr>
            </w:pPr>
            <w:r>
              <w:rPr>
                <w:rFonts w:ascii="隶书" w:hAnsi="隶书" w:eastAsia="隶书" w:cs="隶书"/>
                <w:strike/>
                <w:dstrike w:val="0"/>
                <w:color w:val="auto"/>
                <w:spacing w:val="-1"/>
                <w:sz w:val="21"/>
                <w:szCs w:val="21"/>
                <w:highlight w:val="none"/>
              </w:rPr>
              <w:t>项目管理人员的配备和专业配置</w:t>
            </w:r>
          </w:p>
        </w:tc>
        <w:tc>
          <w:tcPr>
            <w:tcW w:w="1133" w:type="dxa"/>
            <w:vAlign w:val="top"/>
          </w:tcPr>
          <w:p w14:paraId="7EF6EEAB">
            <w:pPr>
              <w:rPr>
                <w:rFonts w:ascii="Arial"/>
                <w:strike/>
                <w:dstrike w:val="0"/>
                <w:color w:val="auto"/>
                <w:sz w:val="21"/>
                <w:highlight w:val="none"/>
              </w:rPr>
            </w:pPr>
          </w:p>
        </w:tc>
        <w:tc>
          <w:tcPr>
            <w:tcW w:w="999" w:type="dxa"/>
            <w:tcBorders>
              <w:right w:val="single" w:color="000000" w:sz="6" w:space="0"/>
            </w:tcBorders>
            <w:vAlign w:val="top"/>
          </w:tcPr>
          <w:p w14:paraId="7C09CCDC">
            <w:pPr>
              <w:rPr>
                <w:rFonts w:ascii="Arial"/>
                <w:strike/>
                <w:dstrike w:val="0"/>
                <w:color w:val="auto"/>
                <w:sz w:val="21"/>
                <w:highlight w:val="none"/>
              </w:rPr>
            </w:pPr>
          </w:p>
        </w:tc>
      </w:tr>
      <w:tr w14:paraId="4B8E2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top"/>
          </w:tcPr>
          <w:p w14:paraId="1F39A207">
            <w:pPr>
              <w:spacing w:before="163" w:line="187" w:lineRule="auto"/>
              <w:ind w:left="354"/>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2</w:t>
            </w:r>
          </w:p>
        </w:tc>
        <w:tc>
          <w:tcPr>
            <w:tcW w:w="5800" w:type="dxa"/>
            <w:vAlign w:val="top"/>
          </w:tcPr>
          <w:p w14:paraId="63027C86">
            <w:pPr>
              <w:spacing w:before="167" w:line="176" w:lineRule="auto"/>
              <w:ind w:left="102"/>
              <w:rPr>
                <w:rFonts w:ascii="隶书" w:hAnsi="隶书" w:eastAsia="隶书" w:cs="隶书"/>
                <w:strike/>
                <w:dstrike w:val="0"/>
                <w:color w:val="auto"/>
                <w:sz w:val="21"/>
                <w:szCs w:val="21"/>
                <w:highlight w:val="none"/>
              </w:rPr>
            </w:pPr>
            <w:r>
              <w:rPr>
                <w:rFonts w:ascii="隶书" w:hAnsi="隶书" w:eastAsia="隶书" w:cs="隶书"/>
                <w:strike/>
                <w:dstrike w:val="0"/>
                <w:color w:val="auto"/>
                <w:sz w:val="21"/>
                <w:szCs w:val="21"/>
                <w:highlight w:val="none"/>
              </w:rPr>
              <w:t>施工总平面布置</w:t>
            </w:r>
          </w:p>
        </w:tc>
        <w:tc>
          <w:tcPr>
            <w:tcW w:w="1133" w:type="dxa"/>
            <w:vAlign w:val="top"/>
          </w:tcPr>
          <w:p w14:paraId="683B9946">
            <w:pPr>
              <w:rPr>
                <w:rFonts w:ascii="Arial"/>
                <w:strike/>
                <w:dstrike w:val="0"/>
                <w:color w:val="auto"/>
                <w:sz w:val="21"/>
                <w:highlight w:val="none"/>
              </w:rPr>
            </w:pPr>
          </w:p>
        </w:tc>
        <w:tc>
          <w:tcPr>
            <w:tcW w:w="999" w:type="dxa"/>
            <w:tcBorders>
              <w:right w:val="single" w:color="000000" w:sz="6" w:space="0"/>
            </w:tcBorders>
            <w:vAlign w:val="top"/>
          </w:tcPr>
          <w:p w14:paraId="08BF7514">
            <w:pPr>
              <w:rPr>
                <w:rFonts w:ascii="Arial"/>
                <w:strike/>
                <w:dstrike w:val="0"/>
                <w:color w:val="auto"/>
                <w:sz w:val="21"/>
                <w:highlight w:val="none"/>
              </w:rPr>
            </w:pPr>
          </w:p>
        </w:tc>
      </w:tr>
      <w:tr w14:paraId="69DC78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top"/>
          </w:tcPr>
          <w:p w14:paraId="70602D34">
            <w:pPr>
              <w:spacing w:before="164" w:line="187" w:lineRule="auto"/>
              <w:ind w:left="35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3</w:t>
            </w:r>
          </w:p>
        </w:tc>
        <w:tc>
          <w:tcPr>
            <w:tcW w:w="5800" w:type="dxa"/>
            <w:vAlign w:val="top"/>
          </w:tcPr>
          <w:p w14:paraId="4BCCE855">
            <w:pPr>
              <w:spacing w:before="168" w:line="176" w:lineRule="auto"/>
              <w:ind w:left="102"/>
              <w:rPr>
                <w:rFonts w:ascii="隶书" w:hAnsi="隶书" w:eastAsia="隶书" w:cs="隶书"/>
                <w:strike/>
                <w:dstrike w:val="0"/>
                <w:color w:val="auto"/>
                <w:sz w:val="21"/>
                <w:szCs w:val="21"/>
                <w:highlight w:val="none"/>
              </w:rPr>
            </w:pPr>
            <w:r>
              <w:rPr>
                <w:rFonts w:ascii="隶书" w:hAnsi="隶书" w:eastAsia="隶书" w:cs="隶书"/>
                <w:strike/>
                <w:dstrike w:val="0"/>
                <w:color w:val="auto"/>
                <w:sz w:val="21"/>
                <w:szCs w:val="21"/>
                <w:highlight w:val="none"/>
              </w:rPr>
              <w:t>施工进度计划</w:t>
            </w:r>
          </w:p>
        </w:tc>
        <w:tc>
          <w:tcPr>
            <w:tcW w:w="1133" w:type="dxa"/>
            <w:vAlign w:val="top"/>
          </w:tcPr>
          <w:p w14:paraId="483D7B48">
            <w:pPr>
              <w:rPr>
                <w:rFonts w:ascii="Arial"/>
                <w:strike/>
                <w:dstrike w:val="0"/>
                <w:color w:val="auto"/>
                <w:sz w:val="21"/>
                <w:highlight w:val="none"/>
              </w:rPr>
            </w:pPr>
          </w:p>
        </w:tc>
        <w:tc>
          <w:tcPr>
            <w:tcW w:w="999" w:type="dxa"/>
            <w:tcBorders>
              <w:right w:val="single" w:color="000000" w:sz="6" w:space="0"/>
            </w:tcBorders>
            <w:vAlign w:val="top"/>
          </w:tcPr>
          <w:p w14:paraId="4129EC75">
            <w:pPr>
              <w:rPr>
                <w:rFonts w:ascii="Arial"/>
                <w:strike/>
                <w:dstrike w:val="0"/>
                <w:color w:val="auto"/>
                <w:sz w:val="21"/>
                <w:highlight w:val="none"/>
              </w:rPr>
            </w:pPr>
          </w:p>
        </w:tc>
      </w:tr>
      <w:tr w14:paraId="120D1C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left w:val="single" w:color="000000" w:sz="6" w:space="0"/>
            </w:tcBorders>
            <w:vAlign w:val="top"/>
          </w:tcPr>
          <w:p w14:paraId="13236A6B">
            <w:pPr>
              <w:spacing w:before="168" w:line="187" w:lineRule="auto"/>
              <w:ind w:left="353"/>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4</w:t>
            </w:r>
          </w:p>
        </w:tc>
        <w:tc>
          <w:tcPr>
            <w:tcW w:w="5800" w:type="dxa"/>
            <w:vAlign w:val="top"/>
          </w:tcPr>
          <w:p w14:paraId="1F46DF92">
            <w:pPr>
              <w:spacing w:before="168" w:line="177" w:lineRule="auto"/>
              <w:ind w:left="102"/>
              <w:rPr>
                <w:rFonts w:ascii="隶书" w:hAnsi="隶书" w:eastAsia="隶书" w:cs="隶书"/>
                <w:strike/>
                <w:dstrike w:val="0"/>
                <w:color w:val="auto"/>
                <w:sz w:val="21"/>
                <w:szCs w:val="21"/>
                <w:highlight w:val="none"/>
              </w:rPr>
            </w:pPr>
            <w:r>
              <w:rPr>
                <w:rFonts w:ascii="隶书" w:hAnsi="隶书" w:eastAsia="隶书" w:cs="隶书"/>
                <w:strike/>
                <w:dstrike w:val="0"/>
                <w:color w:val="auto"/>
                <w:sz w:val="21"/>
                <w:szCs w:val="21"/>
                <w:highlight w:val="none"/>
              </w:rPr>
              <w:t>施工质量的控制</w:t>
            </w:r>
          </w:p>
        </w:tc>
        <w:tc>
          <w:tcPr>
            <w:tcW w:w="1133" w:type="dxa"/>
            <w:vAlign w:val="top"/>
          </w:tcPr>
          <w:p w14:paraId="3097CEEC">
            <w:pPr>
              <w:rPr>
                <w:rFonts w:ascii="Arial"/>
                <w:strike/>
                <w:dstrike w:val="0"/>
                <w:color w:val="auto"/>
                <w:sz w:val="21"/>
                <w:highlight w:val="none"/>
              </w:rPr>
            </w:pPr>
          </w:p>
        </w:tc>
        <w:tc>
          <w:tcPr>
            <w:tcW w:w="999" w:type="dxa"/>
            <w:tcBorders>
              <w:right w:val="single" w:color="000000" w:sz="6" w:space="0"/>
            </w:tcBorders>
            <w:vAlign w:val="top"/>
          </w:tcPr>
          <w:p w14:paraId="2E4755F3">
            <w:pPr>
              <w:rPr>
                <w:rFonts w:ascii="Arial"/>
                <w:strike/>
                <w:dstrike w:val="0"/>
                <w:color w:val="auto"/>
                <w:sz w:val="21"/>
                <w:highlight w:val="none"/>
              </w:rPr>
            </w:pPr>
          </w:p>
        </w:tc>
      </w:tr>
      <w:tr w14:paraId="3B500C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top"/>
          </w:tcPr>
          <w:p w14:paraId="100F4805">
            <w:pPr>
              <w:spacing w:before="170" w:line="184" w:lineRule="auto"/>
              <w:ind w:left="359"/>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5</w:t>
            </w:r>
          </w:p>
        </w:tc>
        <w:tc>
          <w:tcPr>
            <w:tcW w:w="5800" w:type="dxa"/>
            <w:vAlign w:val="top"/>
          </w:tcPr>
          <w:p w14:paraId="35EE0CCC">
            <w:pPr>
              <w:spacing w:before="170" w:line="177" w:lineRule="auto"/>
              <w:ind w:left="102"/>
              <w:rPr>
                <w:rFonts w:ascii="隶书" w:hAnsi="隶书" w:eastAsia="隶书" w:cs="隶书"/>
                <w:strike/>
                <w:dstrike w:val="0"/>
                <w:color w:val="auto"/>
                <w:sz w:val="21"/>
                <w:szCs w:val="21"/>
                <w:highlight w:val="none"/>
              </w:rPr>
            </w:pPr>
            <w:r>
              <w:rPr>
                <w:rFonts w:ascii="隶书" w:hAnsi="隶书" w:eastAsia="隶书" w:cs="隶书"/>
                <w:strike/>
                <w:dstrike w:val="0"/>
                <w:color w:val="auto"/>
                <w:sz w:val="21"/>
                <w:szCs w:val="21"/>
                <w:highlight w:val="none"/>
              </w:rPr>
              <w:t>施工设备和检验仪器的投入</w:t>
            </w:r>
          </w:p>
        </w:tc>
        <w:tc>
          <w:tcPr>
            <w:tcW w:w="1133" w:type="dxa"/>
            <w:vAlign w:val="top"/>
          </w:tcPr>
          <w:p w14:paraId="1FDC0CBB">
            <w:pPr>
              <w:rPr>
                <w:rFonts w:ascii="Arial"/>
                <w:strike/>
                <w:dstrike w:val="0"/>
                <w:color w:val="auto"/>
                <w:sz w:val="21"/>
                <w:highlight w:val="none"/>
              </w:rPr>
            </w:pPr>
          </w:p>
        </w:tc>
        <w:tc>
          <w:tcPr>
            <w:tcW w:w="999" w:type="dxa"/>
            <w:tcBorders>
              <w:right w:val="single" w:color="000000" w:sz="6" w:space="0"/>
            </w:tcBorders>
            <w:vAlign w:val="top"/>
          </w:tcPr>
          <w:p w14:paraId="14C97109">
            <w:pPr>
              <w:rPr>
                <w:rFonts w:ascii="Arial"/>
                <w:strike/>
                <w:dstrike w:val="0"/>
                <w:color w:val="auto"/>
                <w:sz w:val="21"/>
                <w:highlight w:val="none"/>
              </w:rPr>
            </w:pPr>
          </w:p>
        </w:tc>
      </w:tr>
      <w:tr w14:paraId="277F4E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top"/>
          </w:tcPr>
          <w:p w14:paraId="315AF87B">
            <w:pPr>
              <w:spacing w:before="168" w:line="187" w:lineRule="auto"/>
              <w:ind w:left="35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6</w:t>
            </w:r>
          </w:p>
        </w:tc>
        <w:tc>
          <w:tcPr>
            <w:tcW w:w="5800" w:type="dxa"/>
            <w:vAlign w:val="top"/>
          </w:tcPr>
          <w:p w14:paraId="11368D7C">
            <w:pPr>
              <w:spacing w:before="171" w:line="177" w:lineRule="auto"/>
              <w:ind w:left="99"/>
              <w:rPr>
                <w:rFonts w:ascii="隶书" w:hAnsi="隶书" w:eastAsia="隶书" w:cs="隶书"/>
                <w:strike/>
                <w:dstrike w:val="0"/>
                <w:color w:val="auto"/>
                <w:sz w:val="21"/>
                <w:szCs w:val="21"/>
                <w:highlight w:val="none"/>
              </w:rPr>
            </w:pPr>
            <w:r>
              <w:rPr>
                <w:rFonts w:ascii="隶书" w:hAnsi="隶书" w:eastAsia="隶书" w:cs="隶书"/>
                <w:strike/>
                <w:dstrike w:val="0"/>
                <w:color w:val="auto"/>
                <w:sz w:val="21"/>
                <w:szCs w:val="21"/>
                <w:highlight w:val="none"/>
              </w:rPr>
              <w:t>各专业工种的配置和劳动力的投入</w:t>
            </w:r>
          </w:p>
        </w:tc>
        <w:tc>
          <w:tcPr>
            <w:tcW w:w="1133" w:type="dxa"/>
            <w:vAlign w:val="top"/>
          </w:tcPr>
          <w:p w14:paraId="6A0DBF38">
            <w:pPr>
              <w:rPr>
                <w:rFonts w:ascii="Arial"/>
                <w:strike/>
                <w:dstrike w:val="0"/>
                <w:color w:val="auto"/>
                <w:sz w:val="21"/>
                <w:highlight w:val="none"/>
              </w:rPr>
            </w:pPr>
          </w:p>
        </w:tc>
        <w:tc>
          <w:tcPr>
            <w:tcW w:w="999" w:type="dxa"/>
            <w:tcBorders>
              <w:right w:val="single" w:color="000000" w:sz="6" w:space="0"/>
            </w:tcBorders>
            <w:vAlign w:val="top"/>
          </w:tcPr>
          <w:p w14:paraId="60358FDA">
            <w:pPr>
              <w:rPr>
                <w:rFonts w:ascii="Arial"/>
                <w:strike/>
                <w:dstrike w:val="0"/>
                <w:color w:val="auto"/>
                <w:sz w:val="21"/>
                <w:highlight w:val="none"/>
              </w:rPr>
            </w:pPr>
          </w:p>
        </w:tc>
      </w:tr>
      <w:tr w14:paraId="7804B5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827" w:type="dxa"/>
            <w:tcBorders>
              <w:left w:val="single" w:color="000000" w:sz="6" w:space="0"/>
            </w:tcBorders>
            <w:vAlign w:val="top"/>
          </w:tcPr>
          <w:p w14:paraId="5563F713">
            <w:pPr>
              <w:spacing w:before="175" w:line="184" w:lineRule="auto"/>
              <w:ind w:left="357"/>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7</w:t>
            </w:r>
          </w:p>
        </w:tc>
        <w:tc>
          <w:tcPr>
            <w:tcW w:w="5800" w:type="dxa"/>
            <w:vAlign w:val="top"/>
          </w:tcPr>
          <w:p w14:paraId="784385CF">
            <w:pPr>
              <w:spacing w:before="172" w:line="177" w:lineRule="auto"/>
              <w:ind w:left="102"/>
              <w:rPr>
                <w:rFonts w:ascii="隶书" w:hAnsi="隶书" w:eastAsia="隶书" w:cs="隶书"/>
                <w:strike/>
                <w:dstrike w:val="0"/>
                <w:color w:val="auto"/>
                <w:sz w:val="21"/>
                <w:szCs w:val="21"/>
                <w:highlight w:val="none"/>
              </w:rPr>
            </w:pPr>
            <w:r>
              <w:rPr>
                <w:rFonts w:ascii="隶书" w:hAnsi="隶书" w:eastAsia="隶书" w:cs="隶书"/>
                <w:strike/>
                <w:dstrike w:val="0"/>
                <w:color w:val="auto"/>
                <w:sz w:val="21"/>
                <w:szCs w:val="21"/>
                <w:highlight w:val="none"/>
              </w:rPr>
              <w:t>工程的关键部位和关键施工方案</w:t>
            </w:r>
          </w:p>
        </w:tc>
        <w:tc>
          <w:tcPr>
            <w:tcW w:w="1133" w:type="dxa"/>
            <w:vAlign w:val="top"/>
          </w:tcPr>
          <w:p w14:paraId="0EB74B0E">
            <w:pPr>
              <w:rPr>
                <w:rFonts w:ascii="Arial"/>
                <w:strike/>
                <w:dstrike w:val="0"/>
                <w:color w:val="auto"/>
                <w:sz w:val="21"/>
                <w:highlight w:val="none"/>
              </w:rPr>
            </w:pPr>
          </w:p>
        </w:tc>
        <w:tc>
          <w:tcPr>
            <w:tcW w:w="999" w:type="dxa"/>
            <w:tcBorders>
              <w:right w:val="single" w:color="000000" w:sz="6" w:space="0"/>
            </w:tcBorders>
            <w:vAlign w:val="top"/>
          </w:tcPr>
          <w:p w14:paraId="6119AC48">
            <w:pPr>
              <w:rPr>
                <w:rFonts w:ascii="Arial"/>
                <w:strike/>
                <w:dstrike w:val="0"/>
                <w:color w:val="auto"/>
                <w:sz w:val="21"/>
                <w:highlight w:val="none"/>
              </w:rPr>
            </w:pPr>
          </w:p>
        </w:tc>
      </w:tr>
      <w:tr w14:paraId="7706A1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top"/>
          </w:tcPr>
          <w:p w14:paraId="3CDCB0EE">
            <w:pPr>
              <w:spacing w:before="171" w:line="187" w:lineRule="auto"/>
              <w:ind w:left="362"/>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8</w:t>
            </w:r>
          </w:p>
        </w:tc>
        <w:tc>
          <w:tcPr>
            <w:tcW w:w="5800" w:type="dxa"/>
            <w:vAlign w:val="top"/>
          </w:tcPr>
          <w:p w14:paraId="1F59DAE1">
            <w:pPr>
              <w:spacing w:before="177" w:line="174" w:lineRule="auto"/>
              <w:ind w:left="105"/>
              <w:rPr>
                <w:rFonts w:ascii="隶书" w:hAnsi="隶书" w:eastAsia="隶书" w:cs="隶书"/>
                <w:strike/>
                <w:dstrike w:val="0"/>
                <w:color w:val="auto"/>
                <w:sz w:val="21"/>
                <w:szCs w:val="21"/>
                <w:highlight w:val="none"/>
              </w:rPr>
            </w:pPr>
            <w:r>
              <w:rPr>
                <w:rFonts w:ascii="隶书" w:hAnsi="隶书" w:eastAsia="隶书" w:cs="隶书"/>
                <w:strike/>
                <w:dstrike w:val="0"/>
                <w:color w:val="auto"/>
                <w:spacing w:val="-1"/>
                <w:sz w:val="21"/>
                <w:szCs w:val="21"/>
                <w:highlight w:val="none"/>
              </w:rPr>
              <w:t>安全、文明施工及标化建设</w:t>
            </w:r>
          </w:p>
        </w:tc>
        <w:tc>
          <w:tcPr>
            <w:tcW w:w="1133" w:type="dxa"/>
            <w:vAlign w:val="top"/>
          </w:tcPr>
          <w:p w14:paraId="654AC499">
            <w:pPr>
              <w:rPr>
                <w:rFonts w:ascii="Arial"/>
                <w:strike/>
                <w:dstrike w:val="0"/>
                <w:color w:val="auto"/>
                <w:sz w:val="21"/>
                <w:highlight w:val="none"/>
              </w:rPr>
            </w:pPr>
          </w:p>
        </w:tc>
        <w:tc>
          <w:tcPr>
            <w:tcW w:w="999" w:type="dxa"/>
            <w:tcBorders>
              <w:right w:val="single" w:color="000000" w:sz="6" w:space="0"/>
            </w:tcBorders>
            <w:vAlign w:val="top"/>
          </w:tcPr>
          <w:p w14:paraId="3FC17D13">
            <w:pPr>
              <w:rPr>
                <w:rFonts w:ascii="Arial"/>
                <w:strike/>
                <w:dstrike w:val="0"/>
                <w:color w:val="auto"/>
                <w:sz w:val="21"/>
                <w:highlight w:val="none"/>
              </w:rPr>
            </w:pPr>
          </w:p>
        </w:tc>
      </w:tr>
      <w:tr w14:paraId="17C2F4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827" w:type="dxa"/>
            <w:tcBorders>
              <w:left w:val="single" w:color="000000" w:sz="6" w:space="0"/>
            </w:tcBorders>
            <w:vAlign w:val="top"/>
          </w:tcPr>
          <w:p w14:paraId="07D08297">
            <w:pPr>
              <w:spacing w:before="172" w:line="187" w:lineRule="auto"/>
              <w:ind w:left="358"/>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9</w:t>
            </w:r>
          </w:p>
        </w:tc>
        <w:tc>
          <w:tcPr>
            <w:tcW w:w="5800" w:type="dxa"/>
            <w:vAlign w:val="top"/>
          </w:tcPr>
          <w:p w14:paraId="61EABF68">
            <w:pPr>
              <w:spacing w:before="295" w:line="66" w:lineRule="exact"/>
              <w:ind w:left="122"/>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6"/>
                <w:position w:val="1"/>
                <w:sz w:val="21"/>
                <w:szCs w:val="21"/>
                <w:highlight w:val="none"/>
              </w:rPr>
              <w:t>……</w:t>
            </w:r>
          </w:p>
        </w:tc>
        <w:tc>
          <w:tcPr>
            <w:tcW w:w="1133" w:type="dxa"/>
            <w:vAlign w:val="top"/>
          </w:tcPr>
          <w:p w14:paraId="21A0CBAF">
            <w:pPr>
              <w:rPr>
                <w:rFonts w:ascii="Arial"/>
                <w:strike/>
                <w:dstrike w:val="0"/>
                <w:color w:val="auto"/>
                <w:sz w:val="21"/>
                <w:highlight w:val="none"/>
              </w:rPr>
            </w:pPr>
          </w:p>
        </w:tc>
        <w:tc>
          <w:tcPr>
            <w:tcW w:w="999" w:type="dxa"/>
            <w:tcBorders>
              <w:right w:val="single" w:color="000000" w:sz="6" w:space="0"/>
            </w:tcBorders>
            <w:vAlign w:val="top"/>
          </w:tcPr>
          <w:p w14:paraId="6455D67C">
            <w:pPr>
              <w:rPr>
                <w:rFonts w:ascii="Arial"/>
                <w:strike/>
                <w:dstrike w:val="0"/>
                <w:color w:val="auto"/>
                <w:sz w:val="21"/>
                <w:highlight w:val="none"/>
              </w:rPr>
            </w:pPr>
          </w:p>
        </w:tc>
      </w:tr>
      <w:tr w14:paraId="4EC7CE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4" w:hRule="atLeast"/>
        </w:trPr>
        <w:tc>
          <w:tcPr>
            <w:tcW w:w="827" w:type="dxa"/>
            <w:tcBorders>
              <w:left w:val="single" w:color="000000" w:sz="6" w:space="0"/>
              <w:bottom w:val="single" w:color="000000" w:sz="6" w:space="0"/>
            </w:tcBorders>
            <w:vAlign w:val="top"/>
          </w:tcPr>
          <w:p w14:paraId="2F4902DE">
            <w:pPr>
              <w:rPr>
                <w:rFonts w:ascii="Arial"/>
                <w:strike/>
                <w:dstrike w:val="0"/>
                <w:color w:val="auto"/>
                <w:sz w:val="21"/>
                <w:highlight w:val="none"/>
              </w:rPr>
            </w:pPr>
          </w:p>
        </w:tc>
        <w:tc>
          <w:tcPr>
            <w:tcW w:w="5800" w:type="dxa"/>
            <w:tcBorders>
              <w:bottom w:val="single" w:color="000000" w:sz="6" w:space="0"/>
            </w:tcBorders>
            <w:vAlign w:val="top"/>
          </w:tcPr>
          <w:p w14:paraId="26DDE056">
            <w:pPr>
              <w:pStyle w:val="33"/>
              <w:spacing w:before="68" w:line="222" w:lineRule="auto"/>
              <w:ind w:left="319"/>
              <w:rPr>
                <w:strike/>
                <w:dstrike w:val="0"/>
                <w:color w:val="auto"/>
                <w:sz w:val="21"/>
                <w:szCs w:val="21"/>
                <w:highlight w:val="none"/>
              </w:rPr>
            </w:pPr>
            <w:r>
              <w:rPr>
                <w:strike/>
                <w:dstrike w:val="0"/>
                <w:color w:val="auto"/>
                <w:spacing w:val="-4"/>
                <w:sz w:val="21"/>
                <w:szCs w:val="21"/>
                <w:highlight w:val="none"/>
              </w:rPr>
              <w:t>合</w:t>
            </w:r>
            <w:r>
              <w:rPr>
                <w:strike/>
                <w:dstrike w:val="0"/>
                <w:color w:val="auto"/>
                <w:spacing w:val="3"/>
                <w:sz w:val="21"/>
                <w:szCs w:val="21"/>
                <w:highlight w:val="none"/>
              </w:rPr>
              <w:t xml:space="preserve">  </w:t>
            </w:r>
            <w:r>
              <w:rPr>
                <w:strike/>
                <w:dstrike w:val="0"/>
                <w:color w:val="auto"/>
                <w:spacing w:val="-4"/>
                <w:sz w:val="21"/>
                <w:szCs w:val="21"/>
                <w:highlight w:val="none"/>
              </w:rPr>
              <w:t>计</w:t>
            </w:r>
          </w:p>
        </w:tc>
        <w:tc>
          <w:tcPr>
            <w:tcW w:w="1133" w:type="dxa"/>
            <w:tcBorders>
              <w:bottom w:val="single" w:color="000000" w:sz="6" w:space="0"/>
            </w:tcBorders>
            <w:vAlign w:val="top"/>
          </w:tcPr>
          <w:p w14:paraId="7598DA83">
            <w:pPr>
              <w:rPr>
                <w:rFonts w:ascii="Arial"/>
                <w:strike/>
                <w:dstrike w:val="0"/>
                <w:color w:val="auto"/>
                <w:sz w:val="21"/>
                <w:highlight w:val="none"/>
              </w:rPr>
            </w:pPr>
          </w:p>
        </w:tc>
        <w:tc>
          <w:tcPr>
            <w:tcW w:w="999" w:type="dxa"/>
            <w:tcBorders>
              <w:bottom w:val="single" w:color="000000" w:sz="6" w:space="0"/>
              <w:right w:val="single" w:color="000000" w:sz="6" w:space="0"/>
            </w:tcBorders>
            <w:vAlign w:val="top"/>
          </w:tcPr>
          <w:p w14:paraId="1E7839DD">
            <w:pPr>
              <w:rPr>
                <w:rFonts w:ascii="Arial"/>
                <w:strike/>
                <w:dstrike w:val="0"/>
                <w:color w:val="auto"/>
                <w:sz w:val="21"/>
                <w:highlight w:val="none"/>
              </w:rPr>
            </w:pPr>
          </w:p>
        </w:tc>
      </w:tr>
    </w:tbl>
    <w:p w14:paraId="74A8AC90">
      <w:pPr>
        <w:spacing w:before="30" w:line="214" w:lineRule="auto"/>
        <w:ind w:left="466"/>
        <w:rPr>
          <w:rFonts w:ascii="宋体" w:hAnsi="宋体" w:eastAsia="宋体" w:cs="宋体"/>
          <w:strike/>
          <w:dstrike w:val="0"/>
          <w:color w:val="auto"/>
          <w:sz w:val="22"/>
          <w:szCs w:val="22"/>
          <w:highlight w:val="none"/>
        </w:rPr>
      </w:pPr>
      <w:r>
        <w:rPr>
          <w:rFonts w:ascii="黑体" w:hAnsi="黑体" w:eastAsia="黑体" w:cs="黑体"/>
          <w:i/>
          <w:iCs/>
          <w:strike/>
          <w:dstrike w:val="0"/>
          <w:color w:val="auto"/>
          <w:spacing w:val="-8"/>
          <w:sz w:val="22"/>
          <w:szCs w:val="22"/>
          <w:highlight w:val="none"/>
        </w:rPr>
        <w:t>注：</w:t>
      </w:r>
      <w:r>
        <w:rPr>
          <w:rFonts w:ascii="宋体" w:hAnsi="宋体" w:eastAsia="宋体" w:cs="宋体"/>
          <w:i/>
          <w:iCs/>
          <w:strike/>
          <w:dstrike w:val="0"/>
          <w:color w:val="auto"/>
          <w:spacing w:val="-8"/>
          <w:sz w:val="22"/>
          <w:szCs w:val="22"/>
          <w:highlight w:val="none"/>
        </w:rPr>
        <w:t>技术评审内容可根据项目实际情况进行调整。</w:t>
      </w:r>
    </w:p>
    <w:p w14:paraId="18F069EF">
      <w:pPr>
        <w:spacing w:before="159" w:line="220" w:lineRule="auto"/>
        <w:ind w:left="4"/>
        <w:outlineLvl w:val="2"/>
        <w:rPr>
          <w:rFonts w:ascii="宋体" w:hAnsi="宋体" w:eastAsia="宋体" w:cs="宋体"/>
          <w:strike w:val="0"/>
          <w:dstrike w:val="0"/>
          <w:color w:val="auto"/>
          <w:sz w:val="24"/>
          <w:szCs w:val="24"/>
          <w:highlight w:val="none"/>
        </w:rPr>
      </w:pPr>
      <w:bookmarkStart w:id="374" w:name="bookmark229"/>
      <w:bookmarkEnd w:id="374"/>
      <w:bookmarkStart w:id="375" w:name="bookmark230"/>
      <w:bookmarkEnd w:id="375"/>
      <w:bookmarkStart w:id="376" w:name="_Toc15356"/>
      <w:bookmarkStart w:id="377" w:name="_Toc15165"/>
      <w:r>
        <w:rPr>
          <w:rFonts w:ascii="Times New Roman" w:hAnsi="Times New Roman" w:eastAsia="Times New Roman" w:cs="Times New Roman"/>
          <w:strike w:val="0"/>
          <w:dstrike w:val="0"/>
          <w:color w:val="auto"/>
          <w:spacing w:val="-2"/>
          <w:sz w:val="24"/>
          <w:szCs w:val="24"/>
          <w:highlight w:val="none"/>
        </w:rPr>
        <w:t xml:space="preserve">4.4  </w:t>
      </w:r>
      <w:r>
        <w:rPr>
          <w:rFonts w:ascii="宋体" w:hAnsi="宋体" w:eastAsia="宋体" w:cs="宋体"/>
          <w:b/>
          <w:bCs/>
          <w:strike w:val="0"/>
          <w:dstrike w:val="0"/>
          <w:color w:val="auto"/>
          <w:spacing w:val="-2"/>
          <w:sz w:val="24"/>
          <w:szCs w:val="24"/>
          <w:highlight w:val="none"/>
        </w:rPr>
        <w:t>投标文件的资信评分</w:t>
      </w:r>
      <w:bookmarkEnd w:id="376"/>
      <w:bookmarkEnd w:id="377"/>
    </w:p>
    <w:p w14:paraId="6A9A948B">
      <w:pPr>
        <w:spacing w:line="220" w:lineRule="auto"/>
        <w:rPr>
          <w:rFonts w:ascii="宋体" w:hAnsi="宋体" w:eastAsia="宋体" w:cs="宋体"/>
          <w:strike w:val="0"/>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BBE0E46">
      <w:pPr>
        <w:spacing w:before="47" w:line="290" w:lineRule="auto"/>
        <w:ind w:left="55" w:right="244" w:firstLine="536"/>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4.1  </w:t>
      </w:r>
      <w:r>
        <w:rPr>
          <w:rFonts w:ascii="宋体" w:hAnsi="宋体" w:eastAsia="宋体" w:cs="宋体"/>
          <w:strike/>
          <w:dstrike w:val="0"/>
          <w:color w:val="auto"/>
          <w:spacing w:val="-3"/>
          <w:sz w:val="24"/>
          <w:szCs w:val="24"/>
          <w:highlight w:val="none"/>
        </w:rPr>
        <w:t>评标委员会应对通过技术评审的投标文件进行资信符合性审查</w:t>
      </w:r>
      <w:r>
        <w:rPr>
          <w:rFonts w:ascii="宋体" w:hAnsi="宋体" w:eastAsia="宋体" w:cs="宋体"/>
          <w:strike/>
          <w:dstrike w:val="0"/>
          <w:color w:val="auto"/>
          <w:spacing w:val="-4"/>
          <w:sz w:val="24"/>
          <w:szCs w:val="24"/>
          <w:highlight w:val="none"/>
        </w:rPr>
        <w:t>。资信符合性</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审查未通过的投标文件不再进入后续评审。</w:t>
      </w:r>
    </w:p>
    <w:p w14:paraId="6C56B77C">
      <w:pPr>
        <w:spacing w:before="179" w:line="313" w:lineRule="auto"/>
        <w:ind w:left="44" w:right="235" w:firstLine="541"/>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4.2  </w:t>
      </w:r>
      <w:r>
        <w:rPr>
          <w:rFonts w:ascii="宋体" w:hAnsi="宋体" w:eastAsia="宋体" w:cs="宋体"/>
          <w:strike/>
          <w:dstrike w:val="0"/>
          <w:color w:val="auto"/>
          <w:spacing w:val="-3"/>
          <w:sz w:val="24"/>
          <w:szCs w:val="24"/>
          <w:highlight w:val="none"/>
        </w:rPr>
        <w:t>投标文件如存在以下情况之一的，由评标委员会全体成员按照少数服从多数</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的原则记名投票（不得弃权）认定，作为资信符合性审查未通过予以否决其投标，不</w:t>
      </w:r>
      <w:r>
        <w:rPr>
          <w:rFonts w:ascii="宋体" w:hAnsi="宋体" w:eastAsia="宋体" w:cs="宋体"/>
          <w:strike/>
          <w:dstrike w:val="0"/>
          <w:color w:val="auto"/>
          <w:spacing w:val="5"/>
          <w:sz w:val="24"/>
          <w:szCs w:val="24"/>
          <w:highlight w:val="none"/>
        </w:rPr>
        <w:t xml:space="preserve"> </w:t>
      </w:r>
      <w:r>
        <w:rPr>
          <w:rFonts w:ascii="宋体" w:hAnsi="宋体" w:eastAsia="宋体" w:cs="宋体"/>
          <w:strike/>
          <w:dstrike w:val="0"/>
          <w:color w:val="auto"/>
          <w:spacing w:val="-8"/>
          <w:sz w:val="24"/>
          <w:szCs w:val="24"/>
          <w:highlight w:val="none"/>
        </w:rPr>
        <w:t>再进行后续评审：</w:t>
      </w:r>
    </w:p>
    <w:p w14:paraId="102BD063">
      <w:pPr>
        <w:spacing w:before="182" w:line="288" w:lineRule="auto"/>
        <w:ind w:left="42" w:right="246"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代理人）未按招标文件要求签字或盖章的。</w:t>
      </w:r>
    </w:p>
    <w:p w14:paraId="386F4456">
      <w:pPr>
        <w:spacing w:before="183" w:line="213" w:lineRule="auto"/>
        <w:ind w:left="59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w:t>
      </w:r>
      <w:r>
        <w:rPr>
          <w:rFonts w:ascii="宋体" w:hAnsi="宋体" w:eastAsia="宋体" w:cs="宋体"/>
          <w:i/>
          <w:iCs/>
          <w:strike/>
          <w:dstrike w:val="0"/>
          <w:color w:val="auto"/>
          <w:spacing w:val="-5"/>
          <w:sz w:val="25"/>
          <w:szCs w:val="25"/>
          <w:highlight w:val="none"/>
        </w:rPr>
        <w:t>……（由招标人自行扩充）</w:t>
      </w:r>
    </w:p>
    <w:p w14:paraId="2849AD72">
      <w:pPr>
        <w:spacing w:before="177" w:line="219" w:lineRule="auto"/>
        <w:ind w:left="59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）存在法律、法规、规章规定的其他无效投标情况的。</w:t>
      </w:r>
    </w:p>
    <w:p w14:paraId="165D462B">
      <w:pPr>
        <w:spacing w:before="183" w:line="308" w:lineRule="auto"/>
        <w:ind w:left="42" w:right="150" w:firstLine="48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4.3  </w:t>
      </w:r>
      <w:r>
        <w:rPr>
          <w:rFonts w:ascii="宋体" w:hAnsi="宋体" w:eastAsia="宋体" w:cs="宋体"/>
          <w:strike/>
          <w:dstrike w:val="0"/>
          <w:color w:val="auto"/>
          <w:sz w:val="24"/>
          <w:szCs w:val="24"/>
          <w:highlight w:val="none"/>
        </w:rPr>
        <w:t>投标文件的资信评审包括企业信用评价等级、项目负责人类似业绩等因素，</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18"/>
          <w:sz w:val="24"/>
          <w:szCs w:val="24"/>
          <w:highlight w:val="none"/>
        </w:rPr>
        <w:t>资信评分满分</w:t>
      </w:r>
      <w:r>
        <w:rPr>
          <w:rFonts w:ascii="宋体" w:hAnsi="宋体" w:eastAsia="宋体" w:cs="宋体"/>
          <w:strike/>
          <w:dstrike w:val="0"/>
          <w:color w:val="auto"/>
          <w:spacing w:val="-112"/>
          <w:sz w:val="24"/>
          <w:szCs w:val="24"/>
          <w:highlight w:val="none"/>
        </w:rPr>
        <w:t xml:space="preserve"> </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18"/>
          <w:sz w:val="24"/>
          <w:szCs w:val="24"/>
          <w:highlight w:val="none"/>
        </w:rPr>
        <w:t>分</w:t>
      </w:r>
      <w:r>
        <w:rPr>
          <w:rFonts w:ascii="宋体" w:hAnsi="宋体" w:eastAsia="宋体" w:cs="宋体"/>
          <w:i/>
          <w:iCs/>
          <w:strike/>
          <w:dstrike w:val="0"/>
          <w:color w:val="auto"/>
          <w:spacing w:val="-18"/>
          <w:sz w:val="25"/>
          <w:szCs w:val="25"/>
          <w:highlight w:val="none"/>
        </w:rPr>
        <w:t>（资信评分满分不超过</w:t>
      </w:r>
      <w:r>
        <w:rPr>
          <w:rFonts w:ascii="Times New Roman" w:hAnsi="Times New Roman" w:eastAsia="Times New Roman" w:cs="Times New Roman"/>
          <w:i/>
          <w:iCs/>
          <w:strike/>
          <w:dstrike w:val="0"/>
          <w:color w:val="auto"/>
          <w:spacing w:val="-18"/>
          <w:sz w:val="24"/>
          <w:szCs w:val="24"/>
          <w:highlight w:val="none"/>
        </w:rPr>
        <w:t>7</w:t>
      </w:r>
      <w:r>
        <w:rPr>
          <w:rFonts w:ascii="宋体" w:hAnsi="宋体" w:eastAsia="宋体" w:cs="宋体"/>
          <w:i/>
          <w:iCs/>
          <w:strike/>
          <w:dstrike w:val="0"/>
          <w:color w:val="auto"/>
          <w:spacing w:val="-18"/>
          <w:sz w:val="25"/>
          <w:szCs w:val="25"/>
          <w:highlight w:val="none"/>
        </w:rPr>
        <w:t>分，具体内容和分值由招标人自行确定</w:t>
      </w:r>
      <w:r>
        <w:rPr>
          <w:rFonts w:ascii="宋体" w:hAnsi="宋体" w:eastAsia="宋体" w:cs="宋体"/>
          <w:strike/>
          <w:dstrike w:val="0"/>
          <w:color w:val="auto"/>
          <w:spacing w:val="-18"/>
          <w:sz w:val="24"/>
          <w:szCs w:val="24"/>
          <w:highlight w:val="none"/>
        </w:rPr>
        <w:t>）。</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评标委员会全体成员查阅投标文件及相关证明材料并进行集体讨论后统一评分。</w:t>
      </w:r>
    </w:p>
    <w:p w14:paraId="02A5799F">
      <w:pPr>
        <w:spacing w:before="39"/>
        <w:rPr>
          <w:strike/>
          <w:dstrike w:val="0"/>
          <w:color w:val="auto"/>
          <w:highlight w:val="none"/>
        </w:rPr>
      </w:pPr>
    </w:p>
    <w:p w14:paraId="5B48FC50">
      <w:pPr>
        <w:spacing w:before="39"/>
        <w:rPr>
          <w:strike/>
          <w:dstrike w:val="0"/>
          <w:color w:val="auto"/>
          <w:highlight w:val="none"/>
        </w:rPr>
      </w:pPr>
    </w:p>
    <w:tbl>
      <w:tblPr>
        <w:tblStyle w:val="32"/>
        <w:tblW w:w="904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84"/>
        <w:gridCol w:w="7051"/>
        <w:gridCol w:w="1107"/>
      </w:tblGrid>
      <w:tr w14:paraId="4A9C65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2" w:hRule="atLeast"/>
        </w:trPr>
        <w:tc>
          <w:tcPr>
            <w:tcW w:w="884" w:type="dxa"/>
            <w:tcBorders>
              <w:top w:val="single" w:color="000000" w:sz="6" w:space="0"/>
              <w:left w:val="single" w:color="000000" w:sz="6" w:space="0"/>
            </w:tcBorders>
            <w:vAlign w:val="top"/>
          </w:tcPr>
          <w:p w14:paraId="28970E95">
            <w:pPr>
              <w:pStyle w:val="33"/>
              <w:spacing w:before="125" w:line="222" w:lineRule="auto"/>
              <w:ind w:left="229"/>
              <w:rPr>
                <w:strike/>
                <w:dstrike w:val="0"/>
                <w:color w:val="auto"/>
                <w:sz w:val="21"/>
                <w:szCs w:val="21"/>
                <w:highlight w:val="none"/>
              </w:rPr>
            </w:pPr>
            <w:r>
              <w:rPr>
                <w:strike/>
                <w:dstrike w:val="0"/>
                <w:color w:val="auto"/>
                <w:spacing w:val="-2"/>
                <w:sz w:val="21"/>
                <w:szCs w:val="21"/>
                <w:highlight w:val="none"/>
              </w:rPr>
              <w:t>序号</w:t>
            </w:r>
          </w:p>
        </w:tc>
        <w:tc>
          <w:tcPr>
            <w:tcW w:w="7051" w:type="dxa"/>
            <w:tcBorders>
              <w:top w:val="single" w:color="000000" w:sz="6" w:space="0"/>
            </w:tcBorders>
            <w:vAlign w:val="top"/>
          </w:tcPr>
          <w:p w14:paraId="4B2ECF43">
            <w:pPr>
              <w:pStyle w:val="33"/>
              <w:spacing w:before="124" w:line="221" w:lineRule="auto"/>
              <w:ind w:left="3133"/>
              <w:rPr>
                <w:strike/>
                <w:dstrike w:val="0"/>
                <w:color w:val="auto"/>
                <w:sz w:val="21"/>
                <w:szCs w:val="21"/>
                <w:highlight w:val="none"/>
              </w:rPr>
            </w:pPr>
            <w:r>
              <w:rPr>
                <w:strike/>
                <w:dstrike w:val="0"/>
                <w:color w:val="auto"/>
                <w:spacing w:val="-17"/>
                <w:sz w:val="21"/>
                <w:szCs w:val="21"/>
                <w:highlight w:val="none"/>
              </w:rPr>
              <w:t>内</w:t>
            </w:r>
            <w:r>
              <w:rPr>
                <w:strike/>
                <w:dstrike w:val="0"/>
                <w:color w:val="auto"/>
                <w:spacing w:val="2"/>
                <w:sz w:val="21"/>
                <w:szCs w:val="21"/>
                <w:highlight w:val="none"/>
              </w:rPr>
              <w:t xml:space="preserve">    </w:t>
            </w:r>
            <w:r>
              <w:rPr>
                <w:strike/>
                <w:dstrike w:val="0"/>
                <w:color w:val="auto"/>
                <w:spacing w:val="-17"/>
                <w:sz w:val="21"/>
                <w:szCs w:val="21"/>
                <w:highlight w:val="none"/>
              </w:rPr>
              <w:t>容</w:t>
            </w:r>
          </w:p>
        </w:tc>
        <w:tc>
          <w:tcPr>
            <w:tcW w:w="1107" w:type="dxa"/>
            <w:tcBorders>
              <w:top w:val="single" w:color="000000" w:sz="6" w:space="0"/>
              <w:right w:val="single" w:color="000000" w:sz="6" w:space="0"/>
            </w:tcBorders>
            <w:vAlign w:val="top"/>
          </w:tcPr>
          <w:p w14:paraId="4F6EDB92">
            <w:pPr>
              <w:pStyle w:val="33"/>
              <w:spacing w:before="124" w:line="221" w:lineRule="auto"/>
              <w:ind w:left="351"/>
              <w:rPr>
                <w:strike/>
                <w:dstrike w:val="0"/>
                <w:color w:val="auto"/>
                <w:sz w:val="21"/>
                <w:szCs w:val="21"/>
                <w:highlight w:val="none"/>
              </w:rPr>
            </w:pPr>
            <w:r>
              <w:rPr>
                <w:strike/>
                <w:dstrike w:val="0"/>
                <w:color w:val="auto"/>
                <w:spacing w:val="-2"/>
                <w:sz w:val="21"/>
                <w:szCs w:val="21"/>
                <w:highlight w:val="none"/>
              </w:rPr>
              <w:t>得分</w:t>
            </w:r>
          </w:p>
        </w:tc>
      </w:tr>
      <w:tr w14:paraId="61FC0B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9" w:hRule="atLeast"/>
        </w:trPr>
        <w:tc>
          <w:tcPr>
            <w:tcW w:w="884" w:type="dxa"/>
            <w:tcBorders>
              <w:left w:val="single" w:color="000000" w:sz="6" w:space="0"/>
            </w:tcBorders>
            <w:vAlign w:val="top"/>
          </w:tcPr>
          <w:p w14:paraId="15A11FA5">
            <w:pPr>
              <w:spacing w:before="205" w:line="187" w:lineRule="auto"/>
              <w:ind w:left="403"/>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1</w:t>
            </w:r>
          </w:p>
        </w:tc>
        <w:tc>
          <w:tcPr>
            <w:tcW w:w="7051" w:type="dxa"/>
            <w:vAlign w:val="top"/>
          </w:tcPr>
          <w:p w14:paraId="1DDF5311">
            <w:pPr>
              <w:pStyle w:val="33"/>
              <w:spacing w:before="31" w:line="223" w:lineRule="auto"/>
              <w:ind w:left="107" w:right="118"/>
              <w:rPr>
                <w:strike/>
                <w:dstrike w:val="0"/>
                <w:color w:val="auto"/>
                <w:sz w:val="21"/>
                <w:szCs w:val="21"/>
                <w:highlight w:val="none"/>
              </w:rPr>
            </w:pPr>
            <w:r>
              <w:rPr>
                <w:strike/>
                <w:dstrike w:val="0"/>
                <w:color w:val="auto"/>
                <w:sz w:val="21"/>
                <w:szCs w:val="21"/>
                <w:highlight w:val="none"/>
              </w:rPr>
              <w:t>企业信用等级（浙江省水利建设市场信用评价等级（施工</w:t>
            </w:r>
            <w:r>
              <w:rPr>
                <w:strike/>
                <w:dstrike w:val="0"/>
                <w:color w:val="auto"/>
                <w:spacing w:val="-1"/>
                <w:sz w:val="21"/>
                <w:szCs w:val="21"/>
                <w:highlight w:val="none"/>
              </w:rPr>
              <w:t>类）本项最高得</w:t>
            </w:r>
            <w:r>
              <w:rPr>
                <w:rFonts w:ascii="Times New Roman" w:hAnsi="Times New Roman" w:eastAsia="Times New Roman" w:cs="Times New Roman"/>
                <w:strike/>
                <w:dstrike w:val="0"/>
                <w:color w:val="auto"/>
                <w:spacing w:val="-1"/>
                <w:sz w:val="21"/>
                <w:szCs w:val="21"/>
                <w:highlight w:val="none"/>
              </w:rPr>
              <w:t>5</w:t>
            </w:r>
            <w:r>
              <w:rPr>
                <w:rFonts w:ascii="Times New Roman" w:hAnsi="Times New Roman" w:eastAsia="Times New Roman" w:cs="Times New Roman"/>
                <w:strike/>
                <w:dstrike w:val="0"/>
                <w:color w:val="auto"/>
                <w:sz w:val="21"/>
                <w:szCs w:val="21"/>
                <w:highlight w:val="none"/>
              </w:rPr>
              <w:t xml:space="preserve"> </w:t>
            </w:r>
            <w:r>
              <w:rPr>
                <w:strike/>
                <w:dstrike w:val="0"/>
                <w:color w:val="auto"/>
                <w:spacing w:val="-5"/>
                <w:sz w:val="21"/>
                <w:szCs w:val="21"/>
                <w:highlight w:val="none"/>
              </w:rPr>
              <w:t>分。）</w:t>
            </w:r>
          </w:p>
        </w:tc>
        <w:tc>
          <w:tcPr>
            <w:tcW w:w="1107" w:type="dxa"/>
            <w:tcBorders>
              <w:right w:val="single" w:color="000000" w:sz="6" w:space="0"/>
            </w:tcBorders>
            <w:vAlign w:val="top"/>
          </w:tcPr>
          <w:p w14:paraId="1A89CADA">
            <w:pPr>
              <w:spacing w:before="205" w:line="187" w:lineRule="auto"/>
              <w:ind w:left="43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5.0</w:t>
            </w:r>
          </w:p>
        </w:tc>
      </w:tr>
      <w:tr w14:paraId="74D908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top"/>
          </w:tcPr>
          <w:p w14:paraId="16808B26">
            <w:pPr>
              <w:pStyle w:val="33"/>
              <w:spacing w:before="121" w:line="233" w:lineRule="auto"/>
              <w:ind w:left="184"/>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1</w:t>
            </w:r>
            <w:r>
              <w:rPr>
                <w:strike/>
                <w:dstrike w:val="0"/>
                <w:color w:val="auto"/>
                <w:spacing w:val="-5"/>
                <w:sz w:val="21"/>
                <w:szCs w:val="21"/>
                <w:highlight w:val="none"/>
              </w:rPr>
              <w:t>）</w:t>
            </w:r>
          </w:p>
        </w:tc>
        <w:tc>
          <w:tcPr>
            <w:tcW w:w="7051" w:type="dxa"/>
            <w:vAlign w:val="top"/>
          </w:tcPr>
          <w:p w14:paraId="44F54C37">
            <w:pPr>
              <w:pStyle w:val="33"/>
              <w:spacing w:before="121" w:line="221" w:lineRule="auto"/>
              <w:ind w:left="106"/>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7" w:type="dxa"/>
            <w:tcBorders>
              <w:right w:val="single" w:color="000000" w:sz="6" w:space="0"/>
            </w:tcBorders>
            <w:vAlign w:val="top"/>
          </w:tcPr>
          <w:p w14:paraId="307B400E">
            <w:pPr>
              <w:rPr>
                <w:rFonts w:ascii="Arial"/>
                <w:strike/>
                <w:dstrike w:val="0"/>
                <w:color w:val="auto"/>
                <w:sz w:val="21"/>
                <w:highlight w:val="none"/>
              </w:rPr>
            </w:pPr>
          </w:p>
        </w:tc>
      </w:tr>
      <w:tr w14:paraId="5B5B6C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top"/>
          </w:tcPr>
          <w:p w14:paraId="4BB88651">
            <w:pPr>
              <w:rPr>
                <w:rFonts w:ascii="Arial"/>
                <w:strike/>
                <w:dstrike w:val="0"/>
                <w:color w:val="auto"/>
                <w:sz w:val="21"/>
                <w:highlight w:val="none"/>
              </w:rPr>
            </w:pPr>
          </w:p>
        </w:tc>
        <w:tc>
          <w:tcPr>
            <w:tcW w:w="7051" w:type="dxa"/>
            <w:vAlign w:val="top"/>
          </w:tcPr>
          <w:p w14:paraId="640C8C3C">
            <w:pPr>
              <w:pStyle w:val="33"/>
              <w:spacing w:before="121"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A</w:t>
            </w:r>
          </w:p>
        </w:tc>
        <w:tc>
          <w:tcPr>
            <w:tcW w:w="1107" w:type="dxa"/>
            <w:tcBorders>
              <w:right w:val="single" w:color="000000" w:sz="6" w:space="0"/>
            </w:tcBorders>
            <w:vAlign w:val="top"/>
          </w:tcPr>
          <w:p w14:paraId="2200898F">
            <w:pPr>
              <w:spacing w:before="160" w:line="187" w:lineRule="auto"/>
              <w:ind w:left="43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5.0</w:t>
            </w:r>
          </w:p>
        </w:tc>
      </w:tr>
      <w:tr w14:paraId="4E2A57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top"/>
          </w:tcPr>
          <w:p w14:paraId="79F6A1E2">
            <w:pPr>
              <w:rPr>
                <w:rFonts w:ascii="Arial"/>
                <w:strike/>
                <w:dstrike w:val="0"/>
                <w:color w:val="auto"/>
                <w:sz w:val="21"/>
                <w:highlight w:val="none"/>
              </w:rPr>
            </w:pPr>
          </w:p>
        </w:tc>
        <w:tc>
          <w:tcPr>
            <w:tcW w:w="7051" w:type="dxa"/>
            <w:vAlign w:val="top"/>
          </w:tcPr>
          <w:p w14:paraId="5A709858">
            <w:pPr>
              <w:pStyle w:val="33"/>
              <w:spacing w:before="122"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B</w:t>
            </w:r>
          </w:p>
        </w:tc>
        <w:tc>
          <w:tcPr>
            <w:tcW w:w="1107" w:type="dxa"/>
            <w:tcBorders>
              <w:right w:val="single" w:color="000000" w:sz="6" w:space="0"/>
            </w:tcBorders>
            <w:vAlign w:val="top"/>
          </w:tcPr>
          <w:p w14:paraId="05AB1AF2">
            <w:pPr>
              <w:spacing w:before="161" w:line="187" w:lineRule="auto"/>
              <w:ind w:left="424"/>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1"/>
                <w:sz w:val="21"/>
                <w:szCs w:val="21"/>
                <w:highlight w:val="none"/>
              </w:rPr>
              <w:t>4.0</w:t>
            </w:r>
          </w:p>
        </w:tc>
      </w:tr>
      <w:tr w14:paraId="5D8C4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top"/>
          </w:tcPr>
          <w:p w14:paraId="360A90FF">
            <w:pPr>
              <w:rPr>
                <w:rFonts w:ascii="Arial"/>
                <w:strike/>
                <w:dstrike w:val="0"/>
                <w:color w:val="auto"/>
                <w:sz w:val="21"/>
                <w:highlight w:val="none"/>
              </w:rPr>
            </w:pPr>
          </w:p>
        </w:tc>
        <w:tc>
          <w:tcPr>
            <w:tcW w:w="7051" w:type="dxa"/>
            <w:vAlign w:val="top"/>
          </w:tcPr>
          <w:p w14:paraId="4DEDCE75">
            <w:pPr>
              <w:pStyle w:val="33"/>
              <w:spacing w:before="122"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C</w:t>
            </w:r>
          </w:p>
        </w:tc>
        <w:tc>
          <w:tcPr>
            <w:tcW w:w="1107" w:type="dxa"/>
            <w:tcBorders>
              <w:right w:val="single" w:color="000000" w:sz="6" w:space="0"/>
            </w:tcBorders>
            <w:vAlign w:val="top"/>
          </w:tcPr>
          <w:p w14:paraId="2DCFFE41">
            <w:pPr>
              <w:spacing w:before="163" w:line="187" w:lineRule="auto"/>
              <w:ind w:left="44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5"/>
                <w:sz w:val="21"/>
                <w:szCs w:val="21"/>
                <w:highlight w:val="none"/>
              </w:rPr>
              <w:t>1.0</w:t>
            </w:r>
          </w:p>
        </w:tc>
      </w:tr>
      <w:tr w14:paraId="4B684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top"/>
          </w:tcPr>
          <w:p w14:paraId="53C1B834">
            <w:pPr>
              <w:rPr>
                <w:rFonts w:ascii="Arial"/>
                <w:strike/>
                <w:dstrike w:val="0"/>
                <w:color w:val="auto"/>
                <w:sz w:val="21"/>
                <w:highlight w:val="none"/>
              </w:rPr>
            </w:pPr>
          </w:p>
        </w:tc>
        <w:tc>
          <w:tcPr>
            <w:tcW w:w="7051" w:type="dxa"/>
            <w:vAlign w:val="top"/>
          </w:tcPr>
          <w:p w14:paraId="7986C8E9">
            <w:pPr>
              <w:pStyle w:val="33"/>
              <w:spacing w:before="123" w:line="219" w:lineRule="auto"/>
              <w:ind w:left="108"/>
              <w:rPr>
                <w:strike/>
                <w:dstrike w:val="0"/>
                <w:color w:val="auto"/>
                <w:sz w:val="21"/>
                <w:szCs w:val="21"/>
                <w:highlight w:val="none"/>
              </w:rPr>
            </w:pPr>
            <w:r>
              <w:rPr>
                <w:strike/>
                <w:dstrike w:val="0"/>
                <w:color w:val="auto"/>
                <w:spacing w:val="-1"/>
                <w:sz w:val="21"/>
                <w:szCs w:val="21"/>
                <w:highlight w:val="none"/>
              </w:rPr>
              <w:t>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1107" w:type="dxa"/>
            <w:tcBorders>
              <w:right w:val="single" w:color="000000" w:sz="6" w:space="0"/>
            </w:tcBorders>
            <w:vAlign w:val="top"/>
          </w:tcPr>
          <w:p w14:paraId="566DA617">
            <w:pPr>
              <w:spacing w:before="161" w:line="187" w:lineRule="auto"/>
              <w:ind w:left="429"/>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0.0</w:t>
            </w:r>
          </w:p>
        </w:tc>
      </w:tr>
      <w:tr w14:paraId="5409F5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top"/>
          </w:tcPr>
          <w:p w14:paraId="60E840E3">
            <w:pPr>
              <w:pStyle w:val="33"/>
              <w:spacing w:before="123" w:line="233" w:lineRule="auto"/>
              <w:ind w:left="184"/>
              <w:rPr>
                <w:strike/>
                <w:dstrike w:val="0"/>
                <w:color w:val="auto"/>
                <w:sz w:val="21"/>
                <w:szCs w:val="21"/>
                <w:highlight w:val="none"/>
              </w:rPr>
            </w:pPr>
            <w:r>
              <w:rPr>
                <w:strike/>
                <w:dstrike w:val="0"/>
                <w:color w:val="auto"/>
                <w:spacing w:val="-5"/>
                <w:sz w:val="21"/>
                <w:szCs w:val="21"/>
                <w:highlight w:val="none"/>
              </w:rPr>
              <w:t>（</w:t>
            </w:r>
            <w:r>
              <w:rPr>
                <w:rFonts w:ascii="Times New Roman" w:hAnsi="Times New Roman" w:eastAsia="Times New Roman" w:cs="Times New Roman"/>
                <w:strike/>
                <w:dstrike w:val="0"/>
                <w:color w:val="auto"/>
                <w:spacing w:val="-5"/>
                <w:sz w:val="21"/>
                <w:szCs w:val="21"/>
                <w:highlight w:val="none"/>
              </w:rPr>
              <w:t>2</w:t>
            </w:r>
            <w:r>
              <w:rPr>
                <w:strike/>
                <w:dstrike w:val="0"/>
                <w:color w:val="auto"/>
                <w:spacing w:val="-5"/>
                <w:sz w:val="21"/>
                <w:szCs w:val="21"/>
                <w:highlight w:val="none"/>
              </w:rPr>
              <w:t>）</w:t>
            </w:r>
          </w:p>
        </w:tc>
        <w:tc>
          <w:tcPr>
            <w:tcW w:w="7051" w:type="dxa"/>
            <w:vAlign w:val="top"/>
          </w:tcPr>
          <w:p w14:paraId="51BBEAEC">
            <w:pPr>
              <w:pStyle w:val="33"/>
              <w:spacing w:before="123" w:line="221" w:lineRule="auto"/>
              <w:ind w:left="106"/>
              <w:rPr>
                <w:strike/>
                <w:dstrike w:val="0"/>
                <w:color w:val="auto"/>
                <w:sz w:val="21"/>
                <w:szCs w:val="21"/>
                <w:highlight w:val="none"/>
              </w:rPr>
            </w:pPr>
            <w:r>
              <w:rPr>
                <w:strike/>
                <w:dstrike w:val="0"/>
                <w:color w:val="auto"/>
                <w:spacing w:val="-1"/>
                <w:sz w:val="21"/>
                <w:szCs w:val="21"/>
                <w:highlight w:val="none"/>
              </w:rPr>
              <w:t>标段概算投资＞</w:t>
            </w:r>
            <w:r>
              <w:rPr>
                <w:rFonts w:ascii="Times New Roman" w:hAnsi="Times New Roman" w:eastAsia="Times New Roman" w:cs="Times New Roman"/>
                <w:strike/>
                <w:dstrike w:val="0"/>
                <w:color w:val="auto"/>
                <w:spacing w:val="-1"/>
                <w:sz w:val="21"/>
                <w:szCs w:val="21"/>
                <w:highlight w:val="none"/>
              </w:rPr>
              <w:t>6000</w:t>
            </w:r>
            <w:r>
              <w:rPr>
                <w:strike/>
                <w:dstrike w:val="0"/>
                <w:color w:val="auto"/>
                <w:spacing w:val="-1"/>
                <w:sz w:val="21"/>
                <w:szCs w:val="21"/>
                <w:highlight w:val="none"/>
              </w:rPr>
              <w:t>万元</w:t>
            </w:r>
          </w:p>
        </w:tc>
        <w:tc>
          <w:tcPr>
            <w:tcW w:w="1107" w:type="dxa"/>
            <w:tcBorders>
              <w:right w:val="single" w:color="000000" w:sz="6" w:space="0"/>
            </w:tcBorders>
            <w:vAlign w:val="top"/>
          </w:tcPr>
          <w:p w14:paraId="7D50B157">
            <w:pPr>
              <w:rPr>
                <w:rFonts w:ascii="Arial"/>
                <w:strike/>
                <w:dstrike w:val="0"/>
                <w:color w:val="auto"/>
                <w:sz w:val="21"/>
                <w:highlight w:val="none"/>
              </w:rPr>
            </w:pPr>
          </w:p>
        </w:tc>
      </w:tr>
      <w:tr w14:paraId="004C60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top"/>
          </w:tcPr>
          <w:p w14:paraId="1C80B757">
            <w:pPr>
              <w:rPr>
                <w:rFonts w:ascii="Arial"/>
                <w:strike/>
                <w:dstrike w:val="0"/>
                <w:color w:val="auto"/>
                <w:sz w:val="21"/>
                <w:highlight w:val="none"/>
              </w:rPr>
            </w:pPr>
          </w:p>
        </w:tc>
        <w:tc>
          <w:tcPr>
            <w:tcW w:w="7051" w:type="dxa"/>
            <w:vAlign w:val="top"/>
          </w:tcPr>
          <w:p w14:paraId="7A67C2B0">
            <w:pPr>
              <w:pStyle w:val="33"/>
              <w:spacing w:before="123"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A</w:t>
            </w:r>
          </w:p>
        </w:tc>
        <w:tc>
          <w:tcPr>
            <w:tcW w:w="1107" w:type="dxa"/>
            <w:tcBorders>
              <w:right w:val="single" w:color="000000" w:sz="6" w:space="0"/>
            </w:tcBorders>
            <w:vAlign w:val="top"/>
          </w:tcPr>
          <w:p w14:paraId="02F3B507">
            <w:pPr>
              <w:spacing w:before="164" w:line="187" w:lineRule="auto"/>
              <w:ind w:left="431"/>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5.0</w:t>
            </w:r>
          </w:p>
        </w:tc>
      </w:tr>
      <w:tr w14:paraId="0D8EB5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top"/>
          </w:tcPr>
          <w:p w14:paraId="5A67DB72">
            <w:pPr>
              <w:rPr>
                <w:rFonts w:ascii="Arial"/>
                <w:strike/>
                <w:dstrike w:val="0"/>
                <w:color w:val="auto"/>
                <w:sz w:val="21"/>
                <w:highlight w:val="none"/>
              </w:rPr>
            </w:pPr>
          </w:p>
        </w:tc>
        <w:tc>
          <w:tcPr>
            <w:tcW w:w="7051" w:type="dxa"/>
            <w:vAlign w:val="top"/>
          </w:tcPr>
          <w:p w14:paraId="64E5445B">
            <w:pPr>
              <w:pStyle w:val="33"/>
              <w:spacing w:before="123"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B</w:t>
            </w:r>
          </w:p>
        </w:tc>
        <w:tc>
          <w:tcPr>
            <w:tcW w:w="1107" w:type="dxa"/>
            <w:tcBorders>
              <w:right w:val="single" w:color="000000" w:sz="6" w:space="0"/>
            </w:tcBorders>
            <w:vAlign w:val="top"/>
          </w:tcPr>
          <w:p w14:paraId="782E940F">
            <w:pPr>
              <w:spacing w:before="162" w:line="187" w:lineRule="auto"/>
              <w:ind w:left="430"/>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2"/>
                <w:sz w:val="21"/>
                <w:szCs w:val="21"/>
                <w:highlight w:val="none"/>
              </w:rPr>
              <w:t>3.0</w:t>
            </w:r>
          </w:p>
        </w:tc>
      </w:tr>
      <w:tr w14:paraId="4DEE3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884" w:type="dxa"/>
            <w:tcBorders>
              <w:left w:val="single" w:color="000000" w:sz="6" w:space="0"/>
            </w:tcBorders>
            <w:vAlign w:val="top"/>
          </w:tcPr>
          <w:p w14:paraId="503CE1A1">
            <w:pPr>
              <w:rPr>
                <w:rFonts w:ascii="Arial"/>
                <w:strike/>
                <w:dstrike w:val="0"/>
                <w:color w:val="auto"/>
                <w:sz w:val="21"/>
                <w:highlight w:val="none"/>
              </w:rPr>
            </w:pPr>
          </w:p>
        </w:tc>
        <w:tc>
          <w:tcPr>
            <w:tcW w:w="7051" w:type="dxa"/>
            <w:vAlign w:val="top"/>
          </w:tcPr>
          <w:p w14:paraId="03A10DE3">
            <w:pPr>
              <w:pStyle w:val="33"/>
              <w:spacing w:before="124" w:line="221" w:lineRule="auto"/>
              <w:ind w:left="108"/>
              <w:rPr>
                <w:rFonts w:ascii="Times New Roman" w:hAnsi="Times New Roman" w:eastAsia="Times New Roman" w:cs="Times New Roman"/>
                <w:strike/>
                <w:dstrike w:val="0"/>
                <w:color w:val="auto"/>
                <w:sz w:val="21"/>
                <w:szCs w:val="21"/>
                <w:highlight w:val="none"/>
              </w:rPr>
            </w:pPr>
            <w:r>
              <w:rPr>
                <w:strike/>
                <w:dstrike w:val="0"/>
                <w:color w:val="auto"/>
                <w:spacing w:val="-5"/>
                <w:sz w:val="21"/>
                <w:szCs w:val="21"/>
                <w:highlight w:val="none"/>
              </w:rPr>
              <w:t>省</w:t>
            </w:r>
            <w:r>
              <w:rPr>
                <w:rFonts w:ascii="Times New Roman" w:hAnsi="Times New Roman" w:eastAsia="Times New Roman" w:cs="Times New Roman"/>
                <w:strike/>
                <w:dstrike w:val="0"/>
                <w:color w:val="auto"/>
                <w:spacing w:val="-5"/>
                <w:sz w:val="21"/>
                <w:szCs w:val="21"/>
                <w:highlight w:val="none"/>
              </w:rPr>
              <w:t>C</w:t>
            </w:r>
          </w:p>
        </w:tc>
        <w:tc>
          <w:tcPr>
            <w:tcW w:w="1107" w:type="dxa"/>
            <w:tcBorders>
              <w:right w:val="single" w:color="000000" w:sz="6" w:space="0"/>
            </w:tcBorders>
            <w:vAlign w:val="top"/>
          </w:tcPr>
          <w:p w14:paraId="7E7E0944">
            <w:pPr>
              <w:spacing w:before="163" w:line="187" w:lineRule="auto"/>
              <w:ind w:left="44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5"/>
                <w:sz w:val="21"/>
                <w:szCs w:val="21"/>
                <w:highlight w:val="none"/>
              </w:rPr>
              <w:t>1.0</w:t>
            </w:r>
          </w:p>
        </w:tc>
      </w:tr>
      <w:tr w14:paraId="6A1798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top"/>
          </w:tcPr>
          <w:p w14:paraId="6AF54EF1">
            <w:pPr>
              <w:rPr>
                <w:rFonts w:ascii="Arial"/>
                <w:strike/>
                <w:dstrike w:val="0"/>
                <w:color w:val="auto"/>
                <w:sz w:val="21"/>
                <w:highlight w:val="none"/>
              </w:rPr>
            </w:pPr>
          </w:p>
        </w:tc>
        <w:tc>
          <w:tcPr>
            <w:tcW w:w="7051" w:type="dxa"/>
            <w:vAlign w:val="top"/>
          </w:tcPr>
          <w:p w14:paraId="67A09D59">
            <w:pPr>
              <w:pStyle w:val="33"/>
              <w:spacing w:before="124" w:line="219" w:lineRule="auto"/>
              <w:ind w:left="108"/>
              <w:rPr>
                <w:strike/>
                <w:dstrike w:val="0"/>
                <w:color w:val="auto"/>
                <w:sz w:val="21"/>
                <w:szCs w:val="21"/>
                <w:highlight w:val="none"/>
              </w:rPr>
            </w:pPr>
            <w:r>
              <w:rPr>
                <w:strike/>
                <w:dstrike w:val="0"/>
                <w:color w:val="auto"/>
                <w:spacing w:val="-1"/>
                <w:sz w:val="21"/>
                <w:szCs w:val="21"/>
                <w:highlight w:val="none"/>
              </w:rPr>
              <w:t>省</w:t>
            </w:r>
            <w:r>
              <w:rPr>
                <w:rFonts w:ascii="Times New Roman" w:hAnsi="Times New Roman" w:eastAsia="Times New Roman" w:cs="Times New Roman"/>
                <w:strike/>
                <w:dstrike w:val="0"/>
                <w:color w:val="auto"/>
                <w:spacing w:val="-1"/>
                <w:sz w:val="21"/>
                <w:szCs w:val="21"/>
                <w:highlight w:val="none"/>
              </w:rPr>
              <w:t>D</w:t>
            </w:r>
            <w:r>
              <w:rPr>
                <w:strike/>
                <w:dstrike w:val="0"/>
                <w:color w:val="auto"/>
                <w:spacing w:val="-1"/>
                <w:sz w:val="21"/>
                <w:szCs w:val="21"/>
                <w:highlight w:val="none"/>
              </w:rPr>
              <w:t>及以下等级或无信用评价等级</w:t>
            </w:r>
          </w:p>
        </w:tc>
        <w:tc>
          <w:tcPr>
            <w:tcW w:w="1107" w:type="dxa"/>
            <w:tcBorders>
              <w:right w:val="single" w:color="000000" w:sz="6" w:space="0"/>
            </w:tcBorders>
            <w:vAlign w:val="top"/>
          </w:tcPr>
          <w:p w14:paraId="54B4E977">
            <w:pPr>
              <w:spacing w:before="165" w:line="187" w:lineRule="auto"/>
              <w:ind w:left="429"/>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3"/>
                <w:sz w:val="21"/>
                <w:szCs w:val="21"/>
                <w:highlight w:val="none"/>
              </w:rPr>
              <w:t>0.0</w:t>
            </w:r>
          </w:p>
        </w:tc>
      </w:tr>
      <w:tr w14:paraId="42968C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820" w:hRule="atLeast"/>
        </w:trPr>
        <w:tc>
          <w:tcPr>
            <w:tcW w:w="884" w:type="dxa"/>
            <w:tcBorders>
              <w:left w:val="single" w:color="000000" w:sz="6" w:space="0"/>
            </w:tcBorders>
            <w:vAlign w:val="top"/>
          </w:tcPr>
          <w:p w14:paraId="1E34E880">
            <w:pPr>
              <w:spacing w:line="281" w:lineRule="auto"/>
              <w:rPr>
                <w:rFonts w:ascii="Arial"/>
                <w:strike/>
                <w:dstrike w:val="0"/>
                <w:color w:val="auto"/>
                <w:sz w:val="21"/>
                <w:highlight w:val="none"/>
              </w:rPr>
            </w:pPr>
          </w:p>
          <w:p w14:paraId="1E4B3839">
            <w:pPr>
              <w:spacing w:before="61" w:line="187" w:lineRule="auto"/>
              <w:ind w:left="383"/>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2</w:t>
            </w:r>
          </w:p>
        </w:tc>
        <w:tc>
          <w:tcPr>
            <w:tcW w:w="7051" w:type="dxa"/>
            <w:vAlign w:val="top"/>
          </w:tcPr>
          <w:p w14:paraId="5BA720FF">
            <w:pPr>
              <w:pStyle w:val="33"/>
              <w:spacing w:before="35" w:line="227" w:lineRule="auto"/>
              <w:ind w:left="104" w:right="101" w:firstLine="4"/>
              <w:rPr>
                <w:strike/>
                <w:dstrike w:val="0"/>
                <w:color w:val="auto"/>
                <w:sz w:val="21"/>
                <w:szCs w:val="21"/>
                <w:highlight w:val="none"/>
              </w:rPr>
            </w:pPr>
            <w:r>
              <w:rPr>
                <w:strike/>
                <w:dstrike w:val="0"/>
                <w:color w:val="auto"/>
                <w:spacing w:val="-2"/>
                <w:sz w:val="21"/>
                <w:szCs w:val="21"/>
                <w:highlight w:val="none"/>
              </w:rPr>
              <w:t>项目负责人自</w:t>
            </w:r>
            <w:r>
              <w:rPr>
                <w:strike/>
                <w:dstrike w:val="0"/>
                <w:color w:val="auto"/>
                <w:spacing w:val="-2"/>
                <w:sz w:val="21"/>
                <w:szCs w:val="21"/>
                <w:highlight w:val="none"/>
                <w:u w:val="single" w:color="auto"/>
              </w:rPr>
              <w:t xml:space="preserve">  </w:t>
            </w:r>
            <w:r>
              <w:rPr>
                <w:strike/>
                <w:dstrike w:val="0"/>
                <w:color w:val="auto"/>
                <w:spacing w:val="-96"/>
                <w:sz w:val="21"/>
                <w:szCs w:val="21"/>
                <w:highlight w:val="none"/>
              </w:rPr>
              <w:t xml:space="preserve"> </w:t>
            </w:r>
            <w:r>
              <w:rPr>
                <w:strike/>
                <w:dstrike w:val="0"/>
                <w:color w:val="auto"/>
                <w:spacing w:val="-2"/>
                <w:sz w:val="21"/>
                <w:szCs w:val="21"/>
                <w:highlight w:val="none"/>
              </w:rPr>
              <w:t>年</w:t>
            </w:r>
            <w:r>
              <w:rPr>
                <w:strike/>
                <w:dstrike w:val="0"/>
                <w:color w:val="auto"/>
                <w:spacing w:val="102"/>
                <w:sz w:val="21"/>
                <w:szCs w:val="21"/>
                <w:highlight w:val="none"/>
                <w:u w:val="single" w:color="auto"/>
              </w:rPr>
              <w:t xml:space="preserve"> </w:t>
            </w:r>
            <w:r>
              <w:rPr>
                <w:strike/>
                <w:dstrike w:val="0"/>
                <w:color w:val="auto"/>
                <w:spacing w:val="-92"/>
                <w:sz w:val="21"/>
                <w:szCs w:val="21"/>
                <w:highlight w:val="none"/>
              </w:rPr>
              <w:t xml:space="preserve"> </w:t>
            </w:r>
            <w:r>
              <w:rPr>
                <w:strike/>
                <w:dstrike w:val="0"/>
                <w:color w:val="auto"/>
                <w:spacing w:val="-2"/>
                <w:sz w:val="21"/>
                <w:szCs w:val="21"/>
                <w:highlight w:val="none"/>
              </w:rPr>
              <w:t>月</w:t>
            </w:r>
            <w:r>
              <w:rPr>
                <w:strike/>
                <w:dstrike w:val="0"/>
                <w:color w:val="auto"/>
                <w:spacing w:val="-105"/>
                <w:sz w:val="21"/>
                <w:szCs w:val="21"/>
                <w:highlight w:val="none"/>
              </w:rPr>
              <w:t xml:space="preserve"> </w:t>
            </w:r>
            <w:r>
              <w:rPr>
                <w:strike/>
                <w:dstrike w:val="0"/>
                <w:color w:val="auto"/>
                <w:spacing w:val="99"/>
                <w:sz w:val="21"/>
                <w:szCs w:val="21"/>
                <w:highlight w:val="none"/>
                <w:u w:val="single" w:color="auto"/>
              </w:rPr>
              <w:t xml:space="preserve"> </w:t>
            </w:r>
            <w:r>
              <w:rPr>
                <w:strike/>
                <w:dstrike w:val="0"/>
                <w:color w:val="auto"/>
                <w:spacing w:val="-61"/>
                <w:sz w:val="21"/>
                <w:szCs w:val="21"/>
                <w:highlight w:val="none"/>
              </w:rPr>
              <w:t xml:space="preserve"> </w:t>
            </w:r>
            <w:r>
              <w:rPr>
                <w:strike/>
                <w:dstrike w:val="0"/>
                <w:color w:val="auto"/>
                <w:spacing w:val="-2"/>
                <w:sz w:val="21"/>
                <w:szCs w:val="21"/>
                <w:highlight w:val="none"/>
              </w:rPr>
              <w:t>日至投标截止时间，以</w:t>
            </w:r>
            <w:r>
              <w:rPr>
                <w:strike/>
                <w:dstrike w:val="0"/>
                <w:color w:val="auto"/>
                <w:spacing w:val="-3"/>
                <w:sz w:val="21"/>
                <w:szCs w:val="21"/>
                <w:highlight w:val="none"/>
              </w:rPr>
              <w:t>项目负责人或技术负责人</w:t>
            </w:r>
            <w:r>
              <w:rPr>
                <w:strike/>
                <w:dstrike w:val="0"/>
                <w:color w:val="auto"/>
                <w:sz w:val="21"/>
                <w:szCs w:val="21"/>
                <w:highlight w:val="none"/>
              </w:rPr>
              <w:t xml:space="preserve">  </w:t>
            </w:r>
            <w:r>
              <w:rPr>
                <w:strike/>
                <w:dstrike w:val="0"/>
                <w:color w:val="auto"/>
                <w:spacing w:val="-3"/>
                <w:sz w:val="21"/>
                <w:szCs w:val="21"/>
                <w:highlight w:val="none"/>
              </w:rPr>
              <w:t>（包括工程总承包项目中的施工负责人或施工技术负责人）身份已完成的</w:t>
            </w:r>
            <w:r>
              <w:rPr>
                <w:strike/>
                <w:dstrike w:val="0"/>
                <w:color w:val="auto"/>
                <w:spacing w:val="109"/>
                <w:sz w:val="21"/>
                <w:szCs w:val="21"/>
                <w:highlight w:val="none"/>
                <w:u w:val="single" w:color="auto"/>
              </w:rPr>
              <w:t xml:space="preserve"> </w:t>
            </w:r>
            <w:r>
              <w:rPr>
                <w:strike/>
                <w:dstrike w:val="0"/>
                <w:color w:val="auto"/>
                <w:sz w:val="21"/>
                <w:szCs w:val="21"/>
                <w:highlight w:val="none"/>
              </w:rPr>
              <w:t xml:space="preserve"> </w:t>
            </w:r>
            <w:r>
              <w:rPr>
                <w:strike/>
                <w:dstrike w:val="0"/>
                <w:color w:val="auto"/>
                <w:spacing w:val="-2"/>
                <w:sz w:val="21"/>
                <w:szCs w:val="21"/>
                <w:highlight w:val="none"/>
              </w:rPr>
              <w:t>业绩的，本项最高得</w:t>
            </w:r>
            <w:r>
              <w:rPr>
                <w:rFonts w:ascii="Times New Roman" w:hAnsi="Times New Roman" w:eastAsia="Times New Roman" w:cs="Times New Roman"/>
                <w:strike/>
                <w:dstrike w:val="0"/>
                <w:color w:val="auto"/>
                <w:spacing w:val="-2"/>
                <w:sz w:val="21"/>
                <w:szCs w:val="21"/>
                <w:highlight w:val="none"/>
              </w:rPr>
              <w:t>1.0</w:t>
            </w:r>
            <w:r>
              <w:rPr>
                <w:strike/>
                <w:dstrike w:val="0"/>
                <w:color w:val="auto"/>
                <w:spacing w:val="-2"/>
                <w:sz w:val="21"/>
                <w:szCs w:val="21"/>
                <w:highlight w:val="none"/>
              </w:rPr>
              <w:t>分。</w:t>
            </w:r>
          </w:p>
        </w:tc>
        <w:tc>
          <w:tcPr>
            <w:tcW w:w="1107" w:type="dxa"/>
            <w:tcBorders>
              <w:right w:val="single" w:color="000000" w:sz="6" w:space="0"/>
            </w:tcBorders>
            <w:vAlign w:val="top"/>
          </w:tcPr>
          <w:p w14:paraId="142C608D">
            <w:pPr>
              <w:spacing w:line="281" w:lineRule="auto"/>
              <w:rPr>
                <w:rFonts w:ascii="Arial"/>
                <w:strike/>
                <w:dstrike w:val="0"/>
                <w:color w:val="auto"/>
                <w:sz w:val="21"/>
                <w:highlight w:val="none"/>
              </w:rPr>
            </w:pPr>
          </w:p>
          <w:p w14:paraId="39CA216F">
            <w:pPr>
              <w:spacing w:before="61" w:line="187" w:lineRule="auto"/>
              <w:ind w:left="446"/>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pacing w:val="-5"/>
                <w:sz w:val="21"/>
                <w:szCs w:val="21"/>
                <w:highlight w:val="none"/>
              </w:rPr>
              <w:t>1.0</w:t>
            </w:r>
          </w:p>
        </w:tc>
      </w:tr>
      <w:tr w14:paraId="62E65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884" w:type="dxa"/>
            <w:tcBorders>
              <w:left w:val="single" w:color="000000" w:sz="6" w:space="0"/>
            </w:tcBorders>
            <w:vAlign w:val="top"/>
          </w:tcPr>
          <w:p w14:paraId="24E87319">
            <w:pPr>
              <w:spacing w:before="164" w:line="187" w:lineRule="auto"/>
              <w:ind w:left="387"/>
              <w:rPr>
                <w:rFonts w:ascii="Times New Roman" w:hAnsi="Times New Roman" w:eastAsia="Times New Roman" w:cs="Times New Roman"/>
                <w:strike/>
                <w:dstrike w:val="0"/>
                <w:color w:val="auto"/>
                <w:sz w:val="21"/>
                <w:szCs w:val="21"/>
                <w:highlight w:val="none"/>
              </w:rPr>
            </w:pPr>
            <w:r>
              <w:rPr>
                <w:rFonts w:ascii="Times New Roman" w:hAnsi="Times New Roman" w:eastAsia="Times New Roman" w:cs="Times New Roman"/>
                <w:strike/>
                <w:dstrike w:val="0"/>
                <w:color w:val="auto"/>
                <w:sz w:val="21"/>
                <w:szCs w:val="21"/>
                <w:highlight w:val="none"/>
              </w:rPr>
              <w:t>3</w:t>
            </w:r>
          </w:p>
        </w:tc>
        <w:tc>
          <w:tcPr>
            <w:tcW w:w="7051" w:type="dxa"/>
            <w:vAlign w:val="top"/>
          </w:tcPr>
          <w:p w14:paraId="0EC40AB5">
            <w:pPr>
              <w:pStyle w:val="33"/>
              <w:spacing w:before="126" w:line="221" w:lineRule="auto"/>
              <w:ind w:left="106"/>
              <w:rPr>
                <w:strike/>
                <w:dstrike w:val="0"/>
                <w:color w:val="auto"/>
                <w:sz w:val="21"/>
                <w:szCs w:val="21"/>
                <w:highlight w:val="none"/>
              </w:rPr>
            </w:pPr>
            <w:r>
              <w:rPr>
                <w:strike/>
                <w:dstrike w:val="0"/>
                <w:color w:val="auto"/>
                <w:spacing w:val="-2"/>
                <w:sz w:val="21"/>
                <w:szCs w:val="21"/>
                <w:highlight w:val="none"/>
              </w:rPr>
              <w:t>其他</w:t>
            </w:r>
          </w:p>
        </w:tc>
        <w:tc>
          <w:tcPr>
            <w:tcW w:w="1107" w:type="dxa"/>
            <w:tcBorders>
              <w:right w:val="single" w:color="000000" w:sz="6" w:space="0"/>
            </w:tcBorders>
            <w:vAlign w:val="top"/>
          </w:tcPr>
          <w:p w14:paraId="2B9833A4">
            <w:pPr>
              <w:rPr>
                <w:rFonts w:ascii="Arial"/>
                <w:strike/>
                <w:dstrike w:val="0"/>
                <w:color w:val="auto"/>
                <w:sz w:val="21"/>
                <w:highlight w:val="none"/>
              </w:rPr>
            </w:pPr>
          </w:p>
        </w:tc>
      </w:tr>
      <w:tr w14:paraId="45B5B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3" w:hRule="atLeast"/>
        </w:trPr>
        <w:tc>
          <w:tcPr>
            <w:tcW w:w="884" w:type="dxa"/>
            <w:tcBorders>
              <w:left w:val="single" w:color="000000" w:sz="6" w:space="0"/>
            </w:tcBorders>
            <w:vAlign w:val="top"/>
          </w:tcPr>
          <w:p w14:paraId="4F60754E">
            <w:pPr>
              <w:rPr>
                <w:rFonts w:ascii="Arial"/>
                <w:strike/>
                <w:dstrike w:val="0"/>
                <w:color w:val="auto"/>
                <w:sz w:val="21"/>
                <w:highlight w:val="none"/>
              </w:rPr>
            </w:pPr>
          </w:p>
        </w:tc>
        <w:tc>
          <w:tcPr>
            <w:tcW w:w="7051" w:type="dxa"/>
            <w:vAlign w:val="top"/>
          </w:tcPr>
          <w:p w14:paraId="4ACCFFF0">
            <w:pPr>
              <w:spacing w:before="294" w:line="75" w:lineRule="exact"/>
              <w:ind w:left="124"/>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pacing w:val="-7"/>
                <w:position w:val="-1"/>
                <w:sz w:val="24"/>
                <w:szCs w:val="24"/>
                <w:highlight w:val="none"/>
              </w:rPr>
              <w:t>……</w:t>
            </w:r>
          </w:p>
        </w:tc>
        <w:tc>
          <w:tcPr>
            <w:tcW w:w="1107" w:type="dxa"/>
            <w:tcBorders>
              <w:right w:val="single" w:color="000000" w:sz="6" w:space="0"/>
            </w:tcBorders>
            <w:vAlign w:val="top"/>
          </w:tcPr>
          <w:p w14:paraId="532BDDB3">
            <w:pPr>
              <w:rPr>
                <w:rFonts w:ascii="Arial"/>
                <w:strike/>
                <w:dstrike w:val="0"/>
                <w:color w:val="auto"/>
                <w:sz w:val="21"/>
                <w:highlight w:val="none"/>
              </w:rPr>
            </w:pPr>
          </w:p>
        </w:tc>
      </w:tr>
    </w:tbl>
    <w:p w14:paraId="4E30DC5A">
      <w:pPr>
        <w:spacing w:before="2" w:line="353" w:lineRule="auto"/>
        <w:ind w:left="6" w:right="133" w:firstLine="4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 xml:space="preserve">投标资格中的业绩 </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（可以或不可以）</w:t>
      </w:r>
      <w:r>
        <w:rPr>
          <w:rFonts w:ascii="宋体" w:hAnsi="宋体" w:eastAsia="宋体" w:cs="宋体"/>
          <w:strike/>
          <w:dstrike w:val="0"/>
          <w:color w:val="auto"/>
          <w:spacing w:val="57"/>
          <w:sz w:val="25"/>
          <w:szCs w:val="25"/>
          <w:highlight w:val="none"/>
          <w:u w:val="single" w:color="auto"/>
        </w:rPr>
        <w:t xml:space="preserve"> </w:t>
      </w:r>
      <w:r>
        <w:rPr>
          <w:rFonts w:ascii="宋体" w:hAnsi="宋体" w:eastAsia="宋体" w:cs="宋体"/>
          <w:strike/>
          <w:dstrike w:val="0"/>
          <w:color w:val="auto"/>
          <w:spacing w:val="-115"/>
          <w:sz w:val="25"/>
          <w:szCs w:val="25"/>
          <w:highlight w:val="none"/>
        </w:rPr>
        <w:t xml:space="preserve"> </w:t>
      </w:r>
      <w:r>
        <w:rPr>
          <w:rFonts w:ascii="宋体" w:hAnsi="宋体" w:eastAsia="宋体" w:cs="宋体"/>
          <w:strike/>
          <w:dstrike w:val="0"/>
          <w:color w:val="auto"/>
          <w:spacing w:val="-3"/>
          <w:sz w:val="24"/>
          <w:szCs w:val="24"/>
          <w:highlight w:val="none"/>
        </w:rPr>
        <w:t>作为本项计分业绩。企业信用等级证明材料指：浙江省水利建设市场信用评价等级（施工类）</w:t>
      </w:r>
      <w:r>
        <w:rPr>
          <w:rFonts w:ascii="宋体" w:hAnsi="宋体" w:eastAsia="宋体" w:cs="宋体"/>
          <w:strike/>
          <w:dstrike w:val="0"/>
          <w:color w:val="auto"/>
          <w:spacing w:val="-4"/>
          <w:sz w:val="24"/>
          <w:szCs w:val="24"/>
          <w:highlight w:val="none"/>
        </w:rPr>
        <w:t>的提供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 xml:space="preserve">投标截止日前最新一期信用评价等级打印件（信用评价等级每周五下午 </w:t>
      </w:r>
      <w:r>
        <w:rPr>
          <w:rFonts w:ascii="Times New Roman" w:hAnsi="Times New Roman" w:eastAsia="Times New Roman" w:cs="Times New Roman"/>
          <w:strike/>
          <w:dstrike w:val="0"/>
          <w:color w:val="auto"/>
          <w:spacing w:val="1"/>
          <w:sz w:val="24"/>
          <w:szCs w:val="24"/>
          <w:highlight w:val="none"/>
        </w:rPr>
        <w:t>17:00-2</w:t>
      </w:r>
      <w:r>
        <w:rPr>
          <w:rFonts w:ascii="Times New Roman" w:hAnsi="Times New Roman" w:eastAsia="Times New Roman" w:cs="Times New Roman"/>
          <w:strike/>
          <w:dstrike w:val="0"/>
          <w:color w:val="auto"/>
          <w:sz w:val="24"/>
          <w:szCs w:val="24"/>
          <w:highlight w:val="none"/>
        </w:rPr>
        <w:t xml:space="preserve">4:00 </w:t>
      </w:r>
      <w:r>
        <w:rPr>
          <w:rFonts w:ascii="宋体" w:hAnsi="宋体" w:eastAsia="宋体" w:cs="宋体"/>
          <w:strike/>
          <w:dstrike w:val="0"/>
          <w:color w:val="auto"/>
          <w:spacing w:val="-2"/>
          <w:sz w:val="24"/>
          <w:szCs w:val="24"/>
          <w:highlight w:val="none"/>
        </w:rPr>
        <w:t>更新），打印件应含有“浙江水利透明工程”水印。</w:t>
      </w:r>
    </w:p>
    <w:p w14:paraId="5DCF1A8B">
      <w:pPr>
        <w:spacing w:before="82" w:line="341" w:lineRule="auto"/>
        <w:ind w:left="8" w:right="140" w:firstLine="481"/>
        <w:rPr>
          <w:rFonts w:ascii="隶书" w:hAnsi="隶书" w:eastAsia="隶书" w:cs="隶书"/>
          <w:strike/>
          <w:dstrike w:val="0"/>
          <w:color w:val="auto"/>
          <w:sz w:val="24"/>
          <w:szCs w:val="24"/>
          <w:highlight w:val="none"/>
        </w:rPr>
      </w:pPr>
      <w:r>
        <w:rPr>
          <w:rFonts w:ascii="隶书" w:hAnsi="隶书" w:eastAsia="隶书" w:cs="隶书"/>
          <w:strike/>
          <w:dstrike w:val="0"/>
          <w:color w:val="auto"/>
          <w:spacing w:val="-3"/>
          <w:sz w:val="24"/>
          <w:szCs w:val="24"/>
          <w:highlight w:val="none"/>
        </w:rPr>
        <w:t>投标人及其拟派项目负责人的类似项目业绩要求详见上表，该业绩须已在浙江省</w:t>
      </w:r>
      <w:r>
        <w:rPr>
          <w:rFonts w:ascii="隶书" w:hAnsi="隶书" w:eastAsia="隶书" w:cs="隶书"/>
          <w:strike/>
          <w:dstrike w:val="0"/>
          <w:color w:val="auto"/>
          <w:spacing w:val="5"/>
          <w:sz w:val="24"/>
          <w:szCs w:val="24"/>
          <w:highlight w:val="none"/>
        </w:rPr>
        <w:t xml:space="preserve"> </w:t>
      </w:r>
      <w:r>
        <w:rPr>
          <w:rFonts w:ascii="隶书" w:hAnsi="隶书" w:eastAsia="隶书" w:cs="隶书"/>
          <w:strike/>
          <w:dstrike w:val="0"/>
          <w:color w:val="auto"/>
          <w:spacing w:val="-3"/>
          <w:sz w:val="24"/>
          <w:szCs w:val="24"/>
          <w:highlight w:val="none"/>
        </w:rPr>
        <w:t>水利厅“浙江省水利建设市场信息”上公示。</w:t>
      </w:r>
    </w:p>
    <w:p w14:paraId="484035B4">
      <w:pPr>
        <w:spacing w:before="2" w:line="353" w:lineRule="auto"/>
        <w:ind w:left="6" w:right="133" w:firstLine="483"/>
        <w:rPr>
          <w:rFonts w:ascii="隶书" w:hAnsi="隶书" w:eastAsia="隶书" w:cs="隶书"/>
          <w:strike/>
          <w:dstrike w:val="0"/>
          <w:color w:val="auto"/>
          <w:sz w:val="24"/>
          <w:szCs w:val="24"/>
          <w:highlight w:val="none"/>
        </w:rPr>
      </w:pPr>
      <w:r>
        <w:rPr>
          <w:rFonts w:ascii="隶书" w:hAnsi="隶书" w:eastAsia="隶书" w:cs="隶书"/>
          <w:strike/>
          <w:dstrike w:val="0"/>
          <w:color w:val="auto"/>
          <w:spacing w:val="1"/>
          <w:sz w:val="24"/>
          <w:szCs w:val="24"/>
          <w:highlight w:val="none"/>
        </w:rPr>
        <w:t>类似项目业绩证明材料指</w:t>
      </w:r>
      <w:r>
        <w:rPr>
          <w:rFonts w:ascii="隶书" w:hAnsi="隶书" w:eastAsia="隶书" w:cs="隶书"/>
          <w:strike/>
          <w:dstrike w:val="0"/>
          <w:color w:val="auto"/>
          <w:spacing w:val="-7"/>
          <w:sz w:val="24"/>
          <w:szCs w:val="24"/>
          <w:highlight w:val="none"/>
        </w:rPr>
        <w:t>：（</w:t>
      </w:r>
      <w:r>
        <w:rPr>
          <w:rFonts w:ascii="隶书" w:hAnsi="隶书" w:eastAsia="隶书" w:cs="隶书"/>
          <w:strike/>
          <w:dstrike w:val="0"/>
          <w:color w:val="auto"/>
          <w:spacing w:val="1"/>
          <w:sz w:val="24"/>
          <w:szCs w:val="24"/>
          <w:highlight w:val="none"/>
        </w:rPr>
        <w:t xml:space="preserve">1）合同，以及由项目法人或行政主管部门出具的 </w:t>
      </w:r>
      <w:r>
        <w:rPr>
          <w:rFonts w:ascii="隶书" w:hAnsi="隶书" w:eastAsia="隶书" w:cs="隶书"/>
          <w:strike/>
          <w:dstrike w:val="0"/>
          <w:color w:val="auto"/>
          <w:spacing w:val="-3"/>
          <w:sz w:val="24"/>
          <w:szCs w:val="24"/>
          <w:highlight w:val="none"/>
        </w:rPr>
        <w:t>完工（竣工）验收鉴定书〔或质量监督机构出具对应的完工（竣工）质量（安全）监</w:t>
      </w:r>
      <w:r>
        <w:rPr>
          <w:rFonts w:ascii="隶书" w:hAnsi="隶书" w:eastAsia="隶书" w:cs="隶书"/>
          <w:strike/>
          <w:dstrike w:val="0"/>
          <w:color w:val="auto"/>
          <w:spacing w:val="17"/>
          <w:sz w:val="24"/>
          <w:szCs w:val="24"/>
          <w:highlight w:val="none"/>
        </w:rPr>
        <w:t xml:space="preserve"> </w:t>
      </w:r>
      <w:r>
        <w:rPr>
          <w:rFonts w:ascii="隶书" w:hAnsi="隶书" w:eastAsia="隶书" w:cs="隶书"/>
          <w:strike/>
          <w:dstrike w:val="0"/>
          <w:color w:val="auto"/>
          <w:spacing w:val="-9"/>
          <w:sz w:val="24"/>
          <w:szCs w:val="24"/>
          <w:highlight w:val="none"/>
        </w:rPr>
        <w:t>督报告〕， 若工程规模、特征等无法认定的， 以初步设计批复文件（包括设计变更批</w:t>
      </w:r>
      <w:r>
        <w:rPr>
          <w:rFonts w:ascii="隶书" w:hAnsi="隶书" w:eastAsia="隶书" w:cs="隶书"/>
          <w:strike/>
          <w:dstrike w:val="0"/>
          <w:color w:val="auto"/>
          <w:spacing w:val="11"/>
          <w:sz w:val="24"/>
          <w:szCs w:val="24"/>
          <w:highlight w:val="none"/>
        </w:rPr>
        <w:t xml:space="preserve"> </w:t>
      </w:r>
      <w:r>
        <w:rPr>
          <w:rFonts w:ascii="隶书" w:hAnsi="隶书" w:eastAsia="隶书" w:cs="隶书"/>
          <w:strike/>
          <w:dstrike w:val="0"/>
          <w:color w:val="auto"/>
          <w:sz w:val="24"/>
          <w:szCs w:val="24"/>
          <w:highlight w:val="none"/>
        </w:rPr>
        <w:t>复）或施工图纸为依据</w:t>
      </w:r>
      <w:r>
        <w:rPr>
          <w:rFonts w:ascii="隶书" w:hAnsi="隶书" w:eastAsia="隶书" w:cs="隶书"/>
          <w:strike/>
          <w:dstrike w:val="0"/>
          <w:color w:val="auto"/>
          <w:spacing w:val="-4"/>
          <w:sz w:val="24"/>
          <w:szCs w:val="24"/>
          <w:highlight w:val="none"/>
        </w:rPr>
        <w:t>；（</w:t>
      </w:r>
      <w:r>
        <w:rPr>
          <w:rFonts w:ascii="隶书" w:hAnsi="隶书" w:eastAsia="隶书" w:cs="隶书"/>
          <w:strike/>
          <w:dstrike w:val="0"/>
          <w:color w:val="auto"/>
          <w:sz w:val="24"/>
          <w:szCs w:val="24"/>
          <w:highlight w:val="none"/>
        </w:rPr>
        <w:t xml:space="preserve">2）浙江省水利厅“浙江省水利工程建设管理系统（透明 </w:t>
      </w:r>
      <w:r>
        <w:rPr>
          <w:rFonts w:ascii="隶书" w:hAnsi="隶书" w:eastAsia="隶书" w:cs="隶书"/>
          <w:strike/>
          <w:dstrike w:val="0"/>
          <w:color w:val="auto"/>
          <w:spacing w:val="-5"/>
          <w:sz w:val="24"/>
          <w:szCs w:val="24"/>
          <w:highlight w:val="none"/>
        </w:rPr>
        <w:t>工程）”下载业绩打印件，打印件应含有“</w:t>
      </w:r>
      <w:r>
        <w:rPr>
          <w:rFonts w:ascii="隶书" w:hAnsi="隶书" w:eastAsia="隶书" w:cs="隶书"/>
          <w:strike/>
          <w:dstrike w:val="0"/>
          <w:color w:val="auto"/>
          <w:spacing w:val="-6"/>
          <w:sz w:val="24"/>
          <w:szCs w:val="24"/>
          <w:highlight w:val="none"/>
        </w:rPr>
        <w:t>浙江水利透明工程”水印。（上述（1）、</w:t>
      </w:r>
      <w:r>
        <w:rPr>
          <w:rFonts w:ascii="隶书" w:hAnsi="隶书" w:eastAsia="隶书" w:cs="隶书"/>
          <w:strike/>
          <w:dstrike w:val="0"/>
          <w:color w:val="auto"/>
          <w:sz w:val="24"/>
          <w:szCs w:val="24"/>
          <w:highlight w:val="none"/>
        </w:rPr>
        <w:t xml:space="preserve"> </w:t>
      </w:r>
      <w:r>
        <w:rPr>
          <w:rFonts w:ascii="隶书" w:hAnsi="隶书" w:eastAsia="隶书" w:cs="隶书"/>
          <w:strike/>
          <w:dstrike w:val="0"/>
          <w:color w:val="auto"/>
          <w:spacing w:val="-5"/>
          <w:sz w:val="24"/>
          <w:szCs w:val="24"/>
          <w:highlight w:val="none"/>
        </w:rPr>
        <w:t>（2）项须同时提供）。日期以完工（竣工</w:t>
      </w:r>
      <w:r>
        <w:rPr>
          <w:rFonts w:ascii="隶书" w:hAnsi="隶书" w:eastAsia="隶书" w:cs="隶书"/>
          <w:strike/>
          <w:dstrike w:val="0"/>
          <w:color w:val="auto"/>
          <w:spacing w:val="-6"/>
          <w:sz w:val="24"/>
          <w:szCs w:val="24"/>
          <w:highlight w:val="none"/>
        </w:rPr>
        <w:t>）验收鉴定书或工程质量（安全）监督报告</w:t>
      </w:r>
      <w:r>
        <w:rPr>
          <w:rFonts w:ascii="隶书" w:hAnsi="隶书" w:eastAsia="隶书" w:cs="隶书"/>
          <w:strike/>
          <w:dstrike w:val="0"/>
          <w:color w:val="auto"/>
          <w:sz w:val="24"/>
          <w:szCs w:val="24"/>
          <w:highlight w:val="none"/>
        </w:rPr>
        <w:t xml:space="preserve"> </w:t>
      </w:r>
      <w:r>
        <w:rPr>
          <w:rFonts w:ascii="隶书" w:hAnsi="隶书" w:eastAsia="隶书" w:cs="隶书"/>
          <w:strike/>
          <w:dstrike w:val="0"/>
          <w:color w:val="auto"/>
          <w:spacing w:val="-10"/>
          <w:sz w:val="24"/>
          <w:szCs w:val="24"/>
          <w:highlight w:val="none"/>
        </w:rPr>
        <w:t>中明确的完工（竣工）</w:t>
      </w:r>
      <w:r>
        <w:rPr>
          <w:rFonts w:ascii="隶书" w:hAnsi="隶书" w:eastAsia="隶书" w:cs="隶书"/>
          <w:strike/>
          <w:dstrike w:val="0"/>
          <w:color w:val="auto"/>
          <w:spacing w:val="-56"/>
          <w:sz w:val="24"/>
          <w:szCs w:val="24"/>
          <w:highlight w:val="none"/>
        </w:rPr>
        <w:t xml:space="preserve"> </w:t>
      </w:r>
      <w:r>
        <w:rPr>
          <w:rFonts w:ascii="隶书" w:hAnsi="隶书" w:eastAsia="隶书" w:cs="隶书"/>
          <w:strike/>
          <w:dstrike w:val="0"/>
          <w:color w:val="auto"/>
          <w:spacing w:val="-10"/>
          <w:sz w:val="24"/>
          <w:szCs w:val="24"/>
          <w:highlight w:val="none"/>
        </w:rPr>
        <w:t>日期为准。</w:t>
      </w:r>
    </w:p>
    <w:p w14:paraId="17762899">
      <w:pPr>
        <w:spacing w:before="74" w:line="351" w:lineRule="auto"/>
        <w:ind w:left="6" w:right="137" w:firstLine="483"/>
        <w:jc w:val="both"/>
        <w:rPr>
          <w:rFonts w:ascii="隶书" w:hAnsi="隶书" w:eastAsia="隶书" w:cs="隶书"/>
          <w:strike/>
          <w:dstrike w:val="0"/>
          <w:color w:val="auto"/>
          <w:sz w:val="24"/>
          <w:szCs w:val="24"/>
          <w:highlight w:val="none"/>
        </w:rPr>
      </w:pPr>
      <w:r>
        <w:rPr>
          <w:rFonts w:ascii="隶书" w:hAnsi="隶书" w:eastAsia="隶书" w:cs="隶书"/>
          <w:strike/>
          <w:dstrike w:val="0"/>
          <w:color w:val="auto"/>
          <w:spacing w:val="4"/>
          <w:sz w:val="24"/>
          <w:szCs w:val="24"/>
          <w:highlight w:val="none"/>
        </w:rPr>
        <w:t>业绩要求的项目负责人或技术负责人的身份以</w:t>
      </w:r>
      <w:r>
        <w:rPr>
          <w:rFonts w:ascii="宋体" w:hAnsi="宋体" w:eastAsia="宋体" w:cs="宋体"/>
          <w:b/>
          <w:bCs/>
          <w:strike/>
          <w:dstrike w:val="0"/>
          <w:color w:val="auto"/>
          <w:spacing w:val="4"/>
          <w:sz w:val="24"/>
          <w:szCs w:val="24"/>
          <w:highlight w:val="none"/>
        </w:rPr>
        <w:t>“</w:t>
      </w:r>
      <w:r>
        <w:rPr>
          <w:rFonts w:ascii="隶书" w:hAnsi="隶书" w:eastAsia="隶书" w:cs="隶书"/>
          <w:strike/>
          <w:dstrike w:val="0"/>
          <w:color w:val="auto"/>
          <w:spacing w:val="4"/>
          <w:sz w:val="24"/>
          <w:szCs w:val="24"/>
          <w:highlight w:val="none"/>
        </w:rPr>
        <w:t xml:space="preserve">浙江省水利工程建设管理系统 </w:t>
      </w:r>
      <w:r>
        <w:rPr>
          <w:rFonts w:ascii="隶书" w:hAnsi="隶书" w:eastAsia="隶书" w:cs="隶书"/>
          <w:strike/>
          <w:dstrike w:val="0"/>
          <w:color w:val="auto"/>
          <w:spacing w:val="-3"/>
          <w:sz w:val="24"/>
          <w:szCs w:val="24"/>
          <w:highlight w:val="none"/>
        </w:rPr>
        <w:t>（透明工程）”业绩打印件（指完工或竣工人员）为准。业绩打印件应与项目法人或</w:t>
      </w:r>
      <w:r>
        <w:rPr>
          <w:rFonts w:ascii="隶书" w:hAnsi="隶书" w:eastAsia="隶书" w:cs="隶书"/>
          <w:strike/>
          <w:dstrike w:val="0"/>
          <w:color w:val="auto"/>
          <w:spacing w:val="14"/>
          <w:sz w:val="24"/>
          <w:szCs w:val="24"/>
          <w:highlight w:val="none"/>
        </w:rPr>
        <w:t xml:space="preserve"> </w:t>
      </w:r>
      <w:r>
        <w:rPr>
          <w:rFonts w:ascii="隶书" w:hAnsi="隶书" w:eastAsia="隶书" w:cs="隶书"/>
          <w:strike/>
          <w:dstrike w:val="0"/>
          <w:color w:val="auto"/>
          <w:spacing w:val="-3"/>
          <w:sz w:val="24"/>
          <w:szCs w:val="24"/>
          <w:highlight w:val="none"/>
        </w:rPr>
        <w:t>行政主管部门出具的完工（竣工）验收鉴定书〔或质量监督机构出具对应的完工（竣</w:t>
      </w:r>
      <w:r>
        <w:rPr>
          <w:rFonts w:ascii="隶书" w:hAnsi="隶书" w:eastAsia="隶书" w:cs="隶书"/>
          <w:strike/>
          <w:dstrike w:val="0"/>
          <w:color w:val="auto"/>
          <w:spacing w:val="8"/>
          <w:sz w:val="24"/>
          <w:szCs w:val="24"/>
          <w:highlight w:val="none"/>
        </w:rPr>
        <w:t xml:space="preserve"> </w:t>
      </w:r>
      <w:r>
        <w:rPr>
          <w:rFonts w:ascii="隶书" w:hAnsi="隶书" w:eastAsia="隶书" w:cs="隶书"/>
          <w:strike/>
          <w:dstrike w:val="0"/>
          <w:color w:val="auto"/>
          <w:spacing w:val="-1"/>
          <w:sz w:val="24"/>
          <w:szCs w:val="24"/>
          <w:highlight w:val="none"/>
        </w:rPr>
        <w:t>工）质量（安全）监督报告〕的内容一致；不一致的，该</w:t>
      </w:r>
      <w:r>
        <w:rPr>
          <w:rFonts w:ascii="隶书" w:hAnsi="隶书" w:eastAsia="隶书" w:cs="隶书"/>
          <w:strike/>
          <w:dstrike w:val="0"/>
          <w:color w:val="auto"/>
          <w:spacing w:val="-2"/>
          <w:sz w:val="24"/>
          <w:szCs w:val="24"/>
          <w:highlight w:val="none"/>
        </w:rPr>
        <w:t>业绩不予认可。</w:t>
      </w:r>
    </w:p>
    <w:p w14:paraId="7AF2C4D0">
      <w:pPr>
        <w:spacing w:before="52" w:line="339" w:lineRule="auto"/>
        <w:ind w:left="6" w:right="140" w:firstLine="481"/>
        <w:jc w:val="both"/>
        <w:rPr>
          <w:rFonts w:ascii="隶书" w:hAnsi="隶书" w:eastAsia="隶书" w:cs="隶书"/>
          <w:strike/>
          <w:dstrike w:val="0"/>
          <w:color w:val="auto"/>
          <w:sz w:val="24"/>
          <w:szCs w:val="24"/>
          <w:highlight w:val="none"/>
        </w:rPr>
      </w:pPr>
      <w:r>
        <w:rPr>
          <w:rFonts w:ascii="隶书" w:hAnsi="隶书" w:eastAsia="隶书" w:cs="隶书"/>
          <w:strike/>
          <w:dstrike w:val="0"/>
          <w:color w:val="auto"/>
          <w:spacing w:val="-3"/>
          <w:sz w:val="24"/>
          <w:szCs w:val="24"/>
          <w:highlight w:val="none"/>
        </w:rPr>
        <w:t>除业绩要求的项目负责人或技术负责人的身份外，“浙江省水利工程建设管理系</w:t>
      </w:r>
      <w:r>
        <w:rPr>
          <w:rFonts w:ascii="隶书" w:hAnsi="隶书" w:eastAsia="隶书" w:cs="隶书"/>
          <w:strike/>
          <w:dstrike w:val="0"/>
          <w:color w:val="auto"/>
          <w:spacing w:val="7"/>
          <w:sz w:val="24"/>
          <w:szCs w:val="24"/>
          <w:highlight w:val="none"/>
        </w:rPr>
        <w:t xml:space="preserve"> </w:t>
      </w:r>
      <w:r>
        <w:rPr>
          <w:rFonts w:ascii="隶书" w:hAnsi="隶书" w:eastAsia="隶书" w:cs="隶书"/>
          <w:strike/>
          <w:dstrike w:val="0"/>
          <w:color w:val="auto"/>
          <w:spacing w:val="-3"/>
          <w:sz w:val="24"/>
          <w:szCs w:val="24"/>
          <w:highlight w:val="none"/>
        </w:rPr>
        <w:t>统（透明工程）”业绩打印件与项目法人出具的完工（竣工）验收鉴定书〔或质量监</w:t>
      </w:r>
      <w:r>
        <w:rPr>
          <w:rFonts w:ascii="隶书" w:hAnsi="隶书" w:eastAsia="隶书" w:cs="隶书"/>
          <w:strike/>
          <w:dstrike w:val="0"/>
          <w:color w:val="auto"/>
          <w:spacing w:val="7"/>
          <w:sz w:val="24"/>
          <w:szCs w:val="24"/>
          <w:highlight w:val="none"/>
        </w:rPr>
        <w:t xml:space="preserve"> </w:t>
      </w:r>
      <w:r>
        <w:rPr>
          <w:rFonts w:ascii="隶书" w:hAnsi="隶书" w:eastAsia="隶书" w:cs="隶书"/>
          <w:strike/>
          <w:dstrike w:val="0"/>
          <w:color w:val="auto"/>
          <w:spacing w:val="-3"/>
          <w:sz w:val="24"/>
          <w:szCs w:val="24"/>
          <w:highlight w:val="none"/>
        </w:rPr>
        <w:t>督机构出具对应的完工（竣工）质量（安全）监督报告〕中涉及业绩加分的相关信息</w:t>
      </w:r>
      <w:r>
        <w:rPr>
          <w:rFonts w:ascii="隶书" w:hAnsi="隶书" w:eastAsia="隶书" w:cs="隶书"/>
          <w:strike/>
          <w:dstrike w:val="0"/>
          <w:color w:val="auto"/>
          <w:spacing w:val="12"/>
          <w:sz w:val="24"/>
          <w:szCs w:val="24"/>
          <w:highlight w:val="none"/>
        </w:rPr>
        <w:t xml:space="preserve"> </w:t>
      </w:r>
      <w:r>
        <w:rPr>
          <w:rFonts w:ascii="隶书" w:hAnsi="隶书" w:eastAsia="隶书" w:cs="隶书"/>
          <w:strike/>
          <w:dstrike w:val="0"/>
          <w:color w:val="auto"/>
          <w:spacing w:val="-3"/>
          <w:sz w:val="24"/>
          <w:szCs w:val="24"/>
          <w:highlight w:val="none"/>
        </w:rPr>
        <w:t>不一致的，该业绩不予认可。</w:t>
      </w:r>
    </w:p>
    <w:p w14:paraId="562FACF8">
      <w:pPr>
        <w:spacing w:before="74" w:line="219" w:lineRule="auto"/>
        <w:ind w:left="49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获奖证明材料指：奖项颁发单位颁发的获奖证书（或获奖文件）复制件。</w:t>
      </w:r>
    </w:p>
    <w:p w14:paraId="76E8FE43">
      <w:pPr>
        <w:spacing w:before="180" w:line="337" w:lineRule="auto"/>
        <w:ind w:firstLine="480"/>
        <w:jc w:val="both"/>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5"/>
          <w:sz w:val="25"/>
          <w:szCs w:val="25"/>
          <w:highlight w:val="none"/>
        </w:rPr>
        <w:t>注：①资信评审内容可根据项目实际情况进行调整。有争</w:t>
      </w:r>
      <w:r>
        <w:rPr>
          <w:rFonts w:ascii="宋体" w:hAnsi="宋体" w:eastAsia="宋体" w:cs="宋体"/>
          <w:i/>
          <w:iCs/>
          <w:strike/>
          <w:dstrike w:val="0"/>
          <w:color w:val="auto"/>
          <w:spacing w:val="-16"/>
          <w:sz w:val="25"/>
          <w:szCs w:val="25"/>
          <w:highlight w:val="none"/>
        </w:rPr>
        <w:t>创优质工程要求的项目，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1"/>
          <w:sz w:val="25"/>
          <w:szCs w:val="25"/>
          <w:highlight w:val="none"/>
        </w:rPr>
        <w:t>招标人可在“其他”中设置与招标项目相关的质量奖（优质工程）作为评审因素，并</w:t>
      </w:r>
      <w:r>
        <w:rPr>
          <w:rFonts w:ascii="宋体" w:hAnsi="宋体" w:eastAsia="宋体" w:cs="宋体"/>
          <w:strike/>
          <w:dstrike w:val="0"/>
          <w:color w:val="auto"/>
          <w:spacing w:val="16"/>
          <w:sz w:val="25"/>
          <w:szCs w:val="25"/>
          <w:highlight w:val="none"/>
        </w:rPr>
        <w:t xml:space="preserve"> </w:t>
      </w:r>
      <w:r>
        <w:rPr>
          <w:rFonts w:ascii="宋体" w:hAnsi="宋体" w:eastAsia="宋体" w:cs="宋体"/>
          <w:i/>
          <w:iCs/>
          <w:strike/>
          <w:dstrike w:val="0"/>
          <w:color w:val="auto"/>
          <w:spacing w:val="-7"/>
          <w:sz w:val="25"/>
          <w:szCs w:val="25"/>
          <w:highlight w:val="none"/>
        </w:rPr>
        <w:t>在评标办法中明确奖项名称。</w:t>
      </w:r>
    </w:p>
    <w:p w14:paraId="0EDBEEBF">
      <w:pPr>
        <w:spacing w:before="33" w:line="332" w:lineRule="auto"/>
        <w:ind w:right="71" w:firstLine="478"/>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5"/>
          <w:sz w:val="25"/>
          <w:szCs w:val="25"/>
          <w:highlight w:val="none"/>
        </w:rPr>
        <w:t>②</w:t>
      </w:r>
      <w:r>
        <w:rPr>
          <w:rFonts w:ascii="宋体" w:hAnsi="宋体" w:eastAsia="宋体" w:cs="宋体"/>
          <w:strike/>
          <w:dstrike w:val="0"/>
          <w:color w:val="auto"/>
          <w:spacing w:val="-75"/>
          <w:sz w:val="25"/>
          <w:szCs w:val="25"/>
          <w:highlight w:val="none"/>
        </w:rPr>
        <w:t xml:space="preserve"> </w:t>
      </w:r>
      <w:r>
        <w:rPr>
          <w:rFonts w:ascii="宋体" w:hAnsi="宋体" w:eastAsia="宋体" w:cs="宋体"/>
          <w:i/>
          <w:iCs/>
          <w:strike/>
          <w:dstrike w:val="0"/>
          <w:color w:val="auto"/>
          <w:spacing w:val="-5"/>
          <w:sz w:val="25"/>
          <w:szCs w:val="25"/>
          <w:highlight w:val="none"/>
        </w:rPr>
        <w:t>招标人可选用全国水利建设市场监管服务平台公布的企业信用评价等级，并</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6"/>
          <w:sz w:val="25"/>
          <w:szCs w:val="25"/>
          <w:highlight w:val="none"/>
        </w:rPr>
        <w:t>修改资信评分标准表。</w:t>
      </w:r>
    </w:p>
    <w:p w14:paraId="0EB3994F">
      <w:pPr>
        <w:spacing w:before="34" w:line="220" w:lineRule="auto"/>
        <w:ind w:left="8"/>
        <w:outlineLvl w:val="2"/>
        <w:rPr>
          <w:rFonts w:ascii="宋体" w:hAnsi="宋体" w:eastAsia="宋体" w:cs="宋体"/>
          <w:strike w:val="0"/>
          <w:dstrike w:val="0"/>
          <w:color w:val="auto"/>
          <w:sz w:val="24"/>
          <w:szCs w:val="24"/>
          <w:highlight w:val="none"/>
        </w:rPr>
      </w:pPr>
      <w:bookmarkStart w:id="378" w:name="bookmark231"/>
      <w:bookmarkEnd w:id="378"/>
      <w:bookmarkStart w:id="379" w:name="bookmark232"/>
      <w:bookmarkEnd w:id="379"/>
      <w:bookmarkStart w:id="380" w:name="_Toc12025"/>
      <w:bookmarkStart w:id="381" w:name="_Toc5698"/>
      <w:r>
        <w:rPr>
          <w:rFonts w:ascii="Times New Roman" w:hAnsi="Times New Roman" w:eastAsia="Times New Roman" w:cs="Times New Roman"/>
          <w:b/>
          <w:bCs/>
          <w:strike w:val="0"/>
          <w:dstrike w:val="0"/>
          <w:color w:val="auto"/>
          <w:spacing w:val="-2"/>
          <w:sz w:val="24"/>
          <w:szCs w:val="24"/>
          <w:highlight w:val="none"/>
        </w:rPr>
        <w:t xml:space="preserve">4.5  </w:t>
      </w:r>
      <w:r>
        <w:rPr>
          <w:rFonts w:ascii="宋体" w:hAnsi="宋体" w:eastAsia="宋体" w:cs="宋体"/>
          <w:b/>
          <w:bCs/>
          <w:strike w:val="0"/>
          <w:dstrike w:val="0"/>
          <w:color w:val="auto"/>
          <w:spacing w:val="-2"/>
          <w:sz w:val="24"/>
          <w:szCs w:val="24"/>
          <w:highlight w:val="none"/>
        </w:rPr>
        <w:t>投标文件的商务符合性审查</w:t>
      </w:r>
      <w:bookmarkEnd w:id="380"/>
      <w:bookmarkEnd w:id="381"/>
    </w:p>
    <w:p w14:paraId="3C882F33">
      <w:pPr>
        <w:spacing w:before="180" w:line="290" w:lineRule="auto"/>
        <w:ind w:left="13" w:right="142" w:firstLine="546"/>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4.5.1  </w:t>
      </w:r>
      <w:r>
        <w:rPr>
          <w:rFonts w:ascii="宋体" w:hAnsi="宋体" w:eastAsia="宋体" w:cs="宋体"/>
          <w:strike/>
          <w:dstrike w:val="0"/>
          <w:color w:val="auto"/>
          <w:spacing w:val="-1"/>
          <w:sz w:val="24"/>
          <w:szCs w:val="24"/>
          <w:highlight w:val="none"/>
        </w:rPr>
        <w:t>评标委员会应对通过资信符合性审查的投</w:t>
      </w:r>
      <w:r>
        <w:rPr>
          <w:rFonts w:ascii="宋体" w:hAnsi="宋体" w:eastAsia="宋体" w:cs="宋体"/>
          <w:strike/>
          <w:dstrike w:val="0"/>
          <w:color w:val="auto"/>
          <w:spacing w:val="-2"/>
          <w:sz w:val="24"/>
          <w:szCs w:val="24"/>
          <w:highlight w:val="none"/>
        </w:rPr>
        <w:t>标文件进行商务符合性审查。商</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务符合性审查未通过的投标文件不再进入后续评审。</w:t>
      </w:r>
    </w:p>
    <w:p w14:paraId="62D74DF2">
      <w:pPr>
        <w:spacing w:before="182" w:line="313" w:lineRule="auto"/>
        <w:ind w:left="5" w:right="25" w:firstLine="53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4.5.2  </w:t>
      </w:r>
      <w:r>
        <w:rPr>
          <w:rFonts w:ascii="宋体" w:hAnsi="宋体" w:eastAsia="宋体" w:cs="宋体"/>
          <w:strike/>
          <w:dstrike w:val="0"/>
          <w:color w:val="auto"/>
          <w:spacing w:val="-1"/>
          <w:sz w:val="24"/>
          <w:szCs w:val="24"/>
          <w:highlight w:val="none"/>
        </w:rPr>
        <w:t>投标人不得通过补充、修改或撤销投标文件中的内容使其</w:t>
      </w:r>
      <w:r>
        <w:rPr>
          <w:rFonts w:ascii="宋体" w:hAnsi="宋体" w:eastAsia="宋体" w:cs="宋体"/>
          <w:strike/>
          <w:dstrike w:val="0"/>
          <w:color w:val="auto"/>
          <w:spacing w:val="-2"/>
          <w:sz w:val="24"/>
          <w:szCs w:val="24"/>
          <w:highlight w:val="none"/>
        </w:rPr>
        <w:t>成为实质性响应的投标。投标人在投标截止以后不得提交任何资料作为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458055BB">
      <w:pPr>
        <w:spacing w:before="182" w:line="313" w:lineRule="auto"/>
        <w:ind w:left="5" w:right="25" w:firstLine="53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4.5.3  </w:t>
      </w:r>
      <w:r>
        <w:rPr>
          <w:rFonts w:ascii="宋体" w:hAnsi="宋体" w:eastAsia="宋体" w:cs="宋体"/>
          <w:strike/>
          <w:dstrike w:val="0"/>
          <w:color w:val="auto"/>
          <w:spacing w:val="-1"/>
          <w:sz w:val="24"/>
          <w:szCs w:val="24"/>
          <w:highlight w:val="none"/>
        </w:rPr>
        <w:t>投标文件如存在以下情况之一的，由评标委员会全体成员按照少数服从多数的原则记名投票（不得弃权）认定，作为商务符合性审查未通过予以否</w:t>
      </w:r>
      <w:r>
        <w:rPr>
          <w:rFonts w:ascii="宋体" w:hAnsi="宋体" w:eastAsia="宋体" w:cs="宋体"/>
          <w:strike/>
          <w:dstrike w:val="0"/>
          <w:color w:val="auto"/>
          <w:spacing w:val="-2"/>
          <w:sz w:val="24"/>
          <w:szCs w:val="24"/>
          <w:highlight w:val="none"/>
        </w:rPr>
        <w:t>决其投标，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不再进行后续评审：</w:t>
      </w:r>
    </w:p>
    <w:p w14:paraId="507AC123">
      <w:pPr>
        <w:spacing w:before="180" w:line="289" w:lineRule="auto"/>
        <w:ind w:left="2" w:right="99"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代理人）未按招标文件要求签字或盖章的</w:t>
      </w:r>
    </w:p>
    <w:p w14:paraId="53EC4B36">
      <w:pPr>
        <w:spacing w:before="180" w:line="290" w:lineRule="auto"/>
        <w:ind w:left="5" w:right="99"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）同一投标人提交两个及以上不同的投标报价且未声明哪一个有效的（招标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文件要求提交备选投标的除外）。</w:t>
      </w:r>
    </w:p>
    <w:p w14:paraId="7A1CD4EF">
      <w:pPr>
        <w:spacing w:before="179" w:line="290" w:lineRule="auto"/>
        <w:ind w:left="2" w:right="87"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）投标函载明的投标工期和质量不满足招标文件要求的</w:t>
      </w:r>
      <w:r>
        <w:rPr>
          <w:rFonts w:ascii="Times New Roman" w:hAnsi="Times New Roman" w:eastAsia="Times New Roman" w:cs="Times New Roman"/>
          <w:strike/>
          <w:dstrike w:val="0"/>
          <w:color w:val="auto"/>
          <w:spacing w:val="3"/>
          <w:sz w:val="24"/>
          <w:szCs w:val="24"/>
          <w:highlight w:val="none"/>
        </w:rPr>
        <w:t>(</w:t>
      </w:r>
      <w:r>
        <w:rPr>
          <w:rFonts w:ascii="宋体" w:hAnsi="宋体" w:eastAsia="宋体" w:cs="宋体"/>
          <w:strike/>
          <w:dstrike w:val="0"/>
          <w:color w:val="auto"/>
          <w:spacing w:val="3"/>
          <w:sz w:val="24"/>
          <w:szCs w:val="24"/>
          <w:highlight w:val="none"/>
        </w:rPr>
        <w:t>以投标人须</w:t>
      </w:r>
      <w:r>
        <w:rPr>
          <w:rFonts w:ascii="宋体" w:hAnsi="宋体" w:eastAsia="宋体" w:cs="宋体"/>
          <w:strike/>
          <w:dstrike w:val="0"/>
          <w:color w:val="auto"/>
          <w:spacing w:val="2"/>
          <w:sz w:val="24"/>
          <w:szCs w:val="24"/>
          <w:highlight w:val="none"/>
        </w:rPr>
        <w:t>知前附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6A771A38">
      <w:pPr>
        <w:spacing w:before="181"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）投标报价高于招标文件设定的最高投标限价的或分项限价的。</w:t>
      </w:r>
    </w:p>
    <w:p w14:paraId="31D37942">
      <w:pPr>
        <w:spacing w:before="183" w:line="313" w:lineRule="auto"/>
        <w:ind w:left="3" w:firstLine="55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）改变招标人提供的工程量清单中的项目编码、项目名称、项</w:t>
      </w:r>
      <w:r>
        <w:rPr>
          <w:rFonts w:ascii="宋体" w:hAnsi="宋体" w:eastAsia="宋体" w:cs="宋体"/>
          <w:strike/>
          <w:dstrike w:val="0"/>
          <w:color w:val="auto"/>
          <w:sz w:val="24"/>
          <w:szCs w:val="24"/>
          <w:highlight w:val="none"/>
        </w:rPr>
        <w:t xml:space="preserve">目主要特征、 </w:t>
      </w:r>
      <w:r>
        <w:rPr>
          <w:rFonts w:ascii="宋体" w:hAnsi="宋体" w:eastAsia="宋体" w:cs="宋体"/>
          <w:strike/>
          <w:dstrike w:val="0"/>
          <w:color w:val="auto"/>
          <w:spacing w:val="-6"/>
          <w:sz w:val="24"/>
          <w:szCs w:val="24"/>
          <w:highlight w:val="none"/>
        </w:rPr>
        <w:t>计量单位、工程数量、主要技术条款编码、 预留金或暂估价等内容的</w:t>
      </w:r>
      <w:r>
        <w:rPr>
          <w:rFonts w:ascii="宋体" w:hAnsi="宋体" w:eastAsia="宋体" w:cs="宋体"/>
          <w:strike/>
          <w:dstrike w:val="0"/>
          <w:color w:val="auto"/>
          <w:spacing w:val="-7"/>
          <w:sz w:val="24"/>
          <w:szCs w:val="24"/>
          <w:highlight w:val="none"/>
        </w:rPr>
        <w:t>（但按照国家规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范所作的修改和招标文件另有规定的除外）。</w:t>
      </w:r>
    </w:p>
    <w:p w14:paraId="5C001496">
      <w:pPr>
        <w:spacing w:before="179" w:line="220"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）投标人存在投标人须知“</w:t>
      </w:r>
      <w:r>
        <w:rPr>
          <w:rFonts w:ascii="Times New Roman" w:hAnsi="Times New Roman" w:eastAsia="Times New Roman" w:cs="Times New Roman"/>
          <w:strike/>
          <w:dstrike w:val="0"/>
          <w:color w:val="auto"/>
          <w:spacing w:val="-2"/>
          <w:sz w:val="24"/>
          <w:szCs w:val="24"/>
          <w:highlight w:val="none"/>
        </w:rPr>
        <w:t xml:space="preserve">9.2  </w:t>
      </w:r>
      <w:r>
        <w:rPr>
          <w:rFonts w:ascii="宋体" w:hAnsi="宋体" w:eastAsia="宋体" w:cs="宋体"/>
          <w:strike/>
          <w:dstrike w:val="0"/>
          <w:color w:val="auto"/>
          <w:spacing w:val="-2"/>
          <w:sz w:val="24"/>
          <w:szCs w:val="24"/>
          <w:highlight w:val="none"/>
        </w:rPr>
        <w:t>对投标人的纪律要求</w:t>
      </w:r>
      <w:r>
        <w:rPr>
          <w:rFonts w:ascii="宋体" w:hAnsi="宋体" w:eastAsia="宋体" w:cs="宋体"/>
          <w:strike/>
          <w:dstrike w:val="0"/>
          <w:color w:val="auto"/>
          <w:spacing w:val="-79"/>
          <w:sz w:val="24"/>
          <w:szCs w:val="24"/>
          <w:highlight w:val="none"/>
        </w:rPr>
        <w:t xml:space="preserve"> </w:t>
      </w:r>
      <w:r>
        <w:rPr>
          <w:rFonts w:ascii="宋体" w:hAnsi="宋体" w:eastAsia="宋体" w:cs="宋体"/>
          <w:strike/>
          <w:dstrike w:val="0"/>
          <w:color w:val="auto"/>
          <w:spacing w:val="-2"/>
          <w:sz w:val="24"/>
          <w:szCs w:val="24"/>
          <w:highlight w:val="none"/>
        </w:rPr>
        <w:t>”项规定情形之一的。</w:t>
      </w:r>
    </w:p>
    <w:p w14:paraId="6E719CAA">
      <w:pPr>
        <w:spacing w:before="183"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8"/>
          <w:sz w:val="24"/>
          <w:szCs w:val="24"/>
          <w:highlight w:val="none"/>
        </w:rPr>
        <w:t>（</w:t>
      </w:r>
      <w:r>
        <w:rPr>
          <w:rFonts w:ascii="Times New Roman" w:hAnsi="Times New Roman" w:eastAsia="Times New Roman" w:cs="Times New Roman"/>
          <w:strike/>
          <w:dstrike w:val="0"/>
          <w:color w:val="auto"/>
          <w:spacing w:val="8"/>
          <w:sz w:val="24"/>
          <w:szCs w:val="24"/>
          <w:highlight w:val="none"/>
        </w:rPr>
        <w:t>7</w:t>
      </w:r>
      <w:r>
        <w:rPr>
          <w:rFonts w:ascii="宋体" w:hAnsi="宋体" w:eastAsia="宋体" w:cs="宋体"/>
          <w:strike/>
          <w:dstrike w:val="0"/>
          <w:color w:val="auto"/>
          <w:spacing w:val="8"/>
          <w:sz w:val="24"/>
          <w:szCs w:val="24"/>
          <w:highlight w:val="none"/>
        </w:rPr>
        <w:t xml:space="preserve">） </w:t>
      </w:r>
      <w:r>
        <w:rPr>
          <w:rFonts w:ascii="Times New Roman" w:hAnsi="Times New Roman" w:eastAsia="Times New Roman" w:cs="Times New Roman"/>
          <w:i/>
          <w:iCs/>
          <w:strike/>
          <w:dstrike w:val="0"/>
          <w:color w:val="auto"/>
          <w:spacing w:val="8"/>
          <w:sz w:val="24"/>
          <w:szCs w:val="24"/>
          <w:highlight w:val="none"/>
        </w:rPr>
        <w:t>ⅆⅆ</w:t>
      </w:r>
      <w:r>
        <w:rPr>
          <w:rFonts w:ascii="宋体" w:hAnsi="宋体" w:eastAsia="宋体" w:cs="宋体"/>
          <w:i/>
          <w:iCs/>
          <w:strike/>
          <w:dstrike w:val="0"/>
          <w:color w:val="auto"/>
          <w:spacing w:val="8"/>
          <w:sz w:val="25"/>
          <w:szCs w:val="25"/>
          <w:highlight w:val="none"/>
        </w:rPr>
        <w:t>（由招标人自行扩充）</w:t>
      </w:r>
    </w:p>
    <w:p w14:paraId="77F31112">
      <w:pPr>
        <w:spacing w:before="179"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36590752">
      <w:pPr>
        <w:spacing w:before="181" w:line="220" w:lineRule="auto"/>
        <w:outlineLvl w:val="2"/>
        <w:rPr>
          <w:rFonts w:ascii="宋体" w:hAnsi="宋体" w:eastAsia="宋体" w:cs="宋体"/>
          <w:strike w:val="0"/>
          <w:dstrike w:val="0"/>
          <w:color w:val="auto"/>
          <w:sz w:val="24"/>
          <w:szCs w:val="24"/>
          <w:highlight w:val="none"/>
        </w:rPr>
      </w:pPr>
      <w:bookmarkStart w:id="382" w:name="bookmark234"/>
      <w:bookmarkEnd w:id="382"/>
      <w:bookmarkStart w:id="383" w:name="bookmark233"/>
      <w:bookmarkEnd w:id="383"/>
      <w:bookmarkStart w:id="384" w:name="_Toc30938"/>
      <w:bookmarkStart w:id="385" w:name="_Toc30512"/>
      <w:r>
        <w:rPr>
          <w:rFonts w:ascii="Times New Roman" w:hAnsi="Times New Roman" w:eastAsia="Times New Roman" w:cs="Times New Roman"/>
          <w:b/>
          <w:bCs/>
          <w:strike w:val="0"/>
          <w:dstrike w:val="0"/>
          <w:color w:val="auto"/>
          <w:spacing w:val="-2"/>
          <w:sz w:val="24"/>
          <w:szCs w:val="24"/>
          <w:highlight w:val="none"/>
        </w:rPr>
        <w:t xml:space="preserve">4.6  </w:t>
      </w:r>
      <w:r>
        <w:rPr>
          <w:rFonts w:ascii="宋体" w:hAnsi="宋体" w:eastAsia="宋体" w:cs="宋体"/>
          <w:b/>
          <w:bCs/>
          <w:strike w:val="0"/>
          <w:dstrike w:val="0"/>
          <w:color w:val="auto"/>
          <w:spacing w:val="-2"/>
          <w:sz w:val="24"/>
          <w:szCs w:val="24"/>
          <w:highlight w:val="none"/>
        </w:rPr>
        <w:t>投标文件的商务评审</w:t>
      </w:r>
      <w:bookmarkEnd w:id="384"/>
      <w:bookmarkEnd w:id="385"/>
    </w:p>
    <w:p w14:paraId="3E830A35">
      <w:pPr>
        <w:spacing w:before="183" w:line="312" w:lineRule="auto"/>
        <w:ind w:left="3" w:right="87" w:firstLine="47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4.6.1  </w:t>
      </w:r>
      <w:r>
        <w:rPr>
          <w:rFonts w:ascii="宋体" w:hAnsi="宋体" w:eastAsia="宋体" w:cs="宋体"/>
          <w:strike/>
          <w:dstrike w:val="0"/>
          <w:color w:val="auto"/>
          <w:spacing w:val="1"/>
          <w:sz w:val="24"/>
          <w:szCs w:val="24"/>
          <w:highlight w:val="none"/>
        </w:rPr>
        <w:t>评标委员会对通过商务符合</w:t>
      </w:r>
      <w:r>
        <w:rPr>
          <w:rFonts w:ascii="宋体" w:hAnsi="宋体" w:eastAsia="宋体" w:cs="宋体"/>
          <w:strike/>
          <w:dstrike w:val="0"/>
          <w:color w:val="auto"/>
          <w:sz w:val="24"/>
          <w:szCs w:val="24"/>
          <w:highlight w:val="none"/>
        </w:rPr>
        <w:t xml:space="preserve">性审查的投标文件进行商务评审。评标委员会 </w:t>
      </w:r>
      <w:r>
        <w:rPr>
          <w:rFonts w:ascii="宋体" w:hAnsi="宋体" w:eastAsia="宋体" w:cs="宋体"/>
          <w:strike/>
          <w:dstrike w:val="0"/>
          <w:color w:val="auto"/>
          <w:spacing w:val="-3"/>
          <w:sz w:val="24"/>
          <w:szCs w:val="24"/>
          <w:highlight w:val="none"/>
        </w:rPr>
        <w:t>应对商务报价的范围、数量、单价、费用组成和总价等进行全面审阅和对比分析，找</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3"/>
          <w:sz w:val="24"/>
          <w:szCs w:val="24"/>
          <w:highlight w:val="none"/>
        </w:rPr>
        <w:t>出报价差异的原因及存在的问题。</w:t>
      </w:r>
    </w:p>
    <w:p w14:paraId="6F2AF72C">
      <w:pPr>
        <w:spacing w:before="182" w:line="312" w:lineRule="auto"/>
        <w:ind w:left="5" w:right="87"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4.6.2  </w:t>
      </w:r>
      <w:r>
        <w:rPr>
          <w:rFonts w:ascii="宋体" w:hAnsi="宋体" w:eastAsia="宋体" w:cs="宋体"/>
          <w:strike/>
          <w:dstrike w:val="0"/>
          <w:color w:val="auto"/>
          <w:spacing w:val="1"/>
          <w:sz w:val="24"/>
          <w:szCs w:val="24"/>
          <w:highlight w:val="none"/>
        </w:rPr>
        <w:t>商务评审应以报价口径范围</w:t>
      </w:r>
      <w:r>
        <w:rPr>
          <w:rFonts w:ascii="宋体" w:hAnsi="宋体" w:eastAsia="宋体" w:cs="宋体"/>
          <w:strike/>
          <w:dstrike w:val="0"/>
          <w:color w:val="auto"/>
          <w:sz w:val="24"/>
          <w:szCs w:val="24"/>
          <w:highlight w:val="none"/>
        </w:rPr>
        <w:t xml:space="preserve">一致的投标评标价为依据。投标评标价应在最 </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6A430328">
      <w:pPr>
        <w:spacing w:before="184"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13DEFADA">
      <w:pPr>
        <w:spacing w:before="182" w:line="324" w:lineRule="auto"/>
        <w:ind w:left="5" w:right="25"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4"/>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1"/>
          <w:sz w:val="24"/>
          <w:szCs w:val="24"/>
          <w:highlight w:val="none"/>
        </w:rPr>
        <w:t>单价及有关费用对投标人起约束作用，如果投标人不接受修正后的单价及</w:t>
      </w:r>
      <w:r>
        <w:rPr>
          <w:rFonts w:ascii="宋体" w:hAnsi="宋体" w:eastAsia="宋体" w:cs="宋体"/>
          <w:strike/>
          <w:dstrike w:val="0"/>
          <w:color w:val="auto"/>
          <w:spacing w:val="-2"/>
          <w:sz w:val="24"/>
          <w:szCs w:val="24"/>
          <w:highlight w:val="none"/>
        </w:rPr>
        <w:t>有关费用，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则按商务评审不合格处理。</w:t>
      </w:r>
    </w:p>
    <w:p w14:paraId="60676C15">
      <w:pPr>
        <w:spacing w:before="182" w:line="324" w:lineRule="auto"/>
        <w:ind w:left="5" w:right="25" w:firstLine="544"/>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4.6.3  </w:t>
      </w:r>
      <w:r>
        <w:rPr>
          <w:rFonts w:ascii="宋体" w:hAnsi="宋体" w:eastAsia="宋体" w:cs="宋体"/>
          <w:strike/>
          <w:dstrike w:val="0"/>
          <w:color w:val="auto"/>
          <w:spacing w:val="-1"/>
          <w:sz w:val="24"/>
          <w:szCs w:val="24"/>
          <w:highlight w:val="none"/>
        </w:rPr>
        <w:t>投标报价中，如有以下情况之一的，由评标委员会全体成员按照少数服从</w:t>
      </w:r>
      <w:r>
        <w:rPr>
          <w:rFonts w:ascii="宋体" w:hAnsi="宋体" w:eastAsia="宋体" w:cs="宋体"/>
          <w:strike/>
          <w:dstrike w:val="0"/>
          <w:color w:val="auto"/>
          <w:spacing w:val="-2"/>
          <w:sz w:val="24"/>
          <w:szCs w:val="24"/>
          <w:highlight w:val="none"/>
        </w:rPr>
        <w:t>多数的原则</w:t>
      </w:r>
      <w:r>
        <w:rPr>
          <w:rFonts w:ascii="宋体" w:hAnsi="宋体" w:eastAsia="宋体" w:cs="宋体"/>
          <w:strike/>
          <w:dstrike w:val="0"/>
          <w:color w:val="auto"/>
          <w:spacing w:val="-1"/>
          <w:sz w:val="24"/>
          <w:szCs w:val="24"/>
          <w:highlight w:val="none"/>
        </w:rPr>
        <w:t>记名</w:t>
      </w:r>
      <w:r>
        <w:rPr>
          <w:rFonts w:ascii="宋体" w:hAnsi="宋体" w:eastAsia="宋体" w:cs="宋体"/>
          <w:strike/>
          <w:dstrike w:val="0"/>
          <w:color w:val="auto"/>
          <w:spacing w:val="-2"/>
          <w:sz w:val="24"/>
          <w:szCs w:val="24"/>
          <w:highlight w:val="none"/>
        </w:rPr>
        <w:t>投票（不得弃权）认定，作为按</w:t>
      </w:r>
      <w:r>
        <w:rPr>
          <w:rFonts w:ascii="宋体" w:hAnsi="宋体" w:eastAsia="宋体" w:cs="宋体"/>
          <w:strike/>
          <w:dstrike w:val="0"/>
          <w:color w:val="auto"/>
          <w:spacing w:val="-3"/>
          <w:sz w:val="24"/>
          <w:szCs w:val="24"/>
          <w:highlight w:val="none"/>
        </w:rPr>
        <w:t>商务评审不合格处理：</w:t>
      </w:r>
    </w:p>
    <w:p w14:paraId="5737B1AF">
      <w:pPr>
        <w:spacing w:before="182" w:line="218" w:lineRule="auto"/>
        <w:ind w:left="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12FB895B">
      <w:pPr>
        <w:spacing w:before="182" w:line="291" w:lineRule="auto"/>
        <w:ind w:left="1" w:right="23"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宋体" w:hAnsi="宋体" w:eastAsia="宋体" w:cs="宋体"/>
          <w:strike/>
          <w:dstrike w:val="0"/>
          <w:color w:val="auto"/>
          <w:spacing w:val="3"/>
          <w:sz w:val="24"/>
          <w:szCs w:val="24"/>
          <w:highlight w:val="none"/>
        </w:rPr>
        <w:t xml:space="preserve"> </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06713389">
      <w:pPr>
        <w:spacing w:before="175" w:line="220" w:lineRule="auto"/>
        <w:ind w:left="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）安全生产措施费低于招标文件规定的。</w:t>
      </w:r>
    </w:p>
    <w:p w14:paraId="473DA243">
      <w:pPr>
        <w:spacing w:before="183" w:line="312" w:lineRule="auto"/>
        <w:ind w:right="18" w:firstLine="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）通过符合性审查、技术评审的最低投标评标价低于通过符合性审查和技术</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1"/>
          <w:sz w:val="24"/>
          <w:szCs w:val="24"/>
          <w:highlight w:val="none"/>
        </w:rPr>
        <w:t>评审的次低投标评标价</w:t>
      </w:r>
      <w:r>
        <w:rPr>
          <w:rFonts w:ascii="Times New Roman" w:hAnsi="Times New Roman" w:eastAsia="Times New Roman" w:cs="Times New Roman"/>
          <w:strike/>
          <w:dstrike w:val="0"/>
          <w:color w:val="auto"/>
          <w:spacing w:val="1"/>
          <w:sz w:val="24"/>
          <w:szCs w:val="24"/>
          <w:highlight w:val="none"/>
        </w:rPr>
        <w:t>8%</w:t>
      </w:r>
      <w:r>
        <w:rPr>
          <w:rFonts w:ascii="宋体" w:hAnsi="宋体" w:eastAsia="宋体" w:cs="宋体"/>
          <w:strike/>
          <w:dstrike w:val="0"/>
          <w:color w:val="auto"/>
          <w:spacing w:val="1"/>
          <w:sz w:val="24"/>
          <w:szCs w:val="24"/>
          <w:highlight w:val="none"/>
        </w:rPr>
        <w:t>，且经询标投标人对其报价不能充分说明理由，或提供的</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3"/>
          <w:sz w:val="24"/>
          <w:szCs w:val="24"/>
          <w:highlight w:val="none"/>
        </w:rPr>
        <w:t>相关材料无法证明报价不低于其成本价的。</w:t>
      </w:r>
    </w:p>
    <w:p w14:paraId="3EB64FB3">
      <w:pPr>
        <w:spacing w:before="182" w:line="219" w:lineRule="auto"/>
        <w:ind w:left="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1BA05507">
      <w:pPr>
        <w:spacing w:before="183" w:line="213" w:lineRule="auto"/>
        <w:ind w:left="557"/>
        <w:rPr>
          <w:rFonts w:ascii="宋体" w:hAnsi="宋体" w:eastAsia="宋体" w:cs="宋体"/>
          <w:strike/>
          <w:dstrike w:val="0"/>
          <w:color w:val="auto"/>
          <w:sz w:val="25"/>
          <w:szCs w:val="25"/>
          <w:highlight w:val="none"/>
        </w:rPr>
      </w:pPr>
      <w:r>
        <w:rPr>
          <w:rFonts w:ascii="宋体" w:hAnsi="宋体" w:eastAsia="宋体" w:cs="宋体"/>
          <w:strike/>
          <w:dstrike w:val="0"/>
          <w:color w:val="auto"/>
          <w:spacing w:val="8"/>
          <w:sz w:val="24"/>
          <w:szCs w:val="24"/>
          <w:highlight w:val="none"/>
        </w:rPr>
        <w:t>（</w:t>
      </w:r>
      <w:r>
        <w:rPr>
          <w:rFonts w:ascii="Times New Roman" w:hAnsi="Times New Roman" w:eastAsia="Times New Roman" w:cs="Times New Roman"/>
          <w:strike/>
          <w:dstrike w:val="0"/>
          <w:color w:val="auto"/>
          <w:spacing w:val="8"/>
          <w:sz w:val="24"/>
          <w:szCs w:val="24"/>
          <w:highlight w:val="none"/>
        </w:rPr>
        <w:t>6</w:t>
      </w:r>
      <w:r>
        <w:rPr>
          <w:rFonts w:ascii="宋体" w:hAnsi="宋体" w:eastAsia="宋体" w:cs="宋体"/>
          <w:strike/>
          <w:dstrike w:val="0"/>
          <w:color w:val="auto"/>
          <w:spacing w:val="8"/>
          <w:sz w:val="24"/>
          <w:szCs w:val="24"/>
          <w:highlight w:val="none"/>
        </w:rPr>
        <w:t xml:space="preserve">） </w:t>
      </w:r>
      <w:r>
        <w:rPr>
          <w:rFonts w:ascii="Times New Roman" w:hAnsi="Times New Roman" w:eastAsia="Times New Roman" w:cs="Times New Roman"/>
          <w:i/>
          <w:iCs/>
          <w:strike/>
          <w:dstrike w:val="0"/>
          <w:color w:val="auto"/>
          <w:spacing w:val="8"/>
          <w:sz w:val="24"/>
          <w:szCs w:val="24"/>
          <w:highlight w:val="none"/>
        </w:rPr>
        <w:t>ⅆⅆ</w:t>
      </w:r>
      <w:r>
        <w:rPr>
          <w:rFonts w:ascii="宋体" w:hAnsi="宋体" w:eastAsia="宋体" w:cs="宋体"/>
          <w:i/>
          <w:iCs/>
          <w:strike/>
          <w:dstrike w:val="0"/>
          <w:color w:val="auto"/>
          <w:spacing w:val="8"/>
          <w:sz w:val="25"/>
          <w:szCs w:val="25"/>
          <w:highlight w:val="none"/>
        </w:rPr>
        <w:t>（由招标人自行扩充）</w:t>
      </w:r>
    </w:p>
    <w:p w14:paraId="0D76726D">
      <w:pPr>
        <w:spacing w:before="177" w:line="220" w:lineRule="auto"/>
        <w:ind w:left="52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4.6.4  </w:t>
      </w:r>
      <w:r>
        <w:rPr>
          <w:rFonts w:ascii="宋体" w:hAnsi="宋体" w:eastAsia="宋体" w:cs="宋体"/>
          <w:strike/>
          <w:dstrike w:val="0"/>
          <w:color w:val="auto"/>
          <w:spacing w:val="-2"/>
          <w:sz w:val="24"/>
          <w:szCs w:val="24"/>
          <w:highlight w:val="none"/>
        </w:rPr>
        <w:t>商务评审不通过的投标文件不再进入后续评分。</w:t>
      </w:r>
    </w:p>
    <w:p w14:paraId="1A3E935F">
      <w:pPr>
        <w:spacing w:before="182" w:line="220" w:lineRule="auto"/>
        <w:ind w:left="52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4.6.5  </w:t>
      </w:r>
      <w:r>
        <w:rPr>
          <w:rFonts w:ascii="宋体" w:hAnsi="宋体" w:eastAsia="宋体" w:cs="宋体"/>
          <w:strike/>
          <w:dstrike w:val="0"/>
          <w:color w:val="auto"/>
          <w:spacing w:val="-1"/>
          <w:sz w:val="24"/>
          <w:szCs w:val="24"/>
          <w:highlight w:val="none"/>
        </w:rPr>
        <w:t>商务评分计算办法：</w:t>
      </w:r>
    </w:p>
    <w:p w14:paraId="5ECB58B1">
      <w:pPr>
        <w:spacing w:before="179" w:line="353" w:lineRule="auto"/>
        <w:ind w:left="2" w:right="7" w:firstLine="492"/>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除计算差错外，确认后的评分基准价在本次招标期间保持不变。计算差错， 仅限</w:t>
      </w:r>
      <w:r>
        <w:rPr>
          <w:rFonts w:ascii="宋体" w:hAnsi="宋体" w:eastAsia="宋体" w:cs="宋体"/>
          <w:strike/>
          <w:dstrike w:val="0"/>
          <w:color w:val="auto"/>
          <w:spacing w:val="13"/>
          <w:sz w:val="24"/>
          <w:szCs w:val="24"/>
          <w:highlight w:val="none"/>
        </w:rPr>
        <w:t xml:space="preserve"> </w:t>
      </w:r>
      <w:r>
        <w:rPr>
          <w:rFonts w:ascii="宋体" w:hAnsi="宋体" w:eastAsia="宋体" w:cs="宋体"/>
          <w:strike/>
          <w:dstrike w:val="0"/>
          <w:color w:val="auto"/>
          <w:sz w:val="24"/>
          <w:szCs w:val="24"/>
          <w:highlight w:val="none"/>
        </w:rPr>
        <w:t>于以下两种情况</w:t>
      </w:r>
      <w:r>
        <w:rPr>
          <w:rFonts w:ascii="宋体" w:hAnsi="宋体" w:eastAsia="宋体" w:cs="宋体"/>
          <w:strike/>
          <w:dstrike w:val="0"/>
          <w:color w:val="auto"/>
          <w:spacing w:val="-27"/>
          <w:sz w:val="24"/>
          <w:szCs w:val="24"/>
          <w:highlight w:val="none"/>
        </w:rPr>
        <w:t>：（</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）纯算术性四则运算差错</w:t>
      </w:r>
      <w:r>
        <w:rPr>
          <w:rFonts w:ascii="宋体" w:hAnsi="宋体" w:eastAsia="宋体" w:cs="宋体"/>
          <w:strike/>
          <w:dstrike w:val="0"/>
          <w:color w:val="auto"/>
          <w:spacing w:val="-27"/>
          <w:sz w:val="24"/>
          <w:szCs w:val="24"/>
          <w:highlight w:val="none"/>
        </w:rPr>
        <w:t>；（</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）未按约定的计算方法，多计或</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6"/>
          <w:sz w:val="24"/>
          <w:szCs w:val="24"/>
          <w:highlight w:val="none"/>
        </w:rPr>
        <w:t>者少计投标人报价的。由于评标差错导致否决投标错误， 重新评标纠正等情况，不属</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7"/>
          <w:sz w:val="24"/>
          <w:szCs w:val="24"/>
          <w:highlight w:val="none"/>
        </w:rPr>
        <w:t>于计算差错。</w:t>
      </w:r>
    </w:p>
    <w:p w14:paraId="4F6D659C">
      <w:pPr>
        <w:spacing w:before="35" w:line="218" w:lineRule="auto"/>
        <w:ind w:left="48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平均报价值、</w:t>
      </w:r>
      <w:r>
        <w:rPr>
          <w:rFonts w:ascii="Times New Roman" w:hAnsi="Times New Roman" w:eastAsia="Times New Roman" w:cs="Times New Roman"/>
          <w:strike/>
          <w:dstrike w:val="0"/>
          <w:color w:val="auto"/>
          <w:spacing w:val="-2"/>
          <w:sz w:val="24"/>
          <w:szCs w:val="24"/>
          <w:highlight w:val="none"/>
        </w:rPr>
        <w:t>B</w:t>
      </w:r>
      <w:r>
        <w:rPr>
          <w:rFonts w:ascii="宋体" w:hAnsi="宋体" w:eastAsia="宋体" w:cs="宋体"/>
          <w:strike/>
          <w:dstrike w:val="0"/>
          <w:color w:val="auto"/>
          <w:spacing w:val="-2"/>
          <w:sz w:val="24"/>
          <w:szCs w:val="24"/>
          <w:highlight w:val="none"/>
        </w:rPr>
        <w:t>值</w:t>
      </w:r>
      <w:r>
        <w:rPr>
          <w:rFonts w:hint="eastAsia" w:ascii="宋体" w:hAnsi="宋体" w:eastAsia="宋体" w:cs="宋体"/>
          <w:strike/>
          <w:dstrike w:val="0"/>
          <w:color w:val="auto"/>
          <w:spacing w:val="-2"/>
          <w:sz w:val="24"/>
          <w:szCs w:val="24"/>
          <w:highlight w:val="none"/>
          <w:lang w:eastAsia="zh-CN"/>
        </w:rPr>
        <w:t>、评分基准价</w:t>
      </w:r>
      <w:r>
        <w:rPr>
          <w:rFonts w:ascii="宋体" w:hAnsi="宋体" w:eastAsia="宋体" w:cs="宋体"/>
          <w:strike/>
          <w:dstrike w:val="0"/>
          <w:color w:val="auto"/>
          <w:spacing w:val="-2"/>
          <w:sz w:val="24"/>
          <w:szCs w:val="24"/>
          <w:highlight w:val="none"/>
        </w:rPr>
        <w:t>取整数，小数点后四舍五入。</w:t>
      </w:r>
    </w:p>
    <w:p w14:paraId="4ECE7935">
      <w:pPr>
        <w:spacing w:before="182" w:line="218" w:lineRule="auto"/>
        <w:ind w:left="49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6"/>
          <w:sz w:val="24"/>
          <w:szCs w:val="24"/>
          <w:highlight w:val="none"/>
        </w:rPr>
        <w:t>1</w:t>
      </w:r>
      <w:r>
        <w:rPr>
          <w:rFonts w:ascii="Times New Roman" w:hAnsi="Times New Roman" w:eastAsia="Times New Roman" w:cs="Times New Roman"/>
          <w:strike/>
          <w:dstrike w:val="0"/>
          <w:color w:val="auto"/>
          <w:spacing w:val="-29"/>
          <w:sz w:val="24"/>
          <w:szCs w:val="24"/>
          <w:highlight w:val="none"/>
        </w:rPr>
        <w:t xml:space="preserve"> </w:t>
      </w:r>
      <w:r>
        <w:rPr>
          <w:rFonts w:ascii="宋体" w:hAnsi="宋体" w:eastAsia="宋体" w:cs="宋体"/>
          <w:strike/>
          <w:dstrike w:val="0"/>
          <w:color w:val="auto"/>
          <w:spacing w:val="-6"/>
          <w:sz w:val="24"/>
          <w:szCs w:val="24"/>
          <w:highlight w:val="none"/>
        </w:rPr>
        <w:t>．评分基准价的确定</w:t>
      </w:r>
    </w:p>
    <w:p w14:paraId="45B34105">
      <w:pPr>
        <w:spacing w:before="185" w:line="221"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1</w:t>
      </w:r>
      <w:r>
        <w:rPr>
          <w:rFonts w:ascii="宋体" w:hAnsi="宋体" w:eastAsia="宋体" w:cs="宋体"/>
          <w:strike/>
          <w:dstrike w:val="0"/>
          <w:color w:val="auto"/>
          <w:spacing w:val="-7"/>
          <w:sz w:val="24"/>
          <w:szCs w:val="24"/>
          <w:highlight w:val="none"/>
        </w:rPr>
        <w:t>：</w:t>
      </w:r>
    </w:p>
    <w:p w14:paraId="474E25FE">
      <w:pPr>
        <w:spacing w:before="178" w:line="218" w:lineRule="auto"/>
        <w:ind w:left="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64987F8A">
      <w:pPr>
        <w:spacing w:before="186" w:line="283" w:lineRule="auto"/>
        <w:ind w:left="1" w:right="2"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36EFD474">
      <w:pPr>
        <w:spacing w:before="181" w:line="218" w:lineRule="auto"/>
        <w:ind w:left="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5045827C">
      <w:pPr>
        <w:spacing w:before="186" w:line="333" w:lineRule="auto"/>
        <w:ind w:left="1" w:firstLine="54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2</w:t>
      </w:r>
      <w:r>
        <w:rPr>
          <w:rFonts w:ascii="宋体" w:hAnsi="宋体" w:eastAsia="宋体" w:cs="宋体"/>
          <w:strike/>
          <w:dstrike w:val="0"/>
          <w:color w:val="auto"/>
          <w:spacing w:val="-5"/>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5"/>
          <w:sz w:val="24"/>
          <w:szCs w:val="24"/>
          <w:highlight w:val="none"/>
        </w:rPr>
        <w:t>5</w:t>
      </w:r>
      <w:r>
        <w:rPr>
          <w:rFonts w:ascii="宋体" w:hAnsi="宋体" w:eastAsia="宋体" w:cs="宋体"/>
          <w:strike/>
          <w:dstrike w:val="0"/>
          <w:color w:val="auto"/>
          <w:spacing w:val="-5"/>
          <w:sz w:val="24"/>
          <w:szCs w:val="24"/>
          <w:highlight w:val="none"/>
        </w:rPr>
        <w:t>家，平</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均报价值为计入平均报价值计算范围的投标评标价中剔除投标评标价由高到低</w:t>
      </w:r>
      <w:r>
        <w:rPr>
          <w:rFonts w:ascii="宋体" w:hAnsi="宋体" w:eastAsia="宋体" w:cs="宋体"/>
          <w:strike/>
          <w:dstrike w:val="0"/>
          <w:color w:val="auto"/>
          <w:spacing w:val="3"/>
          <w:sz w:val="24"/>
          <w:szCs w:val="24"/>
          <w:highlight w:val="none"/>
        </w:rPr>
        <w:t>排序</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前</w:t>
      </w:r>
      <w:r>
        <w:rPr>
          <w:rFonts w:ascii="Times New Roman" w:hAnsi="Times New Roman" w:eastAsia="Times New Roman" w:cs="Times New Roman"/>
          <w:strike/>
          <w:dstrike w:val="0"/>
          <w:color w:val="auto"/>
          <w:spacing w:val="3"/>
          <w:sz w:val="24"/>
          <w:szCs w:val="24"/>
          <w:highlight w:val="none"/>
        </w:rPr>
        <w:t>A</w:t>
      </w:r>
      <w:r>
        <w:rPr>
          <w:rFonts w:ascii="宋体" w:hAnsi="宋体" w:eastAsia="宋体" w:cs="宋体"/>
          <w:strike/>
          <w:dstrike w:val="0"/>
          <w:color w:val="auto"/>
          <w:spacing w:val="3"/>
          <w:sz w:val="24"/>
          <w:szCs w:val="24"/>
          <w:highlight w:val="none"/>
        </w:rPr>
        <w:t>个投标评标价和投标评标价由低到高排序前</w:t>
      </w:r>
      <w:r>
        <w:rPr>
          <w:rFonts w:ascii="Times New Roman" w:hAnsi="Times New Roman" w:eastAsia="Times New Roman" w:cs="Times New Roman"/>
          <w:strike/>
          <w:dstrike w:val="0"/>
          <w:color w:val="auto"/>
          <w:spacing w:val="3"/>
          <w:sz w:val="24"/>
          <w:szCs w:val="24"/>
          <w:highlight w:val="none"/>
        </w:rPr>
        <w:t>A</w:t>
      </w:r>
      <w:r>
        <w:rPr>
          <w:rFonts w:ascii="宋体" w:hAnsi="宋体" w:eastAsia="宋体" w:cs="宋体"/>
          <w:strike/>
          <w:dstrike w:val="0"/>
          <w:color w:val="auto"/>
          <w:spacing w:val="3"/>
          <w:sz w:val="24"/>
          <w:szCs w:val="24"/>
          <w:highlight w:val="none"/>
        </w:rPr>
        <w:t>个</w:t>
      </w:r>
      <w:r>
        <w:rPr>
          <w:rFonts w:ascii="宋体" w:hAnsi="宋体" w:eastAsia="宋体" w:cs="宋体"/>
          <w:strike/>
          <w:dstrike w:val="0"/>
          <w:color w:val="auto"/>
          <w:spacing w:val="2"/>
          <w:sz w:val="24"/>
          <w:szCs w:val="24"/>
          <w:highlight w:val="none"/>
        </w:rPr>
        <w:t>投标评标价后的算术平均值［</w:t>
      </w:r>
      <w:r>
        <w:rPr>
          <w:rFonts w:ascii="Times New Roman" w:hAnsi="Times New Roman" w:eastAsia="Times New Roman" w:cs="Times New Roman"/>
          <w:strike/>
          <w:dstrike w:val="0"/>
          <w:color w:val="auto"/>
          <w:spacing w:val="2"/>
          <w:sz w:val="24"/>
          <w:szCs w:val="24"/>
          <w:highlight w:val="none"/>
        </w:rPr>
        <w:t>A</w:t>
      </w:r>
      <w:r>
        <w:rPr>
          <w:rFonts w:ascii="Times New Roman" w:hAnsi="Times New Roman" w:eastAsia="Times New Roman" w:cs="Times New Roman"/>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为计入平均报价值计算范围的投标人个数的</w:t>
      </w:r>
      <w:r>
        <w:rPr>
          <w:rFonts w:ascii="宋体" w:hAnsi="宋体" w:eastAsia="宋体" w:cs="宋体"/>
          <w:strike/>
          <w:dstrike w:val="0"/>
          <w:color w:val="auto"/>
          <w:spacing w:val="55"/>
          <w:sz w:val="25"/>
          <w:szCs w:val="25"/>
          <w:highlight w:val="none"/>
          <w:u w:val="single" w:color="auto"/>
        </w:rPr>
        <w:t xml:space="preserve"> </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20%</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3</w:t>
      </w:r>
      <w:r>
        <w:rPr>
          <w:rFonts w:ascii="Times New Roman" w:hAnsi="Times New Roman" w:eastAsia="Times New Roman" w:cs="Times New Roman"/>
          <w:i/>
          <w:iCs/>
          <w:strike/>
          <w:dstrike w:val="0"/>
          <w:color w:val="auto"/>
          <w:spacing w:val="-5"/>
          <w:sz w:val="24"/>
          <w:szCs w:val="24"/>
          <w:highlight w:val="none"/>
          <w:u w:val="single" w:color="auto"/>
        </w:rPr>
        <w:t>0%</w:t>
      </w:r>
      <w:r>
        <w:rPr>
          <w:rFonts w:ascii="宋体" w:hAnsi="宋体" w:eastAsia="宋体" w:cs="宋体"/>
          <w:i/>
          <w:iCs/>
          <w:strike/>
          <w:dstrike w:val="0"/>
          <w:color w:val="auto"/>
          <w:spacing w:val="-5"/>
          <w:sz w:val="25"/>
          <w:szCs w:val="25"/>
          <w:highlight w:val="none"/>
          <w:u w:val="single" w:color="auto"/>
        </w:rPr>
        <w:t>，由招标人自主确定</w:t>
      </w:r>
      <w:r>
        <w:rPr>
          <w:rFonts w:ascii="宋体" w:hAnsi="宋体" w:eastAsia="宋体" w:cs="宋体"/>
          <w:i/>
          <w:iCs/>
          <w:strike/>
          <w:dstrike w:val="0"/>
          <w:color w:val="auto"/>
          <w:spacing w:val="-17"/>
          <w:sz w:val="25"/>
          <w:szCs w:val="25"/>
          <w:highlight w:val="none"/>
          <w:u w:val="single" w:color="auto"/>
        </w:rPr>
        <w:t>）</w:t>
      </w:r>
      <w:r>
        <w:rPr>
          <w:rFonts w:ascii="宋体" w:hAnsi="宋体" w:eastAsia="宋体" w:cs="宋体"/>
          <w:strike/>
          <w:dstrike w:val="0"/>
          <w:color w:val="auto"/>
          <w:spacing w:val="-43"/>
          <w:sz w:val="25"/>
          <w:szCs w:val="25"/>
          <w:highlight w:val="none"/>
          <w:u w:val="single" w:color="auto"/>
        </w:rPr>
        <w:t xml:space="preserve"> </w:t>
      </w:r>
      <w:r>
        <w:rPr>
          <w:rFonts w:ascii="宋体" w:hAnsi="宋体" w:eastAsia="宋体" w:cs="宋体"/>
          <w:strike/>
          <w:dstrike w:val="0"/>
          <w:color w:val="auto"/>
          <w:spacing w:val="-96"/>
          <w:sz w:val="25"/>
          <w:szCs w:val="25"/>
          <w:highlight w:val="none"/>
        </w:rPr>
        <w:t xml:space="preserve"> </w:t>
      </w:r>
      <w:r>
        <w:rPr>
          <w:rFonts w:ascii="宋体" w:hAnsi="宋体" w:eastAsia="宋体" w:cs="宋体"/>
          <w:strike/>
          <w:dstrike w:val="0"/>
          <w:color w:val="auto"/>
          <w:spacing w:val="-17"/>
          <w:sz w:val="24"/>
          <w:szCs w:val="24"/>
          <w:highlight w:val="none"/>
        </w:rPr>
        <w:t>，</w:t>
      </w:r>
      <w:r>
        <w:rPr>
          <w:rFonts w:ascii="宋体" w:hAnsi="宋体" w:eastAsia="宋体" w:cs="宋体"/>
          <w:strike/>
          <w:dstrike w:val="0"/>
          <w:color w:val="auto"/>
          <w:sz w:val="24"/>
          <w:szCs w:val="24"/>
          <w:highlight w:val="none"/>
        </w:rPr>
        <w:t xml:space="preserve"> 并取整数，小数点后四舍五入</w:t>
      </w:r>
      <w:r>
        <w:rPr>
          <w:rFonts w:ascii="宋体" w:hAnsi="宋体" w:eastAsia="宋体" w:cs="宋体"/>
          <w:strike/>
          <w:dstrike w:val="0"/>
          <w:color w:val="auto"/>
          <w:spacing w:val="6"/>
          <w:sz w:val="24"/>
          <w:szCs w:val="24"/>
          <w:highlight w:val="none"/>
        </w:rPr>
        <w:t>］；</w:t>
      </w:r>
      <w:r>
        <w:rPr>
          <w:rFonts w:ascii="宋体" w:hAnsi="宋体" w:eastAsia="宋体" w:cs="宋体"/>
          <w:strike/>
          <w:dstrike w:val="0"/>
          <w:color w:val="auto"/>
          <w:sz w:val="24"/>
          <w:szCs w:val="24"/>
          <w:highlight w:val="none"/>
        </w:rPr>
        <w:t>若计入平均报价值计算范围的投标人少于</w:t>
      </w:r>
      <w:r>
        <w:rPr>
          <w:rFonts w:ascii="Times New Roman" w:hAnsi="Times New Roman" w:eastAsia="Times New Roman" w:cs="Times New Roman"/>
          <w:strike/>
          <w:dstrike w:val="0"/>
          <w:color w:val="auto"/>
          <w:sz w:val="24"/>
          <w:szCs w:val="24"/>
          <w:highlight w:val="none"/>
        </w:rPr>
        <w:t>5</w:t>
      </w:r>
      <w:r>
        <w:rPr>
          <w:rFonts w:ascii="宋体" w:hAnsi="宋体" w:eastAsia="宋体" w:cs="宋体"/>
          <w:strike/>
          <w:dstrike w:val="0"/>
          <w:color w:val="auto"/>
          <w:sz w:val="24"/>
          <w:szCs w:val="24"/>
          <w:highlight w:val="none"/>
        </w:rPr>
        <w:t xml:space="preserve">家，平 </w:t>
      </w:r>
      <w:r>
        <w:rPr>
          <w:rFonts w:ascii="宋体" w:hAnsi="宋体" w:eastAsia="宋体" w:cs="宋体"/>
          <w:strike/>
          <w:dstrike w:val="0"/>
          <w:color w:val="auto"/>
          <w:spacing w:val="-2"/>
          <w:sz w:val="24"/>
          <w:szCs w:val="24"/>
          <w:highlight w:val="none"/>
        </w:rPr>
        <w:t>均报价值为所有计入平均报价值计算范围的投标评标价的算术平均值。</w:t>
      </w:r>
    </w:p>
    <w:p w14:paraId="6E9AC9EF">
      <w:pPr>
        <w:spacing w:before="182" w:line="218" w:lineRule="auto"/>
        <w:ind w:left="48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）评分基准价的确定：</w:t>
      </w:r>
    </w:p>
    <w:p w14:paraId="51279BFB">
      <w:pPr>
        <w:spacing w:before="64" w:line="323" w:lineRule="exact"/>
        <w:ind w:left="490"/>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position w:val="2"/>
          <w:sz w:val="24"/>
          <w:szCs w:val="24"/>
          <w:highlight w:val="none"/>
        </w:rPr>
        <w:t>评分基准价</w:t>
      </w:r>
      <w:r>
        <w:rPr>
          <w:rFonts w:ascii="Times New Roman" w:hAnsi="Times New Roman" w:eastAsia="Times New Roman" w:cs="Times New Roman"/>
          <w:strike/>
          <w:dstrike w:val="0"/>
          <w:color w:val="auto"/>
          <w:position w:val="2"/>
          <w:sz w:val="24"/>
          <w:szCs w:val="24"/>
          <w:highlight w:val="none"/>
        </w:rPr>
        <w:t>=</w:t>
      </w:r>
      <w:r>
        <w:rPr>
          <w:rFonts w:ascii="宋体" w:hAnsi="宋体" w:eastAsia="宋体" w:cs="宋体"/>
          <w:strike/>
          <w:dstrike w:val="0"/>
          <w:color w:val="auto"/>
          <w:position w:val="2"/>
          <w:sz w:val="24"/>
          <w:szCs w:val="24"/>
          <w:highlight w:val="none"/>
        </w:rPr>
        <w:t>（</w:t>
      </w:r>
      <w:r>
        <w:rPr>
          <w:rFonts w:ascii="Times New Roman" w:hAnsi="Times New Roman" w:eastAsia="Times New Roman" w:cs="Times New Roman"/>
          <w:strike/>
          <w:dstrike w:val="0"/>
          <w:color w:val="auto"/>
          <w:position w:val="2"/>
          <w:sz w:val="24"/>
          <w:szCs w:val="24"/>
          <w:highlight w:val="none"/>
        </w:rPr>
        <w:t>Q</w:t>
      </w:r>
      <w:r>
        <w:rPr>
          <w:rFonts w:ascii="宋体" w:hAnsi="宋体" w:eastAsia="宋体" w:cs="宋体"/>
          <w:strike/>
          <w:dstrike w:val="0"/>
          <w:color w:val="auto"/>
          <w:position w:val="2"/>
          <w:sz w:val="24"/>
          <w:szCs w:val="24"/>
          <w:highlight w:val="none"/>
        </w:rPr>
        <w:t>×最高投标限价</w:t>
      </w:r>
      <w:r>
        <w:rPr>
          <w:rFonts w:ascii="Times New Roman" w:hAnsi="Times New Roman" w:eastAsia="Times New Roman" w:cs="Times New Roman"/>
          <w:strike/>
          <w:dstrike w:val="0"/>
          <w:color w:val="auto"/>
          <w:position w:val="2"/>
          <w:sz w:val="24"/>
          <w:szCs w:val="24"/>
          <w:highlight w:val="none"/>
        </w:rPr>
        <w:t>+</w:t>
      </w:r>
      <w:r>
        <w:rPr>
          <w:rFonts w:ascii="宋体" w:hAnsi="宋体" w:eastAsia="宋体" w:cs="宋体"/>
          <w:strike/>
          <w:dstrike w:val="0"/>
          <w:color w:val="auto"/>
          <w:position w:val="2"/>
          <w:sz w:val="24"/>
          <w:szCs w:val="24"/>
          <w:highlight w:val="none"/>
        </w:rPr>
        <w:t>（</w:t>
      </w:r>
      <w:r>
        <w:rPr>
          <w:rFonts w:ascii="Times New Roman" w:hAnsi="Times New Roman" w:eastAsia="Times New Roman" w:cs="Times New Roman"/>
          <w:strike/>
          <w:dstrike w:val="0"/>
          <w:color w:val="auto"/>
          <w:position w:val="2"/>
          <w:sz w:val="24"/>
          <w:szCs w:val="24"/>
          <w:highlight w:val="none"/>
        </w:rPr>
        <w:t>1-Q</w:t>
      </w:r>
      <w:r>
        <w:rPr>
          <w:rFonts w:ascii="宋体" w:hAnsi="宋体" w:eastAsia="宋体" w:cs="宋体"/>
          <w:strike/>
          <w:dstrike w:val="0"/>
          <w:color w:val="auto"/>
          <w:position w:val="2"/>
          <w:sz w:val="24"/>
          <w:szCs w:val="24"/>
          <w:highlight w:val="none"/>
        </w:rPr>
        <w:t>）</w:t>
      </w:r>
      <w:r>
        <w:rPr>
          <w:rFonts w:ascii="Times New Roman" w:hAnsi="Times New Roman" w:eastAsia="Times New Roman" w:cs="Times New Roman"/>
          <w:strike/>
          <w:dstrike w:val="0"/>
          <w:color w:val="auto"/>
          <w:position w:val="2"/>
          <w:sz w:val="24"/>
          <w:szCs w:val="24"/>
          <w:highlight w:val="none"/>
        </w:rPr>
        <w:t>×</w:t>
      </w:r>
      <w:r>
        <w:rPr>
          <w:rFonts w:ascii="宋体" w:hAnsi="宋体" w:eastAsia="宋体" w:cs="宋体"/>
          <w:strike/>
          <w:dstrike w:val="0"/>
          <w:color w:val="auto"/>
          <w:position w:val="2"/>
          <w:sz w:val="24"/>
          <w:szCs w:val="24"/>
          <w:highlight w:val="none"/>
        </w:rPr>
        <w:t>平</w:t>
      </w:r>
      <w:r>
        <w:rPr>
          <w:rFonts w:ascii="宋体" w:hAnsi="宋体" w:eastAsia="宋体" w:cs="宋体"/>
          <w:strike/>
          <w:dstrike w:val="0"/>
          <w:color w:val="auto"/>
          <w:spacing w:val="-1"/>
          <w:position w:val="2"/>
          <w:sz w:val="24"/>
          <w:szCs w:val="24"/>
          <w:highlight w:val="none"/>
        </w:rPr>
        <w:t>均报价值）×</w:t>
      </w:r>
      <w:r>
        <w:rPr>
          <w:rFonts w:ascii="Times New Roman" w:hAnsi="Times New Roman" w:eastAsia="Times New Roman" w:cs="Times New Roman"/>
          <w:strike/>
          <w:dstrike w:val="0"/>
          <w:color w:val="auto"/>
          <w:spacing w:val="-1"/>
          <w:position w:val="2"/>
          <w:sz w:val="24"/>
          <w:szCs w:val="24"/>
          <w:highlight w:val="none"/>
        </w:rPr>
        <w:t>(1-X%)</w:t>
      </w:r>
    </w:p>
    <w:p w14:paraId="45DC82E2">
      <w:pPr>
        <w:spacing w:before="188" w:line="337" w:lineRule="auto"/>
        <w:ind w:firstLine="49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1"/>
          <w:sz w:val="24"/>
          <w:szCs w:val="24"/>
          <w:highlight w:val="none"/>
        </w:rPr>
        <w:t>最高投标限价权重</w:t>
      </w:r>
      <w:r>
        <w:rPr>
          <w:rFonts w:ascii="Times New Roman" w:hAnsi="Times New Roman" w:eastAsia="Times New Roman" w:cs="Times New Roman"/>
          <w:strike/>
          <w:dstrike w:val="0"/>
          <w:color w:val="auto"/>
          <w:spacing w:val="11"/>
          <w:sz w:val="24"/>
          <w:szCs w:val="24"/>
          <w:highlight w:val="none"/>
        </w:rPr>
        <w:t>Q</w:t>
      </w:r>
      <w:r>
        <w:rPr>
          <w:rFonts w:ascii="宋体" w:hAnsi="宋体" w:eastAsia="宋体" w:cs="宋体"/>
          <w:strike/>
          <w:dstrike w:val="0"/>
          <w:color w:val="auto"/>
          <w:spacing w:val="11"/>
          <w:sz w:val="24"/>
          <w:szCs w:val="24"/>
          <w:highlight w:val="none"/>
        </w:rPr>
        <w:t>值为□</w:t>
      </w:r>
      <w:r>
        <w:rPr>
          <w:rFonts w:ascii="宋体" w:hAnsi="宋体" w:eastAsia="宋体" w:cs="宋体"/>
          <w:strike/>
          <w:dstrike w:val="0"/>
          <w:color w:val="auto"/>
          <w:spacing w:val="-87"/>
          <w:sz w:val="24"/>
          <w:szCs w:val="24"/>
          <w:highlight w:val="none"/>
        </w:rPr>
        <w:t xml:space="preserve"> </w:t>
      </w:r>
      <w:r>
        <w:rPr>
          <w:rFonts w:ascii="宋体" w:hAnsi="宋体" w:eastAsia="宋体" w:cs="宋体"/>
          <w:strike/>
          <w:dstrike w:val="0"/>
          <w:color w:val="auto"/>
          <w:spacing w:val="11"/>
          <w:sz w:val="25"/>
          <w:szCs w:val="25"/>
          <w:highlight w:val="none"/>
          <w:u w:val="single" w:color="auto"/>
        </w:rPr>
        <w:t xml:space="preserve">    </w:t>
      </w:r>
      <w:r>
        <w:rPr>
          <w:rFonts w:ascii="宋体" w:hAnsi="宋体" w:eastAsia="宋体" w:cs="宋体"/>
          <w:i/>
          <w:iCs/>
          <w:strike/>
          <w:dstrike w:val="0"/>
          <w:color w:val="auto"/>
          <w:spacing w:val="11"/>
          <w:sz w:val="25"/>
          <w:szCs w:val="25"/>
          <w:highlight w:val="none"/>
          <w:u w:val="single" w:color="auto"/>
        </w:rPr>
        <w:t>（</w:t>
      </w:r>
      <w:r>
        <w:rPr>
          <w:rFonts w:ascii="Times New Roman" w:hAnsi="Times New Roman" w:eastAsia="Times New Roman" w:cs="Times New Roman"/>
          <w:i/>
          <w:iCs/>
          <w:strike/>
          <w:dstrike w:val="0"/>
          <w:color w:val="auto"/>
          <w:spacing w:val="11"/>
          <w:sz w:val="24"/>
          <w:szCs w:val="24"/>
          <w:highlight w:val="none"/>
          <w:u w:val="single" w:color="auto"/>
        </w:rPr>
        <w:t>0.30</w:t>
      </w:r>
      <w:r>
        <w:rPr>
          <w:rFonts w:ascii="宋体" w:hAnsi="宋体" w:eastAsia="宋体" w:cs="宋体"/>
          <w:i/>
          <w:iCs/>
          <w:strike/>
          <w:dstrike w:val="0"/>
          <w:color w:val="auto"/>
          <w:spacing w:val="11"/>
          <w:sz w:val="25"/>
          <w:szCs w:val="25"/>
          <w:highlight w:val="none"/>
          <w:u w:val="single" w:color="auto"/>
        </w:rPr>
        <w:t>或</w:t>
      </w:r>
      <w:r>
        <w:rPr>
          <w:rFonts w:ascii="Times New Roman" w:hAnsi="Times New Roman" w:eastAsia="Times New Roman" w:cs="Times New Roman"/>
          <w:i/>
          <w:iCs/>
          <w:strike/>
          <w:dstrike w:val="0"/>
          <w:color w:val="auto"/>
          <w:spacing w:val="11"/>
          <w:sz w:val="24"/>
          <w:szCs w:val="24"/>
          <w:highlight w:val="none"/>
          <w:u w:val="single" w:color="auto"/>
        </w:rPr>
        <w:t>0.35</w:t>
      </w:r>
      <w:r>
        <w:rPr>
          <w:rFonts w:ascii="宋体" w:hAnsi="宋体" w:eastAsia="宋体" w:cs="宋体"/>
          <w:i/>
          <w:iCs/>
          <w:strike/>
          <w:dstrike w:val="0"/>
          <w:color w:val="auto"/>
          <w:spacing w:val="11"/>
          <w:sz w:val="25"/>
          <w:szCs w:val="25"/>
          <w:highlight w:val="none"/>
          <w:u w:val="single" w:color="auto"/>
        </w:rPr>
        <w:t>或</w:t>
      </w:r>
      <w:r>
        <w:rPr>
          <w:rFonts w:ascii="Times New Roman" w:hAnsi="Times New Roman" w:eastAsia="Times New Roman" w:cs="Times New Roman"/>
          <w:i/>
          <w:iCs/>
          <w:strike/>
          <w:dstrike w:val="0"/>
          <w:color w:val="auto"/>
          <w:spacing w:val="11"/>
          <w:sz w:val="24"/>
          <w:szCs w:val="24"/>
          <w:highlight w:val="none"/>
          <w:u w:val="single" w:color="auto"/>
        </w:rPr>
        <w:t>0.40</w:t>
      </w:r>
      <w:r>
        <w:rPr>
          <w:rFonts w:ascii="Times New Roman" w:hAnsi="Times New Roman" w:eastAsia="Times New Roman" w:cs="Times New Roman"/>
          <w:i/>
          <w:iCs/>
          <w:strike/>
          <w:dstrike w:val="0"/>
          <w:color w:val="auto"/>
          <w:spacing w:val="-12"/>
          <w:sz w:val="24"/>
          <w:szCs w:val="24"/>
          <w:highlight w:val="none"/>
          <w:u w:val="single" w:color="auto"/>
        </w:rPr>
        <w:t xml:space="preserve"> </w:t>
      </w:r>
      <w:r>
        <w:rPr>
          <w:rFonts w:ascii="宋体" w:hAnsi="宋体" w:eastAsia="宋体" w:cs="宋体"/>
          <w:i/>
          <w:iCs/>
          <w:strike/>
          <w:dstrike w:val="0"/>
          <w:color w:val="auto"/>
          <w:spacing w:val="11"/>
          <w:sz w:val="25"/>
          <w:szCs w:val="25"/>
          <w:highlight w:val="none"/>
          <w:u w:val="single" w:color="auto"/>
        </w:rPr>
        <w:t>，由招标人自主确定）</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0.30</w:t>
      </w:r>
      <w:r>
        <w:rPr>
          <w:rFonts w:ascii="Times New Roman" w:hAnsi="Times New Roman" w:eastAsia="Times New Roman" w:cs="Times New Roman"/>
          <w:strike/>
          <w:dstrike w:val="0"/>
          <w:color w:val="auto"/>
          <w:spacing w:val="-34"/>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0.35</w:t>
      </w:r>
      <w:r>
        <w:rPr>
          <w:rFonts w:ascii="Times New Roman" w:hAnsi="Times New Roman" w:eastAsia="Times New Roman" w:cs="Times New Roman"/>
          <w:strike/>
          <w:dstrike w:val="0"/>
          <w:color w:val="auto"/>
          <w:spacing w:val="-34"/>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0.40</w:t>
      </w:r>
      <w:r>
        <w:rPr>
          <w:rFonts w:ascii="Times New Roman" w:hAnsi="Times New Roman" w:eastAsia="Times New Roman" w:cs="Times New Roman"/>
          <w:strike/>
          <w:dstrike w:val="0"/>
          <w:color w:val="auto"/>
          <w:spacing w:val="-30"/>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，由招标人在</w:t>
      </w:r>
      <w:r>
        <w:rPr>
          <w:rFonts w:ascii="宋体" w:hAnsi="宋体" w:eastAsia="宋体" w:cs="宋体"/>
          <w:strike/>
          <w:dstrike w:val="0"/>
          <w:color w:val="auto"/>
          <w:spacing w:val="-5"/>
          <w:sz w:val="24"/>
          <w:szCs w:val="24"/>
          <w:highlight w:val="none"/>
          <w:u w:val="single" w:color="auto"/>
        </w:rPr>
        <w:t>开标现场随机抽取</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i/>
          <w:iCs/>
          <w:strike/>
          <w:dstrike w:val="0"/>
          <w:color w:val="auto"/>
          <w:spacing w:val="-5"/>
          <w:sz w:val="25"/>
          <w:szCs w:val="25"/>
          <w:highlight w:val="none"/>
        </w:rPr>
        <w:t>。</w:t>
      </w:r>
      <w:r>
        <w:rPr>
          <w:rFonts w:ascii="宋体" w:hAnsi="宋体" w:eastAsia="宋体" w:cs="宋体"/>
          <w:strike/>
          <w:dstrike w:val="0"/>
          <w:color w:val="auto"/>
          <w:spacing w:val="-5"/>
          <w:sz w:val="24"/>
          <w:szCs w:val="24"/>
          <w:highlight w:val="none"/>
        </w:rPr>
        <w:t>下浮值</w:t>
      </w:r>
      <w:r>
        <w:rPr>
          <w:rFonts w:ascii="Times New Roman" w:hAnsi="Times New Roman" w:eastAsia="Times New Roman" w:cs="Times New Roman"/>
          <w:strike/>
          <w:dstrike w:val="0"/>
          <w:color w:val="auto"/>
          <w:spacing w:val="-5"/>
          <w:sz w:val="24"/>
          <w:szCs w:val="24"/>
          <w:highlight w:val="none"/>
        </w:rPr>
        <w:t>X</w:t>
      </w:r>
      <w:r>
        <w:rPr>
          <w:rFonts w:ascii="宋体" w:hAnsi="宋体" w:eastAsia="宋体" w:cs="宋体"/>
          <w:strike/>
          <w:dstrike w:val="0"/>
          <w:color w:val="auto"/>
          <w:spacing w:val="-5"/>
          <w:sz w:val="24"/>
          <w:szCs w:val="24"/>
          <w:highlight w:val="none"/>
        </w:rPr>
        <w:t>值在开标时由招标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人在开标现场随机抽取，下浮</w:t>
      </w:r>
      <w:r>
        <w:rPr>
          <w:rFonts w:ascii="Times New Roman" w:hAnsi="Times New Roman" w:eastAsia="Times New Roman" w:cs="Times New Roman"/>
          <w:strike/>
          <w:dstrike w:val="0"/>
          <w:color w:val="auto"/>
          <w:spacing w:val="-3"/>
          <w:sz w:val="24"/>
          <w:szCs w:val="24"/>
          <w:highlight w:val="none"/>
        </w:rPr>
        <w:t>X</w:t>
      </w:r>
      <w:r>
        <w:rPr>
          <w:rFonts w:ascii="宋体" w:hAnsi="宋体" w:eastAsia="宋体" w:cs="宋体"/>
          <w:strike/>
          <w:dstrike w:val="0"/>
          <w:color w:val="auto"/>
          <w:spacing w:val="-3"/>
          <w:sz w:val="24"/>
          <w:szCs w:val="24"/>
          <w:highlight w:val="none"/>
        </w:rPr>
        <w:t>值由招标人在</w:t>
      </w:r>
      <w:r>
        <w:rPr>
          <w:rFonts w:ascii="宋体" w:hAnsi="宋体" w:eastAsia="宋体" w:cs="宋体"/>
          <w:strike/>
          <w:dstrike w:val="0"/>
          <w:color w:val="auto"/>
          <w:spacing w:val="121"/>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（由招标人在</w:t>
      </w:r>
      <w:r>
        <w:rPr>
          <w:rFonts w:ascii="Times New Roman" w:hAnsi="Times New Roman" w:eastAsia="Times New Roman" w:cs="Times New Roman"/>
          <w:i/>
          <w:iCs/>
          <w:strike/>
          <w:dstrike w:val="0"/>
          <w:color w:val="auto"/>
          <w:spacing w:val="-3"/>
          <w:sz w:val="24"/>
          <w:szCs w:val="24"/>
          <w:highlight w:val="none"/>
          <w:u w:val="single" w:color="auto"/>
        </w:rPr>
        <w:t>0</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5</w:t>
      </w:r>
      <w:r>
        <w:rPr>
          <w:rFonts w:ascii="宋体" w:hAnsi="宋体" w:eastAsia="宋体" w:cs="宋体"/>
          <w:i/>
          <w:iCs/>
          <w:strike/>
          <w:dstrike w:val="0"/>
          <w:color w:val="auto"/>
          <w:spacing w:val="-3"/>
          <w:sz w:val="25"/>
          <w:szCs w:val="25"/>
          <w:highlight w:val="none"/>
          <w:u w:val="single" w:color="auto"/>
        </w:rPr>
        <w:t>之间自行确定，</w:t>
      </w:r>
      <w:r>
        <w:rPr>
          <w:rFonts w:ascii="宋体" w:hAnsi="宋体" w:eastAsia="宋体" w:cs="宋体"/>
          <w:i/>
          <w:iCs/>
          <w:strike/>
          <w:dstrike w:val="0"/>
          <w:color w:val="auto"/>
          <w:spacing w:val="-3"/>
          <w:sz w:val="25"/>
          <w:szCs w:val="25"/>
          <w:highlight w:val="none"/>
        </w:rPr>
        <w:t>但</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7"/>
          <w:sz w:val="25"/>
          <w:szCs w:val="25"/>
          <w:highlight w:val="none"/>
          <w:u w:val="single" w:color="auto"/>
        </w:rPr>
        <w:t>应为</w:t>
      </w:r>
      <w:r>
        <w:rPr>
          <w:rFonts w:ascii="Times New Roman" w:hAnsi="Times New Roman" w:eastAsia="Times New Roman" w:cs="Times New Roman"/>
          <w:i/>
          <w:iCs/>
          <w:strike/>
          <w:dstrike w:val="0"/>
          <w:color w:val="auto"/>
          <w:spacing w:val="-7"/>
          <w:sz w:val="24"/>
          <w:szCs w:val="24"/>
          <w:highlight w:val="none"/>
          <w:u w:val="single" w:color="auto"/>
        </w:rPr>
        <w:t>5</w:t>
      </w:r>
      <w:r>
        <w:rPr>
          <w:rFonts w:ascii="宋体" w:hAnsi="宋体" w:eastAsia="宋体" w:cs="宋体"/>
          <w:i/>
          <w:iCs/>
          <w:strike/>
          <w:dstrike w:val="0"/>
          <w:color w:val="auto"/>
          <w:spacing w:val="-7"/>
          <w:sz w:val="25"/>
          <w:szCs w:val="25"/>
          <w:highlight w:val="none"/>
          <w:u w:val="single" w:color="auto"/>
        </w:rPr>
        <w:t>个数组成的等差递增数列，最小公差大于等于</w:t>
      </w:r>
      <w:r>
        <w:rPr>
          <w:rFonts w:ascii="Times New Roman" w:hAnsi="Times New Roman" w:eastAsia="Times New Roman" w:cs="Times New Roman"/>
          <w:i/>
          <w:iCs/>
          <w:strike/>
          <w:dstrike w:val="0"/>
          <w:color w:val="auto"/>
          <w:spacing w:val="-7"/>
          <w:sz w:val="24"/>
          <w:szCs w:val="24"/>
          <w:highlight w:val="none"/>
          <w:u w:val="single" w:color="auto"/>
        </w:rPr>
        <w:t>0.5</w:t>
      </w:r>
      <w:r>
        <w:rPr>
          <w:rFonts w:ascii="宋体" w:hAnsi="宋体" w:eastAsia="宋体" w:cs="宋体"/>
          <w:i/>
          <w:iCs/>
          <w:strike/>
          <w:dstrike w:val="0"/>
          <w:color w:val="auto"/>
          <w:spacing w:val="-7"/>
          <w:sz w:val="25"/>
          <w:szCs w:val="25"/>
          <w:highlight w:val="none"/>
          <w:u w:val="single" w:color="auto"/>
        </w:rPr>
        <w:t>）</w:t>
      </w:r>
      <w:r>
        <w:rPr>
          <w:rFonts w:ascii="宋体" w:hAnsi="宋体" w:eastAsia="宋体" w:cs="宋体"/>
          <w:strike/>
          <w:dstrike w:val="0"/>
          <w:color w:val="auto"/>
          <w:spacing w:val="-7"/>
          <w:sz w:val="24"/>
          <w:szCs w:val="24"/>
          <w:highlight w:val="none"/>
        </w:rPr>
        <w:t>之中</w:t>
      </w:r>
      <w:r>
        <w:rPr>
          <w:rFonts w:ascii="宋体" w:hAnsi="宋体" w:eastAsia="宋体" w:cs="宋体"/>
          <w:strike/>
          <w:dstrike w:val="0"/>
          <w:color w:val="auto"/>
          <w:spacing w:val="-8"/>
          <w:sz w:val="24"/>
          <w:szCs w:val="24"/>
          <w:highlight w:val="none"/>
        </w:rPr>
        <w:t>随机抽取确定。</w:t>
      </w:r>
    </w:p>
    <w:p w14:paraId="099CE89A">
      <w:pPr>
        <w:spacing w:before="41" w:line="221" w:lineRule="auto"/>
        <w:ind w:left="57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w:t>
      </w:r>
    </w:p>
    <w:p w14:paraId="6B363CF6">
      <w:pPr>
        <w:spacing w:before="178" w:line="218" w:lineRule="auto"/>
        <w:ind w:left="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4C990375">
      <w:pPr>
        <w:spacing w:before="185" w:line="283" w:lineRule="auto"/>
        <w:ind w:left="12" w:right="6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045D6E88">
      <w:pPr>
        <w:spacing w:before="182" w:line="218"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54838200">
      <w:pPr>
        <w:spacing w:before="183" w:line="331" w:lineRule="auto"/>
        <w:ind w:left="5" w:right="217"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4"/>
          <w:szCs w:val="24"/>
          <w:highlight w:val="none"/>
          <w:u w:val="single" w:color="auto"/>
        </w:rPr>
        <w:t xml:space="preserve">  （</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，由招标人自主确</w:t>
      </w:r>
      <w:r>
        <w:rPr>
          <w:rFonts w:ascii="宋体" w:hAnsi="宋体" w:eastAsia="宋体" w:cs="宋体"/>
          <w:strike/>
          <w:dstrike w:val="0"/>
          <w:color w:val="auto"/>
          <w:spacing w:val="13"/>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53989C18">
      <w:pPr>
        <w:spacing w:before="141" w:line="323" w:lineRule="exact"/>
        <w:ind w:left="49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position w:val="1"/>
          <w:sz w:val="24"/>
          <w:szCs w:val="24"/>
          <w:highlight w:val="none"/>
        </w:rPr>
        <w:t>（</w:t>
      </w:r>
      <w:r>
        <w:rPr>
          <w:rFonts w:ascii="Times New Roman" w:hAnsi="Times New Roman" w:eastAsia="Times New Roman" w:cs="Times New Roman"/>
          <w:strike/>
          <w:dstrike w:val="0"/>
          <w:color w:val="auto"/>
          <w:spacing w:val="-1"/>
          <w:position w:val="1"/>
          <w:sz w:val="24"/>
          <w:szCs w:val="24"/>
          <w:highlight w:val="none"/>
        </w:rPr>
        <w:t>3</w:t>
      </w:r>
      <w:r>
        <w:rPr>
          <w:rFonts w:ascii="宋体" w:hAnsi="宋体" w:eastAsia="宋体" w:cs="宋体"/>
          <w:strike/>
          <w:dstrike w:val="0"/>
          <w:color w:val="auto"/>
          <w:spacing w:val="-1"/>
          <w:position w:val="1"/>
          <w:sz w:val="24"/>
          <w:szCs w:val="24"/>
          <w:highlight w:val="none"/>
        </w:rPr>
        <w:t>）评分基准价的确定：评分基准价</w:t>
      </w:r>
      <w:r>
        <w:rPr>
          <w:rFonts w:ascii="Times New Roman" w:hAnsi="Times New Roman" w:eastAsia="Times New Roman" w:cs="Times New Roman"/>
          <w:strike/>
          <w:dstrike w:val="0"/>
          <w:color w:val="auto"/>
          <w:spacing w:val="-1"/>
          <w:position w:val="1"/>
          <w:sz w:val="24"/>
          <w:szCs w:val="24"/>
          <w:highlight w:val="none"/>
        </w:rPr>
        <w:t>=</w:t>
      </w:r>
      <w:r>
        <w:rPr>
          <w:rFonts w:ascii="宋体" w:hAnsi="宋体" w:eastAsia="宋体" w:cs="宋体"/>
          <w:strike/>
          <w:dstrike w:val="0"/>
          <w:color w:val="auto"/>
          <w:spacing w:val="-1"/>
          <w:position w:val="1"/>
          <w:sz w:val="24"/>
          <w:szCs w:val="24"/>
          <w:highlight w:val="none"/>
        </w:rPr>
        <w:t>平均报价值</w:t>
      </w:r>
      <w:r>
        <w:rPr>
          <w:rFonts w:ascii="Times New Roman" w:hAnsi="Times New Roman" w:eastAsia="Times New Roman" w:cs="Times New Roman"/>
          <w:strike/>
          <w:dstrike w:val="0"/>
          <w:color w:val="auto"/>
          <w:spacing w:val="-1"/>
          <w:position w:val="1"/>
          <w:sz w:val="24"/>
          <w:szCs w:val="24"/>
          <w:highlight w:val="none"/>
        </w:rPr>
        <w:t>×</w:t>
      </w:r>
      <w:r>
        <w:rPr>
          <w:rFonts w:ascii="宋体" w:hAnsi="宋体" w:eastAsia="宋体" w:cs="宋体"/>
          <w:strike/>
          <w:dstrike w:val="0"/>
          <w:color w:val="auto"/>
          <w:spacing w:val="-1"/>
          <w:position w:val="1"/>
          <w:sz w:val="24"/>
          <w:szCs w:val="24"/>
          <w:highlight w:val="none"/>
        </w:rPr>
        <w:t>（</w:t>
      </w:r>
      <w:r>
        <w:rPr>
          <w:rFonts w:ascii="Times New Roman" w:hAnsi="Times New Roman" w:eastAsia="Times New Roman" w:cs="Times New Roman"/>
          <w:strike/>
          <w:dstrike w:val="0"/>
          <w:color w:val="auto"/>
          <w:spacing w:val="-1"/>
          <w:position w:val="1"/>
          <w:sz w:val="24"/>
          <w:szCs w:val="24"/>
          <w:highlight w:val="none"/>
        </w:rPr>
        <w:t>1-X%</w:t>
      </w:r>
      <w:r>
        <w:rPr>
          <w:rFonts w:ascii="宋体" w:hAnsi="宋体" w:eastAsia="宋体" w:cs="宋体"/>
          <w:strike/>
          <w:dstrike w:val="0"/>
          <w:color w:val="auto"/>
          <w:spacing w:val="-1"/>
          <w:position w:val="1"/>
          <w:sz w:val="24"/>
          <w:szCs w:val="24"/>
          <w:highlight w:val="none"/>
        </w:rPr>
        <w:t>）</w:t>
      </w:r>
    </w:p>
    <w:p w14:paraId="0CC96B74">
      <w:pPr>
        <w:spacing w:before="185" w:line="334" w:lineRule="auto"/>
        <w:ind w:left="19" w:right="2" w:firstLine="52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5"/>
          <w:sz w:val="24"/>
          <w:szCs w:val="24"/>
          <w:highlight w:val="none"/>
        </w:rPr>
        <w:t>X</w:t>
      </w:r>
      <w:r>
        <w:rPr>
          <w:rFonts w:ascii="宋体" w:hAnsi="宋体" w:eastAsia="宋体" w:cs="宋体"/>
          <w:strike/>
          <w:dstrike w:val="0"/>
          <w:color w:val="auto"/>
          <w:spacing w:val="-5"/>
          <w:sz w:val="24"/>
          <w:szCs w:val="24"/>
          <w:highlight w:val="none"/>
        </w:rPr>
        <w:t>值在开标时由招标人在</w:t>
      </w:r>
      <w:r>
        <w:rPr>
          <w:rFonts w:ascii="宋体" w:hAnsi="宋体" w:eastAsia="宋体" w:cs="宋体"/>
          <w:strike/>
          <w:dstrike w:val="0"/>
          <w:color w:val="auto"/>
          <w:spacing w:val="31"/>
          <w:sz w:val="25"/>
          <w:szCs w:val="25"/>
          <w:highlight w:val="none"/>
          <w:u w:val="single" w:color="auto"/>
        </w:rPr>
        <w:t xml:space="preserve">  </w:t>
      </w:r>
      <w:r>
        <w:rPr>
          <w:rFonts w:ascii="宋体" w:hAnsi="宋体" w:eastAsia="宋体" w:cs="宋体"/>
          <w:i/>
          <w:iCs/>
          <w:strike/>
          <w:dstrike w:val="0"/>
          <w:color w:val="auto"/>
          <w:spacing w:val="-5"/>
          <w:sz w:val="25"/>
          <w:szCs w:val="25"/>
          <w:highlight w:val="none"/>
          <w:u w:val="single" w:color="auto"/>
        </w:rPr>
        <w:t>（由招标人在</w:t>
      </w:r>
      <w:r>
        <w:rPr>
          <w:rFonts w:ascii="Times New Roman" w:hAnsi="Times New Roman" w:eastAsia="Times New Roman" w:cs="Times New Roman"/>
          <w:i/>
          <w:iCs/>
          <w:strike/>
          <w:dstrike w:val="0"/>
          <w:color w:val="auto"/>
          <w:spacing w:val="-5"/>
          <w:sz w:val="24"/>
          <w:szCs w:val="24"/>
          <w:highlight w:val="none"/>
          <w:u w:val="single" w:color="auto"/>
        </w:rPr>
        <w:t>0</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3</w:t>
      </w:r>
      <w:r>
        <w:rPr>
          <w:rFonts w:ascii="宋体" w:hAnsi="宋体" w:eastAsia="宋体" w:cs="宋体"/>
          <w:i/>
          <w:iCs/>
          <w:strike/>
          <w:dstrike w:val="0"/>
          <w:color w:val="auto"/>
          <w:spacing w:val="-5"/>
          <w:sz w:val="25"/>
          <w:szCs w:val="25"/>
          <w:highlight w:val="none"/>
          <w:u w:val="single" w:color="auto"/>
        </w:rPr>
        <w:t>之间自行确定</w:t>
      </w:r>
      <w:r>
        <w:rPr>
          <w:rFonts w:ascii="宋体" w:hAnsi="宋体" w:eastAsia="宋体" w:cs="宋体"/>
          <w:i/>
          <w:iCs/>
          <w:strike/>
          <w:dstrike w:val="0"/>
          <w:color w:val="auto"/>
          <w:spacing w:val="-6"/>
          <w:sz w:val="25"/>
          <w:szCs w:val="25"/>
          <w:highlight w:val="none"/>
          <w:u w:val="single" w:color="auto"/>
        </w:rPr>
        <w:t>，但应为</w:t>
      </w:r>
      <w:r>
        <w:rPr>
          <w:rFonts w:ascii="Times New Roman" w:hAnsi="Times New Roman" w:eastAsia="Times New Roman" w:cs="Times New Roman"/>
          <w:i/>
          <w:iCs/>
          <w:strike/>
          <w:dstrike w:val="0"/>
          <w:color w:val="auto"/>
          <w:spacing w:val="-6"/>
          <w:sz w:val="24"/>
          <w:szCs w:val="24"/>
          <w:highlight w:val="none"/>
          <w:u w:val="single" w:color="auto"/>
        </w:rPr>
        <w:t>5</w:t>
      </w:r>
      <w:r>
        <w:rPr>
          <w:rFonts w:ascii="宋体" w:hAnsi="宋体" w:eastAsia="宋体" w:cs="宋体"/>
          <w:i/>
          <w:iCs/>
          <w:strike/>
          <w:dstrike w:val="0"/>
          <w:color w:val="auto"/>
          <w:spacing w:val="-6"/>
          <w:sz w:val="25"/>
          <w:szCs w:val="25"/>
          <w:highlight w:val="none"/>
          <w:u w:val="single" w:color="auto"/>
        </w:rPr>
        <w:t>个数组成</w:t>
      </w:r>
      <w:r>
        <w:rPr>
          <w:rFonts w:ascii="宋体" w:hAnsi="宋体" w:eastAsia="宋体" w:cs="宋体"/>
          <w:strike/>
          <w:dstrike w:val="0"/>
          <w:color w:val="auto"/>
          <w:spacing w:val="1"/>
          <w:sz w:val="25"/>
          <w:szCs w:val="25"/>
          <w:highlight w:val="none"/>
        </w:rPr>
        <w:t xml:space="preserve"> </w:t>
      </w:r>
      <w:r>
        <w:rPr>
          <w:rFonts w:ascii="宋体" w:hAnsi="宋体" w:eastAsia="宋体" w:cs="宋体"/>
          <w:i/>
          <w:iCs/>
          <w:strike/>
          <w:dstrike w:val="0"/>
          <w:color w:val="auto"/>
          <w:spacing w:val="-8"/>
          <w:sz w:val="25"/>
          <w:szCs w:val="25"/>
          <w:highlight w:val="none"/>
          <w:u w:val="single" w:color="auto"/>
        </w:rPr>
        <w:t>的等差递增数列，最小公差大于等于</w:t>
      </w:r>
      <w:r>
        <w:rPr>
          <w:rFonts w:ascii="Times New Roman" w:hAnsi="Times New Roman" w:eastAsia="Times New Roman" w:cs="Times New Roman"/>
          <w:i/>
          <w:iCs/>
          <w:strike/>
          <w:dstrike w:val="0"/>
          <w:color w:val="auto"/>
          <w:spacing w:val="-8"/>
          <w:sz w:val="24"/>
          <w:szCs w:val="24"/>
          <w:highlight w:val="none"/>
          <w:u w:val="single" w:color="auto"/>
        </w:rPr>
        <w:t>0.5</w:t>
      </w:r>
      <w:r>
        <w:rPr>
          <w:rFonts w:ascii="宋体" w:hAnsi="宋体" w:eastAsia="宋体" w:cs="宋体"/>
          <w:i/>
          <w:iCs/>
          <w:strike/>
          <w:dstrike w:val="0"/>
          <w:color w:val="auto"/>
          <w:spacing w:val="-8"/>
          <w:sz w:val="25"/>
          <w:szCs w:val="25"/>
          <w:highlight w:val="none"/>
          <w:u w:val="single" w:color="auto"/>
        </w:rPr>
        <w:t>）</w:t>
      </w:r>
      <w:r>
        <w:rPr>
          <w:rFonts w:ascii="宋体" w:hAnsi="宋体" w:eastAsia="宋体" w:cs="宋体"/>
          <w:strike/>
          <w:dstrike w:val="0"/>
          <w:color w:val="auto"/>
          <w:spacing w:val="117"/>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8"/>
          <w:sz w:val="24"/>
          <w:szCs w:val="24"/>
          <w:highlight w:val="none"/>
        </w:rPr>
        <w:t>之中随机抽取确定。</w:t>
      </w:r>
    </w:p>
    <w:p w14:paraId="291F7858">
      <w:pPr>
        <w:spacing w:before="30" w:line="221" w:lineRule="auto"/>
        <w:ind w:left="50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w:t>
      </w:r>
    </w:p>
    <w:p w14:paraId="6F93F323">
      <w:pPr>
        <w:spacing w:before="181" w:line="218" w:lineRule="auto"/>
        <w:ind w:left="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4B43100C">
      <w:pPr>
        <w:spacing w:before="183" w:line="284" w:lineRule="auto"/>
        <w:ind w:left="12" w:right="6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7F6A6FA8">
      <w:pPr>
        <w:spacing w:before="179" w:line="218" w:lineRule="auto"/>
        <w:ind w:left="56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2A221B44">
      <w:pPr>
        <w:spacing w:before="187" w:line="349" w:lineRule="auto"/>
        <w:ind w:left="5" w:right="217"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16C9DEFC">
      <w:pPr>
        <w:spacing w:before="63" w:line="333" w:lineRule="auto"/>
        <w:ind w:left="8" w:right="66" w:firstLine="48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1"/>
          <w:sz w:val="24"/>
          <w:szCs w:val="24"/>
          <w:highlight w:val="none"/>
        </w:rPr>
        <w:t>）评分基准价的确定：评分基准价</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（平均报价值</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参与计算平均报价的次低</w:t>
      </w:r>
      <w:r>
        <w:rPr>
          <w:rFonts w:ascii="宋体" w:hAnsi="宋体" w:eastAsia="宋体" w:cs="宋体"/>
          <w:strike/>
          <w:dstrike w:val="0"/>
          <w:color w:val="auto"/>
          <w:spacing w:val="17"/>
          <w:sz w:val="24"/>
          <w:szCs w:val="24"/>
          <w:highlight w:val="none"/>
        </w:rPr>
        <w:t xml:space="preserve"> </w:t>
      </w:r>
      <w:r>
        <w:rPr>
          <w:rFonts w:ascii="宋体" w:hAnsi="宋体" w:eastAsia="宋体" w:cs="宋体"/>
          <w:strike/>
          <w:dstrike w:val="0"/>
          <w:color w:val="auto"/>
          <w:spacing w:val="-1"/>
          <w:sz w:val="24"/>
          <w:szCs w:val="24"/>
          <w:highlight w:val="none"/>
        </w:rPr>
        <w:t>投标评标价）</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1-X%</w:t>
      </w:r>
      <w:r>
        <w:rPr>
          <w:rFonts w:ascii="宋体" w:hAnsi="宋体" w:eastAsia="宋体" w:cs="宋体"/>
          <w:strike/>
          <w:dstrike w:val="0"/>
          <w:color w:val="auto"/>
          <w:spacing w:val="-1"/>
          <w:sz w:val="24"/>
          <w:szCs w:val="24"/>
          <w:highlight w:val="none"/>
        </w:rPr>
        <w:t>）</w:t>
      </w:r>
    </w:p>
    <w:p w14:paraId="0726815E">
      <w:pPr>
        <w:spacing w:before="111" w:line="332" w:lineRule="auto"/>
        <w:ind w:left="13" w:firstLine="52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5"/>
          <w:sz w:val="24"/>
          <w:szCs w:val="24"/>
          <w:highlight w:val="none"/>
        </w:rPr>
        <w:t>X</w:t>
      </w:r>
      <w:r>
        <w:rPr>
          <w:rFonts w:ascii="宋体" w:hAnsi="宋体" w:eastAsia="宋体" w:cs="宋体"/>
          <w:strike/>
          <w:dstrike w:val="0"/>
          <w:color w:val="auto"/>
          <w:spacing w:val="-5"/>
          <w:sz w:val="24"/>
          <w:szCs w:val="24"/>
          <w:highlight w:val="none"/>
        </w:rPr>
        <w:t>值在开标时由招标人在</w:t>
      </w:r>
      <w:r>
        <w:rPr>
          <w:rFonts w:ascii="宋体" w:hAnsi="宋体" w:eastAsia="宋体" w:cs="宋体"/>
          <w:strike/>
          <w:dstrike w:val="0"/>
          <w:color w:val="auto"/>
          <w:spacing w:val="31"/>
          <w:sz w:val="25"/>
          <w:szCs w:val="25"/>
          <w:highlight w:val="none"/>
          <w:u w:val="single" w:color="auto"/>
        </w:rPr>
        <w:t xml:space="preserve">  </w:t>
      </w:r>
      <w:r>
        <w:rPr>
          <w:rFonts w:ascii="宋体" w:hAnsi="宋体" w:eastAsia="宋体" w:cs="宋体"/>
          <w:i/>
          <w:iCs/>
          <w:strike/>
          <w:dstrike w:val="0"/>
          <w:color w:val="auto"/>
          <w:spacing w:val="-5"/>
          <w:sz w:val="25"/>
          <w:szCs w:val="25"/>
          <w:highlight w:val="none"/>
          <w:u w:val="single" w:color="auto"/>
        </w:rPr>
        <w:t>（由招标人在</w:t>
      </w:r>
      <w:r>
        <w:rPr>
          <w:rFonts w:ascii="Times New Roman" w:hAnsi="Times New Roman" w:eastAsia="Times New Roman" w:cs="Times New Roman"/>
          <w:i/>
          <w:iCs/>
          <w:strike/>
          <w:dstrike w:val="0"/>
          <w:color w:val="auto"/>
          <w:spacing w:val="-5"/>
          <w:sz w:val="24"/>
          <w:szCs w:val="24"/>
          <w:highlight w:val="none"/>
          <w:u w:val="single" w:color="auto"/>
        </w:rPr>
        <w:t>0</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2</w:t>
      </w:r>
      <w:r>
        <w:rPr>
          <w:rFonts w:ascii="宋体" w:hAnsi="宋体" w:eastAsia="宋体" w:cs="宋体"/>
          <w:i/>
          <w:iCs/>
          <w:strike/>
          <w:dstrike w:val="0"/>
          <w:color w:val="auto"/>
          <w:spacing w:val="-5"/>
          <w:sz w:val="25"/>
          <w:szCs w:val="25"/>
          <w:highlight w:val="none"/>
          <w:u w:val="single" w:color="auto"/>
        </w:rPr>
        <w:t>之间自行确定</w:t>
      </w:r>
      <w:r>
        <w:rPr>
          <w:rFonts w:ascii="宋体" w:hAnsi="宋体" w:eastAsia="宋体" w:cs="宋体"/>
          <w:i/>
          <w:iCs/>
          <w:strike/>
          <w:dstrike w:val="0"/>
          <w:color w:val="auto"/>
          <w:spacing w:val="-6"/>
          <w:sz w:val="25"/>
          <w:szCs w:val="25"/>
          <w:highlight w:val="none"/>
          <w:u w:val="single" w:color="auto"/>
        </w:rPr>
        <w:t>，但应为</w:t>
      </w:r>
      <w:r>
        <w:rPr>
          <w:rFonts w:ascii="Times New Roman" w:hAnsi="Times New Roman" w:eastAsia="Times New Roman" w:cs="Times New Roman"/>
          <w:i/>
          <w:iCs/>
          <w:strike/>
          <w:dstrike w:val="0"/>
          <w:color w:val="auto"/>
          <w:spacing w:val="-6"/>
          <w:sz w:val="24"/>
          <w:szCs w:val="24"/>
          <w:highlight w:val="none"/>
          <w:u w:val="single" w:color="auto"/>
        </w:rPr>
        <w:t>5</w:t>
      </w:r>
      <w:r>
        <w:rPr>
          <w:rFonts w:ascii="宋体" w:hAnsi="宋体" w:eastAsia="宋体" w:cs="宋体"/>
          <w:i/>
          <w:iCs/>
          <w:strike/>
          <w:dstrike w:val="0"/>
          <w:color w:val="auto"/>
          <w:spacing w:val="-6"/>
          <w:sz w:val="25"/>
          <w:szCs w:val="25"/>
          <w:highlight w:val="none"/>
          <w:u w:val="single" w:color="auto"/>
        </w:rPr>
        <w:t>个数组成</w:t>
      </w:r>
      <w:r>
        <w:rPr>
          <w:rFonts w:ascii="宋体" w:hAnsi="宋体" w:eastAsia="宋体" w:cs="宋体"/>
          <w:strike/>
          <w:dstrike w:val="0"/>
          <w:color w:val="auto"/>
          <w:spacing w:val="1"/>
          <w:sz w:val="25"/>
          <w:szCs w:val="25"/>
          <w:highlight w:val="none"/>
        </w:rPr>
        <w:t xml:space="preserve"> </w:t>
      </w:r>
      <w:r>
        <w:rPr>
          <w:rFonts w:ascii="宋体" w:hAnsi="宋体" w:eastAsia="宋体" w:cs="宋体"/>
          <w:i/>
          <w:iCs/>
          <w:strike/>
          <w:dstrike w:val="0"/>
          <w:color w:val="auto"/>
          <w:spacing w:val="-7"/>
          <w:sz w:val="25"/>
          <w:szCs w:val="25"/>
          <w:highlight w:val="none"/>
          <w:u w:val="single" w:color="auto"/>
        </w:rPr>
        <w:t>的等差递增数列</w:t>
      </w:r>
      <w:r>
        <w:rPr>
          <w:rFonts w:ascii="Times New Roman" w:hAnsi="Times New Roman" w:eastAsia="Times New Roman" w:cs="Times New Roman"/>
          <w:i/>
          <w:iCs/>
          <w:strike/>
          <w:dstrike w:val="0"/>
          <w:color w:val="auto"/>
          <w:spacing w:val="-7"/>
          <w:sz w:val="24"/>
          <w:szCs w:val="24"/>
          <w:highlight w:val="none"/>
          <w:u w:val="single" w:color="auto"/>
        </w:rPr>
        <w:t>,</w:t>
      </w:r>
      <w:r>
        <w:rPr>
          <w:rFonts w:ascii="Times New Roman" w:hAnsi="Times New Roman" w:eastAsia="Times New Roman" w:cs="Times New Roman"/>
          <w:i/>
          <w:iCs/>
          <w:strike/>
          <w:dstrike w:val="0"/>
          <w:color w:val="auto"/>
          <w:spacing w:val="53"/>
          <w:sz w:val="24"/>
          <w:szCs w:val="24"/>
          <w:highlight w:val="none"/>
          <w:u w:val="single" w:color="auto"/>
        </w:rPr>
        <w:t xml:space="preserve"> </w:t>
      </w:r>
      <w:r>
        <w:rPr>
          <w:rFonts w:ascii="宋体" w:hAnsi="宋体" w:eastAsia="宋体" w:cs="宋体"/>
          <w:i/>
          <w:iCs/>
          <w:strike/>
          <w:dstrike w:val="0"/>
          <w:color w:val="auto"/>
          <w:spacing w:val="-7"/>
          <w:sz w:val="25"/>
          <w:szCs w:val="25"/>
          <w:highlight w:val="none"/>
          <w:u w:val="single" w:color="auto"/>
        </w:rPr>
        <w:t>最小公差大于等于</w:t>
      </w:r>
      <w:r>
        <w:rPr>
          <w:rFonts w:ascii="Times New Roman" w:hAnsi="Times New Roman" w:eastAsia="Times New Roman" w:cs="Times New Roman"/>
          <w:i/>
          <w:iCs/>
          <w:strike/>
          <w:dstrike w:val="0"/>
          <w:color w:val="auto"/>
          <w:spacing w:val="-7"/>
          <w:sz w:val="24"/>
          <w:szCs w:val="24"/>
          <w:highlight w:val="none"/>
          <w:u w:val="single" w:color="auto"/>
        </w:rPr>
        <w:t>0.5</w:t>
      </w:r>
      <w:r>
        <w:rPr>
          <w:rFonts w:ascii="宋体" w:hAnsi="宋体" w:eastAsia="宋体" w:cs="宋体"/>
          <w:i/>
          <w:iCs/>
          <w:strike/>
          <w:dstrike w:val="0"/>
          <w:color w:val="auto"/>
          <w:spacing w:val="-7"/>
          <w:sz w:val="25"/>
          <w:szCs w:val="25"/>
          <w:highlight w:val="none"/>
          <w:u w:val="single" w:color="auto"/>
        </w:rPr>
        <w:t>）</w:t>
      </w:r>
      <w:r>
        <w:rPr>
          <w:rFonts w:ascii="宋体" w:hAnsi="宋体" w:eastAsia="宋体" w:cs="宋体"/>
          <w:strike/>
          <w:dstrike w:val="0"/>
          <w:color w:val="auto"/>
          <w:spacing w:val="105"/>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7"/>
          <w:sz w:val="24"/>
          <w:szCs w:val="24"/>
          <w:highlight w:val="none"/>
        </w:rPr>
        <w:t>之中随机抽取确定。</w:t>
      </w:r>
    </w:p>
    <w:p w14:paraId="5CDD2AEB">
      <w:pPr>
        <w:spacing w:before="35" w:line="221" w:lineRule="auto"/>
        <w:ind w:left="51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4</w:t>
      </w:r>
      <w:r>
        <w:rPr>
          <w:rFonts w:ascii="宋体" w:hAnsi="宋体" w:eastAsia="宋体" w:cs="宋体"/>
          <w:strike/>
          <w:dstrike w:val="0"/>
          <w:color w:val="auto"/>
          <w:spacing w:val="-7"/>
          <w:sz w:val="24"/>
          <w:szCs w:val="24"/>
          <w:highlight w:val="none"/>
        </w:rPr>
        <w:t>：</w:t>
      </w:r>
    </w:p>
    <w:p w14:paraId="243EAF69">
      <w:pPr>
        <w:spacing w:before="180"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19AD48A5">
      <w:pPr>
        <w:spacing w:before="182" w:line="284" w:lineRule="auto"/>
        <w:ind w:left="6" w:right="63"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031D7DEF">
      <w:pPr>
        <w:spacing w:before="180"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5C3C6188">
      <w:pPr>
        <w:spacing w:before="187" w:line="349" w:lineRule="auto"/>
        <w:ind w:right="215"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4AD21D0B">
      <w:pPr>
        <w:spacing w:before="38" w:line="218" w:lineRule="auto"/>
        <w:ind w:left="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3</w:t>
      </w:r>
      <w:r>
        <w:rPr>
          <w:rFonts w:ascii="宋体" w:hAnsi="宋体" w:eastAsia="宋体" w:cs="宋体"/>
          <w:strike/>
          <w:dstrike w:val="0"/>
          <w:color w:val="auto"/>
          <w:spacing w:val="-6"/>
          <w:sz w:val="24"/>
          <w:szCs w:val="24"/>
          <w:highlight w:val="none"/>
        </w:rPr>
        <w:t>）评分基准价的确定：</w:t>
      </w:r>
    </w:p>
    <w:p w14:paraId="0A805639">
      <w:pPr>
        <w:spacing w:before="185" w:line="212" w:lineRule="auto"/>
        <w:ind w:left="48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评分基准价</w:t>
      </w:r>
      <w:r>
        <w:rPr>
          <w:rFonts w:ascii="Times New Roman" w:hAnsi="Times New Roman" w:eastAsia="Times New Roman" w:cs="Times New Roman"/>
          <w:strike/>
          <w:dstrike w:val="0"/>
          <w:color w:val="auto"/>
          <w:spacing w:val="-1"/>
          <w:sz w:val="24"/>
          <w:szCs w:val="24"/>
          <w:highlight w:val="none"/>
        </w:rPr>
        <w:t>=Q</w:t>
      </w:r>
      <w:r>
        <w:rPr>
          <w:rFonts w:ascii="宋体" w:hAnsi="宋体" w:eastAsia="宋体" w:cs="宋体"/>
          <w:strike/>
          <w:dstrike w:val="0"/>
          <w:color w:val="auto"/>
          <w:spacing w:val="-1"/>
          <w:sz w:val="24"/>
          <w:szCs w:val="24"/>
          <w:highlight w:val="none"/>
        </w:rPr>
        <w:t>×最高投标限价</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1-Q</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平均报价值</w:t>
      </w:r>
    </w:p>
    <w:p w14:paraId="16587481">
      <w:pPr>
        <w:spacing w:before="191" w:line="325" w:lineRule="auto"/>
        <w:ind w:left="30" w:right="342" w:firstLine="458"/>
        <w:rPr>
          <w:rFonts w:ascii="宋体" w:hAnsi="宋体" w:eastAsia="宋体" w:cs="宋体"/>
          <w:strike/>
          <w:dstrike w:val="0"/>
          <w:color w:val="auto"/>
          <w:sz w:val="25"/>
          <w:szCs w:val="25"/>
          <w:highlight w:val="none"/>
        </w:rPr>
      </w:pPr>
      <w:r>
        <w:rPr>
          <w:rFonts w:ascii="宋体" w:hAnsi="宋体" w:eastAsia="宋体" w:cs="宋体"/>
          <w:strike/>
          <w:dstrike w:val="0"/>
          <w:color w:val="auto"/>
          <w:spacing w:val="-2"/>
          <w:sz w:val="24"/>
          <w:szCs w:val="24"/>
          <w:highlight w:val="none"/>
        </w:rPr>
        <w:t>最高投标限价权重</w:t>
      </w:r>
      <w:r>
        <w:rPr>
          <w:rFonts w:ascii="Times New Roman" w:hAnsi="Times New Roman" w:eastAsia="Times New Roman" w:cs="Times New Roman"/>
          <w:strike/>
          <w:dstrike w:val="0"/>
          <w:color w:val="auto"/>
          <w:spacing w:val="-2"/>
          <w:sz w:val="24"/>
          <w:szCs w:val="24"/>
          <w:highlight w:val="none"/>
        </w:rPr>
        <w:t>Q</w:t>
      </w:r>
      <w:r>
        <w:rPr>
          <w:rFonts w:ascii="宋体" w:hAnsi="宋体" w:eastAsia="宋体" w:cs="宋体"/>
          <w:strike/>
          <w:dstrike w:val="0"/>
          <w:color w:val="auto"/>
          <w:spacing w:val="-2"/>
          <w:sz w:val="24"/>
          <w:szCs w:val="24"/>
          <w:highlight w:val="none"/>
        </w:rPr>
        <w:t>值为□</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i/>
          <w:iCs/>
          <w:strike/>
          <w:dstrike w:val="0"/>
          <w:color w:val="auto"/>
          <w:spacing w:val="-2"/>
          <w:sz w:val="25"/>
          <w:szCs w:val="25"/>
          <w:highlight w:val="none"/>
          <w:u w:val="single" w:color="auto"/>
        </w:rPr>
        <w:t>（</w:t>
      </w:r>
      <w:r>
        <w:rPr>
          <w:rFonts w:ascii="Times New Roman" w:hAnsi="Times New Roman" w:eastAsia="Times New Roman" w:cs="Times New Roman"/>
          <w:i/>
          <w:iCs/>
          <w:strike/>
          <w:dstrike w:val="0"/>
          <w:color w:val="auto"/>
          <w:spacing w:val="-2"/>
          <w:sz w:val="24"/>
          <w:szCs w:val="24"/>
          <w:highlight w:val="none"/>
          <w:u w:val="single" w:color="auto"/>
        </w:rPr>
        <w:t>0.30</w:t>
      </w:r>
      <w:r>
        <w:rPr>
          <w:rFonts w:ascii="宋体" w:hAnsi="宋体" w:eastAsia="宋体" w:cs="宋体"/>
          <w:i/>
          <w:iCs/>
          <w:strike/>
          <w:dstrike w:val="0"/>
          <w:color w:val="auto"/>
          <w:spacing w:val="-2"/>
          <w:sz w:val="25"/>
          <w:szCs w:val="25"/>
          <w:highlight w:val="none"/>
          <w:u w:val="single" w:color="auto"/>
        </w:rPr>
        <w:t>或</w:t>
      </w:r>
      <w:r>
        <w:rPr>
          <w:rFonts w:ascii="Times New Roman" w:hAnsi="Times New Roman" w:eastAsia="Times New Roman" w:cs="Times New Roman"/>
          <w:i/>
          <w:iCs/>
          <w:strike/>
          <w:dstrike w:val="0"/>
          <w:color w:val="auto"/>
          <w:spacing w:val="-2"/>
          <w:sz w:val="24"/>
          <w:szCs w:val="24"/>
          <w:highlight w:val="none"/>
          <w:u w:val="single" w:color="auto"/>
        </w:rPr>
        <w:t>0.35</w:t>
      </w:r>
      <w:r>
        <w:rPr>
          <w:rFonts w:ascii="宋体" w:hAnsi="宋体" w:eastAsia="宋体" w:cs="宋体"/>
          <w:i/>
          <w:iCs/>
          <w:strike/>
          <w:dstrike w:val="0"/>
          <w:color w:val="auto"/>
          <w:spacing w:val="-2"/>
          <w:sz w:val="25"/>
          <w:szCs w:val="25"/>
          <w:highlight w:val="none"/>
          <w:u w:val="single" w:color="auto"/>
        </w:rPr>
        <w:t>或</w:t>
      </w:r>
      <w:r>
        <w:rPr>
          <w:rFonts w:ascii="Times New Roman" w:hAnsi="Times New Roman" w:eastAsia="Times New Roman" w:cs="Times New Roman"/>
          <w:i/>
          <w:iCs/>
          <w:strike/>
          <w:dstrike w:val="0"/>
          <w:color w:val="auto"/>
          <w:spacing w:val="-2"/>
          <w:sz w:val="24"/>
          <w:szCs w:val="24"/>
          <w:highlight w:val="none"/>
          <w:u w:val="single" w:color="auto"/>
        </w:rPr>
        <w:t>0.40</w:t>
      </w:r>
      <w:r>
        <w:rPr>
          <w:rFonts w:ascii="Times New Roman" w:hAnsi="Times New Roman" w:eastAsia="Times New Roman" w:cs="Times New Roman"/>
          <w:i/>
          <w:iCs/>
          <w:strike/>
          <w:dstrike w:val="0"/>
          <w:color w:val="auto"/>
          <w:spacing w:val="-28"/>
          <w:sz w:val="24"/>
          <w:szCs w:val="24"/>
          <w:highlight w:val="none"/>
          <w:u w:val="single" w:color="auto"/>
        </w:rPr>
        <w:t xml:space="preserve"> </w:t>
      </w:r>
      <w:r>
        <w:rPr>
          <w:rFonts w:ascii="宋体" w:hAnsi="宋体" w:eastAsia="宋体" w:cs="宋体"/>
          <w:i/>
          <w:iCs/>
          <w:strike/>
          <w:dstrike w:val="0"/>
          <w:color w:val="auto"/>
          <w:spacing w:val="-2"/>
          <w:sz w:val="25"/>
          <w:szCs w:val="25"/>
          <w:highlight w:val="none"/>
          <w:u w:val="single" w:color="auto"/>
        </w:rPr>
        <w:t>，由招标人自主确定）</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strike/>
          <w:dstrike w:val="0"/>
          <w:color w:val="auto"/>
          <w:sz w:val="25"/>
          <w:szCs w:val="25"/>
          <w:highlight w:val="none"/>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0.30</w:t>
      </w:r>
      <w:r>
        <w:rPr>
          <w:rFonts w:ascii="Times New Roman" w:hAnsi="Times New Roman" w:eastAsia="Times New Roman" w:cs="Times New Roman"/>
          <w:strike/>
          <w:dstrike w:val="0"/>
          <w:color w:val="auto"/>
          <w:spacing w:val="-34"/>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0.35</w:t>
      </w:r>
      <w:r>
        <w:rPr>
          <w:rFonts w:ascii="Times New Roman" w:hAnsi="Times New Roman" w:eastAsia="Times New Roman" w:cs="Times New Roman"/>
          <w:strike/>
          <w:dstrike w:val="0"/>
          <w:color w:val="auto"/>
          <w:spacing w:val="-33"/>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w:t>
      </w:r>
      <w:r>
        <w:rPr>
          <w:rFonts w:ascii="Times New Roman" w:hAnsi="Times New Roman" w:eastAsia="Times New Roman" w:cs="Times New Roman"/>
          <w:strike/>
          <w:dstrike w:val="0"/>
          <w:color w:val="auto"/>
          <w:spacing w:val="-4"/>
          <w:sz w:val="24"/>
          <w:szCs w:val="24"/>
          <w:highlight w:val="none"/>
          <w:u w:val="single" w:color="auto"/>
        </w:rPr>
        <w:t>0.40</w:t>
      </w:r>
      <w:r>
        <w:rPr>
          <w:rFonts w:ascii="Times New Roman" w:hAnsi="Times New Roman" w:eastAsia="Times New Roman" w:cs="Times New Roman"/>
          <w:strike/>
          <w:dstrike w:val="0"/>
          <w:color w:val="auto"/>
          <w:spacing w:val="-31"/>
          <w:sz w:val="24"/>
          <w:szCs w:val="24"/>
          <w:highlight w:val="none"/>
          <w:u w:val="single" w:color="auto"/>
        </w:rPr>
        <w:t xml:space="preserve"> </w:t>
      </w:r>
      <w:r>
        <w:rPr>
          <w:rFonts w:ascii="宋体" w:hAnsi="宋体" w:eastAsia="宋体" w:cs="宋体"/>
          <w:strike/>
          <w:dstrike w:val="0"/>
          <w:color w:val="auto"/>
          <w:spacing w:val="-4"/>
          <w:sz w:val="24"/>
          <w:szCs w:val="24"/>
          <w:highlight w:val="none"/>
          <w:u w:val="single" w:color="auto"/>
        </w:rPr>
        <w:t>，由招标人在开</w:t>
      </w:r>
      <w:r>
        <w:rPr>
          <w:rFonts w:ascii="宋体" w:hAnsi="宋体" w:eastAsia="宋体" w:cs="宋体"/>
          <w:strike/>
          <w:dstrike w:val="0"/>
          <w:color w:val="auto"/>
          <w:spacing w:val="-5"/>
          <w:sz w:val="24"/>
          <w:szCs w:val="24"/>
          <w:highlight w:val="none"/>
          <w:u w:val="single" w:color="auto"/>
        </w:rPr>
        <w:t>标现场随机抽取</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i/>
          <w:iCs/>
          <w:strike/>
          <w:dstrike w:val="0"/>
          <w:color w:val="auto"/>
          <w:spacing w:val="-5"/>
          <w:sz w:val="25"/>
          <w:szCs w:val="25"/>
          <w:highlight w:val="none"/>
        </w:rPr>
        <w:t>。</w:t>
      </w:r>
    </w:p>
    <w:p w14:paraId="0642D229">
      <w:pPr>
        <w:spacing w:before="52" w:line="221" w:lineRule="auto"/>
        <w:ind w:left="51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5</w:t>
      </w:r>
      <w:r>
        <w:rPr>
          <w:rFonts w:ascii="宋体" w:hAnsi="宋体" w:eastAsia="宋体" w:cs="宋体"/>
          <w:strike/>
          <w:dstrike w:val="0"/>
          <w:color w:val="auto"/>
          <w:spacing w:val="-7"/>
          <w:sz w:val="24"/>
          <w:szCs w:val="24"/>
          <w:highlight w:val="none"/>
        </w:rPr>
        <w:t>：</w:t>
      </w:r>
    </w:p>
    <w:p w14:paraId="2F586FEB">
      <w:pPr>
        <w:spacing w:before="181"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40CC517B">
      <w:pPr>
        <w:spacing w:before="182" w:line="284" w:lineRule="auto"/>
        <w:ind w:left="6" w:right="63"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4C9D9467">
      <w:pPr>
        <w:spacing w:before="180"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4D693812">
      <w:pPr>
        <w:spacing w:before="187" w:line="349" w:lineRule="auto"/>
        <w:ind w:right="215"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562EA6CC">
      <w:pPr>
        <w:spacing w:before="64" w:line="323" w:lineRule="exact"/>
        <w:ind w:left="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position w:val="1"/>
          <w:sz w:val="24"/>
          <w:szCs w:val="24"/>
          <w:highlight w:val="none"/>
        </w:rPr>
        <w:t>（</w:t>
      </w:r>
      <w:r>
        <w:rPr>
          <w:rFonts w:ascii="Times New Roman" w:hAnsi="Times New Roman" w:eastAsia="Times New Roman" w:cs="Times New Roman"/>
          <w:strike/>
          <w:dstrike w:val="0"/>
          <w:color w:val="auto"/>
          <w:spacing w:val="-1"/>
          <w:position w:val="1"/>
          <w:sz w:val="24"/>
          <w:szCs w:val="24"/>
          <w:highlight w:val="none"/>
        </w:rPr>
        <w:t>3</w:t>
      </w:r>
      <w:r>
        <w:rPr>
          <w:rFonts w:ascii="宋体" w:hAnsi="宋体" w:eastAsia="宋体" w:cs="宋体"/>
          <w:strike/>
          <w:dstrike w:val="0"/>
          <w:color w:val="auto"/>
          <w:spacing w:val="-1"/>
          <w:position w:val="1"/>
          <w:sz w:val="24"/>
          <w:szCs w:val="24"/>
          <w:highlight w:val="none"/>
        </w:rPr>
        <w:t>）评分基准价的确定：评分基准价</w:t>
      </w:r>
      <w:r>
        <w:rPr>
          <w:rFonts w:ascii="Times New Roman" w:hAnsi="Times New Roman" w:eastAsia="Times New Roman" w:cs="Times New Roman"/>
          <w:strike/>
          <w:dstrike w:val="0"/>
          <w:color w:val="auto"/>
          <w:spacing w:val="-1"/>
          <w:position w:val="1"/>
          <w:sz w:val="24"/>
          <w:szCs w:val="24"/>
          <w:highlight w:val="none"/>
        </w:rPr>
        <w:t>=</w:t>
      </w:r>
      <w:r>
        <w:rPr>
          <w:rFonts w:ascii="宋体" w:hAnsi="宋体" w:eastAsia="宋体" w:cs="宋体"/>
          <w:strike/>
          <w:dstrike w:val="0"/>
          <w:color w:val="auto"/>
          <w:spacing w:val="-1"/>
          <w:position w:val="1"/>
          <w:sz w:val="24"/>
          <w:szCs w:val="24"/>
          <w:highlight w:val="none"/>
        </w:rPr>
        <w:t>平均报价值</w:t>
      </w:r>
    </w:p>
    <w:p w14:paraId="66857338">
      <w:pPr>
        <w:spacing w:before="188" w:line="221" w:lineRule="auto"/>
        <w:ind w:left="51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6</w:t>
      </w:r>
      <w:r>
        <w:rPr>
          <w:rFonts w:ascii="宋体" w:hAnsi="宋体" w:eastAsia="宋体" w:cs="宋体"/>
          <w:strike/>
          <w:dstrike w:val="0"/>
          <w:color w:val="auto"/>
          <w:spacing w:val="-7"/>
          <w:sz w:val="24"/>
          <w:szCs w:val="24"/>
          <w:highlight w:val="none"/>
        </w:rPr>
        <w:t>：</w:t>
      </w:r>
    </w:p>
    <w:p w14:paraId="4FD63D5B">
      <w:pPr>
        <w:spacing w:before="178"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5EDB3DB7">
      <w:pPr>
        <w:spacing w:before="185" w:line="283" w:lineRule="auto"/>
        <w:ind w:left="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67A2FB76">
      <w:pPr>
        <w:spacing w:before="181"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除以上情形外，通过商务评审的投标评标价均计入平均报价值计算范围。</w:t>
      </w:r>
    </w:p>
    <w:p w14:paraId="17A0055D">
      <w:pPr>
        <w:spacing w:before="180" w:line="349" w:lineRule="auto"/>
        <w:ind w:right="151" w:firstLine="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）平均报价值的确定：若计入平均报价值计算范围的投标人大于等于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z w:val="24"/>
          <w:szCs w:val="24"/>
          <w:highlight w:val="none"/>
        </w:rPr>
        <w:t>平均报价值为计入平均报价值计算范围的投标评标价中剔除投标评标价</w:t>
      </w:r>
      <w:r>
        <w:rPr>
          <w:rFonts w:ascii="宋体" w:hAnsi="宋体" w:eastAsia="宋体" w:cs="宋体"/>
          <w:strike/>
          <w:dstrike w:val="0"/>
          <w:color w:val="auto"/>
          <w:spacing w:val="-1"/>
          <w:sz w:val="24"/>
          <w:szCs w:val="24"/>
          <w:highlight w:val="none"/>
        </w:rPr>
        <w:t>由高到低排</w:t>
      </w:r>
      <w:r>
        <w:rPr>
          <w:rFonts w:ascii="宋体" w:hAnsi="宋体" w:eastAsia="宋体" w:cs="宋体"/>
          <w:strike/>
          <w:dstrike w:val="0"/>
          <w:color w:val="auto"/>
          <w:sz w:val="24"/>
          <w:szCs w:val="24"/>
          <w:highlight w:val="none"/>
        </w:rPr>
        <w:t xml:space="preserve"> 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个投标评标价和投标评标价由低到高排序前</w:t>
      </w:r>
      <w:r>
        <w:rPr>
          <w:rFonts w:ascii="Times New Roman" w:hAnsi="Times New Roman" w:eastAsia="Times New Roman" w:cs="Times New Roman"/>
          <w:strike/>
          <w:dstrike w:val="0"/>
          <w:color w:val="auto"/>
          <w:sz w:val="24"/>
          <w:szCs w:val="24"/>
          <w:highlight w:val="none"/>
        </w:rPr>
        <w:t>A</w:t>
      </w:r>
      <w:r>
        <w:rPr>
          <w:rFonts w:ascii="宋体" w:hAnsi="宋体" w:eastAsia="宋体" w:cs="宋体"/>
          <w:strike/>
          <w:dstrike w:val="0"/>
          <w:color w:val="auto"/>
          <w:sz w:val="24"/>
          <w:szCs w:val="24"/>
          <w:highlight w:val="none"/>
        </w:rPr>
        <w:t>个投标评标价后</w:t>
      </w:r>
      <w:r>
        <w:rPr>
          <w:rFonts w:ascii="宋体" w:hAnsi="宋体" w:eastAsia="宋体" w:cs="宋体"/>
          <w:strike/>
          <w:dstrike w:val="0"/>
          <w:color w:val="auto"/>
          <w:spacing w:val="-1"/>
          <w:sz w:val="24"/>
          <w:szCs w:val="24"/>
          <w:highlight w:val="none"/>
        </w:rPr>
        <w:t>的算术平均值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A</w:t>
      </w:r>
      <w:r>
        <w:rPr>
          <w:rFonts w:ascii="宋体" w:hAnsi="宋体" w:eastAsia="宋体" w:cs="宋体"/>
          <w:strike/>
          <w:dstrike w:val="0"/>
          <w:color w:val="auto"/>
          <w:spacing w:val="-1"/>
          <w:sz w:val="24"/>
          <w:szCs w:val="24"/>
          <w:highlight w:val="none"/>
        </w:rPr>
        <w:t>为计入平均报价值计算范围的投标人个数的</w:t>
      </w:r>
      <w:r>
        <w:rPr>
          <w:rFonts w:ascii="宋体" w:hAnsi="宋体" w:eastAsia="宋体" w:cs="宋体"/>
          <w:strike/>
          <w:dstrike w:val="0"/>
          <w:color w:val="auto"/>
          <w:spacing w:val="-1"/>
          <w:sz w:val="25"/>
          <w:szCs w:val="25"/>
          <w:highlight w:val="none"/>
          <w:u w:val="single" w:color="auto"/>
        </w:rPr>
        <w:t xml:space="preserve">  </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20%</w:t>
      </w:r>
      <w:r>
        <w:rPr>
          <w:rFonts w:ascii="宋体" w:hAnsi="宋体" w:eastAsia="宋体" w:cs="宋体"/>
          <w:i/>
          <w:iCs/>
          <w:strike/>
          <w:dstrike w:val="0"/>
          <w:color w:val="auto"/>
          <w:spacing w:val="-1"/>
          <w:sz w:val="25"/>
          <w:szCs w:val="25"/>
          <w:highlight w:val="none"/>
          <w:u w:val="single" w:color="auto"/>
        </w:rPr>
        <w:t>～</w:t>
      </w:r>
      <w:r>
        <w:rPr>
          <w:rFonts w:ascii="Times New Roman" w:hAnsi="Times New Roman" w:eastAsia="Times New Roman" w:cs="Times New Roman"/>
          <w:i/>
          <w:iCs/>
          <w:strike/>
          <w:dstrike w:val="0"/>
          <w:color w:val="auto"/>
          <w:spacing w:val="-1"/>
          <w:sz w:val="24"/>
          <w:szCs w:val="24"/>
          <w:highlight w:val="none"/>
          <w:u w:val="single" w:color="auto"/>
        </w:rPr>
        <w:t>30%</w:t>
      </w:r>
      <w:r>
        <w:rPr>
          <w:rFonts w:ascii="宋体" w:hAnsi="宋体" w:eastAsia="宋体" w:cs="宋体"/>
          <w:i/>
          <w:iCs/>
          <w:strike/>
          <w:dstrike w:val="0"/>
          <w:color w:val="auto"/>
          <w:spacing w:val="-1"/>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由招标人自主确</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1"/>
          <w:sz w:val="25"/>
          <w:szCs w:val="25"/>
          <w:highlight w:val="none"/>
          <w:u w:val="single" w:color="auto"/>
        </w:rPr>
        <w:t>定</w:t>
      </w:r>
      <w:r>
        <w:rPr>
          <w:rFonts w:ascii="宋体" w:hAnsi="宋体" w:eastAsia="宋体" w:cs="宋体"/>
          <w:i/>
          <w:iCs/>
          <w:strike/>
          <w:dstrike w:val="0"/>
          <w:color w:val="auto"/>
          <w:spacing w:val="2"/>
          <w:sz w:val="25"/>
          <w:szCs w:val="25"/>
          <w:highlight w:val="none"/>
          <w:u w:val="single" w:color="auto"/>
        </w:rPr>
        <w:t>）</w:t>
      </w:r>
      <w:r>
        <w:rPr>
          <w:rFonts w:ascii="宋体" w:hAnsi="宋体" w:eastAsia="宋体" w:cs="宋体"/>
          <w:strike/>
          <w:dstrike w:val="0"/>
          <w:color w:val="auto"/>
          <w:spacing w:val="9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并取整数，小数点后四舍五入</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1"/>
          <w:sz w:val="24"/>
          <w:szCs w:val="24"/>
          <w:highlight w:val="none"/>
        </w:rPr>
        <w:t>若计入平均报价值计算范围的投标人少</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于</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家，平均报价值为所有计入平均报价值计算范围的投标评标价的算术平</w:t>
      </w:r>
      <w:r>
        <w:rPr>
          <w:rFonts w:ascii="宋体" w:hAnsi="宋体" w:eastAsia="宋体" w:cs="宋体"/>
          <w:strike/>
          <w:dstrike w:val="0"/>
          <w:color w:val="auto"/>
          <w:spacing w:val="-2"/>
          <w:sz w:val="24"/>
          <w:szCs w:val="24"/>
          <w:highlight w:val="none"/>
        </w:rPr>
        <w:t>均值。</w:t>
      </w:r>
    </w:p>
    <w:p w14:paraId="569F8808">
      <w:pPr>
        <w:spacing w:before="1" w:line="305" w:lineRule="auto"/>
        <w:ind w:left="8" w:right="4" w:firstLine="54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）评分基准价的确定：评分基准价</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（平均报价值</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参</w:t>
      </w:r>
      <w:r>
        <w:rPr>
          <w:rFonts w:ascii="宋体" w:hAnsi="宋体" w:eastAsia="宋体" w:cs="宋体"/>
          <w:strike/>
          <w:dstrike w:val="0"/>
          <w:color w:val="auto"/>
          <w:spacing w:val="-3"/>
          <w:sz w:val="24"/>
          <w:szCs w:val="24"/>
          <w:highlight w:val="none"/>
        </w:rPr>
        <w:t>与计算平均报价的次低</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投标评标价）</w:t>
      </w:r>
      <w:r>
        <w:rPr>
          <w:rFonts w:ascii="Times New Roman" w:hAnsi="Times New Roman" w:eastAsia="Times New Roman" w:cs="Times New Roman"/>
          <w:strike/>
          <w:dstrike w:val="0"/>
          <w:color w:val="auto"/>
          <w:spacing w:val="-2"/>
          <w:sz w:val="24"/>
          <w:szCs w:val="24"/>
          <w:highlight w:val="none"/>
        </w:rPr>
        <w:t>/2</w:t>
      </w:r>
    </w:p>
    <w:p w14:paraId="5586DEC5">
      <w:pPr>
        <w:spacing w:before="183" w:line="221" w:lineRule="auto"/>
        <w:ind w:left="51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w:t>
      </w:r>
      <w:r>
        <w:rPr>
          <w:rFonts w:ascii="Times New Roman" w:hAnsi="Times New Roman" w:eastAsia="Times New Roman" w:cs="Times New Roman"/>
          <w:strike/>
          <w:dstrike w:val="0"/>
          <w:color w:val="auto"/>
          <w:spacing w:val="-7"/>
          <w:sz w:val="24"/>
          <w:szCs w:val="24"/>
          <w:highlight w:val="none"/>
        </w:rPr>
        <w:t>7</w:t>
      </w:r>
      <w:r>
        <w:rPr>
          <w:rFonts w:ascii="宋体" w:hAnsi="宋体" w:eastAsia="宋体" w:cs="宋体"/>
          <w:strike/>
          <w:dstrike w:val="0"/>
          <w:color w:val="auto"/>
          <w:spacing w:val="-7"/>
          <w:sz w:val="24"/>
          <w:szCs w:val="24"/>
          <w:highlight w:val="none"/>
        </w:rPr>
        <w:t>：</w:t>
      </w:r>
    </w:p>
    <w:p w14:paraId="7BC4DB09">
      <w:pPr>
        <w:spacing w:before="180"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）平均报价值计算范围的确定：</w:t>
      </w:r>
    </w:p>
    <w:p w14:paraId="6F198436">
      <w:pPr>
        <w:spacing w:before="186" w:line="283" w:lineRule="auto"/>
        <w:ind w:left="6" w:firstLine="563"/>
        <w:rPr>
          <w:rFonts w:ascii="Times New Roman" w:hAnsi="Times New Roman" w:eastAsia="Times New Roman" w:cs="Times New Roman"/>
          <w:strike/>
          <w:dstrike w:val="0"/>
          <w:color w:val="auto"/>
          <w:sz w:val="24"/>
          <w:szCs w:val="24"/>
          <w:highlight w:val="none"/>
        </w:rPr>
      </w:pPr>
      <w:r>
        <w:rPr>
          <w:rFonts w:ascii="宋体" w:hAnsi="宋体" w:eastAsia="宋体" w:cs="宋体"/>
          <w:strike/>
          <w:dstrike w:val="0"/>
          <w:color w:val="auto"/>
          <w:spacing w:val="-4"/>
          <w:sz w:val="24"/>
          <w:szCs w:val="24"/>
          <w:highlight w:val="none"/>
        </w:rPr>
        <w:t>□低于</w:t>
      </w:r>
      <w:r>
        <w:rPr>
          <w:rFonts w:ascii="Times New Roman" w:hAnsi="Times New Roman" w:eastAsia="Times New Roman" w:cs="Times New Roman"/>
          <w:strike/>
          <w:dstrike w:val="0"/>
          <w:color w:val="auto"/>
          <w:spacing w:val="-4"/>
          <w:sz w:val="24"/>
          <w:szCs w:val="24"/>
          <w:highlight w:val="none"/>
        </w:rPr>
        <w:t>B</w:t>
      </w:r>
      <w:r>
        <w:rPr>
          <w:rFonts w:ascii="宋体" w:hAnsi="宋体" w:eastAsia="宋体" w:cs="宋体"/>
          <w:strike/>
          <w:dstrike w:val="0"/>
          <w:color w:val="auto"/>
          <w:spacing w:val="-4"/>
          <w:sz w:val="24"/>
          <w:szCs w:val="24"/>
          <w:highlight w:val="none"/>
        </w:rPr>
        <w:t>值的投标评标价，不计入平均报价值</w:t>
      </w:r>
      <w:r>
        <w:rPr>
          <w:rFonts w:ascii="宋体" w:hAnsi="宋体" w:eastAsia="宋体" w:cs="宋体"/>
          <w:strike/>
          <w:dstrike w:val="0"/>
          <w:color w:val="auto"/>
          <w:spacing w:val="-5"/>
          <w:sz w:val="24"/>
          <w:szCs w:val="24"/>
          <w:highlight w:val="none"/>
        </w:rPr>
        <w:t>的计算范围。</w:t>
      </w:r>
      <w:r>
        <w:rPr>
          <w:rFonts w:ascii="Times New Roman" w:hAnsi="Times New Roman" w:eastAsia="Times New Roman" w:cs="Times New Roman"/>
          <w:strike/>
          <w:dstrike w:val="0"/>
          <w:color w:val="auto"/>
          <w:spacing w:val="-5"/>
          <w:sz w:val="24"/>
          <w:szCs w:val="24"/>
          <w:highlight w:val="none"/>
        </w:rPr>
        <w:t>B=</w:t>
      </w:r>
      <w:r>
        <w:rPr>
          <w:rFonts w:ascii="宋体" w:hAnsi="宋体" w:eastAsia="宋体" w:cs="宋体"/>
          <w:strike/>
          <w:dstrike w:val="0"/>
          <w:color w:val="auto"/>
          <w:spacing w:val="-5"/>
          <w:sz w:val="24"/>
          <w:szCs w:val="24"/>
          <w:highlight w:val="none"/>
        </w:rPr>
        <w:t>招标人最高投标限</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价×</w:t>
      </w:r>
      <w:r>
        <w:rPr>
          <w:rFonts w:ascii="宋体" w:hAnsi="宋体" w:eastAsia="宋体" w:cs="宋体"/>
          <w:strike/>
          <w:dstrike w:val="0"/>
          <w:color w:val="auto"/>
          <w:spacing w:val="-3"/>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80~90</w:t>
      </w:r>
      <w:r>
        <w:rPr>
          <w:rFonts w:ascii="宋体" w:hAnsi="宋体" w:eastAsia="宋体" w:cs="宋体"/>
          <w:i/>
          <w:iCs/>
          <w:strike/>
          <w:dstrike w:val="0"/>
          <w:color w:val="auto"/>
          <w:spacing w:val="-3"/>
          <w:sz w:val="25"/>
          <w:szCs w:val="25"/>
          <w:highlight w:val="none"/>
          <w:u w:val="single" w:color="auto"/>
        </w:rPr>
        <w:t>，由招标人自主确定）</w:t>
      </w:r>
      <w:r>
        <w:rPr>
          <w:rFonts w:ascii="宋体" w:hAnsi="宋体" w:eastAsia="宋体" w:cs="宋体"/>
          <w:strike/>
          <w:dstrike w:val="0"/>
          <w:color w:val="auto"/>
          <w:spacing w:val="46"/>
          <w:sz w:val="25"/>
          <w:szCs w:val="25"/>
          <w:highlight w:val="none"/>
          <w:u w:val="single" w:color="auto"/>
        </w:rPr>
        <w:t xml:space="preserve"> </w:t>
      </w:r>
      <w:r>
        <w:rPr>
          <w:rFonts w:ascii="宋体" w:hAnsi="宋体" w:eastAsia="宋体" w:cs="宋体"/>
          <w:strike/>
          <w:dstrike w:val="0"/>
          <w:color w:val="auto"/>
          <w:spacing w:val="-117"/>
          <w:sz w:val="25"/>
          <w:szCs w:val="25"/>
          <w:highlight w:val="none"/>
        </w:rPr>
        <w:t xml:space="preserve"> </w:t>
      </w:r>
      <w:r>
        <w:rPr>
          <w:rFonts w:ascii="Times New Roman" w:hAnsi="Times New Roman" w:eastAsia="Times New Roman" w:cs="Times New Roman"/>
          <w:strike/>
          <w:dstrike w:val="0"/>
          <w:color w:val="auto"/>
          <w:spacing w:val="-3"/>
          <w:sz w:val="24"/>
          <w:szCs w:val="24"/>
          <w:highlight w:val="none"/>
        </w:rPr>
        <w:t>%</w:t>
      </w:r>
    </w:p>
    <w:p w14:paraId="18BF656E">
      <w:pPr>
        <w:spacing w:before="181"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2</w:t>
      </w:r>
      <w:r>
        <w:rPr>
          <w:rFonts w:ascii="宋体" w:hAnsi="宋体" w:eastAsia="宋体" w:cs="宋体"/>
          <w:strike/>
          <w:dstrike w:val="0"/>
          <w:color w:val="auto"/>
          <w:spacing w:val="-6"/>
          <w:sz w:val="24"/>
          <w:szCs w:val="24"/>
          <w:highlight w:val="none"/>
        </w:rPr>
        <w:t>）平均报价值的确定：</w:t>
      </w:r>
    </w:p>
    <w:p w14:paraId="0C08EDB3">
      <w:pPr>
        <w:spacing w:before="186" w:line="353" w:lineRule="auto"/>
        <w:ind w:left="5" w:right="2" w:firstLine="48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通过商务评审及第（</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）点计算范围的投标人大于等于</w:t>
      </w:r>
      <w:r>
        <w:rPr>
          <w:rFonts w:ascii="Times New Roman" w:hAnsi="Times New Roman" w:eastAsia="Times New Roman" w:cs="Times New Roman"/>
          <w:strike/>
          <w:dstrike w:val="0"/>
          <w:color w:val="auto"/>
          <w:sz w:val="24"/>
          <w:szCs w:val="24"/>
          <w:highlight w:val="none"/>
        </w:rPr>
        <w:t>15</w:t>
      </w:r>
      <w:r>
        <w:rPr>
          <w:rFonts w:ascii="宋体" w:hAnsi="宋体" w:eastAsia="宋体" w:cs="宋体"/>
          <w:strike/>
          <w:dstrike w:val="0"/>
          <w:color w:val="auto"/>
          <w:sz w:val="24"/>
          <w:szCs w:val="24"/>
          <w:highlight w:val="none"/>
        </w:rPr>
        <w:t>家时，按技术评分和资</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3"/>
          <w:sz w:val="24"/>
          <w:szCs w:val="24"/>
          <w:highlight w:val="none"/>
        </w:rPr>
        <w:t>信评分之和从高到低排名，前</w:t>
      </w:r>
      <w:r>
        <w:rPr>
          <w:rFonts w:ascii="Times New Roman" w:hAnsi="Times New Roman" w:eastAsia="Times New Roman" w:cs="Times New Roman"/>
          <w:strike/>
          <w:dstrike w:val="0"/>
          <w:color w:val="auto"/>
          <w:spacing w:val="-3"/>
          <w:sz w:val="24"/>
          <w:szCs w:val="24"/>
          <w:highlight w:val="none"/>
        </w:rPr>
        <w:t>15</w:t>
      </w:r>
      <w:r>
        <w:rPr>
          <w:rFonts w:ascii="宋体" w:hAnsi="宋体" w:eastAsia="宋体" w:cs="宋体"/>
          <w:strike/>
          <w:dstrike w:val="0"/>
          <w:color w:val="auto"/>
          <w:spacing w:val="-3"/>
          <w:sz w:val="24"/>
          <w:szCs w:val="24"/>
          <w:highlight w:val="none"/>
        </w:rPr>
        <w:t>家的投标评标价计入平均报价值计算范围（若最后一</w:t>
      </w:r>
      <w:r>
        <w:rPr>
          <w:rFonts w:ascii="宋体" w:hAnsi="宋体" w:eastAsia="宋体" w:cs="宋体"/>
          <w:strike/>
          <w:dstrike w:val="0"/>
          <w:color w:val="auto"/>
          <w:spacing w:val="12"/>
          <w:sz w:val="24"/>
          <w:szCs w:val="24"/>
          <w:highlight w:val="none"/>
        </w:rPr>
        <w:t xml:space="preserve"> </w:t>
      </w:r>
      <w:r>
        <w:rPr>
          <w:rFonts w:ascii="宋体" w:hAnsi="宋体" w:eastAsia="宋体" w:cs="宋体"/>
          <w:strike/>
          <w:dstrike w:val="0"/>
          <w:color w:val="auto"/>
          <w:spacing w:val="-1"/>
          <w:sz w:val="24"/>
          <w:szCs w:val="24"/>
          <w:highlight w:val="none"/>
        </w:rPr>
        <w:t>家有多家评分相同，均计入平均报价值计算范围</w:t>
      </w:r>
      <w:r>
        <w:rPr>
          <w:rFonts w:ascii="宋体" w:hAnsi="宋体" w:eastAsia="宋体" w:cs="宋体"/>
          <w:strike/>
          <w:dstrike w:val="0"/>
          <w:color w:val="auto"/>
          <w:spacing w:val="-27"/>
          <w:sz w:val="24"/>
          <w:szCs w:val="24"/>
          <w:highlight w:val="none"/>
        </w:rPr>
        <w:t>），</w:t>
      </w:r>
      <w:r>
        <w:rPr>
          <w:rFonts w:ascii="宋体" w:hAnsi="宋体" w:eastAsia="宋体" w:cs="宋体"/>
          <w:strike/>
          <w:dstrike w:val="0"/>
          <w:color w:val="auto"/>
          <w:spacing w:val="-2"/>
          <w:sz w:val="24"/>
          <w:szCs w:val="24"/>
          <w:highlight w:val="none"/>
        </w:rPr>
        <w:t>平均报价值为上述计入计算范围</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的投标评标价中剔除由高到低排序前</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个投标评标价和由低到</w:t>
      </w:r>
      <w:r>
        <w:rPr>
          <w:rFonts w:ascii="宋体" w:hAnsi="宋体" w:eastAsia="宋体" w:cs="宋体"/>
          <w:strike/>
          <w:dstrike w:val="0"/>
          <w:color w:val="auto"/>
          <w:spacing w:val="3"/>
          <w:sz w:val="24"/>
          <w:szCs w:val="24"/>
          <w:highlight w:val="none"/>
        </w:rPr>
        <w:t>高排序前</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个投标评标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价后的算术平均值；</w:t>
      </w:r>
    </w:p>
    <w:p w14:paraId="6EB254BC">
      <w:pPr>
        <w:spacing w:before="38" w:line="342" w:lineRule="auto"/>
        <w:ind w:left="7" w:right="2" w:firstLine="478"/>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通过商务评审及第（</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）点计算范围的投标人少于</w:t>
      </w:r>
      <w:r>
        <w:rPr>
          <w:rFonts w:ascii="Times New Roman" w:hAnsi="Times New Roman" w:eastAsia="Times New Roman" w:cs="Times New Roman"/>
          <w:strike/>
          <w:dstrike w:val="0"/>
          <w:color w:val="auto"/>
          <w:sz w:val="24"/>
          <w:szCs w:val="24"/>
          <w:highlight w:val="none"/>
        </w:rPr>
        <w:t>15</w:t>
      </w:r>
      <w:r>
        <w:rPr>
          <w:rFonts w:ascii="宋体" w:hAnsi="宋体" w:eastAsia="宋体" w:cs="宋体"/>
          <w:strike/>
          <w:dstrike w:val="0"/>
          <w:color w:val="auto"/>
          <w:sz w:val="24"/>
          <w:szCs w:val="24"/>
          <w:highlight w:val="none"/>
        </w:rPr>
        <w:t>家时，均计入平均报价值计</w:t>
      </w:r>
      <w:r>
        <w:rPr>
          <w:rFonts w:ascii="宋体" w:hAnsi="宋体" w:eastAsia="宋体" w:cs="宋体"/>
          <w:strike/>
          <w:dstrike w:val="0"/>
          <w:color w:val="auto"/>
          <w:spacing w:val="18"/>
          <w:sz w:val="24"/>
          <w:szCs w:val="24"/>
          <w:highlight w:val="none"/>
        </w:rPr>
        <w:t xml:space="preserve"> </w:t>
      </w:r>
      <w:r>
        <w:rPr>
          <w:rFonts w:ascii="宋体" w:hAnsi="宋体" w:eastAsia="宋体" w:cs="宋体"/>
          <w:strike/>
          <w:dstrike w:val="0"/>
          <w:color w:val="auto"/>
          <w:spacing w:val="-2"/>
          <w:sz w:val="24"/>
          <w:szCs w:val="24"/>
          <w:highlight w:val="none"/>
        </w:rPr>
        <w:t>算范围，平均报价值为上述计入计算范围的投标评标价的算术平均值。</w:t>
      </w:r>
    </w:p>
    <w:p w14:paraId="32E077AE">
      <w:pPr>
        <w:spacing w:line="323" w:lineRule="exact"/>
        <w:ind w:left="49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position w:val="1"/>
          <w:sz w:val="24"/>
          <w:szCs w:val="24"/>
          <w:highlight w:val="none"/>
        </w:rPr>
        <w:t>（</w:t>
      </w:r>
      <w:r>
        <w:rPr>
          <w:rFonts w:ascii="Times New Roman" w:hAnsi="Times New Roman" w:eastAsia="Times New Roman" w:cs="Times New Roman"/>
          <w:strike/>
          <w:dstrike w:val="0"/>
          <w:color w:val="auto"/>
          <w:spacing w:val="-1"/>
          <w:position w:val="1"/>
          <w:sz w:val="24"/>
          <w:szCs w:val="24"/>
          <w:highlight w:val="none"/>
        </w:rPr>
        <w:t>3</w:t>
      </w:r>
      <w:r>
        <w:rPr>
          <w:rFonts w:ascii="宋体" w:hAnsi="宋体" w:eastAsia="宋体" w:cs="宋体"/>
          <w:strike/>
          <w:dstrike w:val="0"/>
          <w:color w:val="auto"/>
          <w:spacing w:val="-1"/>
          <w:position w:val="1"/>
          <w:sz w:val="24"/>
          <w:szCs w:val="24"/>
          <w:highlight w:val="none"/>
        </w:rPr>
        <w:t>）评分基准价的确定：评分基准价</w:t>
      </w:r>
      <w:r>
        <w:rPr>
          <w:rFonts w:ascii="Times New Roman" w:hAnsi="Times New Roman" w:eastAsia="Times New Roman" w:cs="Times New Roman"/>
          <w:strike/>
          <w:dstrike w:val="0"/>
          <w:color w:val="auto"/>
          <w:spacing w:val="-1"/>
          <w:position w:val="1"/>
          <w:sz w:val="24"/>
          <w:szCs w:val="24"/>
          <w:highlight w:val="none"/>
        </w:rPr>
        <w:t>=</w:t>
      </w:r>
      <w:r>
        <w:rPr>
          <w:rFonts w:ascii="宋体" w:hAnsi="宋体" w:eastAsia="宋体" w:cs="宋体"/>
          <w:strike/>
          <w:dstrike w:val="0"/>
          <w:color w:val="auto"/>
          <w:spacing w:val="-1"/>
          <w:position w:val="1"/>
          <w:sz w:val="24"/>
          <w:szCs w:val="24"/>
          <w:highlight w:val="none"/>
        </w:rPr>
        <w:t>平均报价值</w:t>
      </w:r>
      <w:r>
        <w:rPr>
          <w:rFonts w:ascii="Times New Roman" w:hAnsi="Times New Roman" w:eastAsia="Times New Roman" w:cs="Times New Roman"/>
          <w:strike/>
          <w:dstrike w:val="0"/>
          <w:color w:val="auto"/>
          <w:spacing w:val="-1"/>
          <w:position w:val="1"/>
          <w:sz w:val="24"/>
          <w:szCs w:val="24"/>
          <w:highlight w:val="none"/>
        </w:rPr>
        <w:t>×</w:t>
      </w:r>
      <w:r>
        <w:rPr>
          <w:rFonts w:ascii="宋体" w:hAnsi="宋体" w:eastAsia="宋体" w:cs="宋体"/>
          <w:strike/>
          <w:dstrike w:val="0"/>
          <w:color w:val="auto"/>
          <w:spacing w:val="-1"/>
          <w:position w:val="1"/>
          <w:sz w:val="24"/>
          <w:szCs w:val="24"/>
          <w:highlight w:val="none"/>
        </w:rPr>
        <w:t>（</w:t>
      </w:r>
      <w:r>
        <w:rPr>
          <w:rFonts w:ascii="Times New Roman" w:hAnsi="Times New Roman" w:eastAsia="Times New Roman" w:cs="Times New Roman"/>
          <w:strike/>
          <w:dstrike w:val="0"/>
          <w:color w:val="auto"/>
          <w:spacing w:val="-1"/>
          <w:position w:val="1"/>
          <w:sz w:val="24"/>
          <w:szCs w:val="24"/>
          <w:highlight w:val="none"/>
        </w:rPr>
        <w:t>1-X%</w:t>
      </w:r>
      <w:r>
        <w:rPr>
          <w:rFonts w:ascii="宋体" w:hAnsi="宋体" w:eastAsia="宋体" w:cs="宋体"/>
          <w:strike/>
          <w:dstrike w:val="0"/>
          <w:color w:val="auto"/>
          <w:spacing w:val="-1"/>
          <w:position w:val="1"/>
          <w:sz w:val="24"/>
          <w:szCs w:val="24"/>
          <w:highlight w:val="none"/>
        </w:rPr>
        <w:t>）</w:t>
      </w:r>
    </w:p>
    <w:p w14:paraId="618B655E">
      <w:pPr>
        <w:spacing w:before="185" w:line="334" w:lineRule="auto"/>
        <w:ind w:left="13" w:right="29" w:firstLine="46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4"/>
          <w:sz w:val="24"/>
          <w:szCs w:val="24"/>
          <w:highlight w:val="none"/>
        </w:rPr>
        <w:t>X</w:t>
      </w:r>
      <w:r>
        <w:rPr>
          <w:rFonts w:ascii="宋体" w:hAnsi="宋体" w:eastAsia="宋体" w:cs="宋体"/>
          <w:strike/>
          <w:dstrike w:val="0"/>
          <w:color w:val="auto"/>
          <w:spacing w:val="-4"/>
          <w:sz w:val="24"/>
          <w:szCs w:val="24"/>
          <w:highlight w:val="none"/>
        </w:rPr>
        <w:t>值在开标时由招标人在</w:t>
      </w:r>
      <w:r>
        <w:rPr>
          <w:rFonts w:ascii="宋体" w:hAnsi="宋体" w:eastAsia="宋体" w:cs="宋体"/>
          <w:strike/>
          <w:dstrike w:val="0"/>
          <w:color w:val="auto"/>
          <w:spacing w:val="110"/>
          <w:sz w:val="25"/>
          <w:szCs w:val="25"/>
          <w:highlight w:val="none"/>
          <w:u w:val="single" w:color="auto"/>
        </w:rPr>
        <w:t xml:space="preserve"> </w:t>
      </w:r>
      <w:r>
        <w:rPr>
          <w:rFonts w:ascii="宋体" w:hAnsi="宋体" w:eastAsia="宋体" w:cs="宋体"/>
          <w:i/>
          <w:iCs/>
          <w:strike/>
          <w:dstrike w:val="0"/>
          <w:color w:val="auto"/>
          <w:spacing w:val="-4"/>
          <w:sz w:val="25"/>
          <w:szCs w:val="25"/>
          <w:highlight w:val="none"/>
          <w:u w:val="single" w:color="auto"/>
        </w:rPr>
        <w:t>（由招标人在</w:t>
      </w:r>
      <w:r>
        <w:rPr>
          <w:rFonts w:ascii="Times New Roman" w:hAnsi="Times New Roman" w:eastAsia="Times New Roman" w:cs="Times New Roman"/>
          <w:i/>
          <w:iCs/>
          <w:strike/>
          <w:dstrike w:val="0"/>
          <w:color w:val="auto"/>
          <w:spacing w:val="-4"/>
          <w:sz w:val="24"/>
          <w:szCs w:val="24"/>
          <w:highlight w:val="none"/>
          <w:u w:val="single" w:color="auto"/>
        </w:rPr>
        <w:t>0</w:t>
      </w:r>
      <w:r>
        <w:rPr>
          <w:rFonts w:ascii="宋体" w:hAnsi="宋体" w:eastAsia="宋体" w:cs="宋体"/>
          <w:i/>
          <w:iCs/>
          <w:strike/>
          <w:dstrike w:val="0"/>
          <w:color w:val="auto"/>
          <w:spacing w:val="-4"/>
          <w:sz w:val="25"/>
          <w:szCs w:val="25"/>
          <w:highlight w:val="none"/>
          <w:u w:val="single" w:color="auto"/>
        </w:rPr>
        <w:t>～</w:t>
      </w:r>
      <w:r>
        <w:rPr>
          <w:rFonts w:ascii="Times New Roman" w:hAnsi="Times New Roman" w:eastAsia="Times New Roman" w:cs="Times New Roman"/>
          <w:i/>
          <w:iCs/>
          <w:strike/>
          <w:dstrike w:val="0"/>
          <w:color w:val="auto"/>
          <w:spacing w:val="-4"/>
          <w:sz w:val="24"/>
          <w:szCs w:val="24"/>
          <w:highlight w:val="none"/>
          <w:u w:val="single" w:color="auto"/>
        </w:rPr>
        <w:t>3</w:t>
      </w:r>
      <w:r>
        <w:rPr>
          <w:rFonts w:ascii="宋体" w:hAnsi="宋体" w:eastAsia="宋体" w:cs="宋体"/>
          <w:i/>
          <w:iCs/>
          <w:strike/>
          <w:dstrike w:val="0"/>
          <w:color w:val="auto"/>
          <w:spacing w:val="-4"/>
          <w:sz w:val="25"/>
          <w:szCs w:val="25"/>
          <w:highlight w:val="none"/>
          <w:u w:val="single" w:color="auto"/>
        </w:rPr>
        <w:t>之间自行确定，但应为</w:t>
      </w:r>
      <w:r>
        <w:rPr>
          <w:rFonts w:ascii="Times New Roman" w:hAnsi="Times New Roman" w:eastAsia="Times New Roman" w:cs="Times New Roman"/>
          <w:i/>
          <w:iCs/>
          <w:strike/>
          <w:dstrike w:val="0"/>
          <w:color w:val="auto"/>
          <w:spacing w:val="-4"/>
          <w:sz w:val="24"/>
          <w:szCs w:val="24"/>
          <w:highlight w:val="none"/>
          <w:u w:val="single" w:color="auto"/>
        </w:rPr>
        <w:t>5</w:t>
      </w:r>
      <w:r>
        <w:rPr>
          <w:rFonts w:ascii="宋体" w:hAnsi="宋体" w:eastAsia="宋体" w:cs="宋体"/>
          <w:i/>
          <w:iCs/>
          <w:strike/>
          <w:dstrike w:val="0"/>
          <w:color w:val="auto"/>
          <w:spacing w:val="-4"/>
          <w:sz w:val="25"/>
          <w:szCs w:val="25"/>
          <w:highlight w:val="none"/>
          <w:u w:val="single" w:color="auto"/>
        </w:rPr>
        <w:t>个数组成</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8"/>
          <w:sz w:val="25"/>
          <w:szCs w:val="25"/>
          <w:highlight w:val="none"/>
          <w:u w:val="single" w:color="auto"/>
        </w:rPr>
        <w:t>的等差递增数列，最小公差大于等于</w:t>
      </w:r>
      <w:r>
        <w:rPr>
          <w:rFonts w:ascii="Times New Roman" w:hAnsi="Times New Roman" w:eastAsia="Times New Roman" w:cs="Times New Roman"/>
          <w:i/>
          <w:iCs/>
          <w:strike/>
          <w:dstrike w:val="0"/>
          <w:color w:val="auto"/>
          <w:spacing w:val="-8"/>
          <w:sz w:val="24"/>
          <w:szCs w:val="24"/>
          <w:highlight w:val="none"/>
          <w:u w:val="single" w:color="auto"/>
        </w:rPr>
        <w:t>0.5</w:t>
      </w:r>
      <w:r>
        <w:rPr>
          <w:rFonts w:ascii="宋体" w:hAnsi="宋体" w:eastAsia="宋体" w:cs="宋体"/>
          <w:i/>
          <w:iCs/>
          <w:strike/>
          <w:dstrike w:val="0"/>
          <w:color w:val="auto"/>
          <w:spacing w:val="-8"/>
          <w:sz w:val="25"/>
          <w:szCs w:val="25"/>
          <w:highlight w:val="none"/>
          <w:u w:val="single" w:color="auto"/>
        </w:rPr>
        <w:t>）</w:t>
      </w:r>
      <w:r>
        <w:rPr>
          <w:rFonts w:ascii="宋体" w:hAnsi="宋体" w:eastAsia="宋体" w:cs="宋体"/>
          <w:strike/>
          <w:dstrike w:val="0"/>
          <w:color w:val="auto"/>
          <w:spacing w:val="117"/>
          <w:sz w:val="25"/>
          <w:szCs w:val="25"/>
          <w:highlight w:val="none"/>
          <w:u w:val="single" w:color="auto"/>
        </w:rPr>
        <w:t xml:space="preserve"> </w:t>
      </w:r>
      <w:r>
        <w:rPr>
          <w:rFonts w:ascii="宋体" w:hAnsi="宋体" w:eastAsia="宋体" w:cs="宋体"/>
          <w:strike/>
          <w:dstrike w:val="0"/>
          <w:color w:val="auto"/>
          <w:spacing w:val="-114"/>
          <w:sz w:val="25"/>
          <w:szCs w:val="25"/>
          <w:highlight w:val="none"/>
        </w:rPr>
        <w:t xml:space="preserve"> </w:t>
      </w:r>
      <w:r>
        <w:rPr>
          <w:rFonts w:ascii="宋体" w:hAnsi="宋体" w:eastAsia="宋体" w:cs="宋体"/>
          <w:strike/>
          <w:dstrike w:val="0"/>
          <w:color w:val="auto"/>
          <w:spacing w:val="-8"/>
          <w:sz w:val="24"/>
          <w:szCs w:val="24"/>
          <w:highlight w:val="none"/>
        </w:rPr>
        <w:t>之中随机抽取确定。</w:t>
      </w:r>
    </w:p>
    <w:p w14:paraId="21CBDB62">
      <w:pPr>
        <w:spacing w:before="30" w:line="218" w:lineRule="auto"/>
        <w:ind w:right="31"/>
        <w:jc w:val="right"/>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2</w:t>
      </w:r>
      <w:r>
        <w:rPr>
          <w:rFonts w:ascii="Times New Roman" w:hAnsi="Times New Roman" w:eastAsia="Times New Roman" w:cs="Times New Roman"/>
          <w:strike/>
          <w:dstrike w:val="0"/>
          <w:color w:val="auto"/>
          <w:spacing w:val="-29"/>
          <w:sz w:val="24"/>
          <w:szCs w:val="24"/>
          <w:highlight w:val="none"/>
        </w:rPr>
        <w:t xml:space="preserve"> </w:t>
      </w:r>
      <w:r>
        <w:rPr>
          <w:rFonts w:ascii="宋体" w:hAnsi="宋体" w:eastAsia="宋体" w:cs="宋体"/>
          <w:strike/>
          <w:dstrike w:val="0"/>
          <w:color w:val="auto"/>
          <w:spacing w:val="-1"/>
          <w:sz w:val="24"/>
          <w:szCs w:val="24"/>
          <w:highlight w:val="none"/>
        </w:rPr>
        <w:t>．商务报价评分的确定（采用评定分离方法二的，不须计算商</w:t>
      </w:r>
      <w:r>
        <w:rPr>
          <w:rFonts w:ascii="宋体" w:hAnsi="宋体" w:eastAsia="宋体" w:cs="宋体"/>
          <w:strike/>
          <w:dstrike w:val="0"/>
          <w:color w:val="auto"/>
          <w:spacing w:val="-2"/>
          <w:sz w:val="24"/>
          <w:szCs w:val="24"/>
          <w:highlight w:val="none"/>
        </w:rPr>
        <w:t>务报价评分</w:t>
      </w:r>
      <w:r>
        <w:rPr>
          <w:rFonts w:ascii="宋体" w:hAnsi="宋体" w:eastAsia="宋体" w:cs="宋体"/>
          <w:strike/>
          <w:dstrike w:val="0"/>
          <w:color w:val="auto"/>
          <w:sz w:val="24"/>
          <w:szCs w:val="24"/>
          <w:highlight w:val="none"/>
        </w:rPr>
        <w:t>）：</w:t>
      </w:r>
    </w:p>
    <w:p w14:paraId="5640A80E">
      <w:pPr>
        <w:spacing w:before="47" w:line="329" w:lineRule="auto"/>
        <w:ind w:right="18" w:firstLine="49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商务报价评分满分</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4"/>
          <w:sz w:val="24"/>
          <w:szCs w:val="24"/>
          <w:highlight w:val="none"/>
        </w:rPr>
        <w:t>分</w:t>
      </w:r>
      <w:r>
        <w:rPr>
          <w:rFonts w:ascii="宋体" w:hAnsi="宋体" w:eastAsia="宋体" w:cs="宋体"/>
          <w:i/>
          <w:iCs/>
          <w:strike/>
          <w:dstrike w:val="0"/>
          <w:color w:val="auto"/>
          <w:spacing w:val="-4"/>
          <w:sz w:val="25"/>
          <w:szCs w:val="25"/>
          <w:highlight w:val="none"/>
        </w:rPr>
        <w:t>（总分</w:t>
      </w:r>
      <w:r>
        <w:rPr>
          <w:rFonts w:ascii="Times New Roman" w:hAnsi="Times New Roman" w:eastAsia="Times New Roman" w:cs="Times New Roman"/>
          <w:i/>
          <w:iCs/>
          <w:strike/>
          <w:dstrike w:val="0"/>
          <w:color w:val="auto"/>
          <w:spacing w:val="-4"/>
          <w:sz w:val="24"/>
          <w:szCs w:val="24"/>
          <w:highlight w:val="none"/>
        </w:rPr>
        <w:t>100</w:t>
      </w:r>
      <w:r>
        <w:rPr>
          <w:rFonts w:ascii="宋体" w:hAnsi="宋体" w:eastAsia="宋体" w:cs="宋体"/>
          <w:i/>
          <w:iCs/>
          <w:strike/>
          <w:dstrike w:val="0"/>
          <w:color w:val="auto"/>
          <w:spacing w:val="-4"/>
          <w:sz w:val="25"/>
          <w:szCs w:val="25"/>
          <w:highlight w:val="none"/>
        </w:rPr>
        <w:t>分，商务报价评分为扣除技术评分、资信评</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2"/>
          <w:sz w:val="25"/>
          <w:szCs w:val="25"/>
          <w:highlight w:val="none"/>
        </w:rPr>
        <w:t>分剩余分值</w:t>
      </w:r>
      <w:r>
        <w:rPr>
          <w:rFonts w:ascii="宋体" w:hAnsi="宋体" w:eastAsia="宋体" w:cs="宋体"/>
          <w:strike/>
          <w:dstrike w:val="0"/>
          <w:color w:val="auto"/>
          <w:spacing w:val="2"/>
          <w:sz w:val="24"/>
          <w:szCs w:val="24"/>
          <w:highlight w:val="none"/>
        </w:rPr>
        <w:t>）</w:t>
      </w:r>
    </w:p>
    <w:p w14:paraId="611EEDAF">
      <w:pPr>
        <w:spacing w:before="1" w:line="306" w:lineRule="auto"/>
        <w:ind w:left="27" w:right="127" w:firstLine="46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）投标报价的偏差率</w:t>
      </w:r>
      <w:r>
        <w:rPr>
          <w:rFonts w:ascii="Times New Roman" w:hAnsi="Times New Roman" w:eastAsia="Times New Roman" w:cs="Times New Roman"/>
          <w:strike/>
          <w:dstrike w:val="0"/>
          <w:color w:val="auto"/>
          <w:spacing w:val="-1"/>
          <w:sz w:val="24"/>
          <w:szCs w:val="24"/>
          <w:highlight w:val="none"/>
        </w:rPr>
        <w:t>=</w:t>
      </w:r>
      <w:r>
        <w:rPr>
          <w:rFonts w:ascii="宋体" w:hAnsi="宋体" w:eastAsia="宋体" w:cs="宋体"/>
          <w:strike/>
          <w:dstrike w:val="0"/>
          <w:color w:val="auto"/>
          <w:spacing w:val="-1"/>
          <w:sz w:val="24"/>
          <w:szCs w:val="24"/>
          <w:highlight w:val="none"/>
        </w:rPr>
        <w:t>（投标评标价—评分</w:t>
      </w:r>
      <w:r>
        <w:rPr>
          <w:rFonts w:ascii="宋体" w:hAnsi="宋体" w:eastAsia="宋体" w:cs="宋体"/>
          <w:strike/>
          <w:dstrike w:val="0"/>
          <w:color w:val="auto"/>
          <w:spacing w:val="-2"/>
          <w:sz w:val="24"/>
          <w:szCs w:val="24"/>
          <w:highlight w:val="none"/>
        </w:rPr>
        <w:t>基准价）</w:t>
      </w:r>
      <w:r>
        <w:rPr>
          <w:rFonts w:ascii="Times New Roman" w:hAnsi="Times New Roman" w:eastAsia="Times New Roman" w:cs="Times New Roman"/>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评分基准价</w:t>
      </w:r>
      <w:r>
        <w:rPr>
          <w:rFonts w:ascii="Times New Roman" w:hAnsi="Times New Roman" w:eastAsia="Times New Roman" w:cs="Times New Roman"/>
          <w:strike/>
          <w:dstrike w:val="0"/>
          <w:color w:val="auto"/>
          <w:spacing w:val="-2"/>
          <w:sz w:val="24"/>
          <w:szCs w:val="24"/>
          <w:highlight w:val="none"/>
        </w:rPr>
        <w:t>×</w:t>
      </w:r>
      <w:r>
        <w:rPr>
          <w:rFonts w:ascii="Times New Roman" w:hAnsi="Times New Roman" w:eastAsia="Times New Roman" w:cs="Times New Roman"/>
          <w:strike/>
          <w:dstrike w:val="0"/>
          <w:color w:val="auto"/>
          <w:spacing w:val="27"/>
          <w:w w:val="101"/>
          <w:sz w:val="24"/>
          <w:szCs w:val="24"/>
          <w:highlight w:val="none"/>
        </w:rPr>
        <w:t xml:space="preserve"> </w:t>
      </w:r>
      <w:r>
        <w:rPr>
          <w:rFonts w:ascii="Times New Roman" w:hAnsi="Times New Roman" w:eastAsia="Times New Roman" w:cs="Times New Roman"/>
          <w:strike/>
          <w:dstrike w:val="0"/>
          <w:color w:val="auto"/>
          <w:spacing w:val="-2"/>
          <w:sz w:val="24"/>
          <w:szCs w:val="24"/>
          <w:highlight w:val="none"/>
        </w:rPr>
        <w:t>100%</w:t>
      </w:r>
      <w:r>
        <w:rPr>
          <w:rFonts w:ascii="宋体" w:hAnsi="宋体" w:eastAsia="宋体" w:cs="宋体"/>
          <w:strike/>
          <w:dstrike w:val="0"/>
          <w:color w:val="auto"/>
          <w:spacing w:val="-2"/>
          <w:sz w:val="24"/>
          <w:szCs w:val="24"/>
          <w:highlight w:val="none"/>
        </w:rPr>
        <w:t>（保</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留</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位小数，第</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位四舍五入）</w:t>
      </w:r>
    </w:p>
    <w:p w14:paraId="723CCBA0">
      <w:pPr>
        <w:spacing w:before="180" w:line="218" w:lineRule="auto"/>
        <w:ind w:left="49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）商务报价评分（保留</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位小数，第</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2"/>
          <w:sz w:val="24"/>
          <w:szCs w:val="24"/>
          <w:highlight w:val="none"/>
        </w:rPr>
        <w:t>位四舍五入）</w:t>
      </w:r>
    </w:p>
    <w:p w14:paraId="2962F2FA">
      <w:pPr>
        <w:spacing w:before="183" w:line="343" w:lineRule="auto"/>
        <w:ind w:left="504" w:right="41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当投标评标价≤评分基准价，商务报价评分＝商务分值＋偏差率×</w:t>
      </w:r>
      <w:r>
        <w:rPr>
          <w:rFonts w:ascii="宋体" w:hAnsi="宋体" w:eastAsia="宋体" w:cs="宋体"/>
          <w:strike/>
          <w:dstrike w:val="0"/>
          <w:color w:val="auto"/>
          <w:spacing w:val="-39"/>
          <w:sz w:val="24"/>
          <w:szCs w:val="24"/>
          <w:highlight w:val="none"/>
        </w:rPr>
        <w:t xml:space="preserve"> </w:t>
      </w:r>
      <w:r>
        <w:rPr>
          <w:rFonts w:ascii="Times New Roman" w:hAnsi="Times New Roman" w:eastAsia="Times New Roman" w:cs="Times New Roman"/>
          <w:strike/>
          <w:dstrike w:val="0"/>
          <w:color w:val="auto"/>
          <w:spacing w:val="-3"/>
          <w:sz w:val="24"/>
          <w:szCs w:val="24"/>
          <w:highlight w:val="none"/>
        </w:rPr>
        <w:t>100</w:t>
      </w: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F</w:t>
      </w:r>
      <w:r>
        <w:rPr>
          <w:rFonts w:ascii="Times New Roman" w:hAnsi="Times New Roman" w:eastAsia="Times New Roman" w:cs="Times New Roman"/>
          <w:strike/>
          <w:dstrike w:val="0"/>
          <w:color w:val="auto"/>
          <w:spacing w:val="-3"/>
          <w:position w:val="-1"/>
          <w:sz w:val="16"/>
          <w:szCs w:val="16"/>
          <w:highlight w:val="none"/>
        </w:rPr>
        <w:t>1</w:t>
      </w:r>
      <w:r>
        <w:rPr>
          <w:rFonts w:ascii="Times New Roman" w:hAnsi="Times New Roman" w:eastAsia="Times New Roman" w:cs="Times New Roman"/>
          <w:strike/>
          <w:dstrike w:val="0"/>
          <w:color w:val="auto"/>
          <w:spacing w:val="-24"/>
          <w:position w:val="-1"/>
          <w:sz w:val="16"/>
          <w:szCs w:val="16"/>
          <w:highlight w:val="none"/>
        </w:rPr>
        <w:t xml:space="preserve"> </w:t>
      </w:r>
      <w:r>
        <w:rPr>
          <w:rFonts w:ascii="宋体" w:hAnsi="宋体" w:eastAsia="宋体" w:cs="宋体"/>
          <w:strike/>
          <w:dstrike w:val="0"/>
          <w:color w:val="auto"/>
          <w:spacing w:val="-3"/>
          <w:position w:val="-1"/>
          <w:sz w:val="12"/>
          <w:szCs w:val="12"/>
          <w:highlight w:val="none"/>
        </w:rPr>
        <w:t>；</w:t>
      </w:r>
      <w:r>
        <w:rPr>
          <w:rFonts w:ascii="宋体" w:hAnsi="宋体" w:eastAsia="宋体" w:cs="宋体"/>
          <w:strike/>
          <w:dstrike w:val="0"/>
          <w:color w:val="auto"/>
          <w:position w:val="-1"/>
          <w:sz w:val="12"/>
          <w:szCs w:val="12"/>
          <w:highlight w:val="none"/>
        </w:rPr>
        <w:t xml:space="preserve">  </w:t>
      </w:r>
      <w:r>
        <w:rPr>
          <w:rFonts w:ascii="宋体" w:hAnsi="宋体" w:eastAsia="宋体" w:cs="宋体"/>
          <w:strike/>
          <w:dstrike w:val="0"/>
          <w:color w:val="auto"/>
          <w:spacing w:val="-4"/>
          <w:sz w:val="24"/>
          <w:szCs w:val="24"/>
          <w:highlight w:val="none"/>
        </w:rPr>
        <w:t>当投标评标价＞评分基准价，商务报价评分＝商务分值－偏差率×</w:t>
      </w:r>
      <w:r>
        <w:rPr>
          <w:rFonts w:ascii="宋体" w:hAnsi="宋体" w:eastAsia="宋体" w:cs="宋体"/>
          <w:strike/>
          <w:dstrike w:val="0"/>
          <w:color w:val="auto"/>
          <w:spacing w:val="-37"/>
          <w:sz w:val="24"/>
          <w:szCs w:val="24"/>
          <w:highlight w:val="none"/>
        </w:rPr>
        <w:t xml:space="preserve"> </w:t>
      </w:r>
      <w:r>
        <w:rPr>
          <w:rFonts w:ascii="Times New Roman" w:hAnsi="Times New Roman" w:eastAsia="Times New Roman" w:cs="Times New Roman"/>
          <w:strike/>
          <w:dstrike w:val="0"/>
          <w:color w:val="auto"/>
          <w:spacing w:val="-4"/>
          <w:sz w:val="24"/>
          <w:szCs w:val="24"/>
          <w:highlight w:val="none"/>
        </w:rPr>
        <w:t>100</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F</w:t>
      </w:r>
      <w:r>
        <w:rPr>
          <w:rFonts w:ascii="Times New Roman" w:hAnsi="Times New Roman" w:eastAsia="Times New Roman" w:cs="Times New Roman"/>
          <w:strike/>
          <w:dstrike w:val="0"/>
          <w:color w:val="auto"/>
          <w:spacing w:val="-4"/>
          <w:position w:val="-1"/>
          <w:sz w:val="16"/>
          <w:szCs w:val="16"/>
          <w:highlight w:val="none"/>
        </w:rPr>
        <w:t>2</w:t>
      </w:r>
      <w:r>
        <w:rPr>
          <w:rFonts w:ascii="宋体" w:hAnsi="宋体" w:eastAsia="宋体" w:cs="宋体"/>
          <w:strike/>
          <w:dstrike w:val="0"/>
          <w:color w:val="auto"/>
          <w:spacing w:val="-4"/>
          <w:sz w:val="24"/>
          <w:szCs w:val="24"/>
          <w:highlight w:val="none"/>
        </w:rPr>
        <w:t>。</w:t>
      </w:r>
    </w:p>
    <w:p w14:paraId="75758809">
      <w:pPr>
        <w:spacing w:before="43" w:line="332" w:lineRule="auto"/>
        <w:ind w:right="267" w:firstLine="48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F</w:t>
      </w:r>
      <w:r>
        <w:rPr>
          <w:rFonts w:ascii="Times New Roman" w:hAnsi="Times New Roman" w:eastAsia="Times New Roman" w:cs="Times New Roman"/>
          <w:strike/>
          <w:dstrike w:val="0"/>
          <w:color w:val="auto"/>
          <w:spacing w:val="-3"/>
          <w:position w:val="-1"/>
          <w:sz w:val="16"/>
          <w:szCs w:val="16"/>
          <w:highlight w:val="none"/>
        </w:rPr>
        <w:t>1</w:t>
      </w:r>
      <w:r>
        <w:rPr>
          <w:rFonts w:ascii="宋体" w:hAnsi="宋体" w:eastAsia="宋体" w:cs="宋体"/>
          <w:strike/>
          <w:dstrike w:val="0"/>
          <w:color w:val="auto"/>
          <w:spacing w:val="-3"/>
          <w:sz w:val="24"/>
          <w:szCs w:val="24"/>
          <w:highlight w:val="none"/>
        </w:rPr>
        <w:t>取</w:t>
      </w:r>
      <w:r>
        <w:rPr>
          <w:rFonts w:ascii="宋体" w:hAnsi="宋体" w:eastAsia="宋体" w:cs="宋体"/>
          <w:strike/>
          <w:dstrike w:val="0"/>
          <w:color w:val="auto"/>
          <w:spacing w:val="111"/>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（由招标人在</w:t>
      </w:r>
      <w:r>
        <w:rPr>
          <w:rFonts w:ascii="Times New Roman" w:hAnsi="Times New Roman" w:eastAsia="Times New Roman" w:cs="Times New Roman"/>
          <w:i/>
          <w:iCs/>
          <w:strike/>
          <w:dstrike w:val="0"/>
          <w:color w:val="auto"/>
          <w:spacing w:val="-3"/>
          <w:sz w:val="24"/>
          <w:szCs w:val="24"/>
          <w:highlight w:val="none"/>
          <w:u w:val="single" w:color="auto"/>
        </w:rPr>
        <w:t>0.25~1.25</w:t>
      </w:r>
      <w:r>
        <w:rPr>
          <w:rFonts w:ascii="宋体" w:hAnsi="宋体" w:eastAsia="宋体" w:cs="宋体"/>
          <w:i/>
          <w:iCs/>
          <w:strike/>
          <w:dstrike w:val="0"/>
          <w:color w:val="auto"/>
          <w:spacing w:val="-3"/>
          <w:sz w:val="25"/>
          <w:szCs w:val="25"/>
          <w:highlight w:val="none"/>
          <w:u w:val="single" w:color="auto"/>
        </w:rPr>
        <w:t>之间自行确定</w:t>
      </w:r>
      <w:r>
        <w:rPr>
          <w:rFonts w:ascii="宋体" w:hAnsi="宋体" w:eastAsia="宋体" w:cs="宋体"/>
          <w:i/>
          <w:iCs/>
          <w:strike/>
          <w:dstrike w:val="0"/>
          <w:color w:val="auto"/>
          <w:spacing w:val="-13"/>
          <w:sz w:val="25"/>
          <w:szCs w:val="25"/>
          <w:highlight w:val="none"/>
          <w:u w:val="single" w:color="auto"/>
        </w:rPr>
        <w:t>）</w:t>
      </w:r>
      <w:r>
        <w:rPr>
          <w:rFonts w:ascii="宋体" w:hAnsi="宋体" w:eastAsia="宋体" w:cs="宋体"/>
          <w:strike/>
          <w:dstrike w:val="0"/>
          <w:color w:val="auto"/>
          <w:spacing w:val="45"/>
          <w:sz w:val="25"/>
          <w:szCs w:val="25"/>
          <w:highlight w:val="none"/>
          <w:u w:val="single" w:color="auto"/>
        </w:rPr>
        <w:t xml:space="preserve"> </w:t>
      </w:r>
      <w:r>
        <w:rPr>
          <w:rFonts w:ascii="宋体" w:hAnsi="宋体" w:eastAsia="宋体" w:cs="宋体"/>
          <w:strike/>
          <w:dstrike w:val="0"/>
          <w:color w:val="auto"/>
          <w:spacing w:val="-96"/>
          <w:sz w:val="25"/>
          <w:szCs w:val="25"/>
          <w:highlight w:val="none"/>
        </w:rPr>
        <w:t xml:space="preserve"> </w:t>
      </w: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3"/>
          <w:sz w:val="24"/>
          <w:szCs w:val="24"/>
          <w:highlight w:val="none"/>
        </w:rPr>
        <w:t>F</w:t>
      </w:r>
      <w:r>
        <w:rPr>
          <w:rFonts w:ascii="Times New Roman" w:hAnsi="Times New Roman" w:eastAsia="Times New Roman" w:cs="Times New Roman"/>
          <w:strike/>
          <w:dstrike w:val="0"/>
          <w:color w:val="auto"/>
          <w:spacing w:val="-3"/>
          <w:position w:val="-1"/>
          <w:sz w:val="16"/>
          <w:szCs w:val="16"/>
          <w:highlight w:val="none"/>
        </w:rPr>
        <w:t>2</w:t>
      </w:r>
      <w:r>
        <w:rPr>
          <w:rFonts w:ascii="宋体" w:hAnsi="宋体" w:eastAsia="宋体" w:cs="宋体"/>
          <w:strike/>
          <w:dstrike w:val="0"/>
          <w:color w:val="auto"/>
          <w:spacing w:val="-3"/>
          <w:sz w:val="24"/>
          <w:szCs w:val="24"/>
          <w:highlight w:val="none"/>
        </w:rPr>
        <w:t>取</w:t>
      </w:r>
      <w:r>
        <w:rPr>
          <w:rFonts w:ascii="宋体" w:hAnsi="宋体" w:eastAsia="宋体" w:cs="宋体"/>
          <w:strike/>
          <w:dstrike w:val="0"/>
          <w:color w:val="auto"/>
          <w:spacing w:val="110"/>
          <w:sz w:val="25"/>
          <w:szCs w:val="25"/>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（由招标人在</w:t>
      </w:r>
      <w:r>
        <w:rPr>
          <w:rFonts w:ascii="Times New Roman" w:hAnsi="Times New Roman" w:eastAsia="Times New Roman" w:cs="Times New Roman"/>
          <w:i/>
          <w:iCs/>
          <w:strike/>
          <w:dstrike w:val="0"/>
          <w:color w:val="auto"/>
          <w:spacing w:val="-3"/>
          <w:sz w:val="24"/>
          <w:szCs w:val="24"/>
          <w:highlight w:val="none"/>
          <w:u w:val="single" w:color="auto"/>
        </w:rPr>
        <w:t>0.5~1.5</w:t>
      </w:r>
      <w:r>
        <w:rPr>
          <w:rFonts w:ascii="Times New Roman" w:hAnsi="Times New Roman" w:eastAsia="Times New Roman" w:cs="Times New Roman"/>
          <w:i/>
          <w:iCs/>
          <w:strike/>
          <w:dstrike w:val="0"/>
          <w:color w:val="auto"/>
          <w:sz w:val="24"/>
          <w:szCs w:val="24"/>
          <w:highlight w:val="none"/>
        </w:rPr>
        <w:t xml:space="preserve"> </w:t>
      </w:r>
      <w:r>
        <w:rPr>
          <w:rFonts w:ascii="宋体" w:hAnsi="宋体" w:eastAsia="宋体" w:cs="宋体"/>
          <w:i/>
          <w:iCs/>
          <w:strike/>
          <w:dstrike w:val="0"/>
          <w:color w:val="auto"/>
          <w:spacing w:val="-6"/>
          <w:position w:val="1"/>
          <w:sz w:val="25"/>
          <w:szCs w:val="25"/>
          <w:highlight w:val="none"/>
          <w:u w:val="single" w:color="auto"/>
        </w:rPr>
        <w:t>之间自行确定，</w:t>
      </w:r>
      <w:r>
        <w:rPr>
          <w:rFonts w:ascii="Times New Roman" w:hAnsi="Times New Roman" w:eastAsia="Times New Roman" w:cs="Times New Roman"/>
          <w:i/>
          <w:iCs/>
          <w:strike/>
          <w:dstrike w:val="0"/>
          <w:color w:val="auto"/>
          <w:spacing w:val="-6"/>
          <w:position w:val="1"/>
          <w:sz w:val="24"/>
          <w:szCs w:val="24"/>
          <w:highlight w:val="none"/>
          <w:u w:val="single" w:color="auto"/>
        </w:rPr>
        <w:t>F</w:t>
      </w:r>
      <w:r>
        <w:rPr>
          <w:rFonts w:ascii="Times New Roman" w:hAnsi="Times New Roman" w:eastAsia="Times New Roman" w:cs="Times New Roman"/>
          <w:i/>
          <w:iCs/>
          <w:strike/>
          <w:dstrike w:val="0"/>
          <w:color w:val="auto"/>
          <w:spacing w:val="-6"/>
          <w:sz w:val="16"/>
          <w:szCs w:val="16"/>
          <w:highlight w:val="none"/>
          <w:u w:val="single" w:color="auto"/>
        </w:rPr>
        <w:t>2</w:t>
      </w:r>
      <w:r>
        <w:rPr>
          <w:rFonts w:ascii="Times New Roman" w:hAnsi="Times New Roman" w:eastAsia="Times New Roman" w:cs="Times New Roman"/>
          <w:i/>
          <w:iCs/>
          <w:strike/>
          <w:dstrike w:val="0"/>
          <w:color w:val="auto"/>
          <w:spacing w:val="-13"/>
          <w:sz w:val="16"/>
          <w:szCs w:val="16"/>
          <w:highlight w:val="none"/>
          <w:u w:val="single" w:color="auto"/>
        </w:rPr>
        <w:t xml:space="preserve"> </w:t>
      </w:r>
      <w:r>
        <w:rPr>
          <w:rFonts w:ascii="宋体" w:hAnsi="宋体" w:eastAsia="宋体" w:cs="宋体"/>
          <w:i/>
          <w:iCs/>
          <w:strike/>
          <w:dstrike w:val="0"/>
          <w:color w:val="auto"/>
          <w:spacing w:val="-6"/>
          <w:position w:val="1"/>
          <w:sz w:val="25"/>
          <w:szCs w:val="25"/>
          <w:highlight w:val="none"/>
          <w:u w:val="single" w:color="auto"/>
        </w:rPr>
        <w:t>≥</w:t>
      </w:r>
      <w:r>
        <w:rPr>
          <w:rFonts w:ascii="Times New Roman" w:hAnsi="Times New Roman" w:eastAsia="Times New Roman" w:cs="Times New Roman"/>
          <w:i/>
          <w:iCs/>
          <w:strike/>
          <w:dstrike w:val="0"/>
          <w:color w:val="auto"/>
          <w:spacing w:val="-6"/>
          <w:position w:val="1"/>
          <w:sz w:val="24"/>
          <w:szCs w:val="24"/>
          <w:highlight w:val="none"/>
          <w:u w:val="single" w:color="auto"/>
        </w:rPr>
        <w:t>F</w:t>
      </w:r>
      <w:r>
        <w:rPr>
          <w:rFonts w:ascii="Times New Roman" w:hAnsi="Times New Roman" w:eastAsia="Times New Roman" w:cs="Times New Roman"/>
          <w:i/>
          <w:iCs/>
          <w:strike/>
          <w:dstrike w:val="0"/>
          <w:color w:val="auto"/>
          <w:spacing w:val="-6"/>
          <w:sz w:val="16"/>
          <w:szCs w:val="16"/>
          <w:highlight w:val="none"/>
          <w:u w:val="single" w:color="auto"/>
        </w:rPr>
        <w:t>1</w:t>
      </w:r>
      <w:r>
        <w:rPr>
          <w:rFonts w:ascii="Times New Roman" w:hAnsi="Times New Roman" w:eastAsia="Times New Roman" w:cs="Times New Roman"/>
          <w:i/>
          <w:iCs/>
          <w:strike/>
          <w:dstrike w:val="0"/>
          <w:color w:val="auto"/>
          <w:spacing w:val="-19"/>
          <w:sz w:val="16"/>
          <w:szCs w:val="16"/>
          <w:highlight w:val="none"/>
          <w:u w:val="single" w:color="auto"/>
        </w:rPr>
        <w:t xml:space="preserve"> </w:t>
      </w:r>
      <w:r>
        <w:rPr>
          <w:rFonts w:ascii="Times New Roman" w:hAnsi="Times New Roman" w:eastAsia="Times New Roman" w:cs="Times New Roman"/>
          <w:i/>
          <w:iCs/>
          <w:strike/>
          <w:dstrike w:val="0"/>
          <w:color w:val="auto"/>
          <w:spacing w:val="-6"/>
          <w:position w:val="1"/>
          <w:sz w:val="24"/>
          <w:szCs w:val="24"/>
          <w:highlight w:val="none"/>
          <w:u w:val="single" w:color="auto"/>
        </w:rPr>
        <w:t>+0.25</w:t>
      </w:r>
      <w:r>
        <w:rPr>
          <w:rFonts w:ascii="宋体" w:hAnsi="宋体" w:eastAsia="宋体" w:cs="宋体"/>
          <w:i/>
          <w:iCs/>
          <w:strike/>
          <w:dstrike w:val="0"/>
          <w:color w:val="auto"/>
          <w:spacing w:val="-6"/>
          <w:position w:val="1"/>
          <w:sz w:val="25"/>
          <w:szCs w:val="25"/>
          <w:highlight w:val="none"/>
          <w:u w:val="single" w:color="auto"/>
        </w:rPr>
        <w:t>，且</w:t>
      </w:r>
      <w:r>
        <w:rPr>
          <w:rFonts w:ascii="Times New Roman" w:hAnsi="Times New Roman" w:eastAsia="Times New Roman" w:cs="Times New Roman"/>
          <w:i/>
          <w:iCs/>
          <w:strike/>
          <w:dstrike w:val="0"/>
          <w:color w:val="auto"/>
          <w:spacing w:val="-6"/>
          <w:position w:val="1"/>
          <w:sz w:val="24"/>
          <w:szCs w:val="24"/>
          <w:highlight w:val="none"/>
          <w:u w:val="single" w:color="auto"/>
        </w:rPr>
        <w:t>F2</w:t>
      </w:r>
      <w:r>
        <w:rPr>
          <w:rFonts w:ascii="宋体" w:hAnsi="宋体" w:eastAsia="宋体" w:cs="宋体"/>
          <w:i/>
          <w:iCs/>
          <w:strike/>
          <w:dstrike w:val="0"/>
          <w:color w:val="auto"/>
          <w:spacing w:val="-6"/>
          <w:position w:val="1"/>
          <w:sz w:val="25"/>
          <w:szCs w:val="25"/>
          <w:highlight w:val="none"/>
          <w:u w:val="single" w:color="auto"/>
        </w:rPr>
        <w:t>≤</w:t>
      </w:r>
      <w:r>
        <w:rPr>
          <w:rFonts w:ascii="Times New Roman" w:hAnsi="Times New Roman" w:eastAsia="Times New Roman" w:cs="Times New Roman"/>
          <w:i/>
          <w:iCs/>
          <w:strike/>
          <w:dstrike w:val="0"/>
          <w:color w:val="auto"/>
          <w:spacing w:val="-6"/>
          <w:position w:val="1"/>
          <w:sz w:val="24"/>
          <w:szCs w:val="24"/>
          <w:highlight w:val="none"/>
          <w:u w:val="single" w:color="auto"/>
        </w:rPr>
        <w:t>2</w:t>
      </w:r>
      <w:r>
        <w:rPr>
          <w:rFonts w:ascii="宋体" w:hAnsi="宋体" w:eastAsia="宋体" w:cs="宋体"/>
          <w:i/>
          <w:iCs/>
          <w:strike/>
          <w:dstrike w:val="0"/>
          <w:color w:val="auto"/>
          <w:spacing w:val="-6"/>
          <w:position w:val="1"/>
          <w:sz w:val="25"/>
          <w:szCs w:val="25"/>
          <w:highlight w:val="none"/>
          <w:u w:val="single" w:color="auto"/>
        </w:rPr>
        <w:t>×</w:t>
      </w:r>
      <w:r>
        <w:rPr>
          <w:rFonts w:ascii="Times New Roman" w:hAnsi="Times New Roman" w:eastAsia="Times New Roman" w:cs="Times New Roman"/>
          <w:i/>
          <w:iCs/>
          <w:strike/>
          <w:dstrike w:val="0"/>
          <w:color w:val="auto"/>
          <w:spacing w:val="-6"/>
          <w:position w:val="1"/>
          <w:sz w:val="24"/>
          <w:szCs w:val="24"/>
          <w:highlight w:val="none"/>
          <w:u w:val="single" w:color="auto"/>
        </w:rPr>
        <w:t>F1</w:t>
      </w:r>
      <w:r>
        <w:rPr>
          <w:rFonts w:ascii="宋体" w:hAnsi="宋体" w:eastAsia="宋体" w:cs="宋体"/>
          <w:i/>
          <w:iCs/>
          <w:strike/>
          <w:dstrike w:val="0"/>
          <w:color w:val="auto"/>
          <w:spacing w:val="-6"/>
          <w:position w:val="1"/>
          <w:sz w:val="25"/>
          <w:szCs w:val="25"/>
          <w:highlight w:val="none"/>
          <w:u w:val="single" w:color="auto"/>
        </w:rPr>
        <w:t>）</w:t>
      </w:r>
      <w:r>
        <w:rPr>
          <w:rFonts w:ascii="宋体" w:hAnsi="宋体" w:eastAsia="宋体" w:cs="宋体"/>
          <w:strike/>
          <w:dstrike w:val="0"/>
          <w:color w:val="auto"/>
          <w:spacing w:val="105"/>
          <w:position w:val="1"/>
          <w:sz w:val="25"/>
          <w:szCs w:val="25"/>
          <w:highlight w:val="none"/>
          <w:u w:val="single" w:color="auto"/>
        </w:rPr>
        <w:t xml:space="preserve"> </w:t>
      </w:r>
      <w:r>
        <w:rPr>
          <w:rFonts w:ascii="宋体" w:hAnsi="宋体" w:eastAsia="宋体" w:cs="宋体"/>
          <w:strike/>
          <w:dstrike w:val="0"/>
          <w:color w:val="auto"/>
          <w:spacing w:val="-6"/>
          <w:position w:val="1"/>
          <w:sz w:val="24"/>
          <w:szCs w:val="24"/>
          <w:highlight w:val="none"/>
        </w:rPr>
        <w:t>。</w:t>
      </w:r>
    </w:p>
    <w:p w14:paraId="0B18207B">
      <w:pPr>
        <w:spacing w:before="33" w:line="212" w:lineRule="auto"/>
        <w:ind w:left="49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商务报价评分值的最低分</w:t>
      </w:r>
      <w:r>
        <w:rPr>
          <w:rFonts w:ascii="宋体" w:hAnsi="宋体" w:eastAsia="宋体" w:cs="宋体"/>
          <w:strike/>
          <w:dstrike w:val="0"/>
          <w:color w:val="auto"/>
          <w:spacing w:val="63"/>
          <w:sz w:val="25"/>
          <w:szCs w:val="25"/>
          <w:highlight w:val="none"/>
          <w:u w:val="single" w:color="auto"/>
        </w:rPr>
        <w:t xml:space="preserve">  </w:t>
      </w:r>
      <w:r>
        <w:rPr>
          <w:rFonts w:ascii="宋体" w:hAnsi="宋体" w:eastAsia="宋体" w:cs="宋体"/>
          <w:i/>
          <w:iCs/>
          <w:strike/>
          <w:dstrike w:val="0"/>
          <w:color w:val="auto"/>
          <w:spacing w:val="-5"/>
          <w:sz w:val="25"/>
          <w:szCs w:val="25"/>
          <w:highlight w:val="none"/>
          <w:u w:val="single" w:color="auto"/>
        </w:rPr>
        <w:t>（不得低于</w:t>
      </w:r>
      <w:r>
        <w:rPr>
          <w:rFonts w:ascii="Times New Roman" w:hAnsi="Times New Roman" w:eastAsia="Times New Roman" w:cs="Times New Roman"/>
          <w:i/>
          <w:iCs/>
          <w:strike/>
          <w:dstrike w:val="0"/>
          <w:color w:val="auto"/>
          <w:spacing w:val="-5"/>
          <w:sz w:val="24"/>
          <w:szCs w:val="24"/>
          <w:highlight w:val="none"/>
          <w:u w:val="single" w:color="auto"/>
        </w:rPr>
        <w:t>30</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strike/>
          <w:dstrike w:val="0"/>
          <w:color w:val="auto"/>
          <w:spacing w:val="105"/>
          <w:sz w:val="25"/>
          <w:szCs w:val="25"/>
          <w:highlight w:val="none"/>
          <w:u w:val="single" w:color="auto"/>
        </w:rPr>
        <w:t xml:space="preserve"> </w:t>
      </w:r>
      <w:r>
        <w:rPr>
          <w:rFonts w:ascii="宋体" w:hAnsi="宋体" w:eastAsia="宋体" w:cs="宋体"/>
          <w:strike/>
          <w:dstrike w:val="0"/>
          <w:color w:val="auto"/>
          <w:spacing w:val="-113"/>
          <w:sz w:val="25"/>
          <w:szCs w:val="25"/>
          <w:highlight w:val="none"/>
        </w:rPr>
        <w:t xml:space="preserve"> </w:t>
      </w:r>
      <w:r>
        <w:rPr>
          <w:rFonts w:ascii="宋体" w:hAnsi="宋体" w:eastAsia="宋体" w:cs="宋体"/>
          <w:strike/>
          <w:dstrike w:val="0"/>
          <w:color w:val="auto"/>
          <w:spacing w:val="-5"/>
          <w:sz w:val="24"/>
          <w:szCs w:val="24"/>
          <w:highlight w:val="none"/>
        </w:rPr>
        <w:t>分。</w:t>
      </w:r>
    </w:p>
    <w:p w14:paraId="1CD5FCC4">
      <w:pPr>
        <w:spacing w:before="179" w:line="220" w:lineRule="auto"/>
        <w:ind w:left="6"/>
        <w:outlineLvl w:val="2"/>
        <w:rPr>
          <w:rFonts w:ascii="宋体" w:hAnsi="宋体" w:eastAsia="宋体" w:cs="宋体"/>
          <w:strike w:val="0"/>
          <w:dstrike w:val="0"/>
          <w:color w:val="auto"/>
          <w:sz w:val="24"/>
          <w:szCs w:val="24"/>
          <w:highlight w:val="none"/>
        </w:rPr>
      </w:pPr>
      <w:bookmarkStart w:id="386" w:name="bookmark236"/>
      <w:bookmarkEnd w:id="386"/>
      <w:bookmarkStart w:id="387" w:name="bookmark235"/>
      <w:bookmarkEnd w:id="387"/>
      <w:bookmarkStart w:id="388" w:name="_Toc18709"/>
      <w:bookmarkStart w:id="389" w:name="_Toc13032"/>
      <w:r>
        <w:rPr>
          <w:rFonts w:ascii="Times New Roman" w:hAnsi="Times New Roman" w:eastAsia="Times New Roman" w:cs="Times New Roman"/>
          <w:b/>
          <w:bCs/>
          <w:strike w:val="0"/>
          <w:dstrike w:val="0"/>
          <w:color w:val="auto"/>
          <w:spacing w:val="-3"/>
          <w:sz w:val="24"/>
          <w:szCs w:val="24"/>
          <w:highlight w:val="none"/>
        </w:rPr>
        <w:t>4.7</w:t>
      </w:r>
      <w:r>
        <w:rPr>
          <w:rFonts w:ascii="Times New Roman" w:hAnsi="Times New Roman" w:eastAsia="Times New Roman" w:cs="Times New Roman"/>
          <w:b/>
          <w:bCs/>
          <w:strike w:val="0"/>
          <w:dstrike w:val="0"/>
          <w:color w:val="auto"/>
          <w:spacing w:val="4"/>
          <w:sz w:val="24"/>
          <w:szCs w:val="24"/>
          <w:highlight w:val="none"/>
        </w:rPr>
        <w:t xml:space="preserve">  </w:t>
      </w:r>
      <w:r>
        <w:rPr>
          <w:rFonts w:ascii="宋体" w:hAnsi="宋体" w:eastAsia="宋体" w:cs="宋体"/>
          <w:b/>
          <w:bCs/>
          <w:strike w:val="0"/>
          <w:dstrike w:val="0"/>
          <w:color w:val="auto"/>
          <w:spacing w:val="-3"/>
          <w:sz w:val="24"/>
          <w:szCs w:val="24"/>
          <w:highlight w:val="none"/>
        </w:rPr>
        <w:t>询标</w:t>
      </w:r>
      <w:bookmarkEnd w:id="388"/>
      <w:bookmarkEnd w:id="389"/>
    </w:p>
    <w:p w14:paraId="62950F93">
      <w:pPr>
        <w:spacing w:before="180" w:line="324" w:lineRule="auto"/>
        <w:ind w:left="11" w:right="68" w:firstLine="49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1.</w:t>
      </w:r>
      <w:r>
        <w:rPr>
          <w:rFonts w:ascii="Times New Roman" w:hAnsi="Times New Roman" w:eastAsia="Times New Roman" w:cs="Times New Roman"/>
          <w:strike/>
          <w:dstrike w:val="0"/>
          <w:color w:val="auto"/>
          <w:spacing w:val="22"/>
          <w:w w:val="101"/>
          <w:sz w:val="24"/>
          <w:szCs w:val="24"/>
          <w:highlight w:val="none"/>
        </w:rPr>
        <w:t xml:space="preserve"> </w:t>
      </w:r>
      <w:r>
        <w:rPr>
          <w:rFonts w:ascii="宋体" w:hAnsi="宋体" w:eastAsia="宋体" w:cs="宋体"/>
          <w:strike/>
          <w:dstrike w:val="0"/>
          <w:color w:val="auto"/>
          <w:spacing w:val="-3"/>
          <w:sz w:val="24"/>
          <w:szCs w:val="24"/>
          <w:highlight w:val="none"/>
        </w:rPr>
        <w:t>凡评标委员会拟作出否决投标决定的，应先向投</w:t>
      </w:r>
      <w:r>
        <w:rPr>
          <w:rFonts w:ascii="宋体" w:hAnsi="宋体" w:eastAsia="宋体" w:cs="宋体"/>
          <w:strike/>
          <w:dstrike w:val="0"/>
          <w:color w:val="auto"/>
          <w:spacing w:val="-4"/>
          <w:sz w:val="24"/>
          <w:szCs w:val="24"/>
          <w:highlight w:val="none"/>
        </w:rPr>
        <w:t>标人进行书面询问核实。未进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5"/>
          <w:sz w:val="24"/>
          <w:szCs w:val="24"/>
          <w:highlight w:val="none"/>
        </w:rPr>
        <w:t>行询问核实程序的，不得做出否决投标决定，投标人放弃接受询问核实机会的除外。投标</w:t>
      </w:r>
      <w:r>
        <w:rPr>
          <w:rFonts w:ascii="宋体" w:hAnsi="宋体" w:eastAsia="宋体" w:cs="宋体"/>
          <w:strike/>
          <w:dstrike w:val="0"/>
          <w:color w:val="auto"/>
          <w:spacing w:val="3"/>
          <w:sz w:val="24"/>
          <w:szCs w:val="24"/>
          <w:highlight w:val="none"/>
        </w:rPr>
        <w:t xml:space="preserve"> </w:t>
      </w:r>
      <w:r>
        <w:rPr>
          <w:rFonts w:ascii="宋体" w:hAnsi="宋体" w:eastAsia="宋体" w:cs="宋体"/>
          <w:strike/>
          <w:dstrike w:val="0"/>
          <w:color w:val="auto"/>
          <w:spacing w:val="-22"/>
          <w:sz w:val="24"/>
          <w:szCs w:val="24"/>
          <w:highlight w:val="none"/>
        </w:rPr>
        <w:t>人应自行关注系统中评标委员会发出的澄清并及时答复，在规定的时限内投标人不参加核实</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22"/>
          <w:sz w:val="24"/>
          <w:szCs w:val="24"/>
          <w:highlight w:val="none"/>
        </w:rPr>
        <w:t>或不予答复的，视为放弃接受询问核实机会。</w:t>
      </w:r>
    </w:p>
    <w:p w14:paraId="7B7349E1">
      <w:pPr>
        <w:spacing w:before="185" w:line="289" w:lineRule="auto"/>
        <w:ind w:left="8" w:right="236" w:firstLine="50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5"/>
          <w:sz w:val="24"/>
          <w:szCs w:val="24"/>
          <w:highlight w:val="none"/>
        </w:rPr>
        <w:t>2.</w:t>
      </w:r>
      <w:r>
        <w:rPr>
          <w:rFonts w:ascii="Times New Roman" w:hAnsi="Times New Roman" w:eastAsia="Times New Roman" w:cs="Times New Roman"/>
          <w:strike/>
          <w:dstrike w:val="0"/>
          <w:color w:val="auto"/>
          <w:spacing w:val="42"/>
          <w:w w:val="101"/>
          <w:sz w:val="24"/>
          <w:szCs w:val="24"/>
          <w:highlight w:val="none"/>
        </w:rPr>
        <w:t xml:space="preserve"> </w:t>
      </w:r>
      <w:r>
        <w:rPr>
          <w:rFonts w:ascii="宋体" w:hAnsi="宋体" w:eastAsia="宋体" w:cs="宋体"/>
          <w:strike/>
          <w:dstrike w:val="0"/>
          <w:color w:val="auto"/>
          <w:spacing w:val="-15"/>
          <w:sz w:val="24"/>
          <w:szCs w:val="24"/>
          <w:highlight w:val="none"/>
        </w:rPr>
        <w:t>除本评标办法规定的否决情形以外，招标文件中其他条款均不得作为否决投标文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7"/>
          <w:sz w:val="24"/>
          <w:szCs w:val="24"/>
          <w:highlight w:val="none"/>
        </w:rPr>
        <w:t>件的依据。</w:t>
      </w:r>
    </w:p>
    <w:p w14:paraId="11EB1DB1">
      <w:pPr>
        <w:spacing w:before="180" w:line="220" w:lineRule="auto"/>
        <w:ind w:left="5"/>
        <w:outlineLvl w:val="2"/>
        <w:rPr>
          <w:rFonts w:ascii="宋体" w:hAnsi="宋体" w:eastAsia="宋体" w:cs="宋体"/>
          <w:strike w:val="0"/>
          <w:dstrike w:val="0"/>
          <w:color w:val="auto"/>
          <w:sz w:val="24"/>
          <w:szCs w:val="24"/>
          <w:highlight w:val="none"/>
        </w:rPr>
      </w:pPr>
      <w:bookmarkStart w:id="390" w:name="bookmark238"/>
      <w:bookmarkEnd w:id="390"/>
      <w:bookmarkStart w:id="391" w:name="bookmark237"/>
      <w:bookmarkEnd w:id="391"/>
      <w:bookmarkStart w:id="392" w:name="_Toc26845"/>
      <w:bookmarkStart w:id="393" w:name="_Toc27015"/>
      <w:r>
        <w:rPr>
          <w:rFonts w:ascii="Times New Roman" w:hAnsi="Times New Roman" w:eastAsia="Times New Roman" w:cs="Times New Roman"/>
          <w:b/>
          <w:bCs/>
          <w:strike w:val="0"/>
          <w:dstrike w:val="0"/>
          <w:color w:val="auto"/>
          <w:spacing w:val="-2"/>
          <w:sz w:val="24"/>
          <w:szCs w:val="24"/>
          <w:highlight w:val="none"/>
        </w:rPr>
        <w:t xml:space="preserve">4.8  </w:t>
      </w:r>
      <w:r>
        <w:rPr>
          <w:rFonts w:ascii="宋体" w:hAnsi="宋体" w:eastAsia="宋体" w:cs="宋体"/>
          <w:b/>
          <w:bCs/>
          <w:strike w:val="0"/>
          <w:dstrike w:val="0"/>
          <w:color w:val="auto"/>
          <w:spacing w:val="-2"/>
          <w:sz w:val="24"/>
          <w:szCs w:val="24"/>
          <w:highlight w:val="none"/>
        </w:rPr>
        <w:t>投标文件的综合评分</w:t>
      </w:r>
      <w:bookmarkEnd w:id="392"/>
      <w:bookmarkEnd w:id="393"/>
    </w:p>
    <w:p w14:paraId="5CFB3FFD">
      <w:pPr>
        <w:spacing w:before="184" w:line="346" w:lineRule="auto"/>
        <w:ind w:left="11" w:right="85" w:firstLine="48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投标文件的综合评分为投标人的技术评分、资信评分与投标文件的商务报价评分</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1"/>
          <w:sz w:val="24"/>
          <w:szCs w:val="24"/>
          <w:highlight w:val="none"/>
        </w:rPr>
        <w:t>之和。</w:t>
      </w:r>
    </w:p>
    <w:p w14:paraId="5F1A6B14">
      <w:pPr>
        <w:spacing w:before="33" w:line="219" w:lineRule="auto"/>
        <w:ind w:left="33"/>
        <w:outlineLvl w:val="2"/>
        <w:rPr>
          <w:rFonts w:ascii="宋体" w:hAnsi="宋体" w:eastAsia="宋体" w:cs="宋体"/>
          <w:strike w:val="0"/>
          <w:dstrike w:val="0"/>
          <w:color w:val="auto"/>
          <w:sz w:val="24"/>
          <w:szCs w:val="24"/>
          <w:highlight w:val="none"/>
        </w:rPr>
      </w:pPr>
      <w:bookmarkStart w:id="394" w:name="bookmark239"/>
      <w:bookmarkEnd w:id="394"/>
      <w:bookmarkStart w:id="395" w:name="bookmark240"/>
      <w:bookmarkEnd w:id="395"/>
      <w:bookmarkStart w:id="396" w:name="_Toc10556"/>
      <w:bookmarkStart w:id="397" w:name="_Toc22807"/>
      <w:r>
        <w:rPr>
          <w:rFonts w:ascii="宋体" w:hAnsi="宋体" w:eastAsia="宋体" w:cs="宋体"/>
          <w:b/>
          <w:bCs/>
          <w:strike w:val="0"/>
          <w:dstrike w:val="0"/>
          <w:color w:val="auto"/>
          <w:spacing w:val="-4"/>
          <w:sz w:val="24"/>
          <w:szCs w:val="24"/>
          <w:highlight w:val="none"/>
        </w:rPr>
        <w:t>□</w:t>
      </w:r>
      <w:r>
        <w:rPr>
          <w:rFonts w:ascii="Times New Roman" w:hAnsi="Times New Roman" w:eastAsia="Times New Roman" w:cs="Times New Roman"/>
          <w:b/>
          <w:bCs/>
          <w:strike w:val="0"/>
          <w:dstrike w:val="0"/>
          <w:color w:val="auto"/>
          <w:spacing w:val="-4"/>
          <w:sz w:val="24"/>
          <w:szCs w:val="24"/>
          <w:highlight w:val="none"/>
        </w:rPr>
        <w:t xml:space="preserve">4.9  </w:t>
      </w:r>
      <w:r>
        <w:rPr>
          <w:rFonts w:ascii="宋体" w:hAnsi="宋体" w:eastAsia="宋体" w:cs="宋体"/>
          <w:b/>
          <w:bCs/>
          <w:strike w:val="0"/>
          <w:dstrike w:val="0"/>
          <w:color w:val="auto"/>
          <w:spacing w:val="-4"/>
          <w:sz w:val="24"/>
          <w:szCs w:val="24"/>
          <w:highlight w:val="none"/>
        </w:rPr>
        <w:t>推荐中标候选人</w:t>
      </w:r>
      <w:bookmarkEnd w:id="396"/>
      <w:bookmarkEnd w:id="397"/>
    </w:p>
    <w:p w14:paraId="39A8E4BF">
      <w:pPr>
        <w:spacing w:before="179" w:line="353" w:lineRule="auto"/>
        <w:ind w:left="9" w:firstLine="53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评标委员会根据综合评分对通过商务评审的投标文件按照由高到低的顺序进行</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10"/>
          <w:sz w:val="24"/>
          <w:szCs w:val="24"/>
          <w:highlight w:val="none"/>
        </w:rPr>
        <w:t>排序，推荐中标候选人。综合评分相同时，报</w:t>
      </w:r>
      <w:r>
        <w:rPr>
          <w:rFonts w:ascii="宋体" w:hAnsi="宋体" w:eastAsia="宋体" w:cs="宋体"/>
          <w:strike/>
          <w:dstrike w:val="0"/>
          <w:color w:val="auto"/>
          <w:spacing w:val="-11"/>
          <w:sz w:val="24"/>
          <w:szCs w:val="24"/>
          <w:highlight w:val="none"/>
        </w:rPr>
        <w:t>价低者优先；综合评分、报价均相同时，</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技术评分高者优先；综合评分、报价、技术评分均相同时，由评标委员会全体成员按</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7"/>
          <w:sz w:val="24"/>
          <w:szCs w:val="24"/>
          <w:highlight w:val="none"/>
        </w:rPr>
        <w:t>照少数服从多数的原则记名投票（不得弃权）决定中标候选人或确定中标候选人排序。</w:t>
      </w:r>
    </w:p>
    <w:p w14:paraId="455D4AFB">
      <w:pPr>
        <w:spacing w:before="33" w:line="219" w:lineRule="auto"/>
        <w:ind w:left="55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3F3605ED">
      <w:pPr>
        <w:spacing w:before="184" w:line="219" w:lineRule="auto"/>
        <w:ind w:left="33"/>
        <w:outlineLvl w:val="2"/>
        <w:rPr>
          <w:rFonts w:ascii="宋体" w:hAnsi="宋体" w:eastAsia="宋体" w:cs="宋体"/>
          <w:strike w:val="0"/>
          <w:dstrike w:val="0"/>
          <w:color w:val="auto"/>
          <w:sz w:val="24"/>
          <w:szCs w:val="24"/>
          <w:highlight w:val="none"/>
        </w:rPr>
      </w:pPr>
      <w:bookmarkStart w:id="398" w:name="bookmark241"/>
      <w:bookmarkEnd w:id="398"/>
      <w:bookmarkStart w:id="399" w:name="bookmark242"/>
      <w:bookmarkEnd w:id="399"/>
      <w:bookmarkStart w:id="400" w:name="_Toc7344"/>
      <w:bookmarkStart w:id="401" w:name="_Toc22219"/>
      <w:r>
        <w:rPr>
          <w:rFonts w:ascii="宋体" w:hAnsi="宋体" w:eastAsia="宋体" w:cs="宋体"/>
          <w:b/>
          <w:bCs/>
          <w:strike w:val="0"/>
          <w:dstrike w:val="0"/>
          <w:color w:val="auto"/>
          <w:spacing w:val="-3"/>
          <w:sz w:val="24"/>
          <w:szCs w:val="24"/>
          <w:highlight w:val="none"/>
        </w:rPr>
        <w:t>□</w:t>
      </w:r>
      <w:r>
        <w:rPr>
          <w:rFonts w:ascii="Times New Roman" w:hAnsi="Times New Roman" w:eastAsia="Times New Roman" w:cs="Times New Roman"/>
          <w:b/>
          <w:bCs/>
          <w:strike w:val="0"/>
          <w:dstrike w:val="0"/>
          <w:color w:val="auto"/>
          <w:spacing w:val="-3"/>
          <w:sz w:val="24"/>
          <w:szCs w:val="24"/>
          <w:highlight w:val="none"/>
        </w:rPr>
        <w:t xml:space="preserve">4.9  </w:t>
      </w:r>
      <w:r>
        <w:rPr>
          <w:rFonts w:ascii="宋体" w:hAnsi="宋体" w:eastAsia="宋体" w:cs="宋体"/>
          <w:b/>
          <w:bCs/>
          <w:strike w:val="0"/>
          <w:dstrike w:val="0"/>
          <w:color w:val="auto"/>
          <w:spacing w:val="-3"/>
          <w:sz w:val="24"/>
          <w:szCs w:val="24"/>
          <w:highlight w:val="none"/>
        </w:rPr>
        <w:t>推荐中标候选人（适用于评定分离）</w:t>
      </w:r>
      <w:bookmarkEnd w:id="400"/>
      <w:bookmarkEnd w:id="401"/>
    </w:p>
    <w:p w14:paraId="50D1A610">
      <w:pPr>
        <w:spacing w:before="181" w:line="221" w:lineRule="auto"/>
        <w:ind w:left="513"/>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□方法一：</w:t>
      </w:r>
    </w:p>
    <w:p w14:paraId="07F54F9C">
      <w:pPr>
        <w:spacing w:before="182" w:line="344" w:lineRule="auto"/>
        <w:ind w:left="7" w:right="234" w:firstLine="480"/>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评标委员会对投标人按总分从高到低进行排序，并按照</w:t>
      </w:r>
      <w:r>
        <w:rPr>
          <w:rFonts w:ascii="宋体" w:hAnsi="宋体" w:eastAsia="宋体" w:cs="宋体"/>
          <w:strike/>
          <w:dstrike w:val="0"/>
          <w:color w:val="auto"/>
          <w:spacing w:val="-1"/>
          <w:sz w:val="24"/>
          <w:szCs w:val="24"/>
          <w:highlight w:val="none"/>
        </w:rPr>
        <w:t>排序推荐中标候选人。</w:t>
      </w:r>
      <w:r>
        <w:rPr>
          <w:rFonts w:ascii="宋体" w:hAnsi="宋体" w:eastAsia="宋体" w:cs="宋体"/>
          <w:strike/>
          <w:dstrike w:val="0"/>
          <w:color w:val="auto"/>
          <w:sz w:val="24"/>
          <w:szCs w:val="24"/>
          <w:highlight w:val="none"/>
        </w:rPr>
        <w:t xml:space="preserve"> 进入推荐名单的中标候选人不排名次。若推荐最后一名综合得</w:t>
      </w:r>
      <w:r>
        <w:rPr>
          <w:rFonts w:ascii="宋体" w:hAnsi="宋体" w:eastAsia="宋体" w:cs="宋体"/>
          <w:strike/>
          <w:dstrike w:val="0"/>
          <w:color w:val="auto"/>
          <w:spacing w:val="-1"/>
          <w:sz w:val="24"/>
          <w:szCs w:val="24"/>
          <w:highlight w:val="none"/>
        </w:rPr>
        <w:t>分相同，由评标委员</w:t>
      </w:r>
    </w:p>
    <w:p w14:paraId="2526B2D4">
      <w:pPr>
        <w:spacing w:before="47" w:line="219" w:lineRule="auto"/>
        <w:ind w:left="2"/>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会全体成员按照少数服从多数的原则记名投</w:t>
      </w:r>
      <w:r>
        <w:rPr>
          <w:rFonts w:ascii="宋体" w:hAnsi="宋体" w:eastAsia="宋体" w:cs="宋体"/>
          <w:strike/>
          <w:dstrike w:val="0"/>
          <w:color w:val="auto"/>
          <w:spacing w:val="-1"/>
          <w:sz w:val="24"/>
          <w:szCs w:val="24"/>
          <w:highlight w:val="none"/>
        </w:rPr>
        <w:t>票推荐（不得弃权）。</w:t>
      </w:r>
    </w:p>
    <w:p w14:paraId="4278422E">
      <w:pPr>
        <w:spacing w:before="183" w:line="221" w:lineRule="auto"/>
        <w:ind w:left="50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5"/>
          <w:sz w:val="24"/>
          <w:szCs w:val="24"/>
          <w:highlight w:val="none"/>
        </w:rPr>
        <w:t>□方法二：</w:t>
      </w:r>
    </w:p>
    <w:p w14:paraId="6B8FA921">
      <w:pPr>
        <w:spacing w:before="178" w:line="350" w:lineRule="auto"/>
        <w:ind w:left="6" w:right="82" w:firstLine="47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评标委员会根据招标文件评标办法设置的技术、资信评审项目和评分规则，</w:t>
      </w:r>
      <w:r>
        <w:rPr>
          <w:rFonts w:ascii="宋体" w:hAnsi="宋体" w:eastAsia="宋体" w:cs="宋体"/>
          <w:strike/>
          <w:dstrike w:val="0"/>
          <w:color w:val="auto"/>
          <w:spacing w:val="-46"/>
          <w:sz w:val="24"/>
          <w:szCs w:val="24"/>
          <w:highlight w:val="none"/>
        </w:rPr>
        <w:t xml:space="preserve"> </w:t>
      </w:r>
      <w:r>
        <w:rPr>
          <w:rFonts w:ascii="宋体" w:hAnsi="宋体" w:eastAsia="宋体" w:cs="宋体"/>
          <w:strike/>
          <w:dstrike w:val="0"/>
          <w:color w:val="auto"/>
          <w:spacing w:val="-5"/>
          <w:sz w:val="24"/>
          <w:szCs w:val="24"/>
          <w:highlight w:val="none"/>
        </w:rPr>
        <w:t>对全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部通过技术符合性审查的投标文件进行技术、资信打分。中标候选人具体推荐方式如</w:t>
      </w:r>
      <w:r>
        <w:rPr>
          <w:rFonts w:ascii="宋体" w:hAnsi="宋体" w:eastAsia="宋体" w:cs="宋体"/>
          <w:strike/>
          <w:dstrike w:val="0"/>
          <w:color w:val="auto"/>
          <w:spacing w:val="6"/>
          <w:sz w:val="24"/>
          <w:szCs w:val="24"/>
          <w:highlight w:val="none"/>
        </w:rPr>
        <w:t xml:space="preserve"> </w:t>
      </w:r>
      <w:r>
        <w:rPr>
          <w:rFonts w:ascii="宋体" w:hAnsi="宋体" w:eastAsia="宋体" w:cs="宋体"/>
          <w:strike/>
          <w:dstrike w:val="0"/>
          <w:color w:val="auto"/>
          <w:spacing w:val="-4"/>
          <w:sz w:val="24"/>
          <w:szCs w:val="24"/>
          <w:highlight w:val="none"/>
        </w:rPr>
        <w:t>下，进入推荐名单的中标候选人不排名次：</w:t>
      </w:r>
    </w:p>
    <w:p w14:paraId="0EE830D2">
      <w:pPr>
        <w:spacing w:before="38" w:line="288" w:lineRule="auto"/>
        <w:ind w:left="6" w:right="82" w:firstLine="49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2"/>
          <w:sz w:val="24"/>
          <w:szCs w:val="24"/>
          <w:highlight w:val="none"/>
        </w:rPr>
        <w:t xml:space="preserve">1.  </w:t>
      </w:r>
      <w:r>
        <w:rPr>
          <w:rFonts w:ascii="宋体" w:hAnsi="宋体" w:eastAsia="宋体" w:cs="宋体"/>
          <w:strike/>
          <w:dstrike w:val="0"/>
          <w:color w:val="auto"/>
          <w:spacing w:val="-2"/>
          <w:sz w:val="24"/>
          <w:szCs w:val="24"/>
          <w:highlight w:val="none"/>
        </w:rPr>
        <w:t>通过商务评审的合格投标人少于</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家时，评标委员会应判定本次投标是否具有</w:t>
      </w:r>
      <w:r>
        <w:rPr>
          <w:rFonts w:ascii="宋体" w:hAnsi="宋体" w:eastAsia="宋体" w:cs="宋体"/>
          <w:strike/>
          <w:dstrike w:val="0"/>
          <w:color w:val="auto"/>
          <w:spacing w:val="15"/>
          <w:sz w:val="24"/>
          <w:szCs w:val="24"/>
          <w:highlight w:val="none"/>
        </w:rPr>
        <w:t xml:space="preserve"> </w:t>
      </w:r>
      <w:r>
        <w:rPr>
          <w:rFonts w:ascii="宋体" w:hAnsi="宋体" w:eastAsia="宋体" w:cs="宋体"/>
          <w:strike/>
          <w:dstrike w:val="0"/>
          <w:color w:val="auto"/>
          <w:spacing w:val="-2"/>
          <w:sz w:val="24"/>
          <w:szCs w:val="24"/>
          <w:highlight w:val="none"/>
        </w:rPr>
        <w:t>竞争力。若评标委员会认为本次投标明显缺乏竞争的，可以否决全部投</w:t>
      </w:r>
      <w:r>
        <w:rPr>
          <w:rFonts w:ascii="宋体" w:hAnsi="宋体" w:eastAsia="宋体" w:cs="宋体"/>
          <w:strike/>
          <w:dstrike w:val="0"/>
          <w:color w:val="auto"/>
          <w:spacing w:val="-3"/>
          <w:sz w:val="24"/>
          <w:szCs w:val="24"/>
          <w:highlight w:val="none"/>
        </w:rPr>
        <w:t>标；</w:t>
      </w:r>
    </w:p>
    <w:p w14:paraId="35C28ED2">
      <w:pPr>
        <w:spacing w:before="182" w:line="283" w:lineRule="auto"/>
        <w:ind w:left="6" w:right="82" w:firstLine="47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2.  </w:t>
      </w:r>
      <w:r>
        <w:rPr>
          <w:rFonts w:ascii="宋体" w:hAnsi="宋体" w:eastAsia="宋体" w:cs="宋体"/>
          <w:strike/>
          <w:dstrike w:val="0"/>
          <w:color w:val="auto"/>
          <w:spacing w:val="-1"/>
          <w:sz w:val="24"/>
          <w:szCs w:val="24"/>
          <w:highlight w:val="none"/>
        </w:rPr>
        <w:t>通过商务评审的合格投标人在</w:t>
      </w:r>
      <w:r>
        <w:rPr>
          <w:rFonts w:ascii="Times New Roman" w:hAnsi="Times New Roman" w:eastAsia="Times New Roman" w:cs="Times New Roman"/>
          <w:strike/>
          <w:dstrike w:val="0"/>
          <w:color w:val="auto"/>
          <w:spacing w:val="-1"/>
          <w:sz w:val="24"/>
          <w:szCs w:val="24"/>
          <w:highlight w:val="none"/>
        </w:rPr>
        <w:t>3</w:t>
      </w:r>
      <w:r>
        <w:rPr>
          <w:rFonts w:ascii="宋体" w:hAnsi="宋体" w:eastAsia="宋体" w:cs="宋体"/>
          <w:strike/>
          <w:dstrike w:val="0"/>
          <w:color w:val="auto"/>
          <w:spacing w:val="-1"/>
          <w:sz w:val="24"/>
          <w:szCs w:val="24"/>
          <w:highlight w:val="none"/>
        </w:rPr>
        <w:t xml:space="preserve">家及以上 </w:t>
      </w:r>
      <w:r>
        <w:rPr>
          <w:rFonts w:ascii="宋体" w:hAnsi="宋体" w:eastAsia="宋体" w:cs="宋体"/>
          <w:strike/>
          <w:dstrike w:val="0"/>
          <w:color w:val="auto"/>
          <w:spacing w:val="-1"/>
          <w:sz w:val="24"/>
          <w:szCs w:val="24"/>
          <w:highlight w:val="none"/>
          <w:u w:val="single" w:color="auto"/>
        </w:rPr>
        <w:t xml:space="preserve"> （</w:t>
      </w:r>
      <w:r>
        <w:rPr>
          <w:rFonts w:ascii="Times New Roman" w:hAnsi="Times New Roman" w:eastAsia="Times New Roman" w:cs="Times New Roman"/>
          <w:i/>
          <w:iCs/>
          <w:strike/>
          <w:dstrike w:val="0"/>
          <w:color w:val="auto"/>
          <w:spacing w:val="-1"/>
          <w:sz w:val="24"/>
          <w:szCs w:val="24"/>
          <w:highlight w:val="none"/>
          <w:u w:val="single" w:color="auto"/>
        </w:rPr>
        <w:t>4</w:t>
      </w:r>
      <w:r>
        <w:rPr>
          <w:rFonts w:ascii="宋体" w:hAnsi="宋体" w:eastAsia="宋体" w:cs="宋体"/>
          <w:i/>
          <w:iCs/>
          <w:strike/>
          <w:dstrike w:val="0"/>
          <w:color w:val="auto"/>
          <w:spacing w:val="-1"/>
          <w:sz w:val="25"/>
          <w:szCs w:val="25"/>
          <w:highlight w:val="none"/>
          <w:u w:val="single" w:color="auto"/>
        </w:rPr>
        <w:t>或</w:t>
      </w:r>
      <w:r>
        <w:rPr>
          <w:rFonts w:ascii="Times New Roman" w:hAnsi="Times New Roman" w:eastAsia="Times New Roman" w:cs="Times New Roman"/>
          <w:i/>
          <w:iCs/>
          <w:strike/>
          <w:dstrike w:val="0"/>
          <w:color w:val="auto"/>
          <w:spacing w:val="-1"/>
          <w:sz w:val="24"/>
          <w:szCs w:val="24"/>
          <w:highlight w:val="none"/>
          <w:u w:val="single" w:color="auto"/>
        </w:rPr>
        <w:t>5</w:t>
      </w:r>
      <w:r>
        <w:rPr>
          <w:rFonts w:ascii="宋体" w:hAnsi="宋体" w:eastAsia="宋体" w:cs="宋体"/>
          <w:strike/>
          <w:dstrike w:val="0"/>
          <w:color w:val="auto"/>
          <w:spacing w:val="-1"/>
          <w:sz w:val="24"/>
          <w:szCs w:val="24"/>
          <w:highlight w:val="none"/>
          <w:u w:val="single" w:color="auto"/>
        </w:rPr>
        <w:t>）</w:t>
      </w:r>
      <w:r>
        <w:rPr>
          <w:rFonts w:ascii="宋体" w:hAnsi="宋体" w:eastAsia="宋体" w:cs="宋体"/>
          <w:strike/>
          <w:dstrike w:val="0"/>
          <w:color w:val="auto"/>
          <w:spacing w:val="110"/>
          <w:sz w:val="24"/>
          <w:szCs w:val="24"/>
          <w:highlight w:val="none"/>
          <w:u w:val="single" w:color="auto"/>
        </w:rPr>
        <w:t xml:space="preserve"> </w:t>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2"/>
          <w:sz w:val="24"/>
          <w:szCs w:val="24"/>
          <w:highlight w:val="none"/>
        </w:rPr>
        <w:t>家及以下时，全部合格</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6"/>
          <w:sz w:val="24"/>
          <w:szCs w:val="24"/>
          <w:highlight w:val="none"/>
        </w:rPr>
        <w:t>投标人推荐为中标候选人；</w:t>
      </w:r>
    </w:p>
    <w:p w14:paraId="615F5B18">
      <w:pPr>
        <w:spacing w:before="184" w:line="320" w:lineRule="auto"/>
        <w:ind w:left="2" w:right="82" w:firstLine="48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3.  </w:t>
      </w:r>
      <w:r>
        <w:rPr>
          <w:rFonts w:ascii="宋体" w:hAnsi="宋体" w:eastAsia="宋体" w:cs="宋体"/>
          <w:strike/>
          <w:dstrike w:val="0"/>
          <w:color w:val="auto"/>
          <w:spacing w:val="-1"/>
          <w:sz w:val="24"/>
          <w:szCs w:val="24"/>
          <w:highlight w:val="none"/>
        </w:rPr>
        <w:t>通过商务评审的合格投标人多于</w:t>
      </w:r>
      <w:r>
        <w:rPr>
          <w:rFonts w:ascii="宋体" w:hAnsi="宋体" w:eastAsia="宋体" w:cs="宋体"/>
          <w:strike/>
          <w:dstrike w:val="0"/>
          <w:color w:val="auto"/>
          <w:spacing w:val="-1"/>
          <w:sz w:val="24"/>
          <w:szCs w:val="24"/>
          <w:highlight w:val="none"/>
          <w:u w:val="single" w:color="auto"/>
        </w:rPr>
        <w:t xml:space="preserve"> （</w:t>
      </w:r>
      <w:r>
        <w:rPr>
          <w:rFonts w:ascii="Times New Roman" w:hAnsi="Times New Roman" w:eastAsia="Times New Roman" w:cs="Times New Roman"/>
          <w:i/>
          <w:iCs/>
          <w:strike/>
          <w:dstrike w:val="0"/>
          <w:color w:val="auto"/>
          <w:spacing w:val="-1"/>
          <w:sz w:val="24"/>
          <w:szCs w:val="24"/>
          <w:highlight w:val="none"/>
          <w:u w:val="single" w:color="auto"/>
        </w:rPr>
        <w:t>4</w:t>
      </w:r>
      <w:r>
        <w:rPr>
          <w:rFonts w:ascii="宋体" w:hAnsi="宋体" w:eastAsia="宋体" w:cs="宋体"/>
          <w:i/>
          <w:iCs/>
          <w:strike/>
          <w:dstrike w:val="0"/>
          <w:color w:val="auto"/>
          <w:spacing w:val="-1"/>
          <w:sz w:val="25"/>
          <w:szCs w:val="25"/>
          <w:highlight w:val="none"/>
          <w:u w:val="single" w:color="auto"/>
        </w:rPr>
        <w:t>或</w:t>
      </w:r>
      <w:r>
        <w:rPr>
          <w:rFonts w:ascii="Times New Roman" w:hAnsi="Times New Roman" w:eastAsia="Times New Roman" w:cs="Times New Roman"/>
          <w:i/>
          <w:iCs/>
          <w:strike/>
          <w:dstrike w:val="0"/>
          <w:color w:val="auto"/>
          <w:spacing w:val="-2"/>
          <w:sz w:val="24"/>
          <w:szCs w:val="24"/>
          <w:highlight w:val="none"/>
          <w:u w:val="single" w:color="auto"/>
        </w:rPr>
        <w:t>5</w:t>
      </w:r>
      <w:r>
        <w:rPr>
          <w:rFonts w:ascii="宋体" w:hAnsi="宋体" w:eastAsia="宋体" w:cs="宋体"/>
          <w:strike/>
          <w:dstrike w:val="0"/>
          <w:color w:val="auto"/>
          <w:spacing w:val="-2"/>
          <w:sz w:val="24"/>
          <w:szCs w:val="24"/>
          <w:highlight w:val="none"/>
          <w:u w:val="single" w:color="auto"/>
        </w:rPr>
        <w:t>）</w:t>
      </w:r>
      <w:r>
        <w:rPr>
          <w:rFonts w:ascii="宋体" w:hAnsi="宋体" w:eastAsia="宋体" w:cs="宋体"/>
          <w:strike/>
          <w:dstrike w:val="0"/>
          <w:color w:val="auto"/>
          <w:spacing w:val="110"/>
          <w:sz w:val="24"/>
          <w:szCs w:val="24"/>
          <w:highlight w:val="none"/>
          <w:u w:val="single" w:color="auto"/>
        </w:rPr>
        <w:t xml:space="preserve"> </w:t>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2"/>
          <w:sz w:val="24"/>
          <w:szCs w:val="24"/>
          <w:highlight w:val="none"/>
        </w:rPr>
        <w:t>家时，选择技术评分和资信评分</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之和从高到低排名前</w:t>
      </w:r>
      <w:r>
        <w:rPr>
          <w:rFonts w:ascii="Times New Roman" w:hAnsi="Times New Roman" w:eastAsia="Times New Roman" w:cs="Times New Roman"/>
          <w:strike/>
          <w:dstrike w:val="0"/>
          <w:color w:val="auto"/>
          <w:spacing w:val="-2"/>
          <w:sz w:val="24"/>
          <w:szCs w:val="24"/>
          <w:highlight w:val="none"/>
          <w:u w:val="single" w:color="auto"/>
        </w:rPr>
        <w:t xml:space="preserve">  15  </w:t>
      </w:r>
      <w:r>
        <w:rPr>
          <w:rFonts w:ascii="宋体" w:hAnsi="宋体" w:eastAsia="宋体" w:cs="宋体"/>
          <w:strike/>
          <w:dstrike w:val="0"/>
          <w:color w:val="auto"/>
          <w:spacing w:val="-2"/>
          <w:sz w:val="24"/>
          <w:szCs w:val="24"/>
          <w:highlight w:val="none"/>
        </w:rPr>
        <w:t>名（第</w:t>
      </w:r>
      <w:r>
        <w:rPr>
          <w:rFonts w:ascii="Times New Roman" w:hAnsi="Times New Roman" w:eastAsia="Times New Roman" w:cs="Times New Roman"/>
          <w:strike/>
          <w:dstrike w:val="0"/>
          <w:color w:val="auto"/>
          <w:spacing w:val="-2"/>
          <w:sz w:val="24"/>
          <w:szCs w:val="24"/>
          <w:highlight w:val="none"/>
        </w:rPr>
        <w:t>15</w:t>
      </w:r>
      <w:r>
        <w:rPr>
          <w:rFonts w:ascii="宋体" w:hAnsi="宋体" w:eastAsia="宋体" w:cs="宋体"/>
          <w:strike/>
          <w:dstrike w:val="0"/>
          <w:color w:val="auto"/>
          <w:spacing w:val="-2"/>
          <w:sz w:val="24"/>
          <w:szCs w:val="24"/>
          <w:highlight w:val="none"/>
        </w:rPr>
        <w:t>名有多家技</w:t>
      </w:r>
      <w:r>
        <w:rPr>
          <w:rFonts w:ascii="宋体" w:hAnsi="宋体" w:eastAsia="宋体" w:cs="宋体"/>
          <w:strike/>
          <w:dstrike w:val="0"/>
          <w:color w:val="auto"/>
          <w:spacing w:val="-3"/>
          <w:sz w:val="24"/>
          <w:szCs w:val="24"/>
          <w:highlight w:val="none"/>
        </w:rPr>
        <w:t>术评分和资信评分之和相同时，全部进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入评审范围。不足</w:t>
      </w:r>
      <w:r>
        <w:rPr>
          <w:rFonts w:ascii="Times New Roman" w:hAnsi="Times New Roman" w:eastAsia="Times New Roman" w:cs="Times New Roman"/>
          <w:strike/>
          <w:dstrike w:val="0"/>
          <w:color w:val="auto"/>
          <w:spacing w:val="-3"/>
          <w:sz w:val="24"/>
          <w:szCs w:val="24"/>
          <w:highlight w:val="none"/>
        </w:rPr>
        <w:t>15</w:t>
      </w:r>
      <w:r>
        <w:rPr>
          <w:rFonts w:ascii="宋体" w:hAnsi="宋体" w:eastAsia="宋体" w:cs="宋体"/>
          <w:strike/>
          <w:dstrike w:val="0"/>
          <w:color w:val="auto"/>
          <w:spacing w:val="-3"/>
          <w:sz w:val="24"/>
          <w:szCs w:val="24"/>
          <w:highlight w:val="none"/>
        </w:rPr>
        <w:t>家全部进入评审范围）投标人进入比选范围，从比选范围中选择</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2"/>
          <w:sz w:val="24"/>
          <w:szCs w:val="24"/>
          <w:highlight w:val="none"/>
        </w:rPr>
        <w:t>投标评标价与评分基准价之差绝对值最小的前</w:t>
      </w:r>
      <w:r>
        <w:rPr>
          <w:rFonts w:ascii="宋体" w:hAnsi="宋体" w:eastAsia="宋体" w:cs="宋体"/>
          <w:strike/>
          <w:dstrike w:val="0"/>
          <w:color w:val="auto"/>
          <w:spacing w:val="-2"/>
          <w:sz w:val="24"/>
          <w:szCs w:val="24"/>
          <w:highlight w:val="none"/>
          <w:u w:val="single" w:color="auto"/>
        </w:rPr>
        <w:t xml:space="preserve">    </w:t>
      </w:r>
      <w:r>
        <w:rPr>
          <w:rFonts w:ascii="宋体" w:hAnsi="宋体" w:eastAsia="宋体" w:cs="宋体"/>
          <w:strike/>
          <w:dstrike w:val="0"/>
          <w:color w:val="auto"/>
          <w:spacing w:val="-92"/>
          <w:sz w:val="24"/>
          <w:szCs w:val="24"/>
          <w:highlight w:val="none"/>
        </w:rPr>
        <w:t xml:space="preserve"> </w:t>
      </w:r>
      <w:r>
        <w:rPr>
          <w:rFonts w:ascii="宋体" w:hAnsi="宋体" w:eastAsia="宋体" w:cs="宋体"/>
          <w:strike/>
          <w:dstrike w:val="0"/>
          <w:color w:val="auto"/>
          <w:spacing w:val="-2"/>
          <w:sz w:val="24"/>
          <w:szCs w:val="24"/>
          <w:highlight w:val="none"/>
        </w:rPr>
        <w:t>名推荐为中标候选人。</w:t>
      </w:r>
    </w:p>
    <w:p w14:paraId="76031B71">
      <w:pPr>
        <w:spacing w:before="182" w:line="354" w:lineRule="auto"/>
        <w:ind w:left="3" w:right="82" w:firstLine="48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注：投标评标价与评分基准价之差绝对值最小的第</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3"/>
          <w:sz w:val="24"/>
          <w:szCs w:val="24"/>
          <w:highlight w:val="none"/>
        </w:rPr>
        <w:t>名，若出现差值绝</w:t>
      </w:r>
      <w:r>
        <w:rPr>
          <w:rFonts w:ascii="宋体" w:hAnsi="宋体" w:eastAsia="宋体" w:cs="宋体"/>
          <w:strike/>
          <w:dstrike w:val="0"/>
          <w:color w:val="auto"/>
          <w:spacing w:val="-4"/>
          <w:sz w:val="24"/>
          <w:szCs w:val="24"/>
          <w:highlight w:val="none"/>
        </w:rPr>
        <w:t>对值相</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同，以投标评标价低者优先；若差值绝对值、投标评标价均相同时，以技术评分和资</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3"/>
          <w:sz w:val="24"/>
          <w:szCs w:val="24"/>
          <w:highlight w:val="none"/>
        </w:rPr>
        <w:t>信评分之和高者优先；若差值绝对值、投标评标价和技术评分和资信评分之和均相同</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3"/>
          <w:sz w:val="24"/>
          <w:szCs w:val="24"/>
          <w:highlight w:val="none"/>
        </w:rPr>
        <w:t>时，资信评分高者优先；若差值绝对值、投标评标价和技术</w:t>
      </w:r>
      <w:r>
        <w:rPr>
          <w:rFonts w:ascii="宋体" w:hAnsi="宋体" w:eastAsia="宋体" w:cs="宋体"/>
          <w:strike/>
          <w:dstrike w:val="0"/>
          <w:color w:val="auto"/>
          <w:spacing w:val="-4"/>
          <w:sz w:val="24"/>
          <w:szCs w:val="24"/>
          <w:highlight w:val="none"/>
        </w:rPr>
        <w:t>评分和资信评分之和、资</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信评分均相同时，则由评标委员会记名投票表决方式进入推荐名单。</w:t>
      </w:r>
    </w:p>
    <w:p w14:paraId="67F68900">
      <w:pPr>
        <w:spacing w:before="37" w:line="219" w:lineRule="auto"/>
        <w:ind w:left="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本评标办法未尽事宜由评标委员会集体讨论决定。</w:t>
      </w:r>
    </w:p>
    <w:p w14:paraId="531FD371">
      <w:pPr>
        <w:spacing w:before="181" w:line="218" w:lineRule="auto"/>
        <w:outlineLvl w:val="2"/>
        <w:rPr>
          <w:rFonts w:ascii="宋体" w:hAnsi="宋体" w:eastAsia="宋体" w:cs="宋体"/>
          <w:strike w:val="0"/>
          <w:dstrike w:val="0"/>
          <w:color w:val="auto"/>
          <w:sz w:val="24"/>
          <w:szCs w:val="24"/>
          <w:highlight w:val="none"/>
        </w:rPr>
      </w:pPr>
      <w:bookmarkStart w:id="402" w:name="bookmark243"/>
      <w:bookmarkEnd w:id="402"/>
      <w:bookmarkStart w:id="403" w:name="bookmark244"/>
      <w:bookmarkEnd w:id="403"/>
      <w:bookmarkStart w:id="404" w:name="_Toc9331"/>
      <w:bookmarkStart w:id="405" w:name="_Toc10636"/>
      <w:r>
        <w:rPr>
          <w:rFonts w:ascii="Times New Roman" w:hAnsi="Times New Roman" w:eastAsia="Times New Roman" w:cs="Times New Roman"/>
          <w:b/>
          <w:bCs/>
          <w:strike w:val="0"/>
          <w:dstrike w:val="0"/>
          <w:color w:val="auto"/>
          <w:spacing w:val="-2"/>
          <w:sz w:val="24"/>
          <w:szCs w:val="24"/>
          <w:highlight w:val="none"/>
        </w:rPr>
        <w:t xml:space="preserve">4.10  </w:t>
      </w:r>
      <w:r>
        <w:rPr>
          <w:rFonts w:ascii="宋体" w:hAnsi="宋体" w:eastAsia="宋体" w:cs="宋体"/>
          <w:b/>
          <w:bCs/>
          <w:strike w:val="0"/>
          <w:dstrike w:val="0"/>
          <w:color w:val="auto"/>
          <w:spacing w:val="-2"/>
          <w:sz w:val="24"/>
          <w:szCs w:val="24"/>
          <w:highlight w:val="none"/>
        </w:rPr>
        <w:t>评标报告</w:t>
      </w:r>
      <w:bookmarkEnd w:id="404"/>
      <w:bookmarkEnd w:id="405"/>
    </w:p>
    <w:p w14:paraId="7EC50FE1">
      <w:pPr>
        <w:spacing w:before="184" w:line="289" w:lineRule="auto"/>
        <w:ind w:left="4" w:right="82" w:firstLine="47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4.10.1  </w:t>
      </w:r>
      <w:r>
        <w:rPr>
          <w:rFonts w:ascii="宋体" w:hAnsi="宋体" w:eastAsia="宋体" w:cs="宋体"/>
          <w:strike/>
          <w:dstrike w:val="0"/>
          <w:color w:val="auto"/>
          <w:spacing w:val="-2"/>
          <w:sz w:val="24"/>
          <w:szCs w:val="24"/>
          <w:highlight w:val="none"/>
        </w:rPr>
        <w:t>评标委员会对投标文件作出的评审结论，</w:t>
      </w:r>
      <w:r>
        <w:rPr>
          <w:rFonts w:ascii="宋体" w:hAnsi="宋体" w:eastAsia="宋体" w:cs="宋体"/>
          <w:strike/>
          <w:dstrike w:val="0"/>
          <w:color w:val="auto"/>
          <w:spacing w:val="-3"/>
          <w:sz w:val="24"/>
          <w:szCs w:val="24"/>
          <w:highlight w:val="none"/>
        </w:rPr>
        <w:t>应当符合有关法律、法规、规章</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5"/>
          <w:sz w:val="24"/>
          <w:szCs w:val="24"/>
          <w:highlight w:val="none"/>
        </w:rPr>
        <w:t>和招标文件的规定。</w:t>
      </w:r>
    </w:p>
    <w:p w14:paraId="58F12EA0">
      <w:pPr>
        <w:spacing w:before="182" w:line="324" w:lineRule="auto"/>
        <w:ind w:left="2"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6"/>
          <w:sz w:val="24"/>
          <w:szCs w:val="24"/>
          <w:highlight w:val="none"/>
        </w:rPr>
        <w:t xml:space="preserve">4.10.2  </w:t>
      </w:r>
      <w:r>
        <w:rPr>
          <w:rFonts w:ascii="宋体" w:hAnsi="宋体" w:eastAsia="宋体" w:cs="宋体"/>
          <w:strike/>
          <w:dstrike w:val="0"/>
          <w:color w:val="auto"/>
          <w:spacing w:val="-6"/>
          <w:sz w:val="24"/>
          <w:szCs w:val="24"/>
          <w:highlight w:val="none"/>
        </w:rPr>
        <w:t>评标委员会应根据评标情况，推荐中标候选人，</w:t>
      </w:r>
      <w:r>
        <w:rPr>
          <w:rFonts w:ascii="宋体" w:hAnsi="宋体" w:eastAsia="宋体" w:cs="宋体"/>
          <w:strike/>
          <w:dstrike w:val="0"/>
          <w:color w:val="auto"/>
          <w:spacing w:val="-7"/>
          <w:sz w:val="24"/>
          <w:szCs w:val="24"/>
          <w:highlight w:val="none"/>
        </w:rPr>
        <w:t>并向招标人提交评标报告。</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评标报告由评标委员会成员起草，评标委员会全体成员应在评标报告上签字确认，评</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3"/>
          <w:sz w:val="24"/>
          <w:szCs w:val="24"/>
          <w:highlight w:val="none"/>
        </w:rPr>
        <w:t>标专家如有保留意见可以在评标报告中阐明。评标委员会成员拒绝在评标报告上签字</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2"/>
          <w:sz w:val="24"/>
          <w:szCs w:val="24"/>
          <w:highlight w:val="none"/>
        </w:rPr>
        <w:t>又不书面说明其不同意见和理由的，视为同意评标结果。</w:t>
      </w:r>
    </w:p>
    <w:p w14:paraId="17F372E5">
      <w:pPr>
        <w:spacing w:before="183" w:line="218" w:lineRule="auto"/>
        <w:ind w:left="48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3"/>
          <w:sz w:val="24"/>
          <w:szCs w:val="24"/>
          <w:highlight w:val="none"/>
        </w:rPr>
        <w:t xml:space="preserve">4.10.3  </w:t>
      </w:r>
      <w:r>
        <w:rPr>
          <w:rFonts w:ascii="宋体" w:hAnsi="宋体" w:eastAsia="宋体" w:cs="宋体"/>
          <w:strike/>
          <w:dstrike w:val="0"/>
          <w:color w:val="auto"/>
          <w:spacing w:val="-3"/>
          <w:sz w:val="24"/>
          <w:szCs w:val="24"/>
          <w:highlight w:val="none"/>
        </w:rPr>
        <w:t>评标报告应包括以下内容：</w:t>
      </w:r>
    </w:p>
    <w:p w14:paraId="2C2948B9">
      <w:pPr>
        <w:spacing w:before="183"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3ED3A4E7">
      <w:pPr>
        <w:spacing w:before="181"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089E6DDC">
      <w:pPr>
        <w:spacing w:before="180"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）被否决情况说明及依据。</w:t>
      </w:r>
    </w:p>
    <w:p w14:paraId="114D875D">
      <w:pPr>
        <w:spacing w:before="180" w:line="219" w:lineRule="auto"/>
        <w:ind w:left="489"/>
        <w:rPr>
          <w:rFonts w:ascii="宋体" w:hAnsi="宋体" w:eastAsia="宋体" w:cs="宋体"/>
          <w:strike/>
          <w:dstrike w:val="0"/>
          <w:color w:val="auto"/>
          <w:spacing w:val="-4"/>
          <w:sz w:val="24"/>
          <w:szCs w:val="24"/>
          <w:highlight w:val="none"/>
        </w:rPr>
      </w:pPr>
      <w:r>
        <w:rPr>
          <w:rFonts w:ascii="宋体" w:hAnsi="宋体" w:eastAsia="宋体" w:cs="宋体"/>
          <w:strike/>
          <w:dstrike w:val="0"/>
          <w:color w:val="auto"/>
          <w:spacing w:val="-4"/>
          <w:sz w:val="24"/>
          <w:szCs w:val="24"/>
          <w:highlight w:val="none"/>
        </w:rPr>
        <w:t>（4）询标澄清纪要。</w:t>
      </w:r>
    </w:p>
    <w:p w14:paraId="7F292409">
      <w:pPr>
        <w:spacing w:before="180" w:line="219" w:lineRule="auto"/>
        <w:ind w:left="489"/>
        <w:rPr>
          <w:rFonts w:ascii="宋体" w:hAnsi="宋体" w:eastAsia="宋体" w:cs="宋体"/>
          <w:strike/>
          <w:dstrike w:val="0"/>
          <w:color w:val="auto"/>
          <w:spacing w:val="-4"/>
          <w:sz w:val="24"/>
          <w:szCs w:val="24"/>
          <w:highlight w:val="none"/>
        </w:rPr>
      </w:pPr>
      <w:r>
        <w:rPr>
          <w:rFonts w:ascii="宋体" w:hAnsi="宋体" w:eastAsia="宋体" w:cs="宋体"/>
          <w:strike/>
          <w:dstrike w:val="0"/>
          <w:color w:val="auto"/>
          <w:spacing w:val="-4"/>
          <w:sz w:val="24"/>
          <w:szCs w:val="24"/>
          <w:highlight w:val="none"/>
        </w:rPr>
        <w:t>（5）中标候选人的优劣对比和存在问题。</w:t>
      </w:r>
    </w:p>
    <w:p w14:paraId="0944D51D">
      <w:pPr>
        <w:spacing w:before="180" w:line="219" w:lineRule="auto"/>
        <w:ind w:left="489"/>
        <w:rPr>
          <w:rFonts w:ascii="宋体" w:hAnsi="宋体" w:eastAsia="宋体" w:cs="宋体"/>
          <w:strike/>
          <w:dstrike w:val="0"/>
          <w:color w:val="auto"/>
          <w:spacing w:val="-4"/>
          <w:sz w:val="24"/>
          <w:szCs w:val="24"/>
          <w:highlight w:val="none"/>
        </w:rPr>
      </w:pPr>
      <w:r>
        <w:rPr>
          <w:rFonts w:ascii="宋体" w:hAnsi="宋体" w:eastAsia="宋体" w:cs="宋体"/>
          <w:strike/>
          <w:dstrike w:val="0"/>
          <w:color w:val="auto"/>
          <w:spacing w:val="-4"/>
          <w:sz w:val="24"/>
          <w:szCs w:val="24"/>
          <w:highlight w:val="none"/>
        </w:rPr>
        <w:t>（6）中标候选人投标业绩。</w:t>
      </w:r>
    </w:p>
    <w:p w14:paraId="46B11144">
      <w:pPr>
        <w:spacing w:before="180" w:line="219" w:lineRule="auto"/>
        <w:ind w:left="489"/>
        <w:rPr>
          <w:rFonts w:ascii="宋体" w:hAnsi="宋体" w:eastAsia="宋体" w:cs="宋体"/>
          <w:strike/>
          <w:dstrike w:val="0"/>
          <w:color w:val="auto"/>
          <w:spacing w:val="-4"/>
          <w:sz w:val="24"/>
          <w:szCs w:val="24"/>
          <w:highlight w:val="none"/>
        </w:rPr>
      </w:pPr>
      <w:r>
        <w:rPr>
          <w:rFonts w:ascii="宋体" w:hAnsi="宋体" w:eastAsia="宋体" w:cs="宋体"/>
          <w:strike/>
          <w:dstrike w:val="0"/>
          <w:color w:val="auto"/>
          <w:spacing w:val="-4"/>
          <w:sz w:val="24"/>
          <w:szCs w:val="24"/>
          <w:highlight w:val="none"/>
        </w:rPr>
        <w:t>（7）其他建议。</w:t>
      </w:r>
    </w:p>
    <w:p w14:paraId="217740CD">
      <w:pPr>
        <w:spacing w:before="180" w:line="219" w:lineRule="auto"/>
        <w:ind w:left="489"/>
        <w:rPr>
          <w:rFonts w:ascii="宋体" w:hAnsi="宋体" w:eastAsia="宋体" w:cs="宋体"/>
          <w:strike/>
          <w:dstrike w:val="0"/>
          <w:color w:val="auto"/>
          <w:spacing w:val="-4"/>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C352A7C">
      <w:pPr>
        <w:spacing w:before="63" w:line="225" w:lineRule="auto"/>
        <w:ind w:left="1842"/>
        <w:outlineLvl w:val="1"/>
        <w:rPr>
          <w:rFonts w:ascii="宋体" w:hAnsi="宋体" w:eastAsia="宋体" w:cs="宋体"/>
          <w:color w:val="auto"/>
          <w:sz w:val="31"/>
          <w:szCs w:val="31"/>
          <w:highlight w:val="none"/>
        </w:rPr>
      </w:pPr>
      <w:bookmarkStart w:id="406" w:name="bookmark246"/>
      <w:bookmarkEnd w:id="406"/>
      <w:bookmarkStart w:id="407" w:name="bookmark252"/>
      <w:bookmarkEnd w:id="407"/>
      <w:bookmarkStart w:id="408" w:name="bookmark250"/>
      <w:bookmarkEnd w:id="408"/>
      <w:bookmarkStart w:id="409" w:name="bookmark248"/>
      <w:bookmarkEnd w:id="409"/>
      <w:bookmarkStart w:id="410" w:name="bookmark245"/>
      <w:bookmarkEnd w:id="410"/>
      <w:bookmarkStart w:id="411" w:name="_Toc4225"/>
      <w:bookmarkStart w:id="412" w:name="_Toc4446"/>
      <w:r>
        <w:rPr>
          <w:rFonts w:ascii="宋体" w:hAnsi="宋体" w:eastAsia="宋体" w:cs="宋体"/>
          <w:b/>
          <w:bCs/>
          <w:color w:val="auto"/>
          <w:spacing w:val="6"/>
          <w:sz w:val="31"/>
          <w:szCs w:val="31"/>
          <w:highlight w:val="none"/>
        </w:rPr>
        <w:t>第</w:t>
      </w:r>
      <w:r>
        <w:rPr>
          <w:rFonts w:ascii="Times New Roman" w:hAnsi="Times New Roman" w:eastAsia="Times New Roman" w:cs="Times New Roman"/>
          <w:b/>
          <w:bCs/>
          <w:color w:val="auto"/>
          <w:spacing w:val="6"/>
          <w:sz w:val="31"/>
          <w:szCs w:val="31"/>
          <w:highlight w:val="none"/>
        </w:rPr>
        <w:t>2</w:t>
      </w:r>
      <w:r>
        <w:rPr>
          <w:rFonts w:ascii="宋体" w:hAnsi="宋体" w:eastAsia="宋体" w:cs="宋体"/>
          <w:b/>
          <w:bCs/>
          <w:color w:val="auto"/>
          <w:spacing w:val="6"/>
          <w:sz w:val="31"/>
          <w:szCs w:val="31"/>
          <w:highlight w:val="none"/>
        </w:rPr>
        <w:t>节</w:t>
      </w:r>
      <w:r>
        <w:rPr>
          <w:rFonts w:ascii="宋体" w:hAnsi="宋体" w:eastAsia="宋体" w:cs="宋体"/>
          <w:color w:val="auto"/>
          <w:spacing w:val="6"/>
          <w:sz w:val="31"/>
          <w:szCs w:val="31"/>
          <w:highlight w:val="none"/>
        </w:rPr>
        <w:t xml:space="preserve"> </w:t>
      </w:r>
      <w:r>
        <w:rPr>
          <w:rFonts w:ascii="宋体" w:hAnsi="宋体" w:eastAsia="宋体" w:cs="宋体"/>
          <w:b/>
          <w:bCs/>
          <w:color w:val="auto"/>
          <w:spacing w:val="6"/>
          <w:sz w:val="31"/>
          <w:szCs w:val="31"/>
          <w:highlight w:val="none"/>
        </w:rPr>
        <w:t>定标办法（适用于评定分离）</w:t>
      </w:r>
      <w:bookmarkEnd w:id="411"/>
      <w:bookmarkEnd w:id="412"/>
    </w:p>
    <w:p w14:paraId="5E09F1A5">
      <w:pPr>
        <w:pStyle w:val="3"/>
        <w:spacing w:line="273" w:lineRule="auto"/>
        <w:rPr>
          <w:color w:val="auto"/>
          <w:highlight w:val="none"/>
        </w:rPr>
      </w:pPr>
    </w:p>
    <w:p w14:paraId="679851E7">
      <w:pPr>
        <w:spacing w:before="78" w:line="220" w:lineRule="auto"/>
        <w:ind w:left="596"/>
        <w:outlineLvl w:val="1"/>
        <w:rPr>
          <w:rFonts w:ascii="宋体" w:hAnsi="宋体" w:eastAsia="宋体" w:cs="宋体"/>
          <w:color w:val="auto"/>
          <w:sz w:val="24"/>
          <w:szCs w:val="24"/>
          <w:highlight w:val="none"/>
        </w:rPr>
      </w:pPr>
      <w:bookmarkStart w:id="413" w:name="bookmark247"/>
      <w:bookmarkEnd w:id="413"/>
      <w:bookmarkStart w:id="414" w:name="_Toc10611"/>
      <w:bookmarkStart w:id="415" w:name="_Toc2664"/>
      <w:r>
        <w:rPr>
          <w:rFonts w:ascii="Times New Roman" w:hAnsi="Times New Roman" w:eastAsia="Times New Roman" w:cs="Times New Roman"/>
          <w:color w:val="auto"/>
          <w:spacing w:val="-8"/>
          <w:sz w:val="24"/>
          <w:szCs w:val="24"/>
          <w:highlight w:val="none"/>
        </w:rPr>
        <w:t>1</w:t>
      </w:r>
      <w:r>
        <w:rPr>
          <w:rFonts w:ascii="Times New Roman" w:hAnsi="Times New Roman" w:eastAsia="Times New Roman" w:cs="Times New Roman"/>
          <w:color w:val="auto"/>
          <w:spacing w:val="7"/>
          <w:sz w:val="24"/>
          <w:szCs w:val="24"/>
          <w:highlight w:val="none"/>
        </w:rPr>
        <w:t xml:space="preserve">  </w:t>
      </w:r>
      <w:r>
        <w:rPr>
          <w:rFonts w:ascii="宋体" w:hAnsi="宋体" w:eastAsia="宋体" w:cs="宋体"/>
          <w:color w:val="auto"/>
          <w:spacing w:val="-8"/>
          <w:sz w:val="24"/>
          <w:szCs w:val="24"/>
          <w:highlight w:val="none"/>
        </w:rPr>
        <w:t>定标原则</w:t>
      </w:r>
      <w:bookmarkEnd w:id="414"/>
      <w:bookmarkEnd w:id="415"/>
    </w:p>
    <w:p w14:paraId="26047017">
      <w:pPr>
        <w:spacing w:before="181" w:line="220" w:lineRule="auto"/>
        <w:ind w:left="498"/>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详见投标人须知。</w:t>
      </w:r>
    </w:p>
    <w:p w14:paraId="6BBE51B9">
      <w:pPr>
        <w:spacing w:before="180" w:line="220" w:lineRule="auto"/>
        <w:ind w:left="573"/>
        <w:outlineLvl w:val="1"/>
        <w:rPr>
          <w:rFonts w:ascii="宋体" w:hAnsi="宋体" w:eastAsia="宋体" w:cs="宋体"/>
          <w:color w:val="auto"/>
          <w:sz w:val="24"/>
          <w:szCs w:val="24"/>
          <w:highlight w:val="none"/>
        </w:rPr>
      </w:pPr>
      <w:bookmarkStart w:id="416" w:name="bookmark249"/>
      <w:bookmarkEnd w:id="416"/>
      <w:bookmarkStart w:id="417" w:name="_Toc20958"/>
      <w:bookmarkStart w:id="418" w:name="_Toc23450"/>
      <w:r>
        <w:rPr>
          <w:rFonts w:ascii="Times New Roman" w:hAnsi="Times New Roman" w:eastAsia="Times New Roman" w:cs="Times New Roman"/>
          <w:color w:val="auto"/>
          <w:spacing w:val="-4"/>
          <w:sz w:val="24"/>
          <w:szCs w:val="24"/>
          <w:highlight w:val="none"/>
        </w:rPr>
        <w:t>2</w:t>
      </w:r>
      <w:r>
        <w:rPr>
          <w:rFonts w:ascii="Times New Roman" w:hAnsi="Times New Roman" w:eastAsia="Times New Roman" w:cs="Times New Roman"/>
          <w:color w:val="auto"/>
          <w:spacing w:val="8"/>
          <w:sz w:val="24"/>
          <w:szCs w:val="24"/>
          <w:highlight w:val="none"/>
        </w:rPr>
        <w:t xml:space="preserve">  </w:t>
      </w:r>
      <w:r>
        <w:rPr>
          <w:rFonts w:ascii="宋体" w:hAnsi="宋体" w:eastAsia="宋体" w:cs="宋体"/>
          <w:color w:val="auto"/>
          <w:spacing w:val="-4"/>
          <w:sz w:val="24"/>
          <w:szCs w:val="24"/>
          <w:highlight w:val="none"/>
        </w:rPr>
        <w:t>定标组织</w:t>
      </w:r>
      <w:bookmarkEnd w:id="417"/>
      <w:bookmarkEnd w:id="418"/>
    </w:p>
    <w:p w14:paraId="352AA143">
      <w:pPr>
        <w:spacing w:before="181" w:line="220" w:lineRule="auto"/>
        <w:ind w:left="498"/>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详见投标人须知。</w:t>
      </w:r>
    </w:p>
    <w:p w14:paraId="0F5C1F19">
      <w:pPr>
        <w:spacing w:before="182" w:line="220" w:lineRule="auto"/>
        <w:ind w:left="577"/>
        <w:outlineLvl w:val="1"/>
        <w:rPr>
          <w:rFonts w:ascii="宋体" w:hAnsi="宋体" w:eastAsia="宋体" w:cs="宋体"/>
          <w:color w:val="auto"/>
          <w:sz w:val="24"/>
          <w:szCs w:val="24"/>
          <w:highlight w:val="none"/>
        </w:rPr>
      </w:pPr>
      <w:bookmarkStart w:id="419" w:name="bookmark251"/>
      <w:bookmarkEnd w:id="419"/>
      <w:bookmarkStart w:id="420" w:name="_Toc10439"/>
      <w:bookmarkStart w:id="421" w:name="_Toc8"/>
      <w:r>
        <w:rPr>
          <w:rFonts w:ascii="Times New Roman" w:hAnsi="Times New Roman" w:eastAsia="Times New Roman" w:cs="Times New Roman"/>
          <w:color w:val="auto"/>
          <w:spacing w:val="-5"/>
          <w:sz w:val="24"/>
          <w:szCs w:val="24"/>
          <w:highlight w:val="none"/>
        </w:rPr>
        <w:t>3</w:t>
      </w:r>
      <w:r>
        <w:rPr>
          <w:rFonts w:ascii="Times New Roman" w:hAnsi="Times New Roman" w:eastAsia="Times New Roman" w:cs="Times New Roman"/>
          <w:color w:val="auto"/>
          <w:spacing w:val="8"/>
          <w:sz w:val="24"/>
          <w:szCs w:val="24"/>
          <w:highlight w:val="none"/>
        </w:rPr>
        <w:t xml:space="preserve">  </w:t>
      </w:r>
      <w:r>
        <w:rPr>
          <w:rFonts w:ascii="宋体" w:hAnsi="宋体" w:eastAsia="宋体" w:cs="宋体"/>
          <w:color w:val="auto"/>
          <w:spacing w:val="-5"/>
          <w:sz w:val="24"/>
          <w:szCs w:val="24"/>
          <w:highlight w:val="none"/>
        </w:rPr>
        <w:t>定标程序</w:t>
      </w:r>
      <w:bookmarkEnd w:id="420"/>
      <w:bookmarkEnd w:id="421"/>
    </w:p>
    <w:p w14:paraId="2D629523">
      <w:pPr>
        <w:spacing w:before="180" w:line="289" w:lineRule="auto"/>
        <w:ind w:left="17" w:right="75" w:firstLine="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（一）定标前，定标委员会可以自行组织或委托专</w:t>
      </w:r>
      <w:r>
        <w:rPr>
          <w:rFonts w:ascii="宋体" w:hAnsi="宋体" w:eastAsia="宋体" w:cs="宋体"/>
          <w:color w:val="auto"/>
          <w:spacing w:val="-4"/>
          <w:sz w:val="24"/>
          <w:szCs w:val="24"/>
          <w:highlight w:val="none"/>
        </w:rPr>
        <w:t>业机构对中标候选人及其投标</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文件、评标报告进行考察、质询，作为定标的辅助资料。</w:t>
      </w:r>
    </w:p>
    <w:p w14:paraId="239F9AF4">
      <w:pPr>
        <w:spacing w:before="181" w:line="350" w:lineRule="auto"/>
        <w:ind w:left="14" w:right="104" w:firstLine="48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（1）考察。是指实地调查，考察内容为招标文件载明的所有定标要素，但评标</w:t>
      </w:r>
      <w:r>
        <w:rPr>
          <w:rFonts w:ascii="宋体" w:hAnsi="宋体" w:eastAsia="宋体" w:cs="宋体"/>
          <w:color w:val="auto"/>
          <w:spacing w:val="8"/>
          <w:sz w:val="24"/>
          <w:szCs w:val="24"/>
          <w:highlight w:val="none"/>
        </w:rPr>
        <w:t xml:space="preserve"> </w:t>
      </w:r>
      <w:r>
        <w:rPr>
          <w:rFonts w:ascii="宋体" w:hAnsi="宋体" w:eastAsia="宋体" w:cs="宋体"/>
          <w:color w:val="auto"/>
          <w:sz w:val="24"/>
          <w:szCs w:val="24"/>
          <w:highlight w:val="none"/>
        </w:rPr>
        <w:t>委员会已经经过评审过的相关定标要素内容，招标人认为不</w:t>
      </w:r>
      <w:r>
        <w:rPr>
          <w:rFonts w:ascii="宋体" w:hAnsi="宋体" w:eastAsia="宋体" w:cs="宋体"/>
          <w:color w:val="auto"/>
          <w:spacing w:val="-1"/>
          <w:sz w:val="24"/>
          <w:szCs w:val="24"/>
          <w:highlight w:val="none"/>
        </w:rPr>
        <w:t>再需要考察的，可以不</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列入考察内容。考察需对考察内容进行定性或定量分析，在考察报告中需有结论，</w:t>
      </w:r>
    </w:p>
    <w:p w14:paraId="621C9F6E">
      <w:pPr>
        <w:spacing w:before="37" w:line="219" w:lineRule="auto"/>
        <w:ind w:left="1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供定标委员会参考。如招标人组织考察的，应对所有中标候选人进行。</w:t>
      </w:r>
    </w:p>
    <w:p w14:paraId="0494FD0C">
      <w:pPr>
        <w:spacing w:before="179" w:line="313" w:lineRule="auto"/>
        <w:ind w:left="16" w:firstLine="485"/>
        <w:rPr>
          <w:rFonts w:ascii="宋体" w:hAnsi="宋体" w:eastAsia="宋体" w:cs="宋体"/>
          <w:color w:val="auto"/>
          <w:sz w:val="24"/>
          <w:szCs w:val="24"/>
          <w:highlight w:val="none"/>
        </w:rPr>
      </w:pPr>
      <w:r>
        <w:rPr>
          <w:rFonts w:ascii="宋体" w:hAnsi="宋体" w:eastAsia="宋体" w:cs="宋体"/>
          <w:color w:val="auto"/>
          <w:sz w:val="24"/>
          <w:szCs w:val="24"/>
          <w:highlight w:val="none"/>
        </w:rPr>
        <w:t>（2）质询。是指招标人以书面方式就投标文件向中标候选人提出问题，要求中</w:t>
      </w:r>
      <w:r>
        <w:rPr>
          <w:rFonts w:ascii="宋体" w:hAnsi="宋体" w:eastAsia="宋体" w:cs="宋体"/>
          <w:color w:val="auto"/>
          <w:spacing w:val="11"/>
          <w:sz w:val="24"/>
          <w:szCs w:val="24"/>
          <w:highlight w:val="none"/>
        </w:rPr>
        <w:t xml:space="preserve"> </w:t>
      </w:r>
      <w:r>
        <w:rPr>
          <w:rFonts w:ascii="宋体" w:hAnsi="宋体" w:eastAsia="宋体" w:cs="宋体"/>
          <w:color w:val="auto"/>
          <w:spacing w:val="-7"/>
          <w:sz w:val="24"/>
          <w:szCs w:val="24"/>
          <w:highlight w:val="none"/>
        </w:rPr>
        <w:t>标候选人进行答复。就同一问题进行质询的，原则上应当向所</w:t>
      </w:r>
      <w:r>
        <w:rPr>
          <w:rFonts w:ascii="宋体" w:hAnsi="宋体" w:eastAsia="宋体" w:cs="宋体"/>
          <w:color w:val="auto"/>
          <w:spacing w:val="-8"/>
          <w:sz w:val="24"/>
          <w:szCs w:val="24"/>
          <w:highlight w:val="none"/>
        </w:rPr>
        <w:t>有中标候选人进行质询，</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招标人认为中标候选人已在投标文件中明确的，可以不再对该中标</w:t>
      </w:r>
      <w:r>
        <w:rPr>
          <w:rFonts w:ascii="宋体" w:hAnsi="宋体" w:eastAsia="宋体" w:cs="宋体"/>
          <w:color w:val="auto"/>
          <w:spacing w:val="-2"/>
          <w:sz w:val="24"/>
          <w:szCs w:val="24"/>
          <w:highlight w:val="none"/>
        </w:rPr>
        <w:t>候选人进行质询。</w:t>
      </w:r>
    </w:p>
    <w:p w14:paraId="44251A2B">
      <w:pPr>
        <w:spacing w:before="183" w:line="219" w:lineRule="auto"/>
        <w:ind w:left="50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（二）评标结果公示结束无异议后</w:t>
      </w:r>
      <w:r>
        <w:rPr>
          <w:rFonts w:ascii="Times New Roman" w:hAnsi="Times New Roman" w:eastAsia="Times New Roman" w:cs="Times New Roman"/>
          <w:color w:val="auto"/>
          <w:spacing w:val="-2"/>
          <w:sz w:val="24"/>
          <w:szCs w:val="24"/>
          <w:highlight w:val="none"/>
        </w:rPr>
        <w:t>10</w:t>
      </w:r>
      <w:r>
        <w:rPr>
          <w:rFonts w:ascii="宋体" w:hAnsi="宋体" w:eastAsia="宋体" w:cs="宋体"/>
          <w:color w:val="auto"/>
          <w:spacing w:val="-2"/>
          <w:sz w:val="24"/>
          <w:szCs w:val="24"/>
          <w:highlight w:val="none"/>
        </w:rPr>
        <w:t>日内，应召开定标会议。</w:t>
      </w:r>
    </w:p>
    <w:p w14:paraId="1D30F6C2">
      <w:pPr>
        <w:spacing w:before="181" w:line="219" w:lineRule="auto"/>
        <w:ind w:left="50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（三）定标委员会按下列方法确定中标人：</w:t>
      </w:r>
    </w:p>
    <w:p w14:paraId="71679C9A">
      <w:pPr>
        <w:spacing w:before="183" w:line="220" w:lineRule="auto"/>
        <w:ind w:left="522"/>
        <w:rPr>
          <w:rFonts w:ascii="宋体" w:hAnsi="宋体" w:eastAsia="宋体" w:cs="宋体"/>
          <w:color w:val="auto"/>
          <w:sz w:val="24"/>
          <w:szCs w:val="24"/>
          <w:highlight w:val="none"/>
        </w:rPr>
      </w:pPr>
      <w:r>
        <w:rPr>
          <w:rFonts w:hint="eastAsia" w:ascii="宋体" w:hAnsi="宋体" w:eastAsia="宋体" w:cs="宋体"/>
          <w:b/>
          <w:bCs/>
          <w:color w:val="auto"/>
          <w:spacing w:val="-7"/>
          <w:sz w:val="24"/>
          <w:szCs w:val="24"/>
          <w:highlight w:val="none"/>
          <w:lang w:eastAsia="zh-CN"/>
        </w:rPr>
        <w:t>☑</w:t>
      </w:r>
      <w:r>
        <w:rPr>
          <w:rFonts w:ascii="宋体" w:hAnsi="宋体" w:eastAsia="宋体" w:cs="宋体"/>
          <w:b/>
          <w:bCs/>
          <w:color w:val="auto"/>
          <w:spacing w:val="-7"/>
          <w:sz w:val="24"/>
          <w:szCs w:val="24"/>
          <w:highlight w:val="none"/>
        </w:rPr>
        <w:t>直接票决法：</w:t>
      </w:r>
    </w:p>
    <w:p w14:paraId="7B70F207">
      <w:pPr>
        <w:spacing w:before="179" w:line="290" w:lineRule="auto"/>
        <w:ind w:left="19" w:right="75" w:firstLine="500"/>
        <w:rPr>
          <w:rFonts w:ascii="宋体" w:hAnsi="宋体" w:eastAsia="宋体" w:cs="宋体"/>
          <w:color w:val="auto"/>
          <w:sz w:val="24"/>
          <w:szCs w:val="24"/>
          <w:highlight w:val="none"/>
        </w:rPr>
      </w:pPr>
      <w:r>
        <w:rPr>
          <w:rFonts w:hint="eastAsia" w:ascii="宋体" w:hAnsi="宋体" w:eastAsia="宋体" w:cs="宋体"/>
          <w:color w:val="auto"/>
          <w:spacing w:val="-4"/>
          <w:sz w:val="24"/>
          <w:szCs w:val="24"/>
          <w:highlight w:val="none"/>
          <w:lang w:eastAsia="zh-CN"/>
        </w:rPr>
        <w:t>☑</w:t>
      </w:r>
      <w:r>
        <w:rPr>
          <w:rFonts w:ascii="宋体" w:hAnsi="宋体" w:eastAsia="宋体" w:cs="宋体"/>
          <w:color w:val="auto"/>
          <w:spacing w:val="-4"/>
          <w:sz w:val="24"/>
          <w:szCs w:val="24"/>
          <w:highlight w:val="none"/>
        </w:rPr>
        <w:t>直接票决法一：定标委员会在进入投票范围的中标候选人中，以每人投票支持</w:t>
      </w:r>
      <w:r>
        <w:rPr>
          <w:rFonts w:ascii="宋体" w:hAnsi="宋体" w:eastAsia="宋体" w:cs="宋体"/>
          <w:color w:val="auto"/>
          <w:spacing w:val="4"/>
          <w:sz w:val="24"/>
          <w:szCs w:val="24"/>
          <w:highlight w:val="none"/>
        </w:rPr>
        <w:t xml:space="preserve"> </w:t>
      </w:r>
      <w:r>
        <w:rPr>
          <w:rFonts w:ascii="宋体" w:hAnsi="宋体" w:eastAsia="宋体" w:cs="宋体"/>
          <w:color w:val="auto"/>
          <w:spacing w:val="-2"/>
          <w:sz w:val="24"/>
          <w:szCs w:val="24"/>
          <w:highlight w:val="none"/>
        </w:rPr>
        <w:t>一个中标候选人的方式，得票最多且过半数的中标候选人为中标人。</w:t>
      </w:r>
    </w:p>
    <w:p w14:paraId="28783CE5">
      <w:pPr>
        <w:spacing w:before="178" w:line="346" w:lineRule="auto"/>
        <w:ind w:left="3" w:right="2" w:firstLine="507"/>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当没有中标候选人得票超过半数时，选择得票较多的</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个中标候选人（按上一轮</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得票多少的顺序选择，在选择第</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个中标候选人时出现同票的</w:t>
      </w:r>
      <w:r>
        <w:rPr>
          <w:rFonts w:ascii="宋体" w:hAnsi="宋体" w:eastAsia="宋体" w:cs="宋体"/>
          <w:color w:val="auto"/>
          <w:spacing w:val="1"/>
          <w:sz w:val="24"/>
          <w:szCs w:val="24"/>
          <w:highlight w:val="none"/>
        </w:rPr>
        <w:t>中标候选人时，</w:t>
      </w:r>
      <w:r>
        <w:rPr>
          <w:rFonts w:ascii="宋体" w:hAnsi="宋体" w:eastAsia="宋体" w:cs="宋体"/>
          <w:i/>
          <w:iCs/>
          <w:color w:val="auto"/>
          <w:spacing w:val="1"/>
          <w:sz w:val="25"/>
          <w:szCs w:val="25"/>
          <w:highlight w:val="none"/>
        </w:rPr>
        <w:t>□抽签</w:t>
      </w:r>
      <w:r>
        <w:rPr>
          <w:rFonts w:ascii="宋体" w:hAnsi="宋体" w:eastAsia="宋体" w:cs="宋体"/>
          <w:color w:val="auto"/>
          <w:sz w:val="25"/>
          <w:szCs w:val="25"/>
          <w:highlight w:val="none"/>
        </w:rPr>
        <w:t xml:space="preserve"> </w:t>
      </w:r>
      <w:r>
        <w:rPr>
          <w:rFonts w:ascii="宋体" w:hAnsi="宋体" w:eastAsia="宋体" w:cs="宋体"/>
          <w:i/>
          <w:iCs/>
          <w:color w:val="auto"/>
          <w:spacing w:val="-7"/>
          <w:sz w:val="25"/>
          <w:szCs w:val="25"/>
          <w:highlight w:val="none"/>
        </w:rPr>
        <w:t>抽取中标候选人</w:t>
      </w:r>
      <w:r>
        <w:rPr>
          <w:rFonts w:hint="eastAsia" w:ascii="宋体" w:hAnsi="宋体" w:eastAsia="宋体" w:cs="宋体"/>
          <w:i/>
          <w:iCs/>
          <w:color w:val="auto"/>
          <w:spacing w:val="-7"/>
          <w:sz w:val="25"/>
          <w:szCs w:val="25"/>
          <w:highlight w:val="none"/>
          <w:lang w:eastAsia="zh-CN"/>
        </w:rPr>
        <w:t>☑</w:t>
      </w:r>
      <w:r>
        <w:rPr>
          <w:rFonts w:ascii="宋体" w:hAnsi="宋体" w:eastAsia="宋体" w:cs="宋体"/>
          <w:i/>
          <w:iCs/>
          <w:color w:val="auto"/>
          <w:spacing w:val="-7"/>
          <w:sz w:val="25"/>
          <w:szCs w:val="25"/>
          <w:highlight w:val="none"/>
        </w:rPr>
        <w:t>报价低者（报价相同时抽签抽取</w:t>
      </w:r>
      <w:r>
        <w:rPr>
          <w:rFonts w:ascii="Times New Roman" w:hAnsi="Times New Roman" w:eastAsia="Times New Roman" w:cs="Times New Roman"/>
          <w:i/>
          <w:iCs/>
          <w:color w:val="auto"/>
          <w:spacing w:val="-7"/>
          <w:sz w:val="24"/>
          <w:szCs w:val="24"/>
          <w:highlight w:val="none"/>
        </w:rPr>
        <w:t>1</w:t>
      </w:r>
      <w:r>
        <w:rPr>
          <w:rFonts w:ascii="宋体" w:hAnsi="宋体" w:eastAsia="宋体" w:cs="宋体"/>
          <w:i/>
          <w:iCs/>
          <w:color w:val="auto"/>
          <w:spacing w:val="-7"/>
          <w:sz w:val="25"/>
          <w:szCs w:val="25"/>
          <w:highlight w:val="none"/>
        </w:rPr>
        <w:t>个中标候选人）</w:t>
      </w:r>
      <w:r>
        <w:rPr>
          <w:rFonts w:ascii="宋体" w:hAnsi="宋体" w:eastAsia="宋体" w:cs="宋体"/>
          <w:i/>
          <w:iCs/>
          <w:color w:val="auto"/>
          <w:spacing w:val="-8"/>
          <w:sz w:val="25"/>
          <w:szCs w:val="25"/>
          <w:highlight w:val="none"/>
        </w:rPr>
        <w:t>□由招标人法定</w:t>
      </w:r>
      <w:r>
        <w:rPr>
          <w:rFonts w:ascii="宋体" w:hAnsi="宋体" w:eastAsia="宋体" w:cs="宋体"/>
          <w:color w:val="auto"/>
          <w:sz w:val="25"/>
          <w:szCs w:val="25"/>
          <w:highlight w:val="none"/>
        </w:rPr>
        <w:t xml:space="preserve"> </w:t>
      </w:r>
      <w:r>
        <w:rPr>
          <w:rFonts w:ascii="宋体" w:hAnsi="宋体" w:eastAsia="宋体" w:cs="宋体"/>
          <w:i/>
          <w:iCs/>
          <w:color w:val="auto"/>
          <w:spacing w:val="-4"/>
          <w:sz w:val="25"/>
          <w:szCs w:val="25"/>
          <w:highlight w:val="none"/>
        </w:rPr>
        <w:t>代表人或其委托代表直接确定</w:t>
      </w:r>
      <w:r>
        <w:rPr>
          <w:rFonts w:ascii="Times New Roman" w:hAnsi="Times New Roman" w:eastAsia="Times New Roman" w:cs="Times New Roman"/>
          <w:i/>
          <w:iCs/>
          <w:color w:val="auto"/>
          <w:spacing w:val="-4"/>
          <w:sz w:val="24"/>
          <w:szCs w:val="24"/>
          <w:highlight w:val="none"/>
        </w:rPr>
        <w:t>1</w:t>
      </w:r>
      <w:r>
        <w:rPr>
          <w:rFonts w:ascii="宋体" w:hAnsi="宋体" w:eastAsia="宋体" w:cs="宋体"/>
          <w:i/>
          <w:iCs/>
          <w:color w:val="auto"/>
          <w:spacing w:val="-4"/>
          <w:sz w:val="25"/>
          <w:szCs w:val="25"/>
          <w:highlight w:val="none"/>
        </w:rPr>
        <w:t>个中标候选人</w:t>
      </w:r>
      <w:r>
        <w:rPr>
          <w:rFonts w:ascii="宋体" w:hAnsi="宋体" w:eastAsia="宋体" w:cs="宋体"/>
          <w:color w:val="auto"/>
          <w:spacing w:val="-5"/>
          <w:sz w:val="24"/>
          <w:szCs w:val="24"/>
          <w:highlight w:val="none"/>
        </w:rPr>
        <w:t>作为二次投票的范围，直至出现得票过</w:t>
      </w:r>
      <w:r>
        <w:rPr>
          <w:rFonts w:ascii="宋体" w:hAnsi="宋体" w:eastAsia="宋体" w:cs="宋体"/>
          <w:color w:val="auto"/>
          <w:sz w:val="24"/>
          <w:szCs w:val="24"/>
          <w:highlight w:val="none"/>
        </w:rPr>
        <w:t xml:space="preserve"> 半数的中标候选人为止）。</w:t>
      </w:r>
    </w:p>
    <w:p w14:paraId="4D72EC1A">
      <w:pPr>
        <w:spacing w:before="31" w:line="346" w:lineRule="auto"/>
        <w:ind w:right="66" w:firstLine="52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□直接票决法二：定标委员会在进入投票范围的中标候选人中，以每人投票支持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4"/>
          <w:sz w:val="24"/>
          <w:szCs w:val="24"/>
          <w:highlight w:val="none"/>
          <w:u w:val="single" w:color="auto"/>
        </w:rPr>
        <w:t>N</w:t>
      </w:r>
      <w:r>
        <w:rPr>
          <w:rFonts w:ascii="Times New Roman" w:hAnsi="Times New Roman" w:eastAsia="Times New Roman" w:cs="Times New Roman"/>
          <w:i/>
          <w:iCs/>
          <w:strike/>
          <w:dstrike w:val="0"/>
          <w:color w:val="auto"/>
          <w:spacing w:val="42"/>
          <w:sz w:val="24"/>
          <w:szCs w:val="24"/>
          <w:highlight w:val="none"/>
          <w:u w:val="single" w:color="auto"/>
        </w:rPr>
        <w:t xml:space="preserve"> </w:t>
      </w:r>
      <w:r>
        <w:rPr>
          <w:rFonts w:ascii="宋体" w:hAnsi="宋体" w:eastAsia="宋体" w:cs="宋体"/>
          <w:i/>
          <w:iCs/>
          <w:strike/>
          <w:dstrike w:val="0"/>
          <w:color w:val="auto"/>
          <w:spacing w:val="-4"/>
          <w:sz w:val="25"/>
          <w:szCs w:val="25"/>
          <w:highlight w:val="none"/>
        </w:rPr>
        <w:t>（</w:t>
      </w:r>
      <w:r>
        <w:rPr>
          <w:rFonts w:ascii="Times New Roman" w:hAnsi="Times New Roman" w:eastAsia="Times New Roman" w:cs="Times New Roman"/>
          <w:i/>
          <w:iCs/>
          <w:strike/>
          <w:dstrike w:val="0"/>
          <w:color w:val="auto"/>
          <w:spacing w:val="-4"/>
          <w:sz w:val="24"/>
          <w:szCs w:val="24"/>
          <w:highlight w:val="none"/>
        </w:rPr>
        <w:t>N</w:t>
      </w:r>
      <w:r>
        <w:rPr>
          <w:rFonts w:ascii="宋体" w:hAnsi="宋体" w:eastAsia="宋体" w:cs="宋体"/>
          <w:i/>
          <w:iCs/>
          <w:strike/>
          <w:dstrike w:val="0"/>
          <w:color w:val="auto"/>
          <w:spacing w:val="-4"/>
          <w:sz w:val="25"/>
          <w:szCs w:val="25"/>
          <w:highlight w:val="none"/>
        </w:rPr>
        <w:t>不得超过中标候选人数）</w:t>
      </w:r>
      <w:r>
        <w:rPr>
          <w:rFonts w:ascii="宋体" w:hAnsi="宋体" w:eastAsia="宋体" w:cs="宋体"/>
          <w:strike/>
          <w:dstrike w:val="0"/>
          <w:color w:val="auto"/>
          <w:spacing w:val="-4"/>
          <w:sz w:val="24"/>
          <w:szCs w:val="24"/>
          <w:highlight w:val="none"/>
        </w:rPr>
        <w:t>个中标候选人的方式，得票最多且过半数的中标候选</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人为中标人。</w:t>
      </w:r>
    </w:p>
    <w:p w14:paraId="793FA969">
      <w:pPr>
        <w:spacing w:before="34" w:line="220" w:lineRule="auto"/>
        <w:ind w:left="510"/>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当没有中标候选人得票超过半数时，选择得票较多的</w:t>
      </w:r>
      <w:r>
        <w:rPr>
          <w:rFonts w:ascii="Times New Roman" w:hAnsi="Times New Roman" w:eastAsia="Times New Roman" w:cs="Times New Roman"/>
          <w:strike/>
          <w:dstrike w:val="0"/>
          <w:color w:val="auto"/>
          <w:sz w:val="24"/>
          <w:szCs w:val="24"/>
          <w:highlight w:val="none"/>
        </w:rPr>
        <w:t>2</w:t>
      </w:r>
      <w:r>
        <w:rPr>
          <w:rFonts w:ascii="宋体" w:hAnsi="宋体" w:eastAsia="宋体" w:cs="宋体"/>
          <w:strike/>
          <w:dstrike w:val="0"/>
          <w:color w:val="auto"/>
          <w:sz w:val="24"/>
          <w:szCs w:val="24"/>
          <w:highlight w:val="none"/>
        </w:rPr>
        <w:t>个中标候选人（按上一轮</w:t>
      </w:r>
    </w:p>
    <w:p w14:paraId="38B966F3">
      <w:pPr>
        <w:spacing w:line="220"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0FA02628">
      <w:pPr>
        <w:spacing w:before="48" w:line="342" w:lineRule="auto"/>
        <w:ind w:left="3" w:right="23" w:firstLine="13"/>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得票多少的顺序选择，在选择第</w:t>
      </w:r>
      <w:r>
        <w:rPr>
          <w:rFonts w:ascii="Times New Roman" w:hAnsi="Times New Roman" w:eastAsia="Times New Roman" w:cs="Times New Roman"/>
          <w:strike/>
          <w:dstrike w:val="0"/>
          <w:color w:val="auto"/>
          <w:spacing w:val="1"/>
          <w:sz w:val="24"/>
          <w:szCs w:val="24"/>
          <w:highlight w:val="none"/>
        </w:rPr>
        <w:t>2</w:t>
      </w:r>
      <w:r>
        <w:rPr>
          <w:rFonts w:ascii="宋体" w:hAnsi="宋体" w:eastAsia="宋体" w:cs="宋体"/>
          <w:strike/>
          <w:dstrike w:val="0"/>
          <w:color w:val="auto"/>
          <w:spacing w:val="1"/>
          <w:sz w:val="24"/>
          <w:szCs w:val="24"/>
          <w:highlight w:val="none"/>
        </w:rPr>
        <w:t>个中标候选人时出现同票的中标候选人时，</w:t>
      </w:r>
      <w:r>
        <w:rPr>
          <w:rFonts w:ascii="宋体" w:hAnsi="宋体" w:eastAsia="宋体" w:cs="宋体"/>
          <w:i/>
          <w:iCs/>
          <w:strike/>
          <w:dstrike w:val="0"/>
          <w:color w:val="auto"/>
          <w:spacing w:val="1"/>
          <w:sz w:val="25"/>
          <w:szCs w:val="25"/>
          <w:highlight w:val="none"/>
        </w:rPr>
        <w:t>□抽签</w:t>
      </w:r>
      <w:r>
        <w:rPr>
          <w:rFonts w:ascii="宋体" w:hAnsi="宋体" w:eastAsia="宋体" w:cs="宋体"/>
          <w:strike/>
          <w:dstrike w:val="0"/>
          <w:color w:val="auto"/>
          <w:spacing w:val="14"/>
          <w:sz w:val="25"/>
          <w:szCs w:val="25"/>
          <w:highlight w:val="none"/>
        </w:rPr>
        <w:t xml:space="preserve"> </w:t>
      </w:r>
      <w:r>
        <w:rPr>
          <w:rFonts w:ascii="宋体" w:hAnsi="宋体" w:eastAsia="宋体" w:cs="宋体"/>
          <w:i/>
          <w:iCs/>
          <w:strike/>
          <w:dstrike w:val="0"/>
          <w:color w:val="auto"/>
          <w:spacing w:val="-7"/>
          <w:sz w:val="25"/>
          <w:szCs w:val="25"/>
          <w:highlight w:val="none"/>
        </w:rPr>
        <w:t>抽取中标候选人□报价低者（报价相同时抽签抽取</w:t>
      </w:r>
      <w:r>
        <w:rPr>
          <w:rFonts w:ascii="Times New Roman" w:hAnsi="Times New Roman" w:eastAsia="Times New Roman" w:cs="Times New Roman"/>
          <w:i/>
          <w:iCs/>
          <w:strike/>
          <w:dstrike w:val="0"/>
          <w:color w:val="auto"/>
          <w:spacing w:val="-7"/>
          <w:sz w:val="24"/>
          <w:szCs w:val="24"/>
          <w:highlight w:val="none"/>
        </w:rPr>
        <w:t>1</w:t>
      </w:r>
      <w:r>
        <w:rPr>
          <w:rFonts w:ascii="宋体" w:hAnsi="宋体" w:eastAsia="宋体" w:cs="宋体"/>
          <w:i/>
          <w:iCs/>
          <w:strike/>
          <w:dstrike w:val="0"/>
          <w:color w:val="auto"/>
          <w:spacing w:val="-7"/>
          <w:sz w:val="25"/>
          <w:szCs w:val="25"/>
          <w:highlight w:val="none"/>
        </w:rPr>
        <w:t>个中标候选人）</w:t>
      </w:r>
      <w:r>
        <w:rPr>
          <w:rFonts w:ascii="宋体" w:hAnsi="宋体" w:eastAsia="宋体" w:cs="宋体"/>
          <w:i/>
          <w:iCs/>
          <w:strike/>
          <w:dstrike w:val="0"/>
          <w:color w:val="auto"/>
          <w:spacing w:val="-8"/>
          <w:sz w:val="25"/>
          <w:szCs w:val="25"/>
          <w:highlight w:val="none"/>
        </w:rPr>
        <w:t>□由招标人法定</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4"/>
          <w:sz w:val="25"/>
          <w:szCs w:val="25"/>
          <w:highlight w:val="none"/>
        </w:rPr>
        <w:t>代表人或其委托代表直接确定</w:t>
      </w:r>
      <w:r>
        <w:rPr>
          <w:rFonts w:ascii="Times New Roman" w:hAnsi="Times New Roman" w:eastAsia="Times New Roman" w:cs="Times New Roman"/>
          <w:i/>
          <w:iCs/>
          <w:strike/>
          <w:dstrike w:val="0"/>
          <w:color w:val="auto"/>
          <w:spacing w:val="-4"/>
          <w:sz w:val="24"/>
          <w:szCs w:val="24"/>
          <w:highlight w:val="none"/>
        </w:rPr>
        <w:t>1</w:t>
      </w:r>
      <w:r>
        <w:rPr>
          <w:rFonts w:ascii="宋体" w:hAnsi="宋体" w:eastAsia="宋体" w:cs="宋体"/>
          <w:i/>
          <w:iCs/>
          <w:strike/>
          <w:dstrike w:val="0"/>
          <w:color w:val="auto"/>
          <w:spacing w:val="-4"/>
          <w:sz w:val="25"/>
          <w:szCs w:val="25"/>
          <w:highlight w:val="none"/>
        </w:rPr>
        <w:t>个中标候选人</w:t>
      </w:r>
      <w:r>
        <w:rPr>
          <w:rFonts w:ascii="宋体" w:hAnsi="宋体" w:eastAsia="宋体" w:cs="宋体"/>
          <w:strike/>
          <w:dstrike w:val="0"/>
          <w:color w:val="auto"/>
          <w:spacing w:val="-5"/>
          <w:sz w:val="24"/>
          <w:szCs w:val="24"/>
          <w:highlight w:val="none"/>
        </w:rPr>
        <w:t>作为二次投票的范围，直至出现得票过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半数的中标候选人为止。</w:t>
      </w:r>
    </w:p>
    <w:p w14:paraId="20E66803">
      <w:pPr>
        <w:spacing w:before="34" w:line="346" w:lineRule="auto"/>
        <w:ind w:right="87" w:firstLine="52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□直接票决法三：定标委员会在进入投票范围的中标候选人中，以每人投票支持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4"/>
          <w:sz w:val="24"/>
          <w:szCs w:val="24"/>
          <w:highlight w:val="none"/>
          <w:u w:val="single" w:color="auto"/>
        </w:rPr>
        <w:t>N</w:t>
      </w:r>
      <w:r>
        <w:rPr>
          <w:rFonts w:ascii="Times New Roman" w:hAnsi="Times New Roman" w:eastAsia="Times New Roman" w:cs="Times New Roman"/>
          <w:i/>
          <w:iCs/>
          <w:strike/>
          <w:dstrike w:val="0"/>
          <w:color w:val="auto"/>
          <w:spacing w:val="42"/>
          <w:sz w:val="24"/>
          <w:szCs w:val="24"/>
          <w:highlight w:val="none"/>
          <w:u w:val="single" w:color="auto"/>
        </w:rPr>
        <w:t xml:space="preserve"> </w:t>
      </w:r>
      <w:r>
        <w:rPr>
          <w:rFonts w:ascii="宋体" w:hAnsi="宋体" w:eastAsia="宋体" w:cs="宋体"/>
          <w:i/>
          <w:iCs/>
          <w:strike/>
          <w:dstrike w:val="0"/>
          <w:color w:val="auto"/>
          <w:spacing w:val="-4"/>
          <w:sz w:val="25"/>
          <w:szCs w:val="25"/>
          <w:highlight w:val="none"/>
        </w:rPr>
        <w:t>（</w:t>
      </w:r>
      <w:r>
        <w:rPr>
          <w:rFonts w:ascii="Times New Roman" w:hAnsi="Times New Roman" w:eastAsia="Times New Roman" w:cs="Times New Roman"/>
          <w:i/>
          <w:iCs/>
          <w:strike/>
          <w:dstrike w:val="0"/>
          <w:color w:val="auto"/>
          <w:spacing w:val="-4"/>
          <w:sz w:val="24"/>
          <w:szCs w:val="24"/>
          <w:highlight w:val="none"/>
        </w:rPr>
        <w:t>N</w:t>
      </w:r>
      <w:r>
        <w:rPr>
          <w:rFonts w:ascii="宋体" w:hAnsi="宋体" w:eastAsia="宋体" w:cs="宋体"/>
          <w:i/>
          <w:iCs/>
          <w:strike/>
          <w:dstrike w:val="0"/>
          <w:color w:val="auto"/>
          <w:spacing w:val="-4"/>
          <w:sz w:val="25"/>
          <w:szCs w:val="25"/>
          <w:highlight w:val="none"/>
        </w:rPr>
        <w:t>不得超过中标候选人数）</w:t>
      </w:r>
      <w:r>
        <w:rPr>
          <w:rFonts w:ascii="宋体" w:hAnsi="宋体" w:eastAsia="宋体" w:cs="宋体"/>
          <w:strike/>
          <w:dstrike w:val="0"/>
          <w:color w:val="auto"/>
          <w:spacing w:val="-4"/>
          <w:sz w:val="24"/>
          <w:szCs w:val="24"/>
          <w:highlight w:val="none"/>
        </w:rPr>
        <w:t>个中标候选人的方式，得票最多的中标候选人为中标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8"/>
          <w:sz w:val="24"/>
          <w:szCs w:val="24"/>
          <w:highlight w:val="none"/>
        </w:rPr>
        <w:t>人。</w:t>
      </w:r>
    </w:p>
    <w:p w14:paraId="7B5C3FBC">
      <w:pPr>
        <w:spacing w:before="32" w:line="301" w:lineRule="auto"/>
        <w:ind w:left="3" w:right="18" w:firstLine="507"/>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当得票最多的中标候选人出现多个时，采用</w:t>
      </w:r>
      <w:r>
        <w:rPr>
          <w:rFonts w:ascii="宋体" w:hAnsi="宋体" w:eastAsia="宋体" w:cs="宋体"/>
          <w:i/>
          <w:iCs/>
          <w:strike/>
          <w:dstrike w:val="0"/>
          <w:color w:val="auto"/>
          <w:spacing w:val="-2"/>
          <w:sz w:val="25"/>
          <w:szCs w:val="25"/>
          <w:highlight w:val="none"/>
        </w:rPr>
        <w:t>□抽签抽取</w:t>
      </w:r>
      <w:r>
        <w:rPr>
          <w:rFonts w:ascii="宋体" w:hAnsi="宋体" w:eastAsia="宋体" w:cs="宋体"/>
          <w:strike/>
          <w:dstrike w:val="0"/>
          <w:color w:val="auto"/>
          <w:spacing w:val="-37"/>
          <w:sz w:val="25"/>
          <w:szCs w:val="25"/>
          <w:highlight w:val="none"/>
        </w:rPr>
        <w:t xml:space="preserve"> </w:t>
      </w:r>
      <w:r>
        <w:rPr>
          <w:rFonts w:ascii="宋体" w:hAnsi="宋体" w:eastAsia="宋体" w:cs="宋体"/>
          <w:i/>
          <w:iCs/>
          <w:strike/>
          <w:dstrike w:val="0"/>
          <w:color w:val="auto"/>
          <w:spacing w:val="-2"/>
          <w:sz w:val="25"/>
          <w:szCs w:val="25"/>
          <w:highlight w:val="none"/>
        </w:rPr>
        <w:t>□报价低者（报价相同</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8"/>
          <w:sz w:val="25"/>
          <w:szCs w:val="25"/>
          <w:highlight w:val="none"/>
        </w:rPr>
        <w:t>时抽签抽取</w:t>
      </w:r>
      <w:r>
        <w:rPr>
          <w:rFonts w:ascii="Times New Roman" w:hAnsi="Times New Roman" w:eastAsia="Times New Roman" w:cs="Times New Roman"/>
          <w:i/>
          <w:iCs/>
          <w:strike/>
          <w:dstrike w:val="0"/>
          <w:color w:val="auto"/>
          <w:spacing w:val="-8"/>
          <w:sz w:val="24"/>
          <w:szCs w:val="24"/>
          <w:highlight w:val="none"/>
        </w:rPr>
        <w:t>1</w:t>
      </w:r>
      <w:r>
        <w:rPr>
          <w:rFonts w:ascii="宋体" w:hAnsi="宋体" w:eastAsia="宋体" w:cs="宋体"/>
          <w:i/>
          <w:iCs/>
          <w:strike/>
          <w:dstrike w:val="0"/>
          <w:color w:val="auto"/>
          <w:spacing w:val="-8"/>
          <w:sz w:val="25"/>
          <w:szCs w:val="25"/>
          <w:highlight w:val="none"/>
        </w:rPr>
        <w:t>个中标候选人）</w:t>
      </w:r>
      <w:r>
        <w:rPr>
          <w:rFonts w:ascii="微软雅黑" w:hAnsi="微软雅黑" w:eastAsia="微软雅黑" w:cs="微软雅黑"/>
          <w:i/>
          <w:iCs/>
          <w:strike/>
          <w:dstrike w:val="0"/>
          <w:color w:val="auto"/>
          <w:spacing w:val="-8"/>
          <w:sz w:val="25"/>
          <w:szCs w:val="25"/>
          <w:highlight w:val="none"/>
        </w:rPr>
        <w:t>□</w:t>
      </w:r>
      <w:r>
        <w:rPr>
          <w:rFonts w:ascii="宋体" w:hAnsi="宋体" w:eastAsia="宋体" w:cs="宋体"/>
          <w:i/>
          <w:iCs/>
          <w:strike/>
          <w:dstrike w:val="0"/>
          <w:color w:val="auto"/>
          <w:spacing w:val="-8"/>
          <w:sz w:val="25"/>
          <w:szCs w:val="25"/>
          <w:highlight w:val="none"/>
        </w:rPr>
        <w:t>由招标人法定代表人或其委托代表直接确定</w:t>
      </w:r>
      <w:r>
        <w:rPr>
          <w:rFonts w:ascii="Times New Roman" w:hAnsi="Times New Roman" w:eastAsia="Times New Roman" w:cs="Times New Roman"/>
          <w:i/>
          <w:iCs/>
          <w:strike/>
          <w:dstrike w:val="0"/>
          <w:color w:val="auto"/>
          <w:spacing w:val="-8"/>
          <w:sz w:val="24"/>
          <w:szCs w:val="24"/>
          <w:highlight w:val="none"/>
        </w:rPr>
        <w:t>1</w:t>
      </w:r>
      <w:r>
        <w:rPr>
          <w:rFonts w:ascii="宋体" w:hAnsi="宋体" w:eastAsia="宋体" w:cs="宋体"/>
          <w:i/>
          <w:iCs/>
          <w:strike/>
          <w:dstrike w:val="0"/>
          <w:color w:val="auto"/>
          <w:spacing w:val="-8"/>
          <w:sz w:val="25"/>
          <w:szCs w:val="25"/>
          <w:highlight w:val="none"/>
        </w:rPr>
        <w:t>个中标候</w:t>
      </w:r>
      <w:r>
        <w:rPr>
          <w:rFonts w:ascii="宋体" w:hAnsi="宋体" w:eastAsia="宋体" w:cs="宋体"/>
          <w:strike/>
          <w:dstrike w:val="0"/>
          <w:color w:val="auto"/>
          <w:spacing w:val="10"/>
          <w:sz w:val="25"/>
          <w:szCs w:val="25"/>
          <w:highlight w:val="none"/>
        </w:rPr>
        <w:t xml:space="preserve"> </w:t>
      </w:r>
      <w:r>
        <w:rPr>
          <w:rFonts w:ascii="宋体" w:hAnsi="宋体" w:eastAsia="宋体" w:cs="宋体"/>
          <w:i/>
          <w:iCs/>
          <w:strike/>
          <w:dstrike w:val="0"/>
          <w:color w:val="auto"/>
          <w:sz w:val="25"/>
          <w:szCs w:val="25"/>
          <w:highlight w:val="none"/>
        </w:rPr>
        <w:t>选人作为中标人</w:t>
      </w:r>
      <w:r>
        <w:rPr>
          <w:rFonts w:ascii="宋体" w:hAnsi="宋体" w:eastAsia="宋体" w:cs="宋体"/>
          <w:strike/>
          <w:dstrike w:val="0"/>
          <w:color w:val="auto"/>
          <w:sz w:val="24"/>
          <w:szCs w:val="24"/>
          <w:highlight w:val="none"/>
        </w:rPr>
        <w:t>。</w:t>
      </w:r>
    </w:p>
    <w:p w14:paraId="5D7447AB">
      <w:pPr>
        <w:spacing w:before="45" w:line="220" w:lineRule="auto"/>
        <w:ind w:left="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7"/>
          <w:sz w:val="24"/>
          <w:szCs w:val="24"/>
          <w:highlight w:val="none"/>
        </w:rPr>
        <w:t>□逐轮票决法：</w:t>
      </w:r>
    </w:p>
    <w:p w14:paraId="128F35A1">
      <w:pPr>
        <w:spacing w:before="181" w:line="321" w:lineRule="auto"/>
        <w:ind w:firstLine="52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□逐轮票决法一：定标委员会在进入投票范围的中标候选人中，以每人投票支持</w:t>
      </w:r>
      <w:r>
        <w:rPr>
          <w:rFonts w:ascii="宋体" w:hAnsi="宋体" w:eastAsia="宋体" w:cs="宋体"/>
          <w:strike/>
          <w:dstrike w:val="0"/>
          <w:color w:val="auto"/>
          <w:spacing w:val="13"/>
          <w:sz w:val="24"/>
          <w:szCs w:val="24"/>
          <w:highlight w:val="none"/>
        </w:rPr>
        <w:t xml:space="preserve"> </w:t>
      </w:r>
      <w:r>
        <w:rPr>
          <w:rFonts w:ascii="Times New Roman" w:hAnsi="Times New Roman" w:eastAsia="Times New Roman" w:cs="Times New Roman"/>
          <w:i/>
          <w:iCs/>
          <w:strike/>
          <w:dstrike w:val="0"/>
          <w:color w:val="auto"/>
          <w:spacing w:val="-5"/>
          <w:sz w:val="24"/>
          <w:szCs w:val="24"/>
          <w:highlight w:val="none"/>
          <w:u w:val="single" w:color="auto"/>
        </w:rPr>
        <w:t xml:space="preserve">N </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N</w:t>
      </w:r>
      <w:r>
        <w:rPr>
          <w:rFonts w:ascii="宋体" w:hAnsi="宋体" w:eastAsia="宋体" w:cs="宋体"/>
          <w:i/>
          <w:iCs/>
          <w:strike/>
          <w:dstrike w:val="0"/>
          <w:color w:val="auto"/>
          <w:spacing w:val="-5"/>
          <w:sz w:val="25"/>
          <w:szCs w:val="25"/>
          <w:highlight w:val="none"/>
          <w:u w:val="single" w:color="auto"/>
        </w:rPr>
        <w:t>≥</w:t>
      </w:r>
      <w:r>
        <w:rPr>
          <w:rFonts w:ascii="Times New Roman" w:hAnsi="Times New Roman" w:eastAsia="Times New Roman" w:cs="Times New Roman"/>
          <w:i/>
          <w:iCs/>
          <w:strike/>
          <w:dstrike w:val="0"/>
          <w:color w:val="auto"/>
          <w:spacing w:val="-5"/>
          <w:sz w:val="24"/>
          <w:szCs w:val="24"/>
          <w:highlight w:val="none"/>
          <w:u w:val="single" w:color="auto"/>
        </w:rPr>
        <w:t>3</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strike/>
          <w:dstrike w:val="0"/>
          <w:color w:val="auto"/>
          <w:spacing w:val="-5"/>
          <w:sz w:val="24"/>
          <w:szCs w:val="24"/>
          <w:highlight w:val="none"/>
        </w:rPr>
        <w:t>个中标候选人的方式，得票最多的</w:t>
      </w:r>
      <w:r>
        <w:rPr>
          <w:rFonts w:ascii="Times New Roman" w:hAnsi="Times New Roman" w:eastAsia="Times New Roman" w:cs="Times New Roman"/>
          <w:i/>
          <w:iCs/>
          <w:strike/>
          <w:dstrike w:val="0"/>
          <w:color w:val="auto"/>
          <w:spacing w:val="-5"/>
          <w:sz w:val="24"/>
          <w:szCs w:val="24"/>
          <w:highlight w:val="none"/>
          <w:u w:val="single" w:color="auto"/>
        </w:rPr>
        <w:t>N</w:t>
      </w:r>
      <w:r>
        <w:rPr>
          <w:rFonts w:ascii="宋体" w:hAnsi="宋体" w:eastAsia="宋体" w:cs="宋体"/>
          <w:strike/>
          <w:dstrike w:val="0"/>
          <w:color w:val="auto"/>
          <w:spacing w:val="-5"/>
          <w:sz w:val="24"/>
          <w:szCs w:val="24"/>
          <w:highlight w:val="none"/>
        </w:rPr>
        <w:t>个中标候选人进入</w:t>
      </w:r>
      <w:r>
        <w:rPr>
          <w:rFonts w:ascii="宋体" w:hAnsi="宋体" w:eastAsia="宋体" w:cs="宋体"/>
          <w:strike/>
          <w:dstrike w:val="0"/>
          <w:color w:val="auto"/>
          <w:spacing w:val="-6"/>
          <w:sz w:val="24"/>
          <w:szCs w:val="24"/>
          <w:highlight w:val="none"/>
        </w:rPr>
        <w:t>下一轮的淘汰投票。</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在确定第</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strike/>
          <w:dstrike w:val="0"/>
          <w:color w:val="auto"/>
          <w:spacing w:val="-3"/>
          <w:sz w:val="24"/>
          <w:szCs w:val="24"/>
          <w:highlight w:val="none"/>
        </w:rPr>
        <w:t>个中标候选人时如果出现同票的，则采用</w:t>
      </w:r>
      <w:r>
        <w:rPr>
          <w:rFonts w:ascii="宋体" w:hAnsi="宋体" w:eastAsia="宋体" w:cs="宋体"/>
          <w:i/>
          <w:iCs/>
          <w:strike/>
          <w:dstrike w:val="0"/>
          <w:color w:val="auto"/>
          <w:spacing w:val="-3"/>
          <w:sz w:val="25"/>
          <w:szCs w:val="25"/>
          <w:highlight w:val="none"/>
        </w:rPr>
        <w:t>□抽签抽取或报价低者（报价相</w:t>
      </w:r>
      <w:r>
        <w:rPr>
          <w:rFonts w:ascii="宋体" w:hAnsi="宋体" w:eastAsia="宋体" w:cs="宋体"/>
          <w:strike/>
          <w:dstrike w:val="0"/>
          <w:color w:val="auto"/>
          <w:spacing w:val="14"/>
          <w:sz w:val="25"/>
          <w:szCs w:val="25"/>
          <w:highlight w:val="none"/>
        </w:rPr>
        <w:t xml:space="preserve"> </w:t>
      </w:r>
      <w:r>
        <w:rPr>
          <w:rFonts w:ascii="宋体" w:hAnsi="宋体" w:eastAsia="宋体" w:cs="宋体"/>
          <w:i/>
          <w:iCs/>
          <w:strike/>
          <w:dstrike w:val="0"/>
          <w:color w:val="auto"/>
          <w:spacing w:val="-10"/>
          <w:sz w:val="25"/>
          <w:szCs w:val="25"/>
          <w:highlight w:val="none"/>
        </w:rPr>
        <w:t>同时抽签抽取</w:t>
      </w:r>
      <w:r>
        <w:rPr>
          <w:rFonts w:ascii="Times New Roman" w:hAnsi="Times New Roman" w:eastAsia="Times New Roman" w:cs="Times New Roman"/>
          <w:i/>
          <w:iCs/>
          <w:strike/>
          <w:dstrike w:val="0"/>
          <w:color w:val="auto"/>
          <w:spacing w:val="-10"/>
          <w:sz w:val="24"/>
          <w:szCs w:val="24"/>
          <w:highlight w:val="none"/>
        </w:rPr>
        <w:t>1</w:t>
      </w:r>
      <w:r>
        <w:rPr>
          <w:rFonts w:ascii="宋体" w:hAnsi="宋体" w:eastAsia="宋体" w:cs="宋体"/>
          <w:i/>
          <w:iCs/>
          <w:strike/>
          <w:dstrike w:val="0"/>
          <w:color w:val="auto"/>
          <w:spacing w:val="-10"/>
          <w:sz w:val="25"/>
          <w:szCs w:val="25"/>
          <w:highlight w:val="none"/>
        </w:rPr>
        <w:t>个中标候选人）□由招标人法定代表人或其委托代表直接确定</w:t>
      </w:r>
      <w:r>
        <w:rPr>
          <w:rFonts w:ascii="Times New Roman" w:hAnsi="Times New Roman" w:eastAsia="Times New Roman" w:cs="Times New Roman"/>
          <w:i/>
          <w:iCs/>
          <w:strike/>
          <w:dstrike w:val="0"/>
          <w:color w:val="auto"/>
          <w:spacing w:val="-10"/>
          <w:sz w:val="24"/>
          <w:szCs w:val="24"/>
          <w:highlight w:val="none"/>
        </w:rPr>
        <w:t>1</w:t>
      </w:r>
      <w:r>
        <w:rPr>
          <w:rFonts w:ascii="宋体" w:hAnsi="宋体" w:eastAsia="宋体" w:cs="宋体"/>
          <w:i/>
          <w:iCs/>
          <w:strike/>
          <w:dstrike w:val="0"/>
          <w:color w:val="auto"/>
          <w:spacing w:val="-10"/>
          <w:sz w:val="25"/>
          <w:szCs w:val="25"/>
          <w:highlight w:val="none"/>
        </w:rPr>
        <w:t>个中标</w:t>
      </w:r>
      <w:r>
        <w:rPr>
          <w:rFonts w:ascii="宋体" w:hAnsi="宋体" w:eastAsia="宋体" w:cs="宋体"/>
          <w:strike/>
          <w:dstrike w:val="0"/>
          <w:color w:val="auto"/>
          <w:spacing w:val="2"/>
          <w:sz w:val="25"/>
          <w:szCs w:val="25"/>
          <w:highlight w:val="none"/>
        </w:rPr>
        <w:t xml:space="preserve"> </w:t>
      </w:r>
      <w:r>
        <w:rPr>
          <w:rFonts w:ascii="宋体" w:hAnsi="宋体" w:eastAsia="宋体" w:cs="宋体"/>
          <w:i/>
          <w:iCs/>
          <w:strike/>
          <w:dstrike w:val="0"/>
          <w:color w:val="auto"/>
          <w:spacing w:val="-4"/>
          <w:sz w:val="25"/>
          <w:szCs w:val="25"/>
          <w:highlight w:val="none"/>
        </w:rPr>
        <w:t>候选人</w:t>
      </w:r>
      <w:r>
        <w:rPr>
          <w:rFonts w:ascii="宋体" w:hAnsi="宋体" w:eastAsia="宋体" w:cs="宋体"/>
          <w:strike/>
          <w:dstrike w:val="0"/>
          <w:color w:val="auto"/>
          <w:spacing w:val="-4"/>
          <w:sz w:val="24"/>
          <w:szCs w:val="24"/>
          <w:highlight w:val="none"/>
        </w:rPr>
        <w:t>进入下一轮的淘汰投票。</w:t>
      </w:r>
    </w:p>
    <w:p w14:paraId="5EDB7176">
      <w:pPr>
        <w:spacing w:before="179" w:line="354" w:lineRule="auto"/>
        <w:ind w:left="17" w:right="2" w:firstLine="477"/>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对进入淘汰投票的中标候选人逐轮进行淘汰</w:t>
      </w:r>
      <w:r>
        <w:rPr>
          <w:rFonts w:ascii="宋体" w:hAnsi="宋体" w:eastAsia="宋体" w:cs="宋体"/>
          <w:strike/>
          <w:dstrike w:val="0"/>
          <w:color w:val="auto"/>
          <w:spacing w:val="-1"/>
          <w:sz w:val="24"/>
          <w:szCs w:val="24"/>
          <w:highlight w:val="none"/>
        </w:rPr>
        <w:t>，原则上每轮淘汰</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名中标候选人。</w:t>
      </w:r>
      <w:r>
        <w:rPr>
          <w:rFonts w:ascii="宋体" w:hAnsi="宋体" w:eastAsia="宋体" w:cs="宋体"/>
          <w:strike/>
          <w:dstrike w:val="0"/>
          <w:color w:val="auto"/>
          <w:sz w:val="24"/>
          <w:szCs w:val="24"/>
          <w:highlight w:val="none"/>
        </w:rPr>
        <w:t xml:space="preserve">  各轮投票时，每人投</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个淘汰单位，该轮得票最多的中标候选人被淘汰。得票最多的</w:t>
      </w:r>
      <w:r>
        <w:rPr>
          <w:rFonts w:ascii="宋体" w:hAnsi="宋体" w:eastAsia="宋体" w:cs="宋体"/>
          <w:strike/>
          <w:dstrike w:val="0"/>
          <w:color w:val="auto"/>
          <w:spacing w:val="11"/>
          <w:sz w:val="24"/>
          <w:szCs w:val="24"/>
          <w:highlight w:val="none"/>
        </w:rPr>
        <w:t xml:space="preserve"> </w:t>
      </w:r>
      <w:r>
        <w:rPr>
          <w:rFonts w:ascii="宋体" w:hAnsi="宋体" w:eastAsia="宋体" w:cs="宋体"/>
          <w:strike/>
          <w:dstrike w:val="0"/>
          <w:color w:val="auto"/>
          <w:sz w:val="24"/>
          <w:szCs w:val="24"/>
          <w:highlight w:val="none"/>
        </w:rPr>
        <w:t>中标候选人不止</w:t>
      </w:r>
      <w:r>
        <w:rPr>
          <w:rFonts w:ascii="Times New Roman" w:hAnsi="Times New Roman" w:eastAsia="Times New Roman" w:cs="Times New Roman"/>
          <w:strike/>
          <w:dstrike w:val="0"/>
          <w:color w:val="auto"/>
          <w:sz w:val="24"/>
          <w:szCs w:val="24"/>
          <w:highlight w:val="none"/>
        </w:rPr>
        <w:t>1</w:t>
      </w:r>
      <w:r>
        <w:rPr>
          <w:rFonts w:ascii="宋体" w:hAnsi="宋体" w:eastAsia="宋体" w:cs="宋体"/>
          <w:strike/>
          <w:dstrike w:val="0"/>
          <w:color w:val="auto"/>
          <w:sz w:val="24"/>
          <w:szCs w:val="24"/>
          <w:highlight w:val="none"/>
        </w:rPr>
        <w:t>个时，一并加以淘汰，但必须确保第一次淘汰之后剩余的中标候选</w:t>
      </w:r>
      <w:r>
        <w:rPr>
          <w:rFonts w:ascii="宋体" w:hAnsi="宋体" w:eastAsia="宋体" w:cs="宋体"/>
          <w:strike/>
          <w:dstrike w:val="0"/>
          <w:color w:val="auto"/>
          <w:spacing w:val="-4"/>
          <w:sz w:val="24"/>
          <w:szCs w:val="24"/>
          <w:highlight w:val="none"/>
        </w:rPr>
        <w:t>人不少于</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名，否则在得票最多的</w:t>
      </w:r>
      <w:r>
        <w:rPr>
          <w:rFonts w:ascii="Times New Roman" w:hAnsi="Times New Roman" w:eastAsia="Times New Roman" w:cs="Times New Roman"/>
          <w:i/>
          <w:iCs/>
          <w:strike/>
          <w:dstrike w:val="0"/>
          <w:color w:val="auto"/>
          <w:spacing w:val="-4"/>
          <w:sz w:val="24"/>
          <w:szCs w:val="24"/>
          <w:highlight w:val="none"/>
          <w:u w:val="single" w:color="auto"/>
        </w:rPr>
        <w:t>N</w:t>
      </w:r>
      <w:r>
        <w:rPr>
          <w:rFonts w:ascii="宋体" w:hAnsi="宋体" w:eastAsia="宋体" w:cs="宋体"/>
          <w:strike/>
          <w:dstrike w:val="0"/>
          <w:color w:val="auto"/>
          <w:spacing w:val="-4"/>
          <w:sz w:val="24"/>
          <w:szCs w:val="24"/>
          <w:highlight w:val="none"/>
        </w:rPr>
        <w:t>个中标候选人中按前述规则进行二次淘汰，剩余的</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6"/>
          <w:sz w:val="24"/>
          <w:szCs w:val="24"/>
          <w:highlight w:val="none"/>
        </w:rPr>
        <w:t>中标候选人进入下一轮淘汰投票。根据前述规则，</w:t>
      </w:r>
      <w:r>
        <w:rPr>
          <w:rFonts w:ascii="宋体" w:hAnsi="宋体" w:eastAsia="宋体" w:cs="宋体"/>
          <w:strike/>
          <w:dstrike w:val="0"/>
          <w:color w:val="auto"/>
          <w:spacing w:val="-31"/>
          <w:sz w:val="24"/>
          <w:szCs w:val="24"/>
          <w:highlight w:val="none"/>
        </w:rPr>
        <w:t xml:space="preserve"> </w:t>
      </w:r>
      <w:r>
        <w:rPr>
          <w:rFonts w:ascii="宋体" w:hAnsi="宋体" w:eastAsia="宋体" w:cs="宋体"/>
          <w:strike/>
          <w:dstrike w:val="0"/>
          <w:color w:val="auto"/>
          <w:spacing w:val="-6"/>
          <w:sz w:val="24"/>
          <w:szCs w:val="24"/>
          <w:highlight w:val="none"/>
        </w:rPr>
        <w:t>直至剩余</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名中标候选人为中标人。</w:t>
      </w:r>
    </w:p>
    <w:p w14:paraId="5B9B7B24">
      <w:pPr>
        <w:spacing w:before="30" w:line="332" w:lineRule="auto"/>
        <w:ind w:left="5" w:right="23" w:firstLine="51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□逐轮票决法二：定标委员会对全部中标候选人采取多轮逆淘汰方式表决。原则</w:t>
      </w:r>
      <w:r>
        <w:rPr>
          <w:rFonts w:ascii="宋体" w:hAnsi="宋体" w:eastAsia="宋体" w:cs="宋体"/>
          <w:strike/>
          <w:dstrike w:val="0"/>
          <w:color w:val="auto"/>
          <w:spacing w:val="13"/>
          <w:sz w:val="24"/>
          <w:szCs w:val="24"/>
          <w:highlight w:val="none"/>
        </w:rPr>
        <w:t xml:space="preserve"> </w:t>
      </w:r>
      <w:r>
        <w:rPr>
          <w:rFonts w:ascii="宋体" w:hAnsi="宋体" w:eastAsia="宋体" w:cs="宋体"/>
          <w:strike/>
          <w:dstrike w:val="0"/>
          <w:color w:val="auto"/>
          <w:spacing w:val="-5"/>
          <w:sz w:val="24"/>
          <w:szCs w:val="24"/>
          <w:highlight w:val="none"/>
        </w:rPr>
        <w:t>上逐轮淘汰</w:t>
      </w:r>
      <w:r>
        <w:rPr>
          <w:rFonts w:ascii="Times New Roman" w:hAnsi="Times New Roman" w:eastAsia="Times New Roman" w:cs="Times New Roman"/>
          <w:strike/>
          <w:dstrike w:val="0"/>
          <w:color w:val="auto"/>
          <w:spacing w:val="-5"/>
          <w:sz w:val="24"/>
          <w:szCs w:val="24"/>
          <w:highlight w:val="none"/>
        </w:rPr>
        <w:t>1</w:t>
      </w:r>
      <w:r>
        <w:rPr>
          <w:rFonts w:ascii="宋体" w:hAnsi="宋体" w:eastAsia="宋体" w:cs="宋体"/>
          <w:strike/>
          <w:dstrike w:val="0"/>
          <w:color w:val="auto"/>
          <w:spacing w:val="-5"/>
          <w:sz w:val="24"/>
          <w:szCs w:val="24"/>
          <w:highlight w:val="none"/>
        </w:rPr>
        <w:t>名中标候选人。各轮投票时， 每人</w:t>
      </w:r>
      <w:r>
        <w:rPr>
          <w:rFonts w:ascii="宋体" w:hAnsi="宋体" w:eastAsia="宋体" w:cs="宋体"/>
          <w:strike/>
          <w:dstrike w:val="0"/>
          <w:color w:val="auto"/>
          <w:spacing w:val="-6"/>
          <w:sz w:val="24"/>
          <w:szCs w:val="24"/>
          <w:highlight w:val="none"/>
        </w:rPr>
        <w:t>投</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个淘汰单位，该轮得票最多的中标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候选人被淘汰。得票最多的中标候选人不止</w:t>
      </w:r>
      <w:r>
        <w:rPr>
          <w:rFonts w:ascii="Times New Roman" w:hAnsi="Times New Roman" w:eastAsia="Times New Roman" w:cs="Times New Roman"/>
          <w:strike/>
          <w:dstrike w:val="0"/>
          <w:color w:val="auto"/>
          <w:spacing w:val="1"/>
          <w:sz w:val="24"/>
          <w:szCs w:val="24"/>
          <w:highlight w:val="none"/>
        </w:rPr>
        <w:t>1</w:t>
      </w:r>
      <w:r>
        <w:rPr>
          <w:rFonts w:ascii="宋体" w:hAnsi="宋体" w:eastAsia="宋体" w:cs="宋体"/>
          <w:strike/>
          <w:dstrike w:val="0"/>
          <w:color w:val="auto"/>
          <w:spacing w:val="1"/>
          <w:sz w:val="24"/>
          <w:szCs w:val="24"/>
          <w:highlight w:val="none"/>
        </w:rPr>
        <w:t>个时，</w:t>
      </w:r>
      <w:r>
        <w:rPr>
          <w:rFonts w:ascii="宋体" w:hAnsi="宋体" w:eastAsia="宋体" w:cs="宋体"/>
          <w:strike/>
          <w:dstrike w:val="0"/>
          <w:color w:val="auto"/>
          <w:sz w:val="24"/>
          <w:szCs w:val="24"/>
          <w:highlight w:val="none"/>
        </w:rPr>
        <w:t xml:space="preserve">一并加以淘汰，但必须确保存在 </w:t>
      </w:r>
      <w:r>
        <w:rPr>
          <w:rFonts w:ascii="宋体" w:hAnsi="宋体" w:eastAsia="宋体" w:cs="宋体"/>
          <w:strike/>
          <w:dstrike w:val="0"/>
          <w:color w:val="auto"/>
          <w:spacing w:val="-2"/>
          <w:sz w:val="24"/>
          <w:szCs w:val="24"/>
          <w:highlight w:val="none"/>
        </w:rPr>
        <w:t>中标人，剩余的中标候选人进入下一轮淘汰</w:t>
      </w:r>
      <w:r>
        <w:rPr>
          <w:rFonts w:ascii="宋体" w:hAnsi="宋体" w:eastAsia="宋体" w:cs="宋体"/>
          <w:strike/>
          <w:dstrike w:val="0"/>
          <w:color w:val="auto"/>
          <w:spacing w:val="-3"/>
          <w:sz w:val="24"/>
          <w:szCs w:val="24"/>
          <w:highlight w:val="none"/>
        </w:rPr>
        <w:t>投票，最终确定中标人。在确定最终中标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人时如果出现同票的，则采用</w:t>
      </w:r>
      <w:r>
        <w:rPr>
          <w:rFonts w:ascii="宋体" w:hAnsi="宋体" w:eastAsia="宋体" w:cs="宋体"/>
          <w:i/>
          <w:iCs/>
          <w:strike/>
          <w:dstrike w:val="0"/>
          <w:color w:val="auto"/>
          <w:spacing w:val="-4"/>
          <w:sz w:val="25"/>
          <w:szCs w:val="25"/>
          <w:highlight w:val="none"/>
        </w:rPr>
        <w:t>□抽签抽取或报价低者（报价相同时抽签抽取</w:t>
      </w:r>
      <w:r>
        <w:rPr>
          <w:rFonts w:ascii="Times New Roman" w:hAnsi="Times New Roman" w:eastAsia="Times New Roman" w:cs="Times New Roman"/>
          <w:i/>
          <w:iCs/>
          <w:strike/>
          <w:dstrike w:val="0"/>
          <w:color w:val="auto"/>
          <w:spacing w:val="-4"/>
          <w:sz w:val="24"/>
          <w:szCs w:val="24"/>
          <w:highlight w:val="none"/>
        </w:rPr>
        <w:t>1</w:t>
      </w:r>
      <w:r>
        <w:rPr>
          <w:rFonts w:ascii="宋体" w:hAnsi="宋体" w:eastAsia="宋体" w:cs="宋体"/>
          <w:i/>
          <w:iCs/>
          <w:strike/>
          <w:dstrike w:val="0"/>
          <w:color w:val="auto"/>
          <w:spacing w:val="-4"/>
          <w:sz w:val="25"/>
          <w:szCs w:val="25"/>
          <w:highlight w:val="none"/>
        </w:rPr>
        <w:t>个中标</w:t>
      </w:r>
      <w:r>
        <w:rPr>
          <w:rFonts w:ascii="宋体" w:hAnsi="宋体" w:eastAsia="宋体" w:cs="宋体"/>
          <w:strike/>
          <w:dstrike w:val="0"/>
          <w:color w:val="auto"/>
          <w:spacing w:val="10"/>
          <w:sz w:val="25"/>
          <w:szCs w:val="25"/>
          <w:highlight w:val="none"/>
        </w:rPr>
        <w:t xml:space="preserve"> </w:t>
      </w:r>
      <w:r>
        <w:rPr>
          <w:rFonts w:ascii="宋体" w:hAnsi="宋体" w:eastAsia="宋体" w:cs="宋体"/>
          <w:i/>
          <w:iCs/>
          <w:strike/>
          <w:dstrike w:val="0"/>
          <w:color w:val="auto"/>
          <w:spacing w:val="-9"/>
          <w:sz w:val="25"/>
          <w:szCs w:val="25"/>
          <w:highlight w:val="none"/>
        </w:rPr>
        <w:t>候选人）□由招标人法定代表人或其委托代表直接确定</w:t>
      </w:r>
      <w:r>
        <w:rPr>
          <w:rFonts w:ascii="宋体" w:hAnsi="宋体" w:eastAsia="宋体" w:cs="宋体"/>
          <w:strike/>
          <w:dstrike w:val="0"/>
          <w:color w:val="auto"/>
          <w:spacing w:val="-9"/>
          <w:sz w:val="24"/>
          <w:szCs w:val="24"/>
          <w:highlight w:val="none"/>
        </w:rPr>
        <w:t>最终的中标人。</w:t>
      </w:r>
    </w:p>
    <w:p w14:paraId="4A509AEA">
      <w:pPr>
        <w:spacing w:before="177" w:line="220" w:lineRule="auto"/>
        <w:ind w:left="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7"/>
          <w:sz w:val="24"/>
          <w:szCs w:val="24"/>
          <w:highlight w:val="none"/>
        </w:rPr>
        <w:t>□票决抽签法：</w:t>
      </w:r>
    </w:p>
    <w:p w14:paraId="41EFA639">
      <w:pPr>
        <w:spacing w:before="182" w:line="284" w:lineRule="auto"/>
        <w:ind w:right="96" w:firstLine="52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票决抽签法一：定标委员会在进入投票范围的中标候选人中，以每人投票支持</w:t>
      </w:r>
      <w:r>
        <w:rPr>
          <w:rFonts w:ascii="宋体" w:hAnsi="宋体" w:eastAsia="宋体" w:cs="宋体"/>
          <w:strike/>
          <w:dstrike w:val="0"/>
          <w:color w:val="auto"/>
          <w:sz w:val="24"/>
          <w:szCs w:val="24"/>
          <w:highlight w:val="none"/>
        </w:rPr>
        <w:t xml:space="preserve"> </w:t>
      </w:r>
      <w:r>
        <w:rPr>
          <w:rFonts w:ascii="Times New Roman" w:hAnsi="Times New Roman" w:eastAsia="Times New Roman" w:cs="Times New Roman"/>
          <w:i/>
          <w:iCs/>
          <w:strike/>
          <w:dstrike w:val="0"/>
          <w:color w:val="auto"/>
          <w:spacing w:val="-3"/>
          <w:sz w:val="24"/>
          <w:szCs w:val="24"/>
          <w:highlight w:val="none"/>
          <w:u w:val="single" w:color="auto"/>
        </w:rPr>
        <w:t>N</w:t>
      </w:r>
      <w:r>
        <w:rPr>
          <w:rFonts w:ascii="Times New Roman" w:hAnsi="Times New Roman" w:eastAsia="Times New Roman" w:cs="Times New Roman"/>
          <w:i/>
          <w:iCs/>
          <w:strike/>
          <w:dstrike w:val="0"/>
          <w:color w:val="auto"/>
          <w:spacing w:val="47"/>
          <w:w w:val="101"/>
          <w:sz w:val="24"/>
          <w:szCs w:val="24"/>
          <w:highlight w:val="none"/>
          <w:u w:val="single" w:color="auto"/>
        </w:rPr>
        <w:t xml:space="preserve"> </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i/>
          <w:iCs/>
          <w:strike/>
          <w:dstrike w:val="0"/>
          <w:color w:val="auto"/>
          <w:spacing w:val="-3"/>
          <w:sz w:val="25"/>
          <w:szCs w:val="25"/>
          <w:highlight w:val="none"/>
          <w:u w:val="single" w:color="auto"/>
        </w:rPr>
        <w:t>≥</w:t>
      </w:r>
      <w:r>
        <w:rPr>
          <w:rFonts w:ascii="Times New Roman" w:hAnsi="Times New Roman" w:eastAsia="Times New Roman" w:cs="Times New Roman"/>
          <w:i/>
          <w:iCs/>
          <w:strike/>
          <w:dstrike w:val="0"/>
          <w:color w:val="auto"/>
          <w:spacing w:val="-3"/>
          <w:sz w:val="24"/>
          <w:szCs w:val="24"/>
          <w:highlight w:val="none"/>
          <w:u w:val="single" w:color="auto"/>
        </w:rPr>
        <w:t>3</w:t>
      </w:r>
      <w:r>
        <w:rPr>
          <w:rFonts w:ascii="宋体" w:hAnsi="宋体" w:eastAsia="宋体" w:cs="宋体"/>
          <w:i/>
          <w:iCs/>
          <w:strike/>
          <w:dstrike w:val="0"/>
          <w:color w:val="auto"/>
          <w:spacing w:val="-3"/>
          <w:sz w:val="25"/>
          <w:szCs w:val="25"/>
          <w:highlight w:val="none"/>
          <w:u w:val="single" w:color="auto"/>
        </w:rPr>
        <w:t>）</w:t>
      </w:r>
      <w:r>
        <w:rPr>
          <w:rFonts w:ascii="宋体" w:hAnsi="宋体" w:eastAsia="宋体" w:cs="宋体"/>
          <w:strike/>
          <w:dstrike w:val="0"/>
          <w:color w:val="auto"/>
          <w:spacing w:val="-3"/>
          <w:sz w:val="24"/>
          <w:szCs w:val="24"/>
          <w:highlight w:val="none"/>
        </w:rPr>
        <w:t>个中标候选人的方式，得票较多的</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strike/>
          <w:dstrike w:val="0"/>
          <w:color w:val="auto"/>
          <w:spacing w:val="-3"/>
          <w:sz w:val="24"/>
          <w:szCs w:val="24"/>
          <w:highlight w:val="none"/>
        </w:rPr>
        <w:t>个中标候选人（最终得票均须超过半</w:t>
      </w:r>
    </w:p>
    <w:p w14:paraId="1D4951BB">
      <w:pPr>
        <w:spacing w:line="284"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D99A041">
      <w:pPr>
        <w:spacing w:before="49" w:line="346" w:lineRule="auto"/>
        <w:ind w:firstLine="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数）进入抽签环节，中标候选人数量不足时全部进入。投票过程中出现票数相同时，</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6"/>
          <w:sz w:val="24"/>
          <w:szCs w:val="24"/>
          <w:highlight w:val="none"/>
        </w:rPr>
        <w:t>则采用</w:t>
      </w:r>
      <w:r>
        <w:rPr>
          <w:rFonts w:ascii="宋体" w:hAnsi="宋体" w:eastAsia="宋体" w:cs="宋体"/>
          <w:i/>
          <w:iCs/>
          <w:strike/>
          <w:dstrike w:val="0"/>
          <w:color w:val="auto"/>
          <w:spacing w:val="-6"/>
          <w:sz w:val="25"/>
          <w:szCs w:val="25"/>
          <w:highlight w:val="none"/>
        </w:rPr>
        <w:t>□抽签抽取□报价低者（报价相同时抽签</w:t>
      </w:r>
      <w:r>
        <w:rPr>
          <w:rFonts w:ascii="宋体" w:hAnsi="宋体" w:eastAsia="宋体" w:cs="宋体"/>
          <w:i/>
          <w:iCs/>
          <w:strike/>
          <w:dstrike w:val="0"/>
          <w:color w:val="auto"/>
          <w:spacing w:val="-7"/>
          <w:sz w:val="25"/>
          <w:szCs w:val="25"/>
          <w:highlight w:val="none"/>
        </w:rPr>
        <w:t>抽取</w:t>
      </w:r>
      <w:r>
        <w:rPr>
          <w:rFonts w:ascii="Times New Roman" w:hAnsi="Times New Roman" w:eastAsia="Times New Roman" w:cs="Times New Roman"/>
          <w:i/>
          <w:iCs/>
          <w:strike/>
          <w:dstrike w:val="0"/>
          <w:color w:val="auto"/>
          <w:spacing w:val="-7"/>
          <w:sz w:val="24"/>
          <w:szCs w:val="24"/>
          <w:highlight w:val="none"/>
        </w:rPr>
        <w:t>1</w:t>
      </w:r>
      <w:r>
        <w:rPr>
          <w:rFonts w:ascii="宋体" w:hAnsi="宋体" w:eastAsia="宋体" w:cs="宋体"/>
          <w:i/>
          <w:iCs/>
          <w:strike/>
          <w:dstrike w:val="0"/>
          <w:color w:val="auto"/>
          <w:spacing w:val="-7"/>
          <w:sz w:val="25"/>
          <w:szCs w:val="25"/>
          <w:highlight w:val="none"/>
        </w:rPr>
        <w:t>个中标候选人）□由招标人法</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5"/>
          <w:sz w:val="25"/>
          <w:szCs w:val="25"/>
          <w:highlight w:val="none"/>
        </w:rPr>
        <w:t>定代表人或其委托代表直接确定</w:t>
      </w:r>
      <w:r>
        <w:rPr>
          <w:rFonts w:ascii="Times New Roman" w:hAnsi="Times New Roman" w:eastAsia="Times New Roman" w:cs="Times New Roman"/>
          <w:i/>
          <w:iCs/>
          <w:strike/>
          <w:dstrike w:val="0"/>
          <w:color w:val="auto"/>
          <w:spacing w:val="-5"/>
          <w:sz w:val="24"/>
          <w:szCs w:val="24"/>
          <w:highlight w:val="none"/>
        </w:rPr>
        <w:t>1</w:t>
      </w:r>
      <w:r>
        <w:rPr>
          <w:rFonts w:ascii="宋体" w:hAnsi="宋体" w:eastAsia="宋体" w:cs="宋体"/>
          <w:i/>
          <w:iCs/>
          <w:strike/>
          <w:dstrike w:val="0"/>
          <w:color w:val="auto"/>
          <w:spacing w:val="-5"/>
          <w:sz w:val="25"/>
          <w:szCs w:val="25"/>
          <w:highlight w:val="none"/>
        </w:rPr>
        <w:t>个中标候选人</w:t>
      </w:r>
      <w:r>
        <w:rPr>
          <w:rFonts w:ascii="宋体" w:hAnsi="宋体" w:eastAsia="宋体" w:cs="宋体"/>
          <w:strike/>
          <w:dstrike w:val="0"/>
          <w:color w:val="auto"/>
          <w:spacing w:val="-5"/>
          <w:sz w:val="24"/>
          <w:szCs w:val="24"/>
          <w:highlight w:val="none"/>
        </w:rPr>
        <w:t>的方式确定进入抽签范围的中标</w:t>
      </w:r>
      <w:r>
        <w:rPr>
          <w:rFonts w:hint="eastAsia" w:ascii="宋体" w:hAnsi="宋体" w:eastAsia="宋体" w:cs="宋体"/>
          <w:strike/>
          <w:dstrike w:val="0"/>
          <w:color w:val="auto"/>
          <w:spacing w:val="-5"/>
          <w:sz w:val="24"/>
          <w:szCs w:val="24"/>
          <w:highlight w:val="none"/>
          <w:lang w:eastAsia="zh-CN"/>
        </w:rPr>
        <w:t>候选人</w:t>
      </w:r>
      <w:r>
        <w:rPr>
          <w:rFonts w:ascii="宋体" w:hAnsi="宋体" w:eastAsia="宋体" w:cs="宋体"/>
          <w:strike/>
          <w:dstrike w:val="0"/>
          <w:color w:val="auto"/>
          <w:spacing w:val="-10"/>
          <w:sz w:val="24"/>
          <w:szCs w:val="24"/>
          <w:highlight w:val="none"/>
        </w:rPr>
        <w:t>。</w:t>
      </w:r>
    </w:p>
    <w:p w14:paraId="3463EC71">
      <w:pPr>
        <w:spacing w:before="30" w:line="355" w:lineRule="auto"/>
        <w:ind w:left="6" w:right="2" w:firstLine="494"/>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当得票超过半数的中标候选人数量不足</w:t>
      </w:r>
      <w:r>
        <w:rPr>
          <w:rFonts w:ascii="Times New Roman" w:hAnsi="Times New Roman" w:eastAsia="Times New Roman" w:cs="Times New Roman"/>
          <w:strike/>
          <w:dstrike w:val="0"/>
          <w:color w:val="auto"/>
          <w:spacing w:val="-1"/>
          <w:sz w:val="24"/>
          <w:szCs w:val="24"/>
          <w:highlight w:val="none"/>
        </w:rPr>
        <w:t>N</w:t>
      </w:r>
      <w:r>
        <w:rPr>
          <w:rFonts w:ascii="宋体" w:hAnsi="宋体" w:eastAsia="宋体" w:cs="宋体"/>
          <w:strike/>
          <w:dstrike w:val="0"/>
          <w:color w:val="auto"/>
          <w:spacing w:val="-1"/>
          <w:sz w:val="24"/>
          <w:szCs w:val="24"/>
          <w:highlight w:val="none"/>
        </w:rPr>
        <w:t>时</w:t>
      </w:r>
      <w:r>
        <w:rPr>
          <w:rFonts w:ascii="宋体" w:hAnsi="宋体" w:eastAsia="宋体" w:cs="宋体"/>
          <w:strike/>
          <w:dstrike w:val="0"/>
          <w:color w:val="auto"/>
          <w:spacing w:val="-2"/>
          <w:sz w:val="24"/>
          <w:szCs w:val="24"/>
          <w:highlight w:val="none"/>
        </w:rPr>
        <w:t>（假设此时得票超过半数中标候选人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数量为</w:t>
      </w:r>
      <w:r>
        <w:rPr>
          <w:rFonts w:ascii="Times New Roman" w:hAnsi="Times New Roman" w:eastAsia="Times New Roman" w:cs="Times New Roman"/>
          <w:strike/>
          <w:dstrike w:val="0"/>
          <w:color w:val="auto"/>
          <w:spacing w:val="-3"/>
          <w:sz w:val="24"/>
          <w:szCs w:val="24"/>
          <w:highlight w:val="none"/>
        </w:rPr>
        <w:t>n</w:t>
      </w:r>
      <w:r>
        <w:rPr>
          <w:rFonts w:ascii="宋体" w:hAnsi="宋体" w:eastAsia="宋体" w:cs="宋体"/>
          <w:strike/>
          <w:dstrike w:val="0"/>
          <w:color w:val="auto"/>
          <w:spacing w:val="-25"/>
          <w:sz w:val="24"/>
          <w:szCs w:val="24"/>
          <w:highlight w:val="none"/>
        </w:rPr>
        <w:t>），</w:t>
      </w:r>
      <w:r>
        <w:rPr>
          <w:rFonts w:ascii="宋体" w:hAnsi="宋体" w:eastAsia="宋体" w:cs="宋体"/>
          <w:strike/>
          <w:dstrike w:val="0"/>
          <w:color w:val="auto"/>
          <w:spacing w:val="-3"/>
          <w:sz w:val="24"/>
          <w:szCs w:val="24"/>
          <w:highlight w:val="none"/>
        </w:rPr>
        <w:t>按照前一轮得票数量由多到少的顺序，在得票未过半数的中标候选人中，</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pacing w:val="-4"/>
          <w:sz w:val="24"/>
          <w:szCs w:val="24"/>
          <w:highlight w:val="none"/>
        </w:rPr>
        <w:t>取“</w:t>
      </w:r>
      <w:r>
        <w:rPr>
          <w:rFonts w:ascii="Times New Roman" w:hAnsi="Times New Roman" w:eastAsia="Times New Roman" w:cs="Times New Roman"/>
          <w:strike/>
          <w:dstrike w:val="0"/>
          <w:color w:val="auto"/>
          <w:spacing w:val="-4"/>
          <w:sz w:val="24"/>
          <w:szCs w:val="24"/>
          <w:highlight w:val="none"/>
        </w:rPr>
        <w:t>N-n+2</w:t>
      </w:r>
      <w:r>
        <w:rPr>
          <w:rFonts w:ascii="宋体" w:hAnsi="宋体" w:eastAsia="宋体" w:cs="宋体"/>
          <w:strike/>
          <w:dstrike w:val="0"/>
          <w:color w:val="auto"/>
          <w:spacing w:val="-4"/>
          <w:sz w:val="24"/>
          <w:szCs w:val="24"/>
          <w:highlight w:val="none"/>
        </w:rPr>
        <w:t>”个中标候选人进行二次投票（在取第“</w:t>
      </w:r>
      <w:r>
        <w:rPr>
          <w:rFonts w:ascii="Times New Roman" w:hAnsi="Times New Roman" w:eastAsia="Times New Roman" w:cs="Times New Roman"/>
          <w:strike/>
          <w:dstrike w:val="0"/>
          <w:color w:val="auto"/>
          <w:spacing w:val="-4"/>
          <w:sz w:val="24"/>
          <w:szCs w:val="24"/>
          <w:highlight w:val="none"/>
        </w:rPr>
        <w:t>N-n+2</w:t>
      </w:r>
      <w:r>
        <w:rPr>
          <w:rFonts w:ascii="宋体" w:hAnsi="宋体" w:eastAsia="宋体" w:cs="宋体"/>
          <w:strike/>
          <w:dstrike w:val="0"/>
          <w:color w:val="auto"/>
          <w:spacing w:val="-4"/>
          <w:sz w:val="24"/>
          <w:szCs w:val="24"/>
          <w:highlight w:val="none"/>
        </w:rPr>
        <w:t>”个中标候选人时出现同票</w:t>
      </w:r>
      <w:r>
        <w:rPr>
          <w:rFonts w:ascii="宋体" w:hAnsi="宋体" w:eastAsia="宋体" w:cs="宋体"/>
          <w:strike/>
          <w:dstrike w:val="0"/>
          <w:color w:val="auto"/>
          <w:spacing w:val="8"/>
          <w:sz w:val="24"/>
          <w:szCs w:val="24"/>
          <w:highlight w:val="none"/>
        </w:rPr>
        <w:t xml:space="preserve"> </w:t>
      </w:r>
      <w:r>
        <w:rPr>
          <w:rFonts w:ascii="宋体" w:hAnsi="宋体" w:eastAsia="宋体" w:cs="宋体"/>
          <w:strike/>
          <w:dstrike w:val="0"/>
          <w:color w:val="auto"/>
          <w:spacing w:val="-1"/>
          <w:sz w:val="24"/>
          <w:szCs w:val="24"/>
          <w:highlight w:val="none"/>
        </w:rPr>
        <w:t>的，一并进入二次投票；当“</w:t>
      </w:r>
      <w:r>
        <w:rPr>
          <w:rFonts w:ascii="Times New Roman" w:hAnsi="Times New Roman" w:eastAsia="Times New Roman" w:cs="Times New Roman"/>
          <w:strike/>
          <w:dstrike w:val="0"/>
          <w:color w:val="auto"/>
          <w:spacing w:val="-1"/>
          <w:sz w:val="24"/>
          <w:szCs w:val="24"/>
          <w:highlight w:val="none"/>
        </w:rPr>
        <w:t>N-n+2</w:t>
      </w:r>
      <w:r>
        <w:rPr>
          <w:rFonts w:ascii="Times New Roman" w:hAnsi="Times New Roman" w:eastAsia="Times New Roman" w:cs="Times New Roman"/>
          <w:strike/>
          <w:dstrike w:val="0"/>
          <w:color w:val="auto"/>
          <w:spacing w:val="-28"/>
          <w:sz w:val="24"/>
          <w:szCs w:val="24"/>
          <w:highlight w:val="none"/>
        </w:rPr>
        <w:t xml:space="preserve"> </w:t>
      </w:r>
      <w:r>
        <w:rPr>
          <w:rFonts w:ascii="宋体" w:hAnsi="宋体" w:eastAsia="宋体" w:cs="宋体"/>
          <w:strike/>
          <w:dstrike w:val="0"/>
          <w:color w:val="auto"/>
          <w:spacing w:val="-1"/>
          <w:sz w:val="24"/>
          <w:szCs w:val="24"/>
          <w:highlight w:val="none"/>
        </w:rPr>
        <w:t>”≥得票未超过半数“中标候选人”</w:t>
      </w:r>
      <w:r>
        <w:rPr>
          <w:rFonts w:ascii="宋体" w:hAnsi="宋体" w:eastAsia="宋体" w:cs="宋体"/>
          <w:strike/>
          <w:dstrike w:val="0"/>
          <w:color w:val="auto"/>
          <w:spacing w:val="-2"/>
          <w:sz w:val="24"/>
          <w:szCs w:val="24"/>
          <w:highlight w:val="none"/>
        </w:rPr>
        <w:t>时，则得票</w:t>
      </w:r>
      <w:r>
        <w:rPr>
          <w:rFonts w:ascii="宋体" w:hAnsi="宋体" w:eastAsia="宋体" w:cs="宋体"/>
          <w:strike/>
          <w:dstrike w:val="0"/>
          <w:color w:val="auto"/>
          <w:sz w:val="24"/>
          <w:szCs w:val="24"/>
          <w:highlight w:val="none"/>
        </w:rPr>
        <w:t xml:space="preserve"> 未超过半数的“中标候选人”全部进入二次投票），以每人投票支持“</w:t>
      </w:r>
      <w:r>
        <w:rPr>
          <w:rFonts w:ascii="Times New Roman" w:hAnsi="Times New Roman" w:eastAsia="Times New Roman" w:cs="Times New Roman"/>
          <w:strike/>
          <w:dstrike w:val="0"/>
          <w:color w:val="auto"/>
          <w:sz w:val="24"/>
          <w:szCs w:val="24"/>
          <w:highlight w:val="none"/>
        </w:rPr>
        <w:t>N-n</w:t>
      </w:r>
      <w:r>
        <w:rPr>
          <w:rFonts w:ascii="宋体" w:hAnsi="宋体" w:eastAsia="宋体" w:cs="宋体"/>
          <w:strike/>
          <w:dstrike w:val="0"/>
          <w:color w:val="auto"/>
          <w:sz w:val="24"/>
          <w:szCs w:val="24"/>
          <w:highlight w:val="none"/>
        </w:rPr>
        <w:t>”个中标</w:t>
      </w:r>
      <w:r>
        <w:rPr>
          <w:rFonts w:ascii="宋体" w:hAnsi="宋体" w:eastAsia="宋体" w:cs="宋体"/>
          <w:strike/>
          <w:dstrike w:val="0"/>
          <w:color w:val="auto"/>
          <w:spacing w:val="1"/>
          <w:sz w:val="24"/>
          <w:szCs w:val="24"/>
          <w:highlight w:val="none"/>
        </w:rPr>
        <w:t xml:space="preserve"> 候选人，直至确定</w:t>
      </w:r>
      <w:r>
        <w:rPr>
          <w:rFonts w:ascii="Times New Roman" w:hAnsi="Times New Roman" w:eastAsia="Times New Roman" w:cs="Times New Roman"/>
          <w:strike/>
          <w:dstrike w:val="0"/>
          <w:color w:val="auto"/>
          <w:spacing w:val="1"/>
          <w:sz w:val="24"/>
          <w:szCs w:val="24"/>
          <w:highlight w:val="none"/>
        </w:rPr>
        <w:t>N</w:t>
      </w:r>
      <w:r>
        <w:rPr>
          <w:rFonts w:ascii="宋体" w:hAnsi="宋体" w:eastAsia="宋体" w:cs="宋体"/>
          <w:strike/>
          <w:dstrike w:val="0"/>
          <w:color w:val="auto"/>
          <w:spacing w:val="1"/>
          <w:sz w:val="24"/>
          <w:szCs w:val="24"/>
          <w:highlight w:val="none"/>
        </w:rPr>
        <w:t>个得票超过半数的中标候选人为止。定标委</w:t>
      </w:r>
      <w:r>
        <w:rPr>
          <w:rFonts w:ascii="宋体" w:hAnsi="宋体" w:eastAsia="宋体" w:cs="宋体"/>
          <w:strike/>
          <w:dstrike w:val="0"/>
          <w:color w:val="auto"/>
          <w:sz w:val="24"/>
          <w:szCs w:val="24"/>
          <w:highlight w:val="none"/>
        </w:rPr>
        <w:t>员会在上述</w:t>
      </w:r>
      <w:r>
        <w:rPr>
          <w:rFonts w:ascii="Times New Roman" w:hAnsi="Times New Roman" w:eastAsia="Times New Roman" w:cs="Times New Roman"/>
          <w:strike/>
          <w:dstrike w:val="0"/>
          <w:color w:val="auto"/>
          <w:sz w:val="24"/>
          <w:szCs w:val="24"/>
          <w:highlight w:val="none"/>
        </w:rPr>
        <w:t>N</w:t>
      </w:r>
      <w:r>
        <w:rPr>
          <w:rFonts w:ascii="宋体" w:hAnsi="宋体" w:eastAsia="宋体" w:cs="宋体"/>
          <w:strike/>
          <w:dstrike w:val="0"/>
          <w:color w:val="auto"/>
          <w:sz w:val="24"/>
          <w:szCs w:val="24"/>
          <w:highlight w:val="none"/>
        </w:rPr>
        <w:t xml:space="preserve">个中标 </w:t>
      </w:r>
      <w:r>
        <w:rPr>
          <w:rFonts w:ascii="宋体" w:hAnsi="宋体" w:eastAsia="宋体" w:cs="宋体"/>
          <w:strike/>
          <w:dstrike w:val="0"/>
          <w:color w:val="auto"/>
          <w:spacing w:val="-3"/>
          <w:sz w:val="24"/>
          <w:szCs w:val="24"/>
          <w:highlight w:val="none"/>
        </w:rPr>
        <w:t>候选人中随机抽签确定中标人。</w:t>
      </w:r>
    </w:p>
    <w:p w14:paraId="08180553">
      <w:pPr>
        <w:spacing w:before="37" w:line="335" w:lineRule="auto"/>
        <w:ind w:left="5" w:right="19" w:firstLine="506"/>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票决抽签法二：定标委员会对全部中标候选人采取逐轮逆淘汰方式表决。原则</w:t>
      </w:r>
      <w:r>
        <w:rPr>
          <w:rFonts w:ascii="宋体" w:hAnsi="宋体" w:eastAsia="宋体" w:cs="宋体"/>
          <w:strike/>
          <w:dstrike w:val="0"/>
          <w:color w:val="auto"/>
          <w:spacing w:val="9"/>
          <w:sz w:val="24"/>
          <w:szCs w:val="24"/>
          <w:highlight w:val="none"/>
        </w:rPr>
        <w:t xml:space="preserve"> </w:t>
      </w:r>
      <w:r>
        <w:rPr>
          <w:rFonts w:ascii="宋体" w:hAnsi="宋体" w:eastAsia="宋体" w:cs="宋体"/>
          <w:strike/>
          <w:dstrike w:val="0"/>
          <w:color w:val="auto"/>
          <w:spacing w:val="-6"/>
          <w:sz w:val="24"/>
          <w:szCs w:val="24"/>
          <w:highlight w:val="none"/>
        </w:rPr>
        <w:t>上逐轮淘汰</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名中标候选人。各轮投票时， 每人投</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个淘汰单位，该轮得票最多的中标</w:t>
      </w:r>
      <w:r>
        <w:rPr>
          <w:rFonts w:ascii="宋体" w:hAnsi="宋体" w:eastAsia="宋体" w:cs="宋体"/>
          <w:strike/>
          <w:dstrike w:val="0"/>
          <w:color w:val="auto"/>
          <w:spacing w:val="12"/>
          <w:sz w:val="24"/>
          <w:szCs w:val="24"/>
          <w:highlight w:val="none"/>
        </w:rPr>
        <w:t xml:space="preserve"> </w:t>
      </w:r>
      <w:r>
        <w:rPr>
          <w:rFonts w:ascii="宋体" w:hAnsi="宋体" w:eastAsia="宋体" w:cs="宋体"/>
          <w:strike/>
          <w:dstrike w:val="0"/>
          <w:color w:val="auto"/>
          <w:spacing w:val="-4"/>
          <w:sz w:val="24"/>
          <w:szCs w:val="24"/>
          <w:highlight w:val="none"/>
        </w:rPr>
        <w:t>候选人被淘汰。得票最多的中标候选人不止</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个时，一并加以淘汰，但必须确保</w:t>
      </w:r>
      <w:r>
        <w:rPr>
          <w:rFonts w:ascii="Times New Roman" w:hAnsi="Times New Roman" w:eastAsia="Times New Roman" w:cs="Times New Roman"/>
          <w:i/>
          <w:iCs/>
          <w:strike/>
          <w:dstrike w:val="0"/>
          <w:color w:val="auto"/>
          <w:spacing w:val="-4"/>
          <w:sz w:val="24"/>
          <w:szCs w:val="24"/>
          <w:highlight w:val="none"/>
          <w:u w:val="single" w:color="auto"/>
        </w:rPr>
        <w:t>N</w:t>
      </w:r>
      <w:r>
        <w:rPr>
          <w:rFonts w:ascii="宋体" w:hAnsi="宋体" w:eastAsia="宋体" w:cs="宋体"/>
          <w:strike/>
          <w:dstrike w:val="0"/>
          <w:color w:val="auto"/>
          <w:spacing w:val="-4"/>
          <w:sz w:val="24"/>
          <w:szCs w:val="24"/>
          <w:highlight w:val="none"/>
        </w:rPr>
        <w:t>个中</w:t>
      </w:r>
      <w:r>
        <w:rPr>
          <w:rFonts w:ascii="宋体" w:hAnsi="宋体" w:eastAsia="宋体" w:cs="宋体"/>
          <w:strike/>
          <w:dstrike w:val="0"/>
          <w:color w:val="auto"/>
          <w:spacing w:val="10"/>
          <w:sz w:val="24"/>
          <w:szCs w:val="24"/>
          <w:highlight w:val="none"/>
        </w:rPr>
        <w:t xml:space="preserve"> </w:t>
      </w:r>
      <w:r>
        <w:rPr>
          <w:rFonts w:ascii="宋体" w:hAnsi="宋体" w:eastAsia="宋体" w:cs="宋体"/>
          <w:strike/>
          <w:dstrike w:val="0"/>
          <w:color w:val="auto"/>
          <w:spacing w:val="-1"/>
          <w:sz w:val="24"/>
          <w:szCs w:val="24"/>
          <w:highlight w:val="none"/>
        </w:rPr>
        <w:t>标候选人，剩余的中标候选人进入下一轮淘汰投票，最终确定</w:t>
      </w:r>
      <w:r>
        <w:rPr>
          <w:rFonts w:ascii="Times New Roman" w:hAnsi="Times New Roman" w:eastAsia="Times New Roman" w:cs="Times New Roman"/>
          <w:i/>
          <w:iCs/>
          <w:strike/>
          <w:dstrike w:val="0"/>
          <w:color w:val="auto"/>
          <w:spacing w:val="-1"/>
          <w:sz w:val="24"/>
          <w:szCs w:val="24"/>
          <w:highlight w:val="none"/>
          <w:u w:val="single" w:color="auto"/>
        </w:rPr>
        <w:t>N</w:t>
      </w:r>
      <w:r>
        <w:rPr>
          <w:rFonts w:ascii="宋体" w:hAnsi="宋体" w:eastAsia="宋体" w:cs="宋体"/>
          <w:strike/>
          <w:dstrike w:val="0"/>
          <w:color w:val="auto"/>
          <w:spacing w:val="-1"/>
          <w:sz w:val="24"/>
          <w:szCs w:val="24"/>
          <w:highlight w:val="none"/>
        </w:rPr>
        <w:t>个中标候选人。在最</w:t>
      </w:r>
      <w:r>
        <w:rPr>
          <w:rFonts w:ascii="宋体" w:hAnsi="宋体" w:eastAsia="宋体" w:cs="宋体"/>
          <w:strike/>
          <w:dstrike w:val="0"/>
          <w:color w:val="auto"/>
          <w:spacing w:val="12"/>
          <w:sz w:val="24"/>
          <w:szCs w:val="24"/>
          <w:highlight w:val="none"/>
        </w:rPr>
        <w:t xml:space="preserve"> </w:t>
      </w:r>
      <w:r>
        <w:rPr>
          <w:rFonts w:ascii="宋体" w:hAnsi="宋体" w:eastAsia="宋体" w:cs="宋体"/>
          <w:strike/>
          <w:dstrike w:val="0"/>
          <w:color w:val="auto"/>
          <w:spacing w:val="-3"/>
          <w:sz w:val="24"/>
          <w:szCs w:val="24"/>
          <w:highlight w:val="none"/>
        </w:rPr>
        <w:t>终确定第</w:t>
      </w:r>
      <w:r>
        <w:rPr>
          <w:rFonts w:ascii="Times New Roman" w:hAnsi="Times New Roman" w:eastAsia="Times New Roman" w:cs="Times New Roman"/>
          <w:i/>
          <w:iCs/>
          <w:strike/>
          <w:dstrike w:val="0"/>
          <w:color w:val="auto"/>
          <w:spacing w:val="-3"/>
          <w:sz w:val="24"/>
          <w:szCs w:val="24"/>
          <w:highlight w:val="none"/>
          <w:u w:val="single" w:color="auto"/>
        </w:rPr>
        <w:t>N</w:t>
      </w:r>
      <w:r>
        <w:rPr>
          <w:rFonts w:ascii="宋体" w:hAnsi="宋体" w:eastAsia="宋体" w:cs="宋体"/>
          <w:strike/>
          <w:dstrike w:val="0"/>
          <w:color w:val="auto"/>
          <w:spacing w:val="-3"/>
          <w:sz w:val="24"/>
          <w:szCs w:val="24"/>
          <w:highlight w:val="none"/>
        </w:rPr>
        <w:t>个中标候选人时如果出现同票的，则采用</w:t>
      </w:r>
      <w:r>
        <w:rPr>
          <w:rFonts w:ascii="宋体" w:hAnsi="宋体" w:eastAsia="宋体" w:cs="宋体"/>
          <w:i/>
          <w:iCs/>
          <w:strike/>
          <w:dstrike w:val="0"/>
          <w:color w:val="auto"/>
          <w:spacing w:val="-3"/>
          <w:sz w:val="25"/>
          <w:szCs w:val="25"/>
          <w:highlight w:val="none"/>
        </w:rPr>
        <w:t>□抽签抽取□报价低者（报</w:t>
      </w:r>
      <w:r>
        <w:rPr>
          <w:rFonts w:ascii="宋体" w:hAnsi="宋体" w:eastAsia="宋体" w:cs="宋体"/>
          <w:i/>
          <w:iCs/>
          <w:strike/>
          <w:dstrike w:val="0"/>
          <w:color w:val="auto"/>
          <w:spacing w:val="-4"/>
          <w:sz w:val="25"/>
          <w:szCs w:val="25"/>
          <w:highlight w:val="none"/>
        </w:rPr>
        <w:t>价相</w:t>
      </w:r>
      <w:r>
        <w:rPr>
          <w:rFonts w:ascii="宋体" w:hAnsi="宋体" w:eastAsia="宋体" w:cs="宋体"/>
          <w:strike/>
          <w:dstrike w:val="0"/>
          <w:color w:val="auto"/>
          <w:sz w:val="25"/>
          <w:szCs w:val="25"/>
          <w:highlight w:val="none"/>
        </w:rPr>
        <w:t xml:space="preserve"> </w:t>
      </w:r>
      <w:r>
        <w:rPr>
          <w:rFonts w:ascii="宋体" w:hAnsi="宋体" w:eastAsia="宋体" w:cs="宋体"/>
          <w:i/>
          <w:iCs/>
          <w:strike/>
          <w:dstrike w:val="0"/>
          <w:color w:val="auto"/>
          <w:spacing w:val="-8"/>
          <w:sz w:val="25"/>
          <w:szCs w:val="25"/>
          <w:highlight w:val="none"/>
        </w:rPr>
        <w:t>同时抽签抽取</w:t>
      </w:r>
      <w:r>
        <w:rPr>
          <w:rFonts w:ascii="Times New Roman" w:hAnsi="Times New Roman" w:eastAsia="Times New Roman" w:cs="Times New Roman"/>
          <w:i/>
          <w:iCs/>
          <w:strike/>
          <w:dstrike w:val="0"/>
          <w:color w:val="auto"/>
          <w:spacing w:val="-8"/>
          <w:sz w:val="24"/>
          <w:szCs w:val="24"/>
          <w:highlight w:val="none"/>
        </w:rPr>
        <w:t>1</w:t>
      </w:r>
      <w:r>
        <w:rPr>
          <w:rFonts w:ascii="宋体" w:hAnsi="宋体" w:eastAsia="宋体" w:cs="宋体"/>
          <w:i/>
          <w:iCs/>
          <w:strike/>
          <w:dstrike w:val="0"/>
          <w:color w:val="auto"/>
          <w:spacing w:val="-8"/>
          <w:sz w:val="25"/>
          <w:szCs w:val="25"/>
          <w:highlight w:val="none"/>
        </w:rPr>
        <w:t>个中标候选人）□由招标人法定代表人或其委托代表直接确定</w:t>
      </w:r>
      <w:r>
        <w:rPr>
          <w:rFonts w:ascii="宋体" w:hAnsi="宋体" w:eastAsia="宋体" w:cs="宋体"/>
          <w:strike/>
          <w:dstrike w:val="0"/>
          <w:color w:val="auto"/>
          <w:spacing w:val="-8"/>
          <w:sz w:val="24"/>
          <w:szCs w:val="24"/>
          <w:highlight w:val="none"/>
        </w:rPr>
        <w:t>进</w:t>
      </w:r>
      <w:r>
        <w:rPr>
          <w:rFonts w:ascii="宋体" w:hAnsi="宋体" w:eastAsia="宋体" w:cs="宋体"/>
          <w:strike/>
          <w:dstrike w:val="0"/>
          <w:color w:val="auto"/>
          <w:spacing w:val="-9"/>
          <w:sz w:val="24"/>
          <w:szCs w:val="24"/>
          <w:highlight w:val="none"/>
        </w:rPr>
        <w:t>入抽</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2"/>
          <w:sz w:val="24"/>
          <w:szCs w:val="24"/>
          <w:highlight w:val="none"/>
        </w:rPr>
        <w:t>签环节的中标候选人。定标委员会在上述</w:t>
      </w:r>
      <w:r>
        <w:rPr>
          <w:rFonts w:ascii="Times New Roman" w:hAnsi="Times New Roman" w:eastAsia="Times New Roman" w:cs="Times New Roman"/>
          <w:i/>
          <w:iCs/>
          <w:strike/>
          <w:dstrike w:val="0"/>
          <w:color w:val="auto"/>
          <w:spacing w:val="-12"/>
          <w:sz w:val="24"/>
          <w:szCs w:val="24"/>
          <w:highlight w:val="none"/>
          <w:u w:val="single" w:color="auto"/>
        </w:rPr>
        <w:t>N</w:t>
      </w:r>
      <w:r>
        <w:rPr>
          <w:rFonts w:ascii="宋体" w:hAnsi="宋体" w:eastAsia="宋体" w:cs="宋体"/>
          <w:strike/>
          <w:dstrike w:val="0"/>
          <w:color w:val="auto"/>
          <w:spacing w:val="-12"/>
          <w:sz w:val="24"/>
          <w:szCs w:val="24"/>
          <w:highlight w:val="none"/>
        </w:rPr>
        <w:t>个中标候</w:t>
      </w:r>
      <w:r>
        <w:rPr>
          <w:rFonts w:ascii="宋体" w:hAnsi="宋体" w:eastAsia="宋体" w:cs="宋体"/>
          <w:strike/>
          <w:dstrike w:val="0"/>
          <w:color w:val="auto"/>
          <w:spacing w:val="-13"/>
          <w:sz w:val="24"/>
          <w:szCs w:val="24"/>
          <w:highlight w:val="none"/>
        </w:rPr>
        <w:t>选人中随机抽签确定中标人。</w:t>
      </w:r>
    </w:p>
    <w:p w14:paraId="13F41206">
      <w:pPr>
        <w:spacing w:before="182" w:line="220" w:lineRule="auto"/>
        <w:ind w:left="51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8"/>
          <w:sz w:val="24"/>
          <w:szCs w:val="24"/>
          <w:highlight w:val="none"/>
        </w:rPr>
        <w:t>□集体议事法</w:t>
      </w:r>
    </w:p>
    <w:p w14:paraId="3FC97578">
      <w:pPr>
        <w:spacing w:before="180" w:line="350" w:lineRule="auto"/>
        <w:ind w:left="4" w:right="68" w:firstLine="486"/>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定标委员会进行集体商议，定标委员会成员各自发表意见，由定标委员会</w:t>
      </w:r>
      <w:r>
        <w:rPr>
          <w:rFonts w:ascii="宋体" w:hAnsi="宋体" w:eastAsia="宋体" w:cs="宋体"/>
          <w:strike/>
          <w:dstrike w:val="0"/>
          <w:color w:val="auto"/>
          <w:spacing w:val="-4"/>
          <w:sz w:val="24"/>
          <w:szCs w:val="24"/>
          <w:highlight w:val="none"/>
        </w:rPr>
        <w:t>负责人</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5"/>
          <w:sz w:val="24"/>
          <w:szCs w:val="24"/>
          <w:highlight w:val="none"/>
        </w:rPr>
        <w:t>最终确定中标人。所有参加会议的定标委员会成员的意见应当作书面记录，</w:t>
      </w:r>
      <w:r>
        <w:rPr>
          <w:rFonts w:ascii="宋体" w:hAnsi="宋体" w:eastAsia="宋体" w:cs="宋体"/>
          <w:strike/>
          <w:dstrike w:val="0"/>
          <w:color w:val="auto"/>
          <w:spacing w:val="-36"/>
          <w:sz w:val="24"/>
          <w:szCs w:val="24"/>
          <w:highlight w:val="none"/>
        </w:rPr>
        <w:t xml:space="preserve"> </w:t>
      </w:r>
      <w:r>
        <w:rPr>
          <w:rFonts w:ascii="宋体" w:hAnsi="宋体" w:eastAsia="宋体" w:cs="宋体"/>
          <w:strike/>
          <w:dstrike w:val="0"/>
          <w:color w:val="auto"/>
          <w:spacing w:val="-5"/>
          <w:sz w:val="24"/>
          <w:szCs w:val="24"/>
          <w:highlight w:val="none"/>
        </w:rPr>
        <w:t>并由定标</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4"/>
          <w:sz w:val="24"/>
          <w:szCs w:val="24"/>
          <w:highlight w:val="none"/>
        </w:rPr>
        <w:t>委员会成员签字确认。</w:t>
      </w:r>
    </w:p>
    <w:p w14:paraId="708A0755">
      <w:pPr>
        <w:spacing w:before="37" w:line="212" w:lineRule="auto"/>
        <w:ind w:left="509"/>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2"/>
          <w:sz w:val="24"/>
          <w:szCs w:val="24"/>
          <w:highlight w:val="none"/>
        </w:rPr>
        <w:t>□随机定标法</w:t>
      </w:r>
      <w:r>
        <w:rPr>
          <w:rFonts w:ascii="宋体" w:hAnsi="宋体" w:eastAsia="宋体" w:cs="宋体"/>
          <w:b/>
          <w:bCs/>
          <w:strike/>
          <w:dstrike w:val="0"/>
          <w:color w:val="auto"/>
          <w:spacing w:val="5"/>
          <w:sz w:val="24"/>
          <w:szCs w:val="24"/>
          <w:highlight w:val="none"/>
        </w:rPr>
        <w:t>：</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i/>
          <w:iCs/>
          <w:strike/>
          <w:dstrike w:val="0"/>
          <w:color w:val="auto"/>
          <w:spacing w:val="5"/>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补充细则）</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strike/>
          <w:dstrike w:val="0"/>
          <w:color w:val="auto"/>
          <w:spacing w:val="-2"/>
          <w:sz w:val="24"/>
          <w:szCs w:val="24"/>
          <w:highlight w:val="none"/>
        </w:rPr>
        <w:t>。</w:t>
      </w:r>
    </w:p>
    <w:p w14:paraId="23E66BAA">
      <w:pPr>
        <w:spacing w:before="178" w:line="213" w:lineRule="auto"/>
        <w:ind w:left="509"/>
        <w:rPr>
          <w:rFonts w:ascii="宋体" w:hAnsi="宋体" w:eastAsia="宋体" w:cs="宋体"/>
          <w:color w:val="auto"/>
          <w:sz w:val="24"/>
          <w:szCs w:val="24"/>
          <w:highlight w:val="none"/>
        </w:rPr>
      </w:pPr>
      <w:r>
        <w:rPr>
          <w:rFonts w:ascii="宋体" w:hAnsi="宋体" w:eastAsia="宋体" w:cs="宋体"/>
          <w:b/>
          <w:bCs/>
          <w:strike/>
          <w:dstrike w:val="0"/>
          <w:color w:val="auto"/>
          <w:spacing w:val="-2"/>
          <w:sz w:val="24"/>
          <w:szCs w:val="24"/>
          <w:highlight w:val="none"/>
        </w:rPr>
        <w:t>□其他定标方法</w:t>
      </w:r>
      <w:r>
        <w:rPr>
          <w:rFonts w:ascii="宋体" w:hAnsi="宋体" w:eastAsia="宋体" w:cs="宋体"/>
          <w:b/>
          <w:bCs/>
          <w:strike/>
          <w:dstrike w:val="0"/>
          <w:color w:val="auto"/>
          <w:spacing w:val="7"/>
          <w:sz w:val="24"/>
          <w:szCs w:val="24"/>
          <w:highlight w:val="none"/>
        </w:rPr>
        <w:t>：</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i/>
          <w:iCs/>
          <w:strike/>
          <w:dstrike w:val="0"/>
          <w:color w:val="auto"/>
          <w:spacing w:val="7"/>
          <w:sz w:val="25"/>
          <w:szCs w:val="25"/>
          <w:highlight w:val="none"/>
          <w:u w:val="single" w:color="auto"/>
        </w:rPr>
        <w:t>（</w:t>
      </w:r>
      <w:r>
        <w:rPr>
          <w:rFonts w:ascii="宋体" w:hAnsi="宋体" w:eastAsia="宋体" w:cs="宋体"/>
          <w:i/>
          <w:iCs/>
          <w:strike/>
          <w:dstrike w:val="0"/>
          <w:color w:val="auto"/>
          <w:spacing w:val="-2"/>
          <w:sz w:val="25"/>
          <w:szCs w:val="25"/>
          <w:highlight w:val="none"/>
          <w:u w:val="single" w:color="auto"/>
        </w:rPr>
        <w:t>补充细则）</w:t>
      </w:r>
      <w:r>
        <w:rPr>
          <w:rFonts w:ascii="宋体" w:hAnsi="宋体" w:eastAsia="宋体" w:cs="宋体"/>
          <w:strike/>
          <w:dstrike w:val="0"/>
          <w:color w:val="auto"/>
          <w:spacing w:val="-2"/>
          <w:sz w:val="25"/>
          <w:szCs w:val="25"/>
          <w:highlight w:val="none"/>
          <w:u w:val="single" w:color="auto"/>
        </w:rPr>
        <w:t xml:space="preserve">              </w:t>
      </w:r>
      <w:r>
        <w:rPr>
          <w:rFonts w:ascii="宋体" w:hAnsi="宋体" w:eastAsia="宋体" w:cs="宋体"/>
          <w:color w:val="auto"/>
          <w:spacing w:val="-2"/>
          <w:sz w:val="24"/>
          <w:szCs w:val="24"/>
          <w:highlight w:val="none"/>
        </w:rPr>
        <w:t>。</w:t>
      </w:r>
    </w:p>
    <w:p w14:paraId="6A17B2A4">
      <w:pPr>
        <w:spacing w:before="305" w:line="219" w:lineRule="auto"/>
        <w:outlineLvl w:val="1"/>
        <w:rPr>
          <w:rFonts w:ascii="宋体" w:hAnsi="宋体" w:eastAsia="宋体" w:cs="宋体"/>
          <w:color w:val="auto"/>
          <w:sz w:val="28"/>
          <w:szCs w:val="28"/>
          <w:highlight w:val="none"/>
        </w:rPr>
      </w:pPr>
      <w:bookmarkStart w:id="422" w:name="bookmark253"/>
      <w:bookmarkEnd w:id="422"/>
      <w:bookmarkStart w:id="423" w:name="bookmark254"/>
      <w:bookmarkEnd w:id="423"/>
      <w:bookmarkStart w:id="424" w:name="_Toc9185"/>
      <w:bookmarkStart w:id="425" w:name="_Toc30142"/>
      <w:r>
        <w:rPr>
          <w:rFonts w:ascii="Times New Roman" w:hAnsi="Times New Roman" w:eastAsia="Times New Roman" w:cs="Times New Roman"/>
          <w:color w:val="auto"/>
          <w:spacing w:val="-4"/>
          <w:sz w:val="28"/>
          <w:szCs w:val="28"/>
          <w:highlight w:val="none"/>
        </w:rPr>
        <w:t>4</w:t>
      </w:r>
      <w:r>
        <w:rPr>
          <w:rFonts w:ascii="Times New Roman" w:hAnsi="Times New Roman" w:eastAsia="Times New Roman" w:cs="Times New Roman"/>
          <w:color w:val="auto"/>
          <w:spacing w:val="9"/>
          <w:sz w:val="28"/>
          <w:szCs w:val="28"/>
          <w:highlight w:val="none"/>
        </w:rPr>
        <w:t xml:space="preserve">  </w:t>
      </w:r>
      <w:r>
        <w:rPr>
          <w:rFonts w:ascii="宋体" w:hAnsi="宋体" w:eastAsia="宋体" w:cs="宋体"/>
          <w:color w:val="auto"/>
          <w:spacing w:val="-4"/>
          <w:sz w:val="28"/>
          <w:szCs w:val="28"/>
          <w:highlight w:val="none"/>
        </w:rPr>
        <w:t>定标报告</w:t>
      </w:r>
      <w:bookmarkEnd w:id="424"/>
      <w:bookmarkEnd w:id="425"/>
    </w:p>
    <w:p w14:paraId="1D1C7D5C">
      <w:pPr>
        <w:pStyle w:val="3"/>
        <w:spacing w:line="247" w:lineRule="auto"/>
        <w:rPr>
          <w:color w:val="auto"/>
          <w:highlight w:val="none"/>
        </w:rPr>
      </w:pPr>
    </w:p>
    <w:p w14:paraId="2B9E2B49">
      <w:pPr>
        <w:spacing w:before="78" w:line="352" w:lineRule="auto"/>
        <w:ind w:left="6" w:right="68" w:firstLine="485"/>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（一）定标委员会应当向招标人提交书面定标报告。定标报告由定标委</w:t>
      </w:r>
      <w:r>
        <w:rPr>
          <w:rFonts w:ascii="宋体" w:hAnsi="宋体" w:eastAsia="宋体" w:cs="宋体"/>
          <w:color w:val="auto"/>
          <w:spacing w:val="-4"/>
          <w:sz w:val="24"/>
          <w:szCs w:val="24"/>
          <w:highlight w:val="none"/>
        </w:rPr>
        <w:t>员会全体</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成员签字。对定标结果有不同意见的定标委员会成员应当以书面形式说明其不同意见</w:t>
      </w:r>
      <w:r>
        <w:rPr>
          <w:rFonts w:ascii="宋体" w:hAnsi="宋体" w:eastAsia="宋体" w:cs="宋体"/>
          <w:color w:val="auto"/>
          <w:spacing w:val="8"/>
          <w:sz w:val="24"/>
          <w:szCs w:val="24"/>
          <w:highlight w:val="none"/>
        </w:rPr>
        <w:t xml:space="preserve"> </w:t>
      </w:r>
      <w:r>
        <w:rPr>
          <w:rFonts w:ascii="宋体" w:hAnsi="宋体" w:eastAsia="宋体" w:cs="宋体"/>
          <w:color w:val="auto"/>
          <w:spacing w:val="-3"/>
          <w:sz w:val="24"/>
          <w:szCs w:val="24"/>
          <w:highlight w:val="none"/>
        </w:rPr>
        <w:t>和理由，定标报告应当注明该不同意见。定标委员会成员拒绝在定标报告上签字又不</w:t>
      </w:r>
      <w:r>
        <w:rPr>
          <w:rFonts w:ascii="宋体" w:hAnsi="宋体" w:eastAsia="宋体" w:cs="宋体"/>
          <w:color w:val="auto"/>
          <w:spacing w:val="8"/>
          <w:sz w:val="24"/>
          <w:szCs w:val="24"/>
          <w:highlight w:val="none"/>
        </w:rPr>
        <w:t xml:space="preserve"> </w:t>
      </w:r>
      <w:r>
        <w:rPr>
          <w:rFonts w:ascii="宋体" w:hAnsi="宋体" w:eastAsia="宋体" w:cs="宋体"/>
          <w:color w:val="auto"/>
          <w:spacing w:val="-2"/>
          <w:sz w:val="24"/>
          <w:szCs w:val="24"/>
          <w:highlight w:val="none"/>
        </w:rPr>
        <w:t>书面说明其不同意见和理由的，视为同意定标结果。</w:t>
      </w:r>
    </w:p>
    <w:p w14:paraId="29A9EA89">
      <w:pPr>
        <w:spacing w:line="352"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4121AC7">
      <w:pPr>
        <w:spacing w:before="48" w:line="346" w:lineRule="auto"/>
        <w:ind w:left="310" w:right="4765" w:hanging="12"/>
        <w:rPr>
          <w:rFonts w:ascii="宋体" w:hAnsi="宋体" w:eastAsia="宋体" w:cs="宋体"/>
          <w:color w:val="auto"/>
          <w:spacing w:val="-5"/>
          <w:sz w:val="24"/>
          <w:szCs w:val="24"/>
          <w:highlight w:val="none"/>
        </w:rPr>
      </w:pPr>
      <w:r>
        <w:rPr>
          <w:rFonts w:ascii="宋体" w:hAnsi="宋体" w:eastAsia="宋体" w:cs="宋体"/>
          <w:color w:val="auto"/>
          <w:spacing w:val="-5"/>
          <w:sz w:val="24"/>
          <w:szCs w:val="24"/>
          <w:highlight w:val="none"/>
        </w:rPr>
        <w:t>（二）定标报告应包括以下内容：</w:t>
      </w:r>
    </w:p>
    <w:p w14:paraId="4BCB0C48">
      <w:pPr>
        <w:spacing w:before="30" w:line="355" w:lineRule="auto"/>
        <w:ind w:right="2" w:firstLine="678" w:firstLineChars="300"/>
        <w:jc w:val="both"/>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1.定标委员会的产生过程；</w:t>
      </w:r>
    </w:p>
    <w:p w14:paraId="08233511">
      <w:pPr>
        <w:spacing w:before="30" w:line="355" w:lineRule="auto"/>
        <w:ind w:right="2" w:firstLine="678" w:firstLineChars="300"/>
        <w:jc w:val="both"/>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2.定标程序；</w:t>
      </w:r>
    </w:p>
    <w:p w14:paraId="27D81A7C">
      <w:pPr>
        <w:spacing w:before="30" w:line="355" w:lineRule="auto"/>
        <w:ind w:right="2" w:firstLine="678" w:firstLineChars="300"/>
        <w:jc w:val="both"/>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3.推荐或不推荐的理由；</w:t>
      </w:r>
    </w:p>
    <w:p w14:paraId="6C2BFDC1">
      <w:pPr>
        <w:spacing w:before="30" w:line="355" w:lineRule="auto"/>
        <w:ind w:right="2" w:firstLine="678" w:firstLineChars="300"/>
        <w:jc w:val="both"/>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4.定标结果；</w:t>
      </w:r>
    </w:p>
    <w:p w14:paraId="353A3504">
      <w:pPr>
        <w:spacing w:before="30" w:line="355" w:lineRule="auto"/>
        <w:ind w:right="2" w:firstLine="678" w:firstLineChars="300"/>
        <w:jc w:val="both"/>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5.定标委员会备选</w:t>
      </w:r>
      <w:r>
        <w:rPr>
          <w:rFonts w:ascii="宋体" w:hAnsi="宋体" w:eastAsia="宋体" w:cs="宋体"/>
          <w:color w:val="auto"/>
          <w:spacing w:val="2"/>
          <w:sz w:val="24"/>
          <w:szCs w:val="24"/>
          <w:highlight w:val="none"/>
        </w:rPr>
        <w:t>人员</w:t>
      </w:r>
      <w:r>
        <w:rPr>
          <w:rFonts w:ascii="宋体" w:hAnsi="宋体" w:eastAsia="宋体" w:cs="宋体"/>
          <w:color w:val="auto"/>
          <w:spacing w:val="-7"/>
          <w:sz w:val="24"/>
          <w:szCs w:val="24"/>
          <w:highlight w:val="none"/>
        </w:rPr>
        <w:t>名单（含单位及职务）；</w:t>
      </w:r>
    </w:p>
    <w:p w14:paraId="7700D913">
      <w:pPr>
        <w:spacing w:before="30" w:line="355" w:lineRule="auto"/>
        <w:ind w:right="2" w:firstLine="678" w:firstLineChars="300"/>
        <w:jc w:val="both"/>
        <w:rPr>
          <w:rFonts w:ascii="宋体" w:hAnsi="宋体" w:eastAsia="宋体" w:cs="宋体"/>
          <w:color w:val="auto"/>
          <w:spacing w:val="-7"/>
          <w:sz w:val="24"/>
          <w:szCs w:val="24"/>
          <w:highlight w:val="none"/>
        </w:rPr>
      </w:pPr>
      <w:r>
        <w:rPr>
          <w:rFonts w:ascii="宋体" w:hAnsi="宋体" w:eastAsia="宋体" w:cs="宋体"/>
          <w:color w:val="auto"/>
          <w:spacing w:val="-7"/>
          <w:sz w:val="24"/>
          <w:szCs w:val="24"/>
          <w:highlight w:val="none"/>
        </w:rPr>
        <w:t>6.定标委员会正式名单、负责人；</w:t>
      </w:r>
    </w:p>
    <w:p w14:paraId="2F78FEC3">
      <w:pPr>
        <w:spacing w:before="30" w:line="355" w:lineRule="auto"/>
        <w:ind w:right="2" w:firstLine="714" w:firstLineChars="300"/>
        <w:jc w:val="both"/>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7.</w:t>
      </w:r>
      <w:r>
        <w:rPr>
          <w:rFonts w:ascii="宋体" w:hAnsi="宋体" w:eastAsia="宋体" w:cs="宋体"/>
          <w:strike/>
          <w:dstrike w:val="0"/>
          <w:color w:val="auto"/>
          <w:spacing w:val="-1"/>
          <w:sz w:val="24"/>
          <w:szCs w:val="24"/>
          <w:highlight w:val="none"/>
        </w:rPr>
        <w:t>考察、质询报告（如组织考察、质询）。</w:t>
      </w:r>
    </w:p>
    <w:p w14:paraId="71F7DF76">
      <w:pPr>
        <w:spacing w:line="218" w:lineRule="auto"/>
        <w:rPr>
          <w:rFonts w:ascii="宋体" w:hAnsi="宋体" w:eastAsia="宋体" w:cs="宋体"/>
          <w:strike/>
          <w:dstrike w:val="0"/>
          <w:color w:val="auto"/>
          <w:sz w:val="24"/>
          <w:szCs w:val="24"/>
          <w:highlight w:val="none"/>
        </w:rPr>
      </w:pPr>
    </w:p>
    <w:p w14:paraId="4BB2A57E">
      <w:pPr>
        <w:pStyle w:val="17"/>
        <w:rPr>
          <w:rFonts w:ascii="宋体" w:hAnsi="宋体" w:eastAsia="宋体" w:cs="宋体"/>
          <w:strike/>
          <w:dstrike w:val="0"/>
          <w:color w:val="auto"/>
          <w:sz w:val="24"/>
          <w:szCs w:val="24"/>
          <w:highlight w:val="none"/>
        </w:rPr>
      </w:pPr>
    </w:p>
    <w:p w14:paraId="76A29210">
      <w:pPr>
        <w:pStyle w:val="8"/>
        <w:rPr>
          <w:rFonts w:ascii="宋体" w:hAnsi="宋体" w:eastAsia="宋体" w:cs="宋体"/>
          <w:strike/>
          <w:dstrike w:val="0"/>
          <w:color w:val="auto"/>
          <w:sz w:val="24"/>
          <w:szCs w:val="24"/>
          <w:highlight w:val="none"/>
        </w:rPr>
      </w:pPr>
    </w:p>
    <w:p w14:paraId="6D44DBEB">
      <w:pPr>
        <w:pStyle w:val="9"/>
        <w:rPr>
          <w:rFonts w:ascii="宋体" w:hAnsi="宋体" w:eastAsia="宋体" w:cs="宋体"/>
          <w:strike/>
          <w:dstrike w:val="0"/>
          <w:color w:val="auto"/>
          <w:sz w:val="24"/>
          <w:szCs w:val="24"/>
          <w:highlight w:val="none"/>
        </w:rPr>
      </w:pPr>
    </w:p>
    <w:p w14:paraId="250137DA">
      <w:pPr>
        <w:rPr>
          <w:rFonts w:ascii="宋体" w:hAnsi="宋体" w:eastAsia="宋体" w:cs="宋体"/>
          <w:strike/>
          <w:dstrike w:val="0"/>
          <w:color w:val="auto"/>
          <w:sz w:val="24"/>
          <w:szCs w:val="24"/>
          <w:highlight w:val="none"/>
        </w:rPr>
      </w:pPr>
    </w:p>
    <w:p w14:paraId="05CB460A">
      <w:pPr>
        <w:pStyle w:val="17"/>
        <w:rPr>
          <w:rFonts w:ascii="宋体" w:hAnsi="宋体" w:eastAsia="宋体" w:cs="宋体"/>
          <w:strike/>
          <w:dstrike w:val="0"/>
          <w:color w:val="auto"/>
          <w:sz w:val="24"/>
          <w:szCs w:val="24"/>
          <w:highlight w:val="none"/>
        </w:rPr>
      </w:pPr>
    </w:p>
    <w:p w14:paraId="29A94D8D">
      <w:pPr>
        <w:pStyle w:val="8"/>
        <w:rPr>
          <w:rFonts w:ascii="宋体" w:hAnsi="宋体" w:eastAsia="宋体" w:cs="宋体"/>
          <w:strike/>
          <w:dstrike w:val="0"/>
          <w:color w:val="auto"/>
          <w:sz w:val="24"/>
          <w:szCs w:val="24"/>
          <w:highlight w:val="none"/>
        </w:rPr>
      </w:pPr>
    </w:p>
    <w:p w14:paraId="579F0097">
      <w:pPr>
        <w:pStyle w:val="9"/>
        <w:rPr>
          <w:rFonts w:ascii="宋体" w:hAnsi="宋体" w:eastAsia="宋体" w:cs="宋体"/>
          <w:strike/>
          <w:dstrike w:val="0"/>
          <w:color w:val="auto"/>
          <w:sz w:val="24"/>
          <w:szCs w:val="24"/>
          <w:highlight w:val="none"/>
        </w:rPr>
      </w:pPr>
    </w:p>
    <w:p w14:paraId="4C4057FC">
      <w:pPr>
        <w:rPr>
          <w:rFonts w:ascii="宋体" w:hAnsi="宋体" w:eastAsia="宋体" w:cs="宋体"/>
          <w:strike/>
          <w:dstrike w:val="0"/>
          <w:color w:val="auto"/>
          <w:sz w:val="24"/>
          <w:szCs w:val="24"/>
          <w:highlight w:val="none"/>
        </w:rPr>
      </w:pPr>
    </w:p>
    <w:p w14:paraId="3630D2C7">
      <w:pPr>
        <w:pStyle w:val="17"/>
        <w:rPr>
          <w:rFonts w:ascii="宋体" w:hAnsi="宋体" w:eastAsia="宋体" w:cs="宋体"/>
          <w:strike/>
          <w:dstrike w:val="0"/>
          <w:color w:val="auto"/>
          <w:sz w:val="24"/>
          <w:szCs w:val="24"/>
          <w:highlight w:val="none"/>
        </w:rPr>
      </w:pPr>
    </w:p>
    <w:p w14:paraId="423694A7">
      <w:pPr>
        <w:pStyle w:val="8"/>
        <w:rPr>
          <w:rFonts w:ascii="宋体" w:hAnsi="宋体" w:eastAsia="宋体" w:cs="宋体"/>
          <w:strike/>
          <w:dstrike w:val="0"/>
          <w:color w:val="auto"/>
          <w:sz w:val="24"/>
          <w:szCs w:val="24"/>
          <w:highlight w:val="none"/>
        </w:rPr>
      </w:pPr>
    </w:p>
    <w:p w14:paraId="3DFCF22E">
      <w:pPr>
        <w:pStyle w:val="9"/>
        <w:rPr>
          <w:rFonts w:ascii="宋体" w:hAnsi="宋体" w:eastAsia="宋体" w:cs="宋体"/>
          <w:strike/>
          <w:dstrike w:val="0"/>
          <w:color w:val="auto"/>
          <w:sz w:val="24"/>
          <w:szCs w:val="24"/>
          <w:highlight w:val="none"/>
        </w:rPr>
      </w:pPr>
    </w:p>
    <w:p w14:paraId="5E03281D">
      <w:pPr>
        <w:rPr>
          <w:rFonts w:ascii="宋体" w:hAnsi="宋体" w:eastAsia="宋体" w:cs="宋体"/>
          <w:strike/>
          <w:dstrike w:val="0"/>
          <w:color w:val="auto"/>
          <w:sz w:val="24"/>
          <w:szCs w:val="24"/>
          <w:highlight w:val="none"/>
        </w:rPr>
      </w:pPr>
    </w:p>
    <w:p w14:paraId="5F30ACAF">
      <w:pPr>
        <w:pStyle w:val="17"/>
        <w:rPr>
          <w:rFonts w:ascii="宋体" w:hAnsi="宋体" w:eastAsia="宋体" w:cs="宋体"/>
          <w:strike/>
          <w:dstrike w:val="0"/>
          <w:color w:val="auto"/>
          <w:sz w:val="24"/>
          <w:szCs w:val="24"/>
          <w:highlight w:val="none"/>
        </w:rPr>
      </w:pPr>
    </w:p>
    <w:p w14:paraId="6A3BD548">
      <w:pPr>
        <w:pStyle w:val="8"/>
        <w:rPr>
          <w:rFonts w:ascii="宋体" w:hAnsi="宋体" w:eastAsia="宋体" w:cs="宋体"/>
          <w:strike/>
          <w:dstrike w:val="0"/>
          <w:color w:val="auto"/>
          <w:sz w:val="24"/>
          <w:szCs w:val="24"/>
          <w:highlight w:val="none"/>
        </w:rPr>
      </w:pPr>
    </w:p>
    <w:p w14:paraId="2774A0F2">
      <w:pPr>
        <w:pStyle w:val="9"/>
        <w:rPr>
          <w:rFonts w:ascii="宋体" w:hAnsi="宋体" w:eastAsia="宋体" w:cs="宋体"/>
          <w:strike/>
          <w:dstrike w:val="0"/>
          <w:color w:val="auto"/>
          <w:sz w:val="24"/>
          <w:szCs w:val="24"/>
          <w:highlight w:val="none"/>
        </w:rPr>
      </w:pPr>
    </w:p>
    <w:p w14:paraId="4560E9E0">
      <w:pPr>
        <w:rPr>
          <w:rFonts w:ascii="宋体" w:hAnsi="宋体" w:eastAsia="宋体" w:cs="宋体"/>
          <w:strike/>
          <w:dstrike w:val="0"/>
          <w:color w:val="auto"/>
          <w:sz w:val="24"/>
          <w:szCs w:val="24"/>
          <w:highlight w:val="none"/>
        </w:rPr>
      </w:pPr>
    </w:p>
    <w:p w14:paraId="4520C877">
      <w:pPr>
        <w:pStyle w:val="17"/>
        <w:rPr>
          <w:rFonts w:ascii="宋体" w:hAnsi="宋体" w:eastAsia="宋体" w:cs="宋体"/>
          <w:strike/>
          <w:dstrike w:val="0"/>
          <w:color w:val="auto"/>
          <w:sz w:val="24"/>
          <w:szCs w:val="24"/>
          <w:highlight w:val="none"/>
        </w:rPr>
      </w:pPr>
    </w:p>
    <w:p w14:paraId="1416C1D0">
      <w:pPr>
        <w:pStyle w:val="8"/>
        <w:rPr>
          <w:rFonts w:ascii="宋体" w:hAnsi="宋体" w:eastAsia="宋体" w:cs="宋体"/>
          <w:strike/>
          <w:dstrike w:val="0"/>
          <w:color w:val="auto"/>
          <w:sz w:val="24"/>
          <w:szCs w:val="24"/>
          <w:highlight w:val="none"/>
        </w:rPr>
      </w:pPr>
    </w:p>
    <w:p w14:paraId="7B794D3D">
      <w:pPr>
        <w:pStyle w:val="9"/>
        <w:rPr>
          <w:rFonts w:ascii="宋体" w:hAnsi="宋体" w:eastAsia="宋体" w:cs="宋体"/>
          <w:strike/>
          <w:dstrike w:val="0"/>
          <w:color w:val="auto"/>
          <w:sz w:val="24"/>
          <w:szCs w:val="24"/>
          <w:highlight w:val="none"/>
        </w:rPr>
      </w:pPr>
    </w:p>
    <w:p w14:paraId="3D95F0D7">
      <w:pPr>
        <w:rPr>
          <w:rFonts w:ascii="宋体" w:hAnsi="宋体" w:eastAsia="宋体" w:cs="宋体"/>
          <w:strike/>
          <w:dstrike w:val="0"/>
          <w:color w:val="auto"/>
          <w:sz w:val="24"/>
          <w:szCs w:val="24"/>
          <w:highlight w:val="none"/>
        </w:rPr>
      </w:pPr>
    </w:p>
    <w:p w14:paraId="7467BDDE">
      <w:pPr>
        <w:pStyle w:val="17"/>
        <w:rPr>
          <w:rFonts w:ascii="宋体" w:hAnsi="宋体" w:eastAsia="宋体" w:cs="宋体"/>
          <w:strike/>
          <w:dstrike w:val="0"/>
          <w:color w:val="auto"/>
          <w:sz w:val="24"/>
          <w:szCs w:val="24"/>
          <w:highlight w:val="none"/>
        </w:rPr>
      </w:pPr>
    </w:p>
    <w:p w14:paraId="572AFC20">
      <w:pPr>
        <w:pStyle w:val="8"/>
        <w:rPr>
          <w:rFonts w:ascii="宋体" w:hAnsi="宋体" w:eastAsia="宋体" w:cs="宋体"/>
          <w:strike/>
          <w:dstrike w:val="0"/>
          <w:color w:val="auto"/>
          <w:sz w:val="24"/>
          <w:szCs w:val="24"/>
          <w:highlight w:val="none"/>
        </w:rPr>
      </w:pPr>
    </w:p>
    <w:p w14:paraId="7D125740">
      <w:pPr>
        <w:pStyle w:val="9"/>
        <w:rPr>
          <w:rFonts w:ascii="宋体" w:hAnsi="宋体" w:eastAsia="宋体" w:cs="宋体"/>
          <w:strike/>
          <w:dstrike w:val="0"/>
          <w:color w:val="auto"/>
          <w:sz w:val="24"/>
          <w:szCs w:val="24"/>
          <w:highlight w:val="none"/>
        </w:rPr>
      </w:pPr>
    </w:p>
    <w:p w14:paraId="68BAEE8B">
      <w:pPr>
        <w:spacing w:before="72" w:line="218" w:lineRule="auto"/>
        <w:ind w:left="607"/>
        <w:outlineLvl w:val="0"/>
        <w:rPr>
          <w:rFonts w:ascii="宋体" w:hAnsi="宋体" w:eastAsia="宋体" w:cs="宋体"/>
          <w:color w:val="auto"/>
          <w:sz w:val="36"/>
          <w:szCs w:val="36"/>
          <w:highlight w:val="none"/>
        </w:rPr>
      </w:pPr>
      <w:bookmarkStart w:id="426" w:name="_Toc14687"/>
      <w:r>
        <w:rPr>
          <w:rFonts w:ascii="宋体" w:hAnsi="宋体" w:eastAsia="宋体" w:cs="宋体"/>
          <w:b/>
          <w:bCs/>
          <w:color w:val="auto"/>
          <w:spacing w:val="-4"/>
          <w:sz w:val="36"/>
          <w:szCs w:val="36"/>
          <w:highlight w:val="none"/>
        </w:rPr>
        <w:t>第三章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评标定标办法（经评审的最低投标价）</w:t>
      </w:r>
      <w:bookmarkEnd w:id="426"/>
    </w:p>
    <w:p w14:paraId="708FD43E">
      <w:pPr>
        <w:spacing w:before="269" w:line="219" w:lineRule="auto"/>
        <w:ind w:left="14"/>
        <w:outlineLvl w:val="1"/>
        <w:rPr>
          <w:rFonts w:ascii="宋体" w:hAnsi="宋体" w:eastAsia="宋体" w:cs="宋体"/>
          <w:strike w:val="0"/>
          <w:dstrike w:val="0"/>
          <w:color w:val="auto"/>
          <w:sz w:val="28"/>
          <w:szCs w:val="28"/>
          <w:highlight w:val="none"/>
        </w:rPr>
      </w:pPr>
      <w:bookmarkStart w:id="427" w:name="_Toc6266"/>
      <w:r>
        <w:rPr>
          <w:rFonts w:ascii="Times New Roman" w:hAnsi="Times New Roman" w:eastAsia="Times New Roman" w:cs="Times New Roman"/>
          <w:b/>
          <w:bCs/>
          <w:strike w:val="0"/>
          <w:dstrike w:val="0"/>
          <w:color w:val="auto"/>
          <w:spacing w:val="-10"/>
          <w:sz w:val="28"/>
          <w:szCs w:val="28"/>
          <w:highlight w:val="none"/>
        </w:rPr>
        <w:t>1</w:t>
      </w:r>
      <w:r>
        <w:rPr>
          <w:rFonts w:ascii="Times New Roman" w:hAnsi="Times New Roman" w:eastAsia="Times New Roman" w:cs="Times New Roman"/>
          <w:b/>
          <w:bCs/>
          <w:strike w:val="0"/>
          <w:dstrike w:val="0"/>
          <w:color w:val="auto"/>
          <w:spacing w:val="6"/>
          <w:sz w:val="28"/>
          <w:szCs w:val="28"/>
          <w:highlight w:val="none"/>
        </w:rPr>
        <w:t xml:space="preserve">  </w:t>
      </w:r>
      <w:r>
        <w:rPr>
          <w:rFonts w:ascii="宋体" w:hAnsi="宋体" w:eastAsia="宋体" w:cs="宋体"/>
          <w:b/>
          <w:bCs/>
          <w:strike w:val="0"/>
          <w:dstrike w:val="0"/>
          <w:color w:val="auto"/>
          <w:spacing w:val="-10"/>
          <w:sz w:val="28"/>
          <w:szCs w:val="28"/>
          <w:highlight w:val="none"/>
        </w:rPr>
        <w:t>依据</w:t>
      </w:r>
      <w:bookmarkEnd w:id="427"/>
    </w:p>
    <w:p w14:paraId="43BAF21B">
      <w:pPr>
        <w:pStyle w:val="3"/>
        <w:spacing w:line="245" w:lineRule="auto"/>
        <w:rPr>
          <w:strike/>
          <w:dstrike w:val="0"/>
          <w:color w:val="auto"/>
          <w:highlight w:val="none"/>
        </w:rPr>
      </w:pPr>
    </w:p>
    <w:p w14:paraId="4EEC9E99">
      <w:pPr>
        <w:spacing w:before="78" w:line="360" w:lineRule="auto"/>
        <w:ind w:left="11" w:right="2" w:firstLine="476"/>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为规范招标的评标工作，根据《中华人民共和国招标投标法》、《中华人民共和国招标投标法实施条例》、《评标委员会和评标办法暂行规定》（原国家发展计划委员会等七部委令第</w:t>
      </w:r>
      <w:r>
        <w:rPr>
          <w:rFonts w:ascii="Times New Roman" w:hAnsi="Times New Roman" w:eastAsia="Times New Roman" w:cs="Times New Roman"/>
          <w:strike/>
          <w:dstrike w:val="0"/>
          <w:color w:val="auto"/>
          <w:spacing w:val="-3"/>
          <w:sz w:val="24"/>
          <w:szCs w:val="24"/>
          <w:highlight w:val="none"/>
        </w:rPr>
        <w:t>12</w:t>
      </w:r>
      <w:r>
        <w:rPr>
          <w:rFonts w:ascii="宋体" w:hAnsi="宋体" w:eastAsia="宋体" w:cs="宋体"/>
          <w:strike/>
          <w:dstrike w:val="0"/>
          <w:color w:val="auto"/>
          <w:spacing w:val="-3"/>
          <w:sz w:val="24"/>
          <w:szCs w:val="24"/>
          <w:highlight w:val="none"/>
        </w:rPr>
        <w:t>号）、《工程建设项目施工招标投标办法》（原国家发展计划委</w:t>
      </w:r>
      <w:r>
        <w:rPr>
          <w:rFonts w:ascii="宋体" w:hAnsi="宋体" w:eastAsia="宋体" w:cs="宋体"/>
          <w:strike/>
          <w:dstrike w:val="0"/>
          <w:color w:val="auto"/>
          <w:spacing w:val="-9"/>
          <w:sz w:val="24"/>
          <w:szCs w:val="24"/>
          <w:highlight w:val="none"/>
        </w:rPr>
        <w:t>员会等七部委令第</w:t>
      </w:r>
      <w:r>
        <w:rPr>
          <w:rFonts w:ascii="Times New Roman" w:hAnsi="Times New Roman" w:eastAsia="Times New Roman" w:cs="Times New Roman"/>
          <w:strike/>
          <w:dstrike w:val="0"/>
          <w:color w:val="auto"/>
          <w:spacing w:val="-9"/>
          <w:sz w:val="24"/>
          <w:szCs w:val="24"/>
          <w:highlight w:val="none"/>
        </w:rPr>
        <w:t>30</w:t>
      </w:r>
      <w:r>
        <w:rPr>
          <w:rFonts w:ascii="宋体" w:hAnsi="宋体" w:eastAsia="宋体" w:cs="宋体"/>
          <w:strike/>
          <w:dstrike w:val="0"/>
          <w:color w:val="auto"/>
          <w:spacing w:val="-9"/>
          <w:sz w:val="24"/>
          <w:szCs w:val="24"/>
          <w:highlight w:val="none"/>
        </w:rPr>
        <w:t>号）、《关于废止和修改部分招标投标规章和规范性文件的决定》</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1"/>
          <w:sz w:val="24"/>
          <w:szCs w:val="24"/>
          <w:highlight w:val="none"/>
        </w:rPr>
        <w:t>（九部委第</w:t>
      </w:r>
      <w:r>
        <w:rPr>
          <w:rFonts w:ascii="Times New Roman" w:hAnsi="Times New Roman" w:eastAsia="Times New Roman" w:cs="Times New Roman"/>
          <w:strike/>
          <w:dstrike w:val="0"/>
          <w:color w:val="auto"/>
          <w:spacing w:val="-1"/>
          <w:sz w:val="24"/>
          <w:szCs w:val="24"/>
          <w:highlight w:val="none"/>
        </w:rPr>
        <w:t>23</w:t>
      </w:r>
      <w:r>
        <w:rPr>
          <w:rFonts w:ascii="宋体" w:hAnsi="宋体" w:eastAsia="宋体" w:cs="宋体"/>
          <w:strike/>
          <w:dstrike w:val="0"/>
          <w:color w:val="auto"/>
          <w:spacing w:val="-1"/>
          <w:sz w:val="24"/>
          <w:szCs w:val="24"/>
          <w:highlight w:val="none"/>
        </w:rPr>
        <w:t>号令）等有关的法律、法规和</w:t>
      </w:r>
      <w:r>
        <w:rPr>
          <w:rFonts w:ascii="宋体" w:hAnsi="宋体" w:eastAsia="宋体" w:cs="宋体"/>
          <w:strike/>
          <w:dstrike w:val="0"/>
          <w:color w:val="auto"/>
          <w:spacing w:val="-2"/>
          <w:sz w:val="24"/>
          <w:szCs w:val="24"/>
          <w:highlight w:val="none"/>
        </w:rPr>
        <w:t>规章制度规定，制定本评标办法。</w:t>
      </w:r>
    </w:p>
    <w:p w14:paraId="36B4B6CA">
      <w:pPr>
        <w:spacing w:before="119" w:line="221" w:lineRule="auto"/>
        <w:ind w:left="2"/>
        <w:outlineLvl w:val="1"/>
        <w:rPr>
          <w:rFonts w:ascii="宋体" w:hAnsi="宋体" w:eastAsia="宋体" w:cs="宋体"/>
          <w:strike w:val="0"/>
          <w:dstrike w:val="0"/>
          <w:color w:val="auto"/>
          <w:sz w:val="28"/>
          <w:szCs w:val="28"/>
          <w:highlight w:val="none"/>
        </w:rPr>
      </w:pPr>
      <w:bookmarkStart w:id="428" w:name="bookmark130"/>
      <w:bookmarkEnd w:id="428"/>
      <w:bookmarkStart w:id="429" w:name="_Toc29785"/>
      <w:r>
        <w:rPr>
          <w:rFonts w:ascii="Times New Roman" w:hAnsi="Times New Roman" w:eastAsia="Times New Roman" w:cs="Times New Roman"/>
          <w:b/>
          <w:bCs/>
          <w:strike w:val="0"/>
          <w:dstrike w:val="0"/>
          <w:color w:val="auto"/>
          <w:spacing w:val="-2"/>
          <w:sz w:val="28"/>
          <w:szCs w:val="28"/>
          <w:highlight w:val="none"/>
        </w:rPr>
        <w:t xml:space="preserve">2  </w:t>
      </w:r>
      <w:r>
        <w:rPr>
          <w:rFonts w:ascii="宋体" w:hAnsi="宋体" w:eastAsia="宋体" w:cs="宋体"/>
          <w:b/>
          <w:bCs/>
          <w:strike w:val="0"/>
          <w:dstrike w:val="0"/>
          <w:color w:val="auto"/>
          <w:spacing w:val="-2"/>
          <w:sz w:val="28"/>
          <w:szCs w:val="28"/>
          <w:highlight w:val="none"/>
        </w:rPr>
        <w:t>评标原则</w:t>
      </w:r>
      <w:bookmarkEnd w:id="429"/>
    </w:p>
    <w:p w14:paraId="50AC38D6">
      <w:pPr>
        <w:pStyle w:val="3"/>
        <w:spacing w:line="244" w:lineRule="auto"/>
        <w:rPr>
          <w:strike/>
          <w:dstrike w:val="0"/>
          <w:color w:val="auto"/>
          <w:highlight w:val="none"/>
        </w:rPr>
      </w:pPr>
    </w:p>
    <w:p w14:paraId="3BD75F55">
      <w:pPr>
        <w:spacing w:before="78" w:line="219" w:lineRule="auto"/>
        <w:ind w:left="54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评标应遵循公平、公正、科学、择优的原则。</w:t>
      </w:r>
    </w:p>
    <w:p w14:paraId="78EB3790">
      <w:pPr>
        <w:spacing w:before="309" w:line="221" w:lineRule="auto"/>
        <w:outlineLvl w:val="1"/>
        <w:rPr>
          <w:rFonts w:ascii="宋体" w:hAnsi="宋体" w:eastAsia="宋体" w:cs="宋体"/>
          <w:strike w:val="0"/>
          <w:dstrike w:val="0"/>
          <w:color w:val="auto"/>
          <w:sz w:val="28"/>
          <w:szCs w:val="28"/>
          <w:highlight w:val="none"/>
        </w:rPr>
      </w:pPr>
      <w:bookmarkStart w:id="430" w:name="_Toc11611"/>
      <w:r>
        <w:rPr>
          <w:rFonts w:ascii="Times New Roman" w:hAnsi="Times New Roman" w:eastAsia="Times New Roman" w:cs="Times New Roman"/>
          <w:b/>
          <w:bCs/>
          <w:strike w:val="0"/>
          <w:dstrike w:val="0"/>
          <w:color w:val="auto"/>
          <w:spacing w:val="-2"/>
          <w:sz w:val="28"/>
          <w:szCs w:val="28"/>
          <w:highlight w:val="none"/>
        </w:rPr>
        <w:t xml:space="preserve">3  </w:t>
      </w:r>
      <w:r>
        <w:rPr>
          <w:rFonts w:ascii="宋体" w:hAnsi="宋体" w:eastAsia="宋体" w:cs="宋体"/>
          <w:b/>
          <w:bCs/>
          <w:strike w:val="0"/>
          <w:dstrike w:val="0"/>
          <w:color w:val="auto"/>
          <w:spacing w:val="-2"/>
          <w:sz w:val="28"/>
          <w:szCs w:val="28"/>
          <w:highlight w:val="none"/>
        </w:rPr>
        <w:t>评标组织</w:t>
      </w:r>
      <w:bookmarkEnd w:id="430"/>
    </w:p>
    <w:p w14:paraId="6BDCAF90">
      <w:pPr>
        <w:pStyle w:val="3"/>
        <w:spacing w:line="244" w:lineRule="auto"/>
        <w:rPr>
          <w:strike/>
          <w:dstrike w:val="0"/>
          <w:color w:val="auto"/>
          <w:highlight w:val="none"/>
        </w:rPr>
      </w:pPr>
    </w:p>
    <w:p w14:paraId="30F9635F">
      <w:pPr>
        <w:spacing w:before="78" w:line="360" w:lineRule="auto"/>
        <w:ind w:left="8" w:right="2" w:firstLine="47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评标工作由招标人依法组建的评标委员会负责，评标委员会的组建办法见投标人</w:t>
      </w:r>
      <w:r>
        <w:rPr>
          <w:rFonts w:ascii="宋体" w:hAnsi="宋体" w:eastAsia="宋体" w:cs="宋体"/>
          <w:strike/>
          <w:dstrike w:val="0"/>
          <w:color w:val="auto"/>
          <w:spacing w:val="-7"/>
          <w:sz w:val="24"/>
          <w:szCs w:val="24"/>
          <w:highlight w:val="none"/>
        </w:rPr>
        <w:t>须知前附表。</w:t>
      </w:r>
    </w:p>
    <w:p w14:paraId="33FC038C">
      <w:pPr>
        <w:spacing w:before="124" w:line="220" w:lineRule="auto"/>
        <w:ind w:left="2"/>
        <w:outlineLvl w:val="1"/>
        <w:rPr>
          <w:rFonts w:ascii="宋体" w:hAnsi="宋体" w:eastAsia="宋体" w:cs="宋体"/>
          <w:strike w:val="0"/>
          <w:dstrike w:val="0"/>
          <w:color w:val="auto"/>
          <w:sz w:val="28"/>
          <w:szCs w:val="28"/>
          <w:highlight w:val="none"/>
        </w:rPr>
      </w:pPr>
      <w:bookmarkStart w:id="431" w:name="bookmark132"/>
      <w:bookmarkEnd w:id="431"/>
      <w:bookmarkStart w:id="432" w:name="_Toc13287"/>
      <w:r>
        <w:rPr>
          <w:rFonts w:ascii="Times New Roman" w:hAnsi="Times New Roman" w:eastAsia="Times New Roman" w:cs="Times New Roman"/>
          <w:b/>
          <w:bCs/>
          <w:strike w:val="0"/>
          <w:dstrike w:val="0"/>
          <w:color w:val="auto"/>
          <w:spacing w:val="-2"/>
          <w:sz w:val="28"/>
          <w:szCs w:val="28"/>
          <w:highlight w:val="none"/>
        </w:rPr>
        <w:t xml:space="preserve">4  </w:t>
      </w:r>
      <w:r>
        <w:rPr>
          <w:rFonts w:ascii="宋体" w:hAnsi="宋体" w:eastAsia="宋体" w:cs="宋体"/>
          <w:b/>
          <w:bCs/>
          <w:strike w:val="0"/>
          <w:dstrike w:val="0"/>
          <w:color w:val="auto"/>
          <w:spacing w:val="-2"/>
          <w:sz w:val="28"/>
          <w:szCs w:val="28"/>
          <w:highlight w:val="none"/>
        </w:rPr>
        <w:t>评标程序和内容</w:t>
      </w:r>
      <w:bookmarkEnd w:id="432"/>
    </w:p>
    <w:p w14:paraId="24E64921">
      <w:pPr>
        <w:pStyle w:val="3"/>
        <w:spacing w:line="246" w:lineRule="auto"/>
        <w:rPr>
          <w:strike/>
          <w:dstrike w:val="0"/>
          <w:color w:val="auto"/>
          <w:highlight w:val="none"/>
        </w:rPr>
      </w:pPr>
    </w:p>
    <w:p w14:paraId="083EFEF6">
      <w:pPr>
        <w:spacing w:before="78" w:line="220" w:lineRule="auto"/>
        <w:ind w:left="1"/>
        <w:outlineLvl w:val="2"/>
        <w:rPr>
          <w:rFonts w:ascii="宋体" w:hAnsi="宋体" w:eastAsia="宋体" w:cs="宋体"/>
          <w:strike w:val="0"/>
          <w:dstrike w:val="0"/>
          <w:color w:val="auto"/>
          <w:sz w:val="24"/>
          <w:szCs w:val="24"/>
          <w:highlight w:val="none"/>
        </w:rPr>
      </w:pPr>
      <w:bookmarkStart w:id="433" w:name="_Toc1338"/>
      <w:r>
        <w:rPr>
          <w:rFonts w:ascii="Times New Roman" w:hAnsi="Times New Roman" w:eastAsia="Times New Roman" w:cs="Times New Roman"/>
          <w:b/>
          <w:bCs/>
          <w:strike w:val="0"/>
          <w:dstrike w:val="0"/>
          <w:color w:val="auto"/>
          <w:spacing w:val="-2"/>
          <w:sz w:val="24"/>
          <w:szCs w:val="24"/>
          <w:highlight w:val="none"/>
        </w:rPr>
        <w:t xml:space="preserve">4.1  </w:t>
      </w:r>
      <w:r>
        <w:rPr>
          <w:rFonts w:ascii="宋体" w:hAnsi="宋体" w:eastAsia="宋体" w:cs="宋体"/>
          <w:b/>
          <w:bCs/>
          <w:strike w:val="0"/>
          <w:dstrike w:val="0"/>
          <w:color w:val="auto"/>
          <w:spacing w:val="-2"/>
          <w:sz w:val="24"/>
          <w:szCs w:val="24"/>
          <w:highlight w:val="none"/>
        </w:rPr>
        <w:t>评标的一般程序</w:t>
      </w:r>
      <w:bookmarkEnd w:id="433"/>
    </w:p>
    <w:p w14:paraId="572063F5">
      <w:pPr>
        <w:spacing w:before="179"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w:t>
      </w:r>
      <w:r>
        <w:rPr>
          <w:rFonts w:ascii="宋体" w:hAnsi="宋体" w:eastAsia="宋体" w:cs="宋体"/>
          <w:strike/>
          <w:dstrike w:val="0"/>
          <w:color w:val="auto"/>
          <w:spacing w:val="-4"/>
          <w:sz w:val="24"/>
          <w:szCs w:val="24"/>
          <w:highlight w:val="none"/>
        </w:rPr>
        <w:t>）熟悉招标文件和评标办法。</w:t>
      </w:r>
    </w:p>
    <w:p w14:paraId="28CDEADA">
      <w:pPr>
        <w:spacing w:before="182"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）投标文件的技术符合性审查。</w:t>
      </w:r>
    </w:p>
    <w:p w14:paraId="1FC5BFDB">
      <w:pPr>
        <w:spacing w:before="179"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）投标文件的技术评审。</w:t>
      </w:r>
    </w:p>
    <w:p w14:paraId="4296C72A">
      <w:pPr>
        <w:spacing w:before="182"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4</w:t>
      </w:r>
      <w:r>
        <w:rPr>
          <w:rFonts w:ascii="宋体" w:hAnsi="宋体" w:eastAsia="宋体" w:cs="宋体"/>
          <w:strike/>
          <w:dstrike w:val="0"/>
          <w:color w:val="auto"/>
          <w:spacing w:val="-3"/>
          <w:sz w:val="24"/>
          <w:szCs w:val="24"/>
          <w:highlight w:val="none"/>
        </w:rPr>
        <w:t>）投标文件的商务符合性审查。</w:t>
      </w:r>
    </w:p>
    <w:p w14:paraId="0B9B1BD3">
      <w:pPr>
        <w:spacing w:before="180" w:line="220"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5</w:t>
      </w:r>
      <w:r>
        <w:rPr>
          <w:rFonts w:ascii="宋体" w:hAnsi="宋体" w:eastAsia="宋体" w:cs="宋体"/>
          <w:strike/>
          <w:dstrike w:val="0"/>
          <w:color w:val="auto"/>
          <w:spacing w:val="-4"/>
          <w:sz w:val="24"/>
          <w:szCs w:val="24"/>
          <w:highlight w:val="none"/>
        </w:rPr>
        <w:t>）投标文件的商务评审。</w:t>
      </w:r>
    </w:p>
    <w:p w14:paraId="293C8928">
      <w:pPr>
        <w:spacing w:before="183" w:line="289" w:lineRule="auto"/>
        <w:ind w:left="7" w:firstLine="51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6</w:t>
      </w:r>
      <w:r>
        <w:rPr>
          <w:rFonts w:ascii="宋体" w:hAnsi="宋体" w:eastAsia="宋体" w:cs="宋体"/>
          <w:strike/>
          <w:dstrike w:val="0"/>
          <w:color w:val="auto"/>
          <w:spacing w:val="-1"/>
          <w:sz w:val="24"/>
          <w:szCs w:val="24"/>
          <w:highlight w:val="none"/>
        </w:rPr>
        <w:t>）必要时对投标文件中的问题进行询标，拟作出否决投标决定前，应对相关</w:t>
      </w:r>
      <w:r>
        <w:rPr>
          <w:rFonts w:ascii="宋体" w:hAnsi="宋体" w:eastAsia="宋体" w:cs="宋体"/>
          <w:strike/>
          <w:dstrike w:val="0"/>
          <w:color w:val="auto"/>
          <w:spacing w:val="-2"/>
          <w:sz w:val="24"/>
          <w:szCs w:val="24"/>
          <w:highlight w:val="none"/>
        </w:rPr>
        <w:t>投标人进行询问核实。</w:t>
      </w:r>
    </w:p>
    <w:p w14:paraId="639AD200">
      <w:pPr>
        <w:spacing w:before="182" w:line="219"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7</w:t>
      </w:r>
      <w:r>
        <w:rPr>
          <w:rFonts w:ascii="宋体" w:hAnsi="宋体" w:eastAsia="宋体" w:cs="宋体"/>
          <w:strike/>
          <w:dstrike w:val="0"/>
          <w:color w:val="auto"/>
          <w:spacing w:val="-5"/>
          <w:sz w:val="24"/>
          <w:szCs w:val="24"/>
          <w:highlight w:val="none"/>
        </w:rPr>
        <w:t>）推荐中标候选人。</w:t>
      </w:r>
    </w:p>
    <w:p w14:paraId="04FBA12E">
      <w:pPr>
        <w:spacing w:before="181" w:line="218" w:lineRule="auto"/>
        <w:ind w:left="55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8</w:t>
      </w:r>
      <w:r>
        <w:rPr>
          <w:rFonts w:ascii="宋体" w:hAnsi="宋体" w:eastAsia="宋体" w:cs="宋体"/>
          <w:strike/>
          <w:dstrike w:val="0"/>
          <w:color w:val="auto"/>
          <w:spacing w:val="-5"/>
          <w:sz w:val="24"/>
          <w:szCs w:val="24"/>
          <w:highlight w:val="none"/>
        </w:rPr>
        <w:t>）完成评标报告。</w:t>
      </w:r>
    </w:p>
    <w:p w14:paraId="23881A1E">
      <w:pPr>
        <w:spacing w:before="184" w:line="220" w:lineRule="auto"/>
        <w:ind w:left="1"/>
        <w:outlineLvl w:val="2"/>
        <w:rPr>
          <w:rFonts w:ascii="宋体" w:hAnsi="宋体" w:eastAsia="宋体" w:cs="宋体"/>
          <w:strike w:val="0"/>
          <w:dstrike w:val="0"/>
          <w:color w:val="auto"/>
          <w:sz w:val="24"/>
          <w:szCs w:val="24"/>
          <w:highlight w:val="none"/>
        </w:rPr>
      </w:pPr>
      <w:bookmarkStart w:id="434" w:name="bookmark134"/>
      <w:bookmarkEnd w:id="434"/>
      <w:bookmarkStart w:id="435" w:name="_Toc13643"/>
      <w:r>
        <w:rPr>
          <w:rFonts w:ascii="Times New Roman" w:hAnsi="Times New Roman" w:eastAsia="Times New Roman" w:cs="Times New Roman"/>
          <w:b/>
          <w:bCs/>
          <w:strike w:val="0"/>
          <w:dstrike w:val="0"/>
          <w:color w:val="auto"/>
          <w:spacing w:val="-2"/>
          <w:sz w:val="24"/>
          <w:szCs w:val="24"/>
          <w:highlight w:val="none"/>
        </w:rPr>
        <w:t xml:space="preserve">4.2  </w:t>
      </w:r>
      <w:r>
        <w:rPr>
          <w:rFonts w:ascii="宋体" w:hAnsi="宋体" w:eastAsia="宋体" w:cs="宋体"/>
          <w:b/>
          <w:bCs/>
          <w:strike w:val="0"/>
          <w:dstrike w:val="0"/>
          <w:color w:val="auto"/>
          <w:spacing w:val="-2"/>
          <w:sz w:val="24"/>
          <w:szCs w:val="24"/>
          <w:highlight w:val="none"/>
        </w:rPr>
        <w:t>投标文件的技术符合性审查</w:t>
      </w:r>
      <w:bookmarkEnd w:id="435"/>
    </w:p>
    <w:p w14:paraId="3B9F070D">
      <w:pPr>
        <w:spacing w:before="181" w:line="361" w:lineRule="auto"/>
        <w:ind w:left="3" w:right="2" w:firstLine="537"/>
        <w:jc w:val="both"/>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4.2.1  </w:t>
      </w:r>
      <w:r>
        <w:rPr>
          <w:rFonts w:ascii="宋体" w:hAnsi="宋体" w:eastAsia="宋体" w:cs="宋体"/>
          <w:strike/>
          <w:dstrike w:val="0"/>
          <w:color w:val="auto"/>
          <w:spacing w:val="-1"/>
          <w:sz w:val="24"/>
          <w:szCs w:val="24"/>
          <w:highlight w:val="none"/>
        </w:rPr>
        <w:t>评标委员会应依照招标文件的要求和规定，首先对投标报价最低的投标文</w:t>
      </w:r>
      <w:r>
        <w:rPr>
          <w:rFonts w:ascii="宋体" w:hAnsi="宋体" w:eastAsia="宋体" w:cs="宋体"/>
          <w:strike/>
          <w:dstrike w:val="0"/>
          <w:color w:val="auto"/>
          <w:spacing w:val="-3"/>
          <w:sz w:val="24"/>
          <w:szCs w:val="24"/>
          <w:highlight w:val="none"/>
        </w:rPr>
        <w:t>件进行技术符合性审查。当最低投标报价有多份投标文件时，最低投标报价的所有投标文件均进入技术符合性评审（以下程序中出现类似情况时照此进行）。技术符合性审查未通过的投标文件不再进入后续评审。</w:t>
      </w:r>
    </w:p>
    <w:p w14:paraId="405EFC12">
      <w:pPr>
        <w:spacing w:before="183" w:line="288" w:lineRule="auto"/>
        <w:ind w:left="20" w:right="1" w:firstLine="52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4.2.2  </w:t>
      </w:r>
      <w:r>
        <w:rPr>
          <w:rFonts w:ascii="宋体" w:hAnsi="宋体" w:eastAsia="宋体" w:cs="宋体"/>
          <w:strike/>
          <w:dstrike w:val="0"/>
          <w:color w:val="auto"/>
          <w:spacing w:val="-1"/>
          <w:sz w:val="24"/>
          <w:szCs w:val="24"/>
          <w:highlight w:val="none"/>
        </w:rPr>
        <w:t>投标人不得通过补充、修改或撤销投标文件中</w:t>
      </w:r>
      <w:r>
        <w:rPr>
          <w:rFonts w:ascii="宋体" w:hAnsi="宋体" w:eastAsia="宋体" w:cs="宋体"/>
          <w:strike/>
          <w:dstrike w:val="0"/>
          <w:color w:val="auto"/>
          <w:spacing w:val="-2"/>
          <w:sz w:val="24"/>
          <w:szCs w:val="24"/>
          <w:highlight w:val="none"/>
        </w:rPr>
        <w:t>的内容使其成为实质性响应的投标。投标人在投标截止以后不得提交任何资料作为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628F4A8E">
      <w:pPr>
        <w:spacing w:before="181" w:line="313" w:lineRule="auto"/>
        <w:ind w:left="4" w:right="1" w:firstLine="53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4.2.3  </w:t>
      </w:r>
      <w:r>
        <w:rPr>
          <w:rFonts w:ascii="宋体" w:hAnsi="宋体" w:eastAsia="宋体" w:cs="宋体"/>
          <w:strike/>
          <w:dstrike w:val="0"/>
          <w:color w:val="auto"/>
          <w:spacing w:val="-1"/>
          <w:sz w:val="24"/>
          <w:szCs w:val="24"/>
          <w:highlight w:val="none"/>
        </w:rPr>
        <w:t>投标文件如存在以下列情况之一的，由评标委员会全体成员按照少数服从</w:t>
      </w:r>
      <w:r>
        <w:rPr>
          <w:rFonts w:ascii="宋体" w:hAnsi="宋体" w:eastAsia="宋体" w:cs="宋体"/>
          <w:strike/>
          <w:dstrike w:val="0"/>
          <w:color w:val="auto"/>
          <w:spacing w:val="-9"/>
          <w:sz w:val="24"/>
          <w:szCs w:val="24"/>
          <w:highlight w:val="none"/>
        </w:rPr>
        <w:t>多数的原则记名投票（不得弃权）认定，作为技术符合性审查未通过予以否决</w:t>
      </w:r>
      <w:r>
        <w:rPr>
          <w:rFonts w:ascii="宋体" w:hAnsi="宋体" w:eastAsia="宋体" w:cs="宋体"/>
          <w:strike/>
          <w:dstrike w:val="0"/>
          <w:color w:val="auto"/>
          <w:spacing w:val="-10"/>
          <w:sz w:val="24"/>
          <w:szCs w:val="24"/>
          <w:highlight w:val="none"/>
        </w:rPr>
        <w:t>其投标，</w:t>
      </w:r>
      <w:r>
        <w:rPr>
          <w:rFonts w:ascii="宋体" w:hAnsi="宋体" w:eastAsia="宋体" w:cs="宋体"/>
          <w:strike/>
          <w:dstrike w:val="0"/>
          <w:color w:val="auto"/>
          <w:spacing w:val="-5"/>
          <w:sz w:val="24"/>
          <w:szCs w:val="24"/>
          <w:highlight w:val="none"/>
        </w:rPr>
        <w:t>不再进行技术和商务的评审：</w:t>
      </w:r>
    </w:p>
    <w:p w14:paraId="3172BC64">
      <w:pPr>
        <w:spacing w:before="181" w:line="289" w:lineRule="auto"/>
        <w:ind w:right="13"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pacing w:val="-3"/>
          <w:sz w:val="24"/>
          <w:szCs w:val="24"/>
          <w:highlight w:val="none"/>
        </w:rPr>
        <w:t>代理人）未按招标文件要求签字或盖章的。</w:t>
      </w:r>
    </w:p>
    <w:p w14:paraId="3EF82F76">
      <w:pPr>
        <w:spacing w:before="182" w:line="289" w:lineRule="auto"/>
        <w:ind w:left="20" w:right="19" w:firstLine="53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）投标人法定代表人授权委托代理人签署投标文件，未提供有</w:t>
      </w:r>
      <w:r>
        <w:rPr>
          <w:rFonts w:ascii="宋体" w:hAnsi="宋体" w:eastAsia="宋体" w:cs="宋体"/>
          <w:strike/>
          <w:dstrike w:val="0"/>
          <w:color w:val="auto"/>
          <w:spacing w:val="-3"/>
          <w:sz w:val="24"/>
          <w:szCs w:val="24"/>
          <w:highlight w:val="none"/>
        </w:rPr>
        <w:t>效授权委托书</w:t>
      </w:r>
      <w:r>
        <w:rPr>
          <w:rFonts w:ascii="宋体" w:hAnsi="宋体" w:eastAsia="宋体" w:cs="宋体"/>
          <w:strike/>
          <w:dstrike w:val="0"/>
          <w:color w:val="auto"/>
          <w:spacing w:val="-2"/>
          <w:sz w:val="24"/>
          <w:szCs w:val="24"/>
          <w:highlight w:val="none"/>
        </w:rPr>
        <w:t>的或投标人法定代表人亲自签署投标文件，未提供法定代表人身份证明的。</w:t>
      </w:r>
    </w:p>
    <w:p w14:paraId="133E8C08">
      <w:pPr>
        <w:spacing w:before="181" w:line="219" w:lineRule="auto"/>
        <w:ind w:left="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）联合体投标未附有效的联合体协议书的。</w:t>
      </w:r>
    </w:p>
    <w:p w14:paraId="3F36FD62">
      <w:pPr>
        <w:spacing w:before="185" w:line="288" w:lineRule="auto"/>
        <w:ind w:left="19" w:right="15" w:firstLine="53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）投标人的投标资格不满足招标文件载明的强制性要求的（以投标人</w:t>
      </w:r>
      <w:r>
        <w:rPr>
          <w:rFonts w:ascii="宋体" w:hAnsi="宋体" w:eastAsia="宋体" w:cs="宋体"/>
          <w:strike/>
          <w:dstrike w:val="0"/>
          <w:color w:val="auto"/>
          <w:spacing w:val="-3"/>
          <w:sz w:val="24"/>
          <w:szCs w:val="24"/>
          <w:highlight w:val="none"/>
        </w:rPr>
        <w:t>须知前</w:t>
      </w:r>
      <w:r>
        <w:rPr>
          <w:rFonts w:ascii="宋体" w:hAnsi="宋体" w:eastAsia="宋体" w:cs="宋体"/>
          <w:strike/>
          <w:dstrike w:val="0"/>
          <w:color w:val="auto"/>
          <w:spacing w:val="-2"/>
          <w:sz w:val="24"/>
          <w:szCs w:val="24"/>
          <w:highlight w:val="none"/>
        </w:rPr>
        <w:t>附表第</w:t>
      </w:r>
      <w:r>
        <w:rPr>
          <w:rFonts w:ascii="Times New Roman" w:hAnsi="Times New Roman" w:eastAsia="Times New Roman" w:cs="Times New Roman"/>
          <w:strike/>
          <w:dstrike w:val="0"/>
          <w:color w:val="auto"/>
          <w:spacing w:val="-2"/>
          <w:sz w:val="24"/>
          <w:szCs w:val="24"/>
          <w:highlight w:val="none"/>
        </w:rPr>
        <w:t>10.3</w:t>
      </w:r>
      <w:r>
        <w:rPr>
          <w:rFonts w:ascii="宋体" w:hAnsi="宋体" w:eastAsia="宋体" w:cs="宋体"/>
          <w:strike/>
          <w:dstrike w:val="0"/>
          <w:color w:val="auto"/>
          <w:spacing w:val="-2"/>
          <w:sz w:val="24"/>
          <w:szCs w:val="24"/>
          <w:highlight w:val="none"/>
        </w:rPr>
        <w:t>款实质性响应招标文件资料为准</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2"/>
          <w:sz w:val="24"/>
          <w:szCs w:val="24"/>
          <w:highlight w:val="none"/>
        </w:rPr>
        <w:t>或不满足国家有关规定的。</w:t>
      </w:r>
    </w:p>
    <w:p w14:paraId="2A19F7D4">
      <w:pPr>
        <w:spacing w:before="183" w:line="220" w:lineRule="auto"/>
        <w:ind w:left="54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）项目负责人或技术负责人或副项目负责人（若有）不明确的。</w:t>
      </w:r>
    </w:p>
    <w:p w14:paraId="0FC1B11D">
      <w:pPr>
        <w:spacing w:before="181" w:line="289" w:lineRule="auto"/>
        <w:ind w:left="1" w:right="14"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）拟实行分包的，其分包的工作不满足招标文件载明的强制性要求的（以投</w:t>
      </w:r>
      <w:r>
        <w:rPr>
          <w:rFonts w:ascii="宋体" w:hAnsi="宋体" w:eastAsia="宋体" w:cs="宋体"/>
          <w:strike/>
          <w:dstrike w:val="0"/>
          <w:color w:val="auto"/>
          <w:spacing w:val="-3"/>
          <w:sz w:val="24"/>
          <w:szCs w:val="24"/>
          <w:highlight w:val="none"/>
        </w:rPr>
        <w:t>标人须知前附表第</w:t>
      </w:r>
      <w:r>
        <w:rPr>
          <w:rFonts w:ascii="Times New Roman" w:hAnsi="Times New Roman" w:eastAsia="Times New Roman" w:cs="Times New Roman"/>
          <w:strike/>
          <w:dstrike w:val="0"/>
          <w:color w:val="auto"/>
          <w:spacing w:val="-3"/>
          <w:sz w:val="24"/>
          <w:szCs w:val="24"/>
          <w:highlight w:val="none"/>
        </w:rPr>
        <w:t>1.11</w:t>
      </w:r>
      <w:r>
        <w:rPr>
          <w:rFonts w:ascii="宋体" w:hAnsi="宋体" w:eastAsia="宋体" w:cs="宋体"/>
          <w:strike/>
          <w:dstrike w:val="0"/>
          <w:color w:val="auto"/>
          <w:spacing w:val="-3"/>
          <w:sz w:val="24"/>
          <w:szCs w:val="24"/>
          <w:highlight w:val="none"/>
        </w:rPr>
        <w:t>款为准）。</w:t>
      </w:r>
    </w:p>
    <w:p w14:paraId="3EACA2D3">
      <w:pPr>
        <w:spacing w:before="183" w:line="289" w:lineRule="auto"/>
        <w:ind w:right="16"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7</w:t>
      </w:r>
      <w:r>
        <w:rPr>
          <w:rFonts w:ascii="宋体" w:hAnsi="宋体" w:eastAsia="宋体" w:cs="宋体"/>
          <w:strike/>
          <w:dstrike w:val="0"/>
          <w:color w:val="auto"/>
          <w:spacing w:val="-2"/>
          <w:sz w:val="24"/>
          <w:szCs w:val="24"/>
          <w:highlight w:val="none"/>
        </w:rPr>
        <w:t>）同一投标人提交两个以上不同的投标文件且未声明哪一个有效的</w:t>
      </w:r>
      <w:r>
        <w:rPr>
          <w:rFonts w:ascii="宋体" w:hAnsi="宋体" w:eastAsia="宋体" w:cs="宋体"/>
          <w:strike/>
          <w:dstrike w:val="0"/>
          <w:color w:val="auto"/>
          <w:spacing w:val="-3"/>
          <w:sz w:val="24"/>
          <w:szCs w:val="24"/>
          <w:highlight w:val="none"/>
        </w:rPr>
        <w:t>（招标文件要求提交备选投标的除外）。</w:t>
      </w:r>
    </w:p>
    <w:p w14:paraId="74C3D6B4">
      <w:pPr>
        <w:spacing w:before="183" w:line="289" w:lineRule="auto"/>
        <w:ind w:left="1" w:right="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）投标人不以自己的名义或未按招标文件要求提供投标保证金或提供的投标</w:t>
      </w:r>
      <w:r>
        <w:rPr>
          <w:rFonts w:ascii="宋体" w:hAnsi="宋体" w:eastAsia="宋体" w:cs="宋体"/>
          <w:strike/>
          <w:dstrike w:val="0"/>
          <w:color w:val="auto"/>
          <w:spacing w:val="-4"/>
          <w:sz w:val="24"/>
          <w:szCs w:val="24"/>
          <w:highlight w:val="none"/>
        </w:rPr>
        <w:t>保证金有缺陷而不能接受的。</w:t>
      </w:r>
    </w:p>
    <w:p w14:paraId="4BA9ECCE">
      <w:pPr>
        <w:spacing w:before="182" w:line="289" w:lineRule="auto"/>
        <w:ind w:left="4" w:right="1" w:firstLine="55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9</w:t>
      </w:r>
      <w:r>
        <w:rPr>
          <w:rFonts w:ascii="宋体" w:hAnsi="宋体" w:eastAsia="宋体" w:cs="宋体"/>
          <w:strike/>
          <w:dstrike w:val="0"/>
          <w:color w:val="auto"/>
          <w:spacing w:val="-7"/>
          <w:sz w:val="24"/>
          <w:szCs w:val="24"/>
          <w:highlight w:val="none"/>
        </w:rPr>
        <w:t>）投标工期和质量不满足招标文件要求的（以投标人须知前附表第</w:t>
      </w:r>
      <w:r>
        <w:rPr>
          <w:rFonts w:ascii="Times New Roman" w:hAnsi="Times New Roman" w:eastAsia="Times New Roman" w:cs="Times New Roman"/>
          <w:strike/>
          <w:dstrike w:val="0"/>
          <w:color w:val="auto"/>
          <w:spacing w:val="-7"/>
          <w:sz w:val="24"/>
          <w:szCs w:val="24"/>
          <w:highlight w:val="none"/>
        </w:rPr>
        <w:t>1.3.2</w:t>
      </w: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1</w:t>
      </w:r>
      <w:r>
        <w:rPr>
          <w:rFonts w:ascii="Times New Roman" w:hAnsi="Times New Roman" w:eastAsia="Times New Roman" w:cs="Times New Roman"/>
          <w:strike/>
          <w:dstrike w:val="0"/>
          <w:color w:val="auto"/>
          <w:spacing w:val="-8"/>
          <w:sz w:val="24"/>
          <w:szCs w:val="24"/>
          <w:highlight w:val="none"/>
        </w:rPr>
        <w:t>.3.3</w:t>
      </w:r>
      <w:r>
        <w:rPr>
          <w:rFonts w:ascii="宋体" w:hAnsi="宋体" w:eastAsia="宋体" w:cs="宋体"/>
          <w:strike/>
          <w:dstrike w:val="0"/>
          <w:color w:val="auto"/>
          <w:spacing w:val="-3"/>
          <w:sz w:val="24"/>
          <w:szCs w:val="24"/>
          <w:highlight w:val="none"/>
        </w:rPr>
        <w:t>项为准）。</w:t>
      </w:r>
    </w:p>
    <w:p w14:paraId="3674B831">
      <w:pPr>
        <w:spacing w:before="182" w:line="289" w:lineRule="auto"/>
        <w:ind w:left="2" w:right="1"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10</w:t>
      </w:r>
      <w:r>
        <w:rPr>
          <w:rFonts w:ascii="宋体" w:hAnsi="宋体" w:eastAsia="宋体" w:cs="宋体"/>
          <w:strike/>
          <w:dstrike w:val="0"/>
          <w:color w:val="auto"/>
          <w:spacing w:val="2"/>
          <w:sz w:val="24"/>
          <w:szCs w:val="24"/>
          <w:highlight w:val="none"/>
        </w:rPr>
        <w:t>）采用的验收标准或主要技术指标达不到国家强制性标</w:t>
      </w:r>
      <w:r>
        <w:rPr>
          <w:rFonts w:ascii="宋体" w:hAnsi="宋体" w:eastAsia="宋体" w:cs="宋体"/>
          <w:strike/>
          <w:dstrike w:val="0"/>
          <w:color w:val="auto"/>
          <w:spacing w:val="1"/>
          <w:sz w:val="24"/>
          <w:szCs w:val="24"/>
          <w:highlight w:val="none"/>
        </w:rPr>
        <w:t>准或招标文件以下</w:t>
      </w:r>
      <w:r>
        <w:rPr>
          <w:rFonts w:ascii="宋体" w:hAnsi="宋体" w:eastAsia="宋体" w:cs="宋体"/>
          <w:strike/>
          <w:dstrike w:val="0"/>
          <w:color w:val="auto"/>
          <w:spacing w:val="-10"/>
          <w:sz w:val="24"/>
          <w:szCs w:val="24"/>
          <w:highlight w:val="none"/>
        </w:rPr>
        <w:t>条款规定的：</w:t>
      </w:r>
    </w:p>
    <w:p w14:paraId="10EBCF35">
      <w:pPr>
        <w:spacing w:before="182" w:line="213" w:lineRule="auto"/>
        <w:ind w:left="590"/>
        <w:rPr>
          <w:rFonts w:ascii="宋体" w:hAnsi="宋体" w:eastAsia="宋体" w:cs="宋体"/>
          <w:strike/>
          <w:dstrike w:val="0"/>
          <w:color w:val="auto"/>
          <w:sz w:val="25"/>
          <w:szCs w:val="25"/>
          <w:highlight w:val="none"/>
        </w:rPr>
      </w:pPr>
      <w:r>
        <w:rPr>
          <w:rFonts w:ascii="宋体" w:hAnsi="宋体" w:eastAsia="宋体" w:cs="宋体"/>
          <w:i/>
          <w:iCs/>
          <w:strike/>
          <w:dstrike w:val="0"/>
          <w:color w:val="auto"/>
          <w:spacing w:val="-17"/>
          <w:sz w:val="25"/>
          <w:szCs w:val="25"/>
          <w:highlight w:val="none"/>
        </w:rPr>
        <w:t>……</w:t>
      </w:r>
      <w:r>
        <w:rPr>
          <w:rFonts w:ascii="宋体" w:hAnsi="宋体" w:eastAsia="宋体" w:cs="宋体"/>
          <w:strike/>
          <w:dstrike w:val="0"/>
          <w:color w:val="auto"/>
          <w:spacing w:val="-59"/>
          <w:sz w:val="25"/>
          <w:szCs w:val="25"/>
          <w:highlight w:val="none"/>
        </w:rPr>
        <w:t xml:space="preserve"> </w:t>
      </w:r>
      <w:r>
        <w:rPr>
          <w:rFonts w:ascii="宋体" w:hAnsi="宋体" w:eastAsia="宋体" w:cs="宋体"/>
          <w:i/>
          <w:iCs/>
          <w:strike/>
          <w:dstrike w:val="0"/>
          <w:color w:val="auto"/>
          <w:spacing w:val="-17"/>
          <w:sz w:val="25"/>
          <w:szCs w:val="25"/>
          <w:highlight w:val="none"/>
        </w:rPr>
        <w:t>（由招标人自行扩充，如无，请填“无”）</w:t>
      </w:r>
    </w:p>
    <w:p w14:paraId="5351D8B6">
      <w:pPr>
        <w:spacing w:before="179" w:line="290" w:lineRule="auto"/>
        <w:ind w:left="1" w:right="1" w:firstLine="55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11</w:t>
      </w:r>
      <w:r>
        <w:rPr>
          <w:rFonts w:ascii="宋体" w:hAnsi="宋体" w:eastAsia="宋体" w:cs="宋体"/>
          <w:strike/>
          <w:dstrike w:val="0"/>
          <w:color w:val="auto"/>
          <w:spacing w:val="2"/>
          <w:sz w:val="24"/>
          <w:szCs w:val="24"/>
          <w:highlight w:val="none"/>
        </w:rPr>
        <w:t>）采用的施工工艺、方法或质量安全管理措施不能满足</w:t>
      </w:r>
      <w:r>
        <w:rPr>
          <w:rFonts w:ascii="宋体" w:hAnsi="宋体" w:eastAsia="宋体" w:cs="宋体"/>
          <w:strike/>
          <w:dstrike w:val="0"/>
          <w:color w:val="auto"/>
          <w:spacing w:val="1"/>
          <w:sz w:val="24"/>
          <w:szCs w:val="24"/>
          <w:highlight w:val="none"/>
        </w:rPr>
        <w:t>国家强制性标准或</w:t>
      </w:r>
      <w:r>
        <w:rPr>
          <w:rFonts w:ascii="宋体" w:hAnsi="宋体" w:eastAsia="宋体" w:cs="宋体"/>
          <w:strike/>
          <w:dstrike w:val="0"/>
          <w:color w:val="auto"/>
          <w:spacing w:val="-9"/>
          <w:sz w:val="24"/>
          <w:szCs w:val="24"/>
          <w:highlight w:val="none"/>
        </w:rPr>
        <w:t>要求的。</w:t>
      </w:r>
    </w:p>
    <w:p w14:paraId="09A5744E">
      <w:pPr>
        <w:spacing w:before="177" w:line="290" w:lineRule="auto"/>
        <w:ind w:left="2" w:right="3"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12</w:t>
      </w:r>
      <w:r>
        <w:rPr>
          <w:rFonts w:ascii="宋体" w:hAnsi="宋体" w:eastAsia="宋体" w:cs="宋体"/>
          <w:strike/>
          <w:dstrike w:val="0"/>
          <w:color w:val="auto"/>
          <w:spacing w:val="-4"/>
          <w:sz w:val="24"/>
          <w:szCs w:val="24"/>
          <w:highlight w:val="none"/>
        </w:rPr>
        <w:t>）投标人存在投标人须知第“</w:t>
      </w:r>
      <w:r>
        <w:rPr>
          <w:rFonts w:ascii="Times New Roman" w:hAnsi="Times New Roman" w:eastAsia="Times New Roman" w:cs="Times New Roman"/>
          <w:strike/>
          <w:dstrike w:val="0"/>
          <w:color w:val="auto"/>
          <w:spacing w:val="-4"/>
          <w:sz w:val="24"/>
          <w:szCs w:val="24"/>
          <w:highlight w:val="none"/>
        </w:rPr>
        <w:t xml:space="preserve">1.4.3  </w:t>
      </w:r>
      <w:r>
        <w:rPr>
          <w:rFonts w:ascii="宋体" w:hAnsi="宋体" w:eastAsia="宋体" w:cs="宋体"/>
          <w:strike/>
          <w:dstrike w:val="0"/>
          <w:color w:val="auto"/>
          <w:spacing w:val="-4"/>
          <w:sz w:val="24"/>
          <w:szCs w:val="24"/>
          <w:highlight w:val="none"/>
        </w:rPr>
        <w:t>投标人不得存在下列情形之一</w:t>
      </w:r>
      <w:r>
        <w:rPr>
          <w:rFonts w:ascii="Times New Roman" w:hAnsi="Times New Roman" w:eastAsia="Times New Roman" w:cs="Times New Roman"/>
          <w:strike/>
          <w:dstrike w:val="0"/>
          <w:color w:val="auto"/>
          <w:spacing w:val="-4"/>
          <w:sz w:val="24"/>
          <w:szCs w:val="24"/>
          <w:highlight w:val="none"/>
        </w:rPr>
        <w:t>”</w:t>
      </w:r>
      <w:r>
        <w:rPr>
          <w:rFonts w:ascii="宋体" w:hAnsi="宋体" w:eastAsia="宋体" w:cs="宋体"/>
          <w:strike/>
          <w:dstrike w:val="0"/>
          <w:color w:val="auto"/>
          <w:spacing w:val="-4"/>
          <w:sz w:val="24"/>
          <w:szCs w:val="24"/>
          <w:highlight w:val="none"/>
        </w:rPr>
        <w:t>项</w:t>
      </w:r>
      <w:r>
        <w:rPr>
          <w:rFonts w:ascii="宋体" w:hAnsi="宋体" w:eastAsia="宋体" w:cs="宋体"/>
          <w:strike/>
          <w:dstrike w:val="0"/>
          <w:color w:val="auto"/>
          <w:spacing w:val="-5"/>
          <w:sz w:val="24"/>
          <w:szCs w:val="24"/>
          <w:highlight w:val="none"/>
        </w:rPr>
        <w:t>或投标</w:t>
      </w:r>
      <w:r>
        <w:rPr>
          <w:rFonts w:ascii="宋体" w:hAnsi="宋体" w:eastAsia="宋体" w:cs="宋体"/>
          <w:strike/>
          <w:dstrike w:val="0"/>
          <w:color w:val="auto"/>
          <w:spacing w:val="-2"/>
          <w:sz w:val="24"/>
          <w:szCs w:val="24"/>
          <w:highlight w:val="none"/>
        </w:rPr>
        <w:t>人须知“</w:t>
      </w:r>
      <w:r>
        <w:rPr>
          <w:rFonts w:ascii="Times New Roman" w:hAnsi="Times New Roman" w:eastAsia="Times New Roman" w:cs="Times New Roman"/>
          <w:strike/>
          <w:dstrike w:val="0"/>
          <w:color w:val="auto"/>
          <w:spacing w:val="-2"/>
          <w:sz w:val="24"/>
          <w:szCs w:val="24"/>
          <w:highlight w:val="none"/>
        </w:rPr>
        <w:t xml:space="preserve">9.2  </w:t>
      </w:r>
      <w:r>
        <w:rPr>
          <w:rFonts w:ascii="宋体" w:hAnsi="宋体" w:eastAsia="宋体" w:cs="宋体"/>
          <w:strike/>
          <w:dstrike w:val="0"/>
          <w:color w:val="auto"/>
          <w:spacing w:val="-2"/>
          <w:sz w:val="24"/>
          <w:szCs w:val="24"/>
          <w:highlight w:val="none"/>
        </w:rPr>
        <w:t>对投标人的纪律要求</w:t>
      </w:r>
      <w:r>
        <w:rPr>
          <w:rFonts w:ascii="宋体" w:hAnsi="宋体" w:eastAsia="宋体" w:cs="宋体"/>
          <w:strike/>
          <w:dstrike w:val="0"/>
          <w:color w:val="auto"/>
          <w:spacing w:val="-88"/>
          <w:sz w:val="24"/>
          <w:szCs w:val="24"/>
          <w:highlight w:val="none"/>
        </w:rPr>
        <w:t xml:space="preserve"> </w:t>
      </w:r>
      <w:r>
        <w:rPr>
          <w:rFonts w:ascii="宋体" w:hAnsi="宋体" w:eastAsia="宋体" w:cs="宋体"/>
          <w:strike/>
          <w:dstrike w:val="0"/>
          <w:color w:val="auto"/>
          <w:spacing w:val="-2"/>
          <w:sz w:val="24"/>
          <w:szCs w:val="24"/>
          <w:highlight w:val="none"/>
        </w:rPr>
        <w:t>”项规定</w:t>
      </w:r>
      <w:r>
        <w:rPr>
          <w:rFonts w:ascii="宋体" w:hAnsi="宋体" w:eastAsia="宋体" w:cs="宋体"/>
          <w:strike/>
          <w:dstrike w:val="0"/>
          <w:color w:val="auto"/>
          <w:spacing w:val="-3"/>
          <w:sz w:val="24"/>
          <w:szCs w:val="24"/>
          <w:highlight w:val="none"/>
        </w:rPr>
        <w:t>情形之一的。</w:t>
      </w:r>
    </w:p>
    <w:p w14:paraId="5E1D7A40">
      <w:pPr>
        <w:spacing w:before="180" w:line="213" w:lineRule="auto"/>
        <w:ind w:left="557"/>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13</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70"/>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4A25FFB5">
      <w:pPr>
        <w:spacing w:before="183" w:line="359" w:lineRule="auto"/>
        <w:ind w:left="15" w:right="89" w:firstLine="54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14</w:t>
      </w:r>
      <w:r>
        <w:rPr>
          <w:rFonts w:ascii="宋体" w:hAnsi="宋体" w:eastAsia="宋体" w:cs="宋体"/>
          <w:strike/>
          <w:dstrike w:val="0"/>
          <w:color w:val="auto"/>
          <w:spacing w:val="-2"/>
          <w:sz w:val="24"/>
          <w:szCs w:val="24"/>
          <w:highlight w:val="none"/>
        </w:rPr>
        <w:t>）存在法律、法规、规章规定的其他无效投标情况的。</w:t>
      </w:r>
    </w:p>
    <w:p w14:paraId="22023696">
      <w:pPr>
        <w:spacing w:before="183" w:line="359" w:lineRule="auto"/>
        <w:ind w:left="15" w:right="89" w:firstLine="54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当出现否决投标时，评标委员会按上述办法对投标报价由低</w:t>
      </w:r>
      <w:r>
        <w:rPr>
          <w:rFonts w:ascii="宋体" w:hAnsi="宋体" w:eastAsia="宋体" w:cs="宋体"/>
          <w:strike/>
          <w:dstrike w:val="0"/>
          <w:color w:val="auto"/>
          <w:spacing w:val="1"/>
          <w:sz w:val="24"/>
          <w:szCs w:val="24"/>
          <w:highlight w:val="none"/>
        </w:rPr>
        <w:t>到高的顺序依次评</w:t>
      </w:r>
      <w:r>
        <w:rPr>
          <w:rFonts w:ascii="宋体" w:hAnsi="宋体" w:eastAsia="宋体" w:cs="宋体"/>
          <w:strike/>
          <w:dstrike w:val="0"/>
          <w:color w:val="auto"/>
          <w:spacing w:val="-2"/>
          <w:sz w:val="24"/>
          <w:szCs w:val="24"/>
          <w:highlight w:val="none"/>
        </w:rPr>
        <w:t>审下一个投标文件，直至通过技术符合性审查进入下一轮评审。</w:t>
      </w:r>
    </w:p>
    <w:p w14:paraId="4B82074A">
      <w:pPr>
        <w:spacing w:line="219" w:lineRule="auto"/>
        <w:outlineLvl w:val="2"/>
        <w:rPr>
          <w:rFonts w:ascii="宋体" w:hAnsi="宋体" w:eastAsia="宋体" w:cs="宋体"/>
          <w:strike w:val="0"/>
          <w:dstrike w:val="0"/>
          <w:color w:val="auto"/>
          <w:sz w:val="24"/>
          <w:szCs w:val="24"/>
          <w:highlight w:val="none"/>
        </w:rPr>
      </w:pPr>
      <w:bookmarkStart w:id="436" w:name="_Toc48"/>
      <w:r>
        <w:rPr>
          <w:rFonts w:ascii="Times New Roman" w:hAnsi="Times New Roman" w:eastAsia="Times New Roman" w:cs="Times New Roman"/>
          <w:b/>
          <w:bCs/>
          <w:strike w:val="0"/>
          <w:dstrike w:val="0"/>
          <w:color w:val="auto"/>
          <w:spacing w:val="-2"/>
          <w:sz w:val="24"/>
          <w:szCs w:val="24"/>
          <w:highlight w:val="none"/>
        </w:rPr>
        <w:t xml:space="preserve">4.3  </w:t>
      </w:r>
      <w:r>
        <w:rPr>
          <w:rFonts w:ascii="宋体" w:hAnsi="宋体" w:eastAsia="宋体" w:cs="宋体"/>
          <w:b/>
          <w:bCs/>
          <w:strike w:val="0"/>
          <w:dstrike w:val="0"/>
          <w:color w:val="auto"/>
          <w:spacing w:val="-2"/>
          <w:sz w:val="24"/>
          <w:szCs w:val="24"/>
          <w:highlight w:val="none"/>
        </w:rPr>
        <w:t>投标文件的技术评审</w:t>
      </w:r>
      <w:bookmarkEnd w:id="436"/>
    </w:p>
    <w:p w14:paraId="095683A8">
      <w:pPr>
        <w:spacing w:before="179" w:line="290" w:lineRule="auto"/>
        <w:ind w:left="3" w:right="87" w:firstLine="54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4.3.1  </w:t>
      </w:r>
      <w:r>
        <w:rPr>
          <w:rFonts w:ascii="宋体" w:hAnsi="宋体" w:eastAsia="宋体" w:cs="宋体"/>
          <w:strike/>
          <w:dstrike w:val="0"/>
          <w:color w:val="auto"/>
          <w:spacing w:val="-1"/>
          <w:sz w:val="24"/>
          <w:szCs w:val="24"/>
          <w:highlight w:val="none"/>
        </w:rPr>
        <w:t>评标委员会应对通过符合性审查的投标文件进行技术评审</w:t>
      </w:r>
      <w:r>
        <w:rPr>
          <w:rFonts w:ascii="宋体" w:hAnsi="宋体" w:eastAsia="宋体" w:cs="宋体"/>
          <w:strike/>
          <w:dstrike w:val="0"/>
          <w:color w:val="auto"/>
          <w:spacing w:val="-2"/>
          <w:sz w:val="24"/>
          <w:szCs w:val="24"/>
          <w:highlight w:val="none"/>
        </w:rPr>
        <w:t>。专家评审采用集体评议、记名表决、少数服从多数的方法进行。</w:t>
      </w:r>
    </w:p>
    <w:p w14:paraId="527C0C73">
      <w:pPr>
        <w:spacing w:before="180" w:line="220" w:lineRule="auto"/>
        <w:ind w:left="54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4.3.2  </w:t>
      </w:r>
      <w:r>
        <w:rPr>
          <w:rFonts w:ascii="宋体" w:hAnsi="宋体" w:eastAsia="宋体" w:cs="宋体"/>
          <w:strike/>
          <w:dstrike w:val="0"/>
          <w:color w:val="auto"/>
          <w:spacing w:val="-2"/>
          <w:sz w:val="24"/>
          <w:szCs w:val="24"/>
          <w:highlight w:val="none"/>
        </w:rPr>
        <w:t>如投标文件有以下情况之一的，按技术评审不通过予以否决：</w:t>
      </w:r>
    </w:p>
    <w:p w14:paraId="3377449E">
      <w:pPr>
        <w:spacing w:before="79"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）主要的施工技术方案或安全保障措施不可</w:t>
      </w:r>
      <w:r>
        <w:rPr>
          <w:rFonts w:ascii="宋体" w:hAnsi="宋体" w:eastAsia="宋体" w:cs="宋体"/>
          <w:strike/>
          <w:dstrike w:val="0"/>
          <w:color w:val="auto"/>
          <w:spacing w:val="-3"/>
          <w:sz w:val="24"/>
          <w:szCs w:val="24"/>
          <w:highlight w:val="none"/>
        </w:rPr>
        <w:t>行的。</w:t>
      </w:r>
    </w:p>
    <w:p w14:paraId="79627032">
      <w:pPr>
        <w:spacing w:before="182"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2</w:t>
      </w:r>
      <w:r>
        <w:rPr>
          <w:rFonts w:ascii="宋体" w:hAnsi="宋体" w:eastAsia="宋体" w:cs="宋体"/>
          <w:strike/>
          <w:dstrike w:val="0"/>
          <w:color w:val="auto"/>
          <w:spacing w:val="-3"/>
          <w:sz w:val="24"/>
          <w:szCs w:val="24"/>
          <w:highlight w:val="none"/>
        </w:rPr>
        <w:t>）主要施工机械设备不能满足施工需要的。</w:t>
      </w:r>
    </w:p>
    <w:p w14:paraId="0AEB0C49">
      <w:pPr>
        <w:spacing w:before="181"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3</w:t>
      </w:r>
      <w:r>
        <w:rPr>
          <w:rFonts w:ascii="宋体" w:hAnsi="宋体" w:eastAsia="宋体" w:cs="宋体"/>
          <w:strike/>
          <w:dstrike w:val="0"/>
          <w:color w:val="auto"/>
          <w:spacing w:val="-2"/>
          <w:sz w:val="24"/>
          <w:szCs w:val="24"/>
          <w:highlight w:val="none"/>
        </w:rPr>
        <w:t>）附有工程无法适用的其他技术和管理</w:t>
      </w:r>
      <w:r>
        <w:rPr>
          <w:rFonts w:ascii="宋体" w:hAnsi="宋体" w:eastAsia="宋体" w:cs="宋体"/>
          <w:strike/>
          <w:dstrike w:val="0"/>
          <w:color w:val="auto"/>
          <w:spacing w:val="-3"/>
          <w:sz w:val="24"/>
          <w:szCs w:val="24"/>
          <w:highlight w:val="none"/>
        </w:rPr>
        <w:t>条款的。</w:t>
      </w:r>
    </w:p>
    <w:p w14:paraId="15BA70B1">
      <w:pPr>
        <w:spacing w:before="183"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4</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59"/>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400CC0BC">
      <w:pPr>
        <w:spacing w:before="178" w:line="359" w:lineRule="auto"/>
        <w:ind w:left="9" w:right="87" w:firstLine="53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4.3.3  </w:t>
      </w:r>
      <w:r>
        <w:rPr>
          <w:rFonts w:ascii="宋体" w:hAnsi="宋体" w:eastAsia="宋体" w:cs="宋体"/>
          <w:strike/>
          <w:dstrike w:val="0"/>
          <w:color w:val="auto"/>
          <w:spacing w:val="-1"/>
          <w:sz w:val="24"/>
          <w:szCs w:val="24"/>
          <w:highlight w:val="none"/>
        </w:rPr>
        <w:t>当出现否决投标时，评标委员会按上述办法按投标报价由低到高的顺序依次评审下一个投标文件，直至通过技术符合性审查、技术评审，进</w:t>
      </w:r>
      <w:r>
        <w:rPr>
          <w:rFonts w:ascii="宋体" w:hAnsi="宋体" w:eastAsia="宋体" w:cs="宋体"/>
          <w:strike/>
          <w:dstrike w:val="0"/>
          <w:color w:val="auto"/>
          <w:spacing w:val="-2"/>
          <w:sz w:val="24"/>
          <w:szCs w:val="24"/>
          <w:highlight w:val="none"/>
        </w:rPr>
        <w:t>入下一轮评审。</w:t>
      </w:r>
    </w:p>
    <w:p w14:paraId="6CA5A0C2">
      <w:pPr>
        <w:spacing w:line="219" w:lineRule="auto"/>
        <w:outlineLvl w:val="2"/>
        <w:rPr>
          <w:rFonts w:ascii="宋体" w:hAnsi="宋体" w:eastAsia="宋体" w:cs="宋体"/>
          <w:strike w:val="0"/>
          <w:dstrike w:val="0"/>
          <w:color w:val="auto"/>
          <w:sz w:val="24"/>
          <w:szCs w:val="24"/>
          <w:highlight w:val="none"/>
        </w:rPr>
      </w:pPr>
      <w:bookmarkStart w:id="437" w:name="bookmark136"/>
      <w:bookmarkEnd w:id="437"/>
      <w:bookmarkStart w:id="438" w:name="_Toc30888"/>
      <w:r>
        <w:rPr>
          <w:rFonts w:ascii="Times New Roman" w:hAnsi="Times New Roman" w:eastAsia="Times New Roman" w:cs="Times New Roman"/>
          <w:b/>
          <w:bCs/>
          <w:strike w:val="0"/>
          <w:dstrike w:val="0"/>
          <w:color w:val="auto"/>
          <w:spacing w:val="-2"/>
          <w:sz w:val="24"/>
          <w:szCs w:val="24"/>
          <w:highlight w:val="none"/>
        </w:rPr>
        <w:t xml:space="preserve">4.4  </w:t>
      </w:r>
      <w:r>
        <w:rPr>
          <w:rFonts w:ascii="宋体" w:hAnsi="宋体" w:eastAsia="宋体" w:cs="宋体"/>
          <w:b/>
          <w:bCs/>
          <w:strike w:val="0"/>
          <w:dstrike w:val="0"/>
          <w:color w:val="auto"/>
          <w:spacing w:val="-2"/>
          <w:sz w:val="24"/>
          <w:szCs w:val="24"/>
          <w:highlight w:val="none"/>
        </w:rPr>
        <w:t>投标文件的商务符合性评审</w:t>
      </w:r>
      <w:bookmarkEnd w:id="438"/>
    </w:p>
    <w:p w14:paraId="18B1D9ED">
      <w:pPr>
        <w:spacing w:before="183" w:line="289" w:lineRule="auto"/>
        <w:ind w:left="6" w:right="90" w:firstLine="533"/>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4.4.1  </w:t>
      </w:r>
      <w:r>
        <w:rPr>
          <w:rFonts w:ascii="宋体" w:hAnsi="宋体" w:eastAsia="宋体" w:cs="宋体"/>
          <w:strike/>
          <w:dstrike w:val="0"/>
          <w:color w:val="auto"/>
          <w:spacing w:val="-1"/>
          <w:sz w:val="24"/>
          <w:szCs w:val="24"/>
          <w:highlight w:val="none"/>
        </w:rPr>
        <w:t>评标委员会应对通过技术评审的投标文件进行商务符合性审查。商务</w:t>
      </w:r>
      <w:r>
        <w:rPr>
          <w:rFonts w:ascii="宋体" w:hAnsi="宋体" w:eastAsia="宋体" w:cs="宋体"/>
          <w:strike/>
          <w:dstrike w:val="0"/>
          <w:color w:val="auto"/>
          <w:spacing w:val="-2"/>
          <w:sz w:val="24"/>
          <w:szCs w:val="24"/>
          <w:highlight w:val="none"/>
        </w:rPr>
        <w:t>符合</w:t>
      </w:r>
      <w:r>
        <w:rPr>
          <w:rFonts w:ascii="宋体" w:hAnsi="宋体" w:eastAsia="宋体" w:cs="宋体"/>
          <w:strike/>
          <w:dstrike w:val="0"/>
          <w:color w:val="auto"/>
          <w:spacing w:val="-3"/>
          <w:sz w:val="24"/>
          <w:szCs w:val="24"/>
          <w:highlight w:val="none"/>
        </w:rPr>
        <w:t>性审查未通过的投标文件不再进入后续评审。</w:t>
      </w:r>
    </w:p>
    <w:p w14:paraId="3E7CEC82">
      <w:pPr>
        <w:spacing w:before="183" w:line="289" w:lineRule="auto"/>
        <w:ind w:left="23" w:right="87" w:firstLine="528"/>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4.4.2  </w:t>
      </w:r>
      <w:r>
        <w:rPr>
          <w:rFonts w:ascii="宋体" w:hAnsi="宋体" w:eastAsia="宋体" w:cs="宋体"/>
          <w:strike/>
          <w:dstrike w:val="0"/>
          <w:color w:val="auto"/>
          <w:spacing w:val="-1"/>
          <w:sz w:val="24"/>
          <w:szCs w:val="24"/>
          <w:highlight w:val="none"/>
        </w:rPr>
        <w:t>投标人不得通过补充、修改或撤销投标文件中</w:t>
      </w:r>
      <w:r>
        <w:rPr>
          <w:rFonts w:ascii="宋体" w:hAnsi="宋体" w:eastAsia="宋体" w:cs="宋体"/>
          <w:strike/>
          <w:dstrike w:val="0"/>
          <w:color w:val="auto"/>
          <w:spacing w:val="-2"/>
          <w:sz w:val="24"/>
          <w:szCs w:val="24"/>
          <w:highlight w:val="none"/>
        </w:rPr>
        <w:t>的内容使其成为实质性响应的投标。投标人在投标截止以后不得提交任何资料作为</w:t>
      </w:r>
      <w:r>
        <w:rPr>
          <w:rFonts w:ascii="宋体" w:hAnsi="宋体" w:eastAsia="宋体" w:cs="宋体"/>
          <w:strike/>
          <w:dstrike w:val="0"/>
          <w:color w:val="auto"/>
          <w:spacing w:val="-3"/>
          <w:sz w:val="24"/>
          <w:szCs w:val="24"/>
          <w:highlight w:val="none"/>
        </w:rPr>
        <w:t>评标依据。</w:t>
      </w:r>
    </w:p>
    <w:p w14:paraId="58749641">
      <w:pPr>
        <w:spacing w:before="180" w:line="313" w:lineRule="auto"/>
        <w:ind w:left="7" w:right="87" w:firstLine="532"/>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4.4.3  </w:t>
      </w:r>
      <w:r>
        <w:rPr>
          <w:rFonts w:ascii="宋体" w:hAnsi="宋体" w:eastAsia="宋体" w:cs="宋体"/>
          <w:strike/>
          <w:dstrike w:val="0"/>
          <w:color w:val="auto"/>
          <w:spacing w:val="-1"/>
          <w:sz w:val="24"/>
          <w:szCs w:val="24"/>
          <w:highlight w:val="none"/>
        </w:rPr>
        <w:t>投标文件如存在以下列情况之一的，由评标委员会全体成员按照少数服从</w:t>
      </w:r>
      <w:r>
        <w:rPr>
          <w:rFonts w:ascii="宋体" w:hAnsi="宋体" w:eastAsia="宋体" w:cs="宋体"/>
          <w:strike/>
          <w:dstrike w:val="0"/>
          <w:color w:val="auto"/>
          <w:spacing w:val="-9"/>
          <w:sz w:val="24"/>
          <w:szCs w:val="24"/>
          <w:highlight w:val="none"/>
        </w:rPr>
        <w:t>多数的原则记名投票（不得弃权）认定，作为商务符合性审查未通过予以否决</w:t>
      </w:r>
      <w:r>
        <w:rPr>
          <w:rFonts w:ascii="宋体" w:hAnsi="宋体" w:eastAsia="宋体" w:cs="宋体"/>
          <w:strike/>
          <w:dstrike w:val="0"/>
          <w:color w:val="auto"/>
          <w:spacing w:val="-10"/>
          <w:sz w:val="24"/>
          <w:szCs w:val="24"/>
          <w:highlight w:val="none"/>
        </w:rPr>
        <w:t>其投标，</w:t>
      </w:r>
      <w:r>
        <w:rPr>
          <w:rFonts w:ascii="宋体" w:hAnsi="宋体" w:eastAsia="宋体" w:cs="宋体"/>
          <w:strike/>
          <w:dstrike w:val="0"/>
          <w:color w:val="auto"/>
          <w:spacing w:val="-7"/>
          <w:sz w:val="24"/>
          <w:szCs w:val="24"/>
          <w:highlight w:val="none"/>
        </w:rPr>
        <w:t>不再进行候选评审：</w:t>
      </w:r>
    </w:p>
    <w:p w14:paraId="55261748">
      <w:pPr>
        <w:spacing w:before="184" w:line="288" w:lineRule="auto"/>
        <w:ind w:left="2" w:right="99"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）投标人未按招标文件要求加盖单位印章或投标人的法定代表人（或其委托</w:t>
      </w:r>
      <w:r>
        <w:rPr>
          <w:rFonts w:ascii="宋体" w:hAnsi="宋体" w:eastAsia="宋体" w:cs="宋体"/>
          <w:strike/>
          <w:dstrike w:val="0"/>
          <w:color w:val="auto"/>
          <w:spacing w:val="-3"/>
          <w:sz w:val="24"/>
          <w:szCs w:val="24"/>
          <w:highlight w:val="none"/>
        </w:rPr>
        <w:t>代理人）未按招标文件要求签字或盖章的。</w:t>
      </w:r>
    </w:p>
    <w:p w14:paraId="6F98B0BE">
      <w:pPr>
        <w:spacing w:before="183" w:line="289" w:lineRule="auto"/>
        <w:ind w:left="5" w:right="99" w:firstLine="55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）同一投标人提交两个及以上不同的投标报价且未声明哪一个有效的（招标</w:t>
      </w:r>
      <w:r>
        <w:rPr>
          <w:rFonts w:ascii="宋体" w:hAnsi="宋体" w:eastAsia="宋体" w:cs="宋体"/>
          <w:strike/>
          <w:dstrike w:val="0"/>
          <w:color w:val="auto"/>
          <w:spacing w:val="-3"/>
          <w:sz w:val="24"/>
          <w:szCs w:val="24"/>
          <w:highlight w:val="none"/>
        </w:rPr>
        <w:t>文件要求提交备选投标的除外）。</w:t>
      </w:r>
    </w:p>
    <w:p w14:paraId="50A53D9C">
      <w:pPr>
        <w:spacing w:before="182" w:line="289" w:lineRule="auto"/>
        <w:ind w:left="2" w:right="87" w:firstLine="557"/>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）投标函载明的投标工期和质量不满足招标文件要求的</w:t>
      </w:r>
      <w:r>
        <w:rPr>
          <w:rFonts w:ascii="Times New Roman" w:hAnsi="Times New Roman" w:eastAsia="Times New Roman" w:cs="Times New Roman"/>
          <w:strike/>
          <w:dstrike w:val="0"/>
          <w:color w:val="auto"/>
          <w:spacing w:val="3"/>
          <w:sz w:val="24"/>
          <w:szCs w:val="24"/>
          <w:highlight w:val="none"/>
        </w:rPr>
        <w:t>(</w:t>
      </w:r>
      <w:r>
        <w:rPr>
          <w:rFonts w:ascii="宋体" w:hAnsi="宋体" w:eastAsia="宋体" w:cs="宋体"/>
          <w:strike/>
          <w:dstrike w:val="0"/>
          <w:color w:val="auto"/>
          <w:spacing w:val="3"/>
          <w:sz w:val="24"/>
          <w:szCs w:val="24"/>
          <w:highlight w:val="none"/>
        </w:rPr>
        <w:t>以投标人须</w:t>
      </w:r>
      <w:r>
        <w:rPr>
          <w:rFonts w:ascii="宋体" w:hAnsi="宋体" w:eastAsia="宋体" w:cs="宋体"/>
          <w:strike/>
          <w:dstrike w:val="0"/>
          <w:color w:val="auto"/>
          <w:spacing w:val="2"/>
          <w:sz w:val="24"/>
          <w:szCs w:val="24"/>
          <w:highlight w:val="none"/>
        </w:rPr>
        <w:t>知前附</w:t>
      </w:r>
      <w:r>
        <w:rPr>
          <w:rFonts w:ascii="宋体" w:hAnsi="宋体" w:eastAsia="宋体" w:cs="宋体"/>
          <w:strike/>
          <w:dstrike w:val="0"/>
          <w:color w:val="auto"/>
          <w:spacing w:val="-4"/>
          <w:sz w:val="24"/>
          <w:szCs w:val="24"/>
          <w:highlight w:val="none"/>
        </w:rPr>
        <w:t>表第</w:t>
      </w:r>
      <w:r>
        <w:rPr>
          <w:rFonts w:ascii="Times New Roman" w:hAnsi="Times New Roman" w:eastAsia="Times New Roman" w:cs="Times New Roman"/>
          <w:strike/>
          <w:dstrike w:val="0"/>
          <w:color w:val="auto"/>
          <w:spacing w:val="-4"/>
          <w:sz w:val="24"/>
          <w:szCs w:val="24"/>
          <w:highlight w:val="none"/>
        </w:rPr>
        <w:t>1.3.2</w:t>
      </w:r>
      <w:r>
        <w:rPr>
          <w:rFonts w:ascii="Times New Roman" w:hAnsi="Times New Roman" w:eastAsia="Times New Roman" w:cs="Times New Roman"/>
          <w:strike/>
          <w:dstrike w:val="0"/>
          <w:color w:val="auto"/>
          <w:spacing w:val="-26"/>
          <w:sz w:val="24"/>
          <w:szCs w:val="24"/>
          <w:highlight w:val="none"/>
        </w:rPr>
        <w:t xml:space="preserve"> </w:t>
      </w: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1.3.3</w:t>
      </w:r>
      <w:r>
        <w:rPr>
          <w:rFonts w:ascii="宋体" w:hAnsi="宋体" w:eastAsia="宋体" w:cs="宋体"/>
          <w:strike/>
          <w:dstrike w:val="0"/>
          <w:color w:val="auto"/>
          <w:spacing w:val="-4"/>
          <w:sz w:val="24"/>
          <w:szCs w:val="24"/>
          <w:highlight w:val="none"/>
        </w:rPr>
        <w:t>项为准）。</w:t>
      </w:r>
    </w:p>
    <w:p w14:paraId="064B8BA3">
      <w:pPr>
        <w:spacing w:before="183" w:line="218"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4</w:t>
      </w:r>
      <w:r>
        <w:rPr>
          <w:rFonts w:ascii="宋体" w:hAnsi="宋体" w:eastAsia="宋体" w:cs="宋体"/>
          <w:strike/>
          <w:dstrike w:val="0"/>
          <w:color w:val="auto"/>
          <w:spacing w:val="-2"/>
          <w:sz w:val="24"/>
          <w:szCs w:val="24"/>
          <w:highlight w:val="none"/>
        </w:rPr>
        <w:t>）投标报价高于招标文件设定的最高限价的或分项限价的。</w:t>
      </w:r>
    </w:p>
    <w:p w14:paraId="79B3F7C8">
      <w:pPr>
        <w:spacing w:before="181" w:line="219" w:lineRule="auto"/>
        <w:jc w:val="right"/>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5</w:t>
      </w:r>
      <w:r>
        <w:rPr>
          <w:rFonts w:ascii="宋体" w:hAnsi="宋体" w:eastAsia="宋体" w:cs="宋体"/>
          <w:strike/>
          <w:dstrike w:val="0"/>
          <w:color w:val="auto"/>
          <w:spacing w:val="1"/>
          <w:sz w:val="24"/>
          <w:szCs w:val="24"/>
          <w:highlight w:val="none"/>
        </w:rPr>
        <w:t>）改变招标人提供的工程量清单中的项目编码、项目名称、项</w:t>
      </w:r>
      <w:r>
        <w:rPr>
          <w:rFonts w:ascii="宋体" w:hAnsi="宋体" w:eastAsia="宋体" w:cs="宋体"/>
          <w:strike/>
          <w:dstrike w:val="0"/>
          <w:color w:val="auto"/>
          <w:sz w:val="24"/>
          <w:szCs w:val="24"/>
          <w:highlight w:val="none"/>
        </w:rPr>
        <w:t>目主要特征、</w:t>
      </w:r>
    </w:p>
    <w:p w14:paraId="302546C5">
      <w:pPr>
        <w:spacing w:before="48" w:line="359" w:lineRule="auto"/>
        <w:ind w:left="8" w:right="74" w:hanging="5"/>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计量单位、工程数量、主要技术条款编码、预留金或暂估价等内容的（但按</w:t>
      </w:r>
      <w:r>
        <w:rPr>
          <w:rFonts w:ascii="宋体" w:hAnsi="宋体" w:eastAsia="宋体" w:cs="宋体"/>
          <w:strike/>
          <w:dstrike w:val="0"/>
          <w:color w:val="auto"/>
          <w:spacing w:val="-4"/>
          <w:sz w:val="24"/>
          <w:szCs w:val="24"/>
          <w:highlight w:val="none"/>
        </w:rPr>
        <w:t>照国家规</w:t>
      </w:r>
      <w:r>
        <w:rPr>
          <w:rFonts w:ascii="宋体" w:hAnsi="宋体" w:eastAsia="宋体" w:cs="宋体"/>
          <w:strike/>
          <w:dstrike w:val="0"/>
          <w:color w:val="auto"/>
          <w:spacing w:val="-3"/>
          <w:sz w:val="24"/>
          <w:szCs w:val="24"/>
          <w:highlight w:val="none"/>
        </w:rPr>
        <w:t>范所作的修改和招标文件规定的除外）。</w:t>
      </w:r>
    </w:p>
    <w:p w14:paraId="28FAEA60">
      <w:pPr>
        <w:spacing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6</w:t>
      </w:r>
      <w:r>
        <w:rPr>
          <w:rFonts w:ascii="宋体" w:hAnsi="宋体" w:eastAsia="宋体" w:cs="宋体"/>
          <w:strike/>
          <w:dstrike w:val="0"/>
          <w:color w:val="auto"/>
          <w:spacing w:val="-2"/>
          <w:sz w:val="24"/>
          <w:szCs w:val="24"/>
          <w:highlight w:val="none"/>
        </w:rPr>
        <w:t>）投标人存在投标人须知“</w:t>
      </w:r>
      <w:r>
        <w:rPr>
          <w:rFonts w:ascii="Times New Roman" w:hAnsi="Times New Roman" w:eastAsia="Times New Roman" w:cs="Times New Roman"/>
          <w:strike/>
          <w:dstrike w:val="0"/>
          <w:color w:val="auto"/>
          <w:spacing w:val="-2"/>
          <w:sz w:val="24"/>
          <w:szCs w:val="24"/>
          <w:highlight w:val="none"/>
        </w:rPr>
        <w:t xml:space="preserve">9.2  </w:t>
      </w:r>
      <w:r>
        <w:rPr>
          <w:rFonts w:ascii="宋体" w:hAnsi="宋体" w:eastAsia="宋体" w:cs="宋体"/>
          <w:strike/>
          <w:dstrike w:val="0"/>
          <w:color w:val="auto"/>
          <w:spacing w:val="-2"/>
          <w:sz w:val="24"/>
          <w:szCs w:val="24"/>
          <w:highlight w:val="none"/>
        </w:rPr>
        <w:t>对投标人的纪律要求</w:t>
      </w:r>
      <w:r>
        <w:rPr>
          <w:rFonts w:ascii="宋体" w:hAnsi="宋体" w:eastAsia="宋体" w:cs="宋体"/>
          <w:strike/>
          <w:dstrike w:val="0"/>
          <w:color w:val="auto"/>
          <w:spacing w:val="-79"/>
          <w:sz w:val="24"/>
          <w:szCs w:val="24"/>
          <w:highlight w:val="none"/>
        </w:rPr>
        <w:t xml:space="preserve"> </w:t>
      </w:r>
      <w:r>
        <w:rPr>
          <w:rFonts w:ascii="宋体" w:hAnsi="宋体" w:eastAsia="宋体" w:cs="宋体"/>
          <w:strike/>
          <w:dstrike w:val="0"/>
          <w:color w:val="auto"/>
          <w:spacing w:val="-2"/>
          <w:sz w:val="24"/>
          <w:szCs w:val="24"/>
          <w:highlight w:val="none"/>
        </w:rPr>
        <w:t>”项规定情形之一的。</w:t>
      </w:r>
    </w:p>
    <w:p w14:paraId="1AE86941">
      <w:pPr>
        <w:spacing w:before="182"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7</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7"/>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73420E24">
      <w:pPr>
        <w:spacing w:before="177" w:line="219" w:lineRule="auto"/>
        <w:ind w:left="55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）存在法律、法规、规章规定的其他无效投标情况的。</w:t>
      </w:r>
    </w:p>
    <w:p w14:paraId="1F8F71A0">
      <w:pPr>
        <w:spacing w:before="183" w:line="359" w:lineRule="auto"/>
        <w:ind w:left="15" w:right="64" w:firstLine="54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当出现否决投标时，评标委员会按上述办法对投标报价由低</w:t>
      </w:r>
      <w:r>
        <w:rPr>
          <w:rFonts w:ascii="宋体" w:hAnsi="宋体" w:eastAsia="宋体" w:cs="宋体"/>
          <w:strike/>
          <w:dstrike w:val="0"/>
          <w:color w:val="auto"/>
          <w:spacing w:val="1"/>
          <w:sz w:val="24"/>
          <w:szCs w:val="24"/>
          <w:highlight w:val="none"/>
        </w:rPr>
        <w:t>到高的顺序依次评</w:t>
      </w:r>
      <w:r>
        <w:rPr>
          <w:rFonts w:ascii="宋体" w:hAnsi="宋体" w:eastAsia="宋体" w:cs="宋体"/>
          <w:strike/>
          <w:dstrike w:val="0"/>
          <w:color w:val="auto"/>
          <w:spacing w:val="-2"/>
          <w:sz w:val="24"/>
          <w:szCs w:val="24"/>
          <w:highlight w:val="none"/>
        </w:rPr>
        <w:t>审下一个投标文件，直至通过商务符合性审查进入下一轮评审。</w:t>
      </w:r>
    </w:p>
    <w:p w14:paraId="3B615EA8">
      <w:pPr>
        <w:spacing w:line="219" w:lineRule="auto"/>
        <w:outlineLvl w:val="2"/>
        <w:rPr>
          <w:rFonts w:ascii="宋体" w:hAnsi="宋体" w:eastAsia="宋体" w:cs="宋体"/>
          <w:strike w:val="0"/>
          <w:dstrike w:val="0"/>
          <w:color w:val="auto"/>
          <w:sz w:val="24"/>
          <w:szCs w:val="24"/>
          <w:highlight w:val="none"/>
        </w:rPr>
      </w:pPr>
      <w:bookmarkStart w:id="439" w:name="_Toc1143"/>
      <w:r>
        <w:rPr>
          <w:rFonts w:ascii="Times New Roman" w:hAnsi="Times New Roman" w:eastAsia="Times New Roman" w:cs="Times New Roman"/>
          <w:b/>
          <w:bCs/>
          <w:strike w:val="0"/>
          <w:dstrike w:val="0"/>
          <w:color w:val="auto"/>
          <w:spacing w:val="-2"/>
          <w:sz w:val="24"/>
          <w:szCs w:val="24"/>
          <w:highlight w:val="none"/>
        </w:rPr>
        <w:t xml:space="preserve">4.5  </w:t>
      </w:r>
      <w:r>
        <w:rPr>
          <w:rFonts w:ascii="宋体" w:hAnsi="宋体" w:eastAsia="宋体" w:cs="宋体"/>
          <w:b/>
          <w:bCs/>
          <w:strike w:val="0"/>
          <w:dstrike w:val="0"/>
          <w:color w:val="auto"/>
          <w:spacing w:val="-2"/>
          <w:sz w:val="24"/>
          <w:szCs w:val="24"/>
          <w:highlight w:val="none"/>
        </w:rPr>
        <w:t>投标文件的商务评审</w:t>
      </w:r>
      <w:bookmarkEnd w:id="439"/>
    </w:p>
    <w:p w14:paraId="12CE9F58">
      <w:pPr>
        <w:spacing w:before="181" w:line="312" w:lineRule="auto"/>
        <w:ind w:left="2" w:firstLine="48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z w:val="24"/>
          <w:szCs w:val="24"/>
          <w:highlight w:val="none"/>
        </w:rPr>
        <w:t xml:space="preserve">4.5.1  </w:t>
      </w:r>
      <w:r>
        <w:rPr>
          <w:rFonts w:ascii="宋体" w:hAnsi="宋体" w:eastAsia="宋体" w:cs="宋体"/>
          <w:strike/>
          <w:dstrike w:val="0"/>
          <w:color w:val="auto"/>
          <w:sz w:val="24"/>
          <w:szCs w:val="24"/>
          <w:highlight w:val="none"/>
        </w:rPr>
        <w:t>评标委员会应对通过商务符合性评审的投</w:t>
      </w:r>
      <w:r>
        <w:rPr>
          <w:rFonts w:ascii="宋体" w:hAnsi="宋体" w:eastAsia="宋体" w:cs="宋体"/>
          <w:strike/>
          <w:dstrike w:val="0"/>
          <w:color w:val="auto"/>
          <w:spacing w:val="-1"/>
          <w:sz w:val="24"/>
          <w:szCs w:val="24"/>
          <w:highlight w:val="none"/>
        </w:rPr>
        <w:t>标文件进行商务评审。评标委员会应对商务报价的范围、数量、单价、费用组成和总价等进行全面审阅和对比分</w:t>
      </w:r>
      <w:r>
        <w:rPr>
          <w:rFonts w:ascii="宋体" w:hAnsi="宋体" w:eastAsia="宋体" w:cs="宋体"/>
          <w:strike/>
          <w:dstrike w:val="0"/>
          <w:color w:val="auto"/>
          <w:spacing w:val="-2"/>
          <w:sz w:val="24"/>
          <w:szCs w:val="24"/>
          <w:highlight w:val="none"/>
        </w:rPr>
        <w:t>析，</w:t>
      </w:r>
      <w:r>
        <w:rPr>
          <w:rFonts w:ascii="宋体" w:hAnsi="宋体" w:eastAsia="宋体" w:cs="宋体"/>
          <w:strike/>
          <w:dstrike w:val="0"/>
          <w:color w:val="auto"/>
          <w:spacing w:val="-3"/>
          <w:sz w:val="24"/>
          <w:szCs w:val="24"/>
          <w:highlight w:val="none"/>
        </w:rPr>
        <w:t>找出报价差异的原因及存在的问题。</w:t>
      </w:r>
    </w:p>
    <w:p w14:paraId="62617008">
      <w:pPr>
        <w:spacing w:before="185" w:line="312" w:lineRule="auto"/>
        <w:ind w:left="5" w:right="61" w:firstLine="477"/>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4.5.2  </w:t>
      </w:r>
      <w:r>
        <w:rPr>
          <w:rFonts w:ascii="宋体" w:hAnsi="宋体" w:eastAsia="宋体" w:cs="宋体"/>
          <w:strike/>
          <w:dstrike w:val="0"/>
          <w:color w:val="auto"/>
          <w:spacing w:val="1"/>
          <w:sz w:val="24"/>
          <w:szCs w:val="24"/>
          <w:highlight w:val="none"/>
        </w:rPr>
        <w:t>商务评审应以报价口径范围</w:t>
      </w:r>
      <w:r>
        <w:rPr>
          <w:rFonts w:ascii="宋体" w:hAnsi="宋体" w:eastAsia="宋体" w:cs="宋体"/>
          <w:strike/>
          <w:dstrike w:val="0"/>
          <w:color w:val="auto"/>
          <w:sz w:val="24"/>
          <w:szCs w:val="24"/>
          <w:highlight w:val="none"/>
        </w:rPr>
        <w:t>一致的投标评标价为依据。投标评标价应在最</w:t>
      </w:r>
      <w:r>
        <w:rPr>
          <w:rFonts w:ascii="宋体" w:hAnsi="宋体" w:eastAsia="宋体" w:cs="宋体"/>
          <w:strike/>
          <w:dstrike w:val="0"/>
          <w:color w:val="auto"/>
          <w:spacing w:val="-3"/>
          <w:sz w:val="24"/>
          <w:szCs w:val="24"/>
          <w:highlight w:val="none"/>
        </w:rPr>
        <w:t>终报价的基础上，按照招标文件约定的因素和方法进行计算。凡属招标文件的原因造</w:t>
      </w:r>
      <w:r>
        <w:rPr>
          <w:rFonts w:ascii="宋体" w:hAnsi="宋体" w:eastAsia="宋体" w:cs="宋体"/>
          <w:strike/>
          <w:dstrike w:val="0"/>
          <w:color w:val="auto"/>
          <w:spacing w:val="-2"/>
          <w:sz w:val="24"/>
          <w:szCs w:val="24"/>
          <w:highlight w:val="none"/>
        </w:rPr>
        <w:t>成报价口径范围不一致的，应调整投标报价。其中算术错误的调整原则为：</w:t>
      </w:r>
    </w:p>
    <w:p w14:paraId="6D3EC998">
      <w:pPr>
        <w:spacing w:before="181"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）用数字表示的金额与文字表示的数额不一致时，以文字数额为准。</w:t>
      </w:r>
    </w:p>
    <w:p w14:paraId="21ECA1C4">
      <w:pPr>
        <w:spacing w:before="185" w:line="324" w:lineRule="auto"/>
        <w:ind w:left="5" w:firstLine="544"/>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sz w:val="24"/>
          <w:szCs w:val="24"/>
          <w:highlight w:val="none"/>
        </w:rPr>
        <w:t>（</w:t>
      </w:r>
      <w:r>
        <w:rPr>
          <w:rFonts w:ascii="Times New Roman" w:hAnsi="Times New Roman" w:eastAsia="Times New Roman" w:cs="Times New Roman"/>
          <w:strike/>
          <w:dstrike w:val="0"/>
          <w:color w:val="auto"/>
          <w:spacing w:val="-7"/>
          <w:sz w:val="24"/>
          <w:szCs w:val="24"/>
          <w:highlight w:val="none"/>
        </w:rPr>
        <w:t>2</w:t>
      </w:r>
      <w:r>
        <w:rPr>
          <w:rFonts w:ascii="宋体" w:hAnsi="宋体" w:eastAsia="宋体" w:cs="宋体"/>
          <w:strike/>
          <w:dstrike w:val="0"/>
          <w:color w:val="auto"/>
          <w:spacing w:val="-7"/>
          <w:sz w:val="24"/>
          <w:szCs w:val="24"/>
          <w:highlight w:val="none"/>
        </w:rPr>
        <w:t>）凡属投标人自身失误造成多算、少算、漏算的，</w:t>
      </w:r>
      <w:r>
        <w:rPr>
          <w:rFonts w:ascii="宋体" w:hAnsi="宋体" w:eastAsia="宋体" w:cs="宋体"/>
          <w:strike/>
          <w:dstrike w:val="0"/>
          <w:color w:val="auto"/>
          <w:spacing w:val="74"/>
          <w:sz w:val="24"/>
          <w:szCs w:val="24"/>
          <w:highlight w:val="none"/>
        </w:rPr>
        <w:t xml:space="preserve"> </w:t>
      </w:r>
      <w:r>
        <w:rPr>
          <w:rFonts w:ascii="宋体" w:hAnsi="宋体" w:eastAsia="宋体" w:cs="宋体"/>
          <w:strike/>
          <w:dstrike w:val="0"/>
          <w:color w:val="auto"/>
          <w:spacing w:val="-7"/>
          <w:sz w:val="24"/>
          <w:szCs w:val="24"/>
          <w:highlight w:val="none"/>
        </w:rPr>
        <w:t>不调整投标报价。若有算</w:t>
      </w:r>
      <w:r>
        <w:rPr>
          <w:rFonts w:ascii="宋体" w:hAnsi="宋体" w:eastAsia="宋体" w:cs="宋体"/>
          <w:strike/>
          <w:dstrike w:val="0"/>
          <w:color w:val="auto"/>
          <w:spacing w:val="-3"/>
          <w:sz w:val="24"/>
          <w:szCs w:val="24"/>
          <w:highlight w:val="none"/>
        </w:rPr>
        <w:t>术性差错，均在投标报价不变的前提下按招标人要求调整单价及有关费用，调整后的</w:t>
      </w:r>
      <w:r>
        <w:rPr>
          <w:rFonts w:ascii="宋体" w:hAnsi="宋体" w:eastAsia="宋体" w:cs="宋体"/>
          <w:strike/>
          <w:dstrike w:val="0"/>
          <w:color w:val="auto"/>
          <w:spacing w:val="-1"/>
          <w:sz w:val="24"/>
          <w:szCs w:val="24"/>
          <w:highlight w:val="none"/>
        </w:rPr>
        <w:t>单价及有关费用对投标人起约束作用，如果投标人不接受修正后的单价及</w:t>
      </w:r>
      <w:r>
        <w:rPr>
          <w:rFonts w:ascii="宋体" w:hAnsi="宋体" w:eastAsia="宋体" w:cs="宋体"/>
          <w:strike/>
          <w:dstrike w:val="0"/>
          <w:color w:val="auto"/>
          <w:spacing w:val="-2"/>
          <w:sz w:val="24"/>
          <w:szCs w:val="24"/>
          <w:highlight w:val="none"/>
        </w:rPr>
        <w:t>有关费用，</w:t>
      </w:r>
      <w:r>
        <w:rPr>
          <w:rFonts w:ascii="宋体" w:hAnsi="宋体" w:eastAsia="宋体" w:cs="宋体"/>
          <w:strike/>
          <w:dstrike w:val="0"/>
          <w:color w:val="auto"/>
          <w:spacing w:val="-4"/>
          <w:sz w:val="24"/>
          <w:szCs w:val="24"/>
          <w:highlight w:val="none"/>
        </w:rPr>
        <w:t>则按商务评审不合格处理。</w:t>
      </w:r>
    </w:p>
    <w:p w14:paraId="6DA4804B">
      <w:pPr>
        <w:spacing w:before="180" w:line="218" w:lineRule="auto"/>
        <w:ind w:left="540"/>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2"/>
          <w:sz w:val="24"/>
          <w:szCs w:val="24"/>
          <w:highlight w:val="none"/>
        </w:rPr>
        <w:t xml:space="preserve">4.5.3  </w:t>
      </w:r>
      <w:r>
        <w:rPr>
          <w:rFonts w:ascii="宋体" w:hAnsi="宋体" w:eastAsia="宋体" w:cs="宋体"/>
          <w:strike/>
          <w:dstrike w:val="0"/>
          <w:color w:val="auto"/>
          <w:spacing w:val="-2"/>
          <w:sz w:val="24"/>
          <w:szCs w:val="24"/>
          <w:highlight w:val="none"/>
        </w:rPr>
        <w:t>投标报价中，如有以下情况之一的，按商务评审不合格予以否决：</w:t>
      </w:r>
    </w:p>
    <w:p w14:paraId="653993FB">
      <w:pPr>
        <w:spacing w:before="185" w:line="218"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1</w:t>
      </w:r>
      <w:r>
        <w:rPr>
          <w:rFonts w:ascii="宋体" w:hAnsi="宋体" w:eastAsia="宋体" w:cs="宋体"/>
          <w:strike/>
          <w:dstrike w:val="0"/>
          <w:color w:val="auto"/>
          <w:spacing w:val="-2"/>
          <w:sz w:val="24"/>
          <w:szCs w:val="24"/>
          <w:highlight w:val="none"/>
        </w:rPr>
        <w:t>）投标人拒绝修正不平衡报价或拒绝提供报价分析说明和证明材料的。</w:t>
      </w:r>
    </w:p>
    <w:p w14:paraId="4B81492A">
      <w:pPr>
        <w:spacing w:before="182" w:line="291" w:lineRule="auto"/>
        <w:ind w:left="3" w:right="80"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）因投标人自身多算、少算、错算、漏算而造成的错误金额超过投标总价的</w:t>
      </w:r>
      <w:r>
        <w:rPr>
          <w:rFonts w:ascii="Times New Roman" w:hAnsi="Times New Roman" w:eastAsia="Times New Roman" w:cs="Times New Roman"/>
          <w:strike/>
          <w:dstrike w:val="0"/>
          <w:color w:val="auto"/>
          <w:spacing w:val="-7"/>
          <w:sz w:val="24"/>
          <w:szCs w:val="24"/>
          <w:highlight w:val="none"/>
        </w:rPr>
        <w:t>3%</w:t>
      </w:r>
      <w:r>
        <w:rPr>
          <w:rFonts w:ascii="宋体" w:hAnsi="宋体" w:eastAsia="宋体" w:cs="宋体"/>
          <w:strike/>
          <w:dstrike w:val="0"/>
          <w:color w:val="auto"/>
          <w:spacing w:val="-7"/>
          <w:sz w:val="24"/>
          <w:szCs w:val="24"/>
          <w:highlight w:val="none"/>
        </w:rPr>
        <w:t>的。</w:t>
      </w:r>
    </w:p>
    <w:p w14:paraId="648A7743">
      <w:pPr>
        <w:spacing w:before="176" w:line="220"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3</w:t>
      </w:r>
      <w:r>
        <w:rPr>
          <w:rFonts w:ascii="宋体" w:hAnsi="宋体" w:eastAsia="宋体" w:cs="宋体"/>
          <w:strike/>
          <w:dstrike w:val="0"/>
          <w:color w:val="auto"/>
          <w:spacing w:val="-3"/>
          <w:sz w:val="24"/>
          <w:szCs w:val="24"/>
          <w:highlight w:val="none"/>
        </w:rPr>
        <w:t>）安全生产措施费低于招标文件规定的。</w:t>
      </w:r>
    </w:p>
    <w:p w14:paraId="514AEA86">
      <w:pPr>
        <w:spacing w:before="183" w:line="312" w:lineRule="auto"/>
        <w:ind w:left="3" w:right="61" w:firstLine="54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w:t>
      </w:r>
      <w:r>
        <w:rPr>
          <w:rFonts w:ascii="Times New Roman" w:hAnsi="Times New Roman" w:eastAsia="Times New Roman" w:cs="Times New Roman"/>
          <w:strike/>
          <w:dstrike w:val="0"/>
          <w:color w:val="auto"/>
          <w:spacing w:val="-1"/>
          <w:sz w:val="24"/>
          <w:szCs w:val="24"/>
          <w:highlight w:val="none"/>
        </w:rPr>
        <w:t>4</w:t>
      </w:r>
      <w:r>
        <w:rPr>
          <w:rFonts w:ascii="宋体" w:hAnsi="宋体" w:eastAsia="宋体" w:cs="宋体"/>
          <w:strike/>
          <w:dstrike w:val="0"/>
          <w:color w:val="auto"/>
          <w:spacing w:val="-1"/>
          <w:sz w:val="24"/>
          <w:szCs w:val="24"/>
          <w:highlight w:val="none"/>
        </w:rPr>
        <w:t>）通过商务符合性审查的最低投标评标价低</w:t>
      </w:r>
      <w:r>
        <w:rPr>
          <w:rFonts w:ascii="宋体" w:hAnsi="宋体" w:eastAsia="宋体" w:cs="宋体"/>
          <w:strike/>
          <w:dstrike w:val="0"/>
          <w:color w:val="auto"/>
          <w:spacing w:val="-2"/>
          <w:sz w:val="24"/>
          <w:szCs w:val="24"/>
          <w:highlight w:val="none"/>
        </w:rPr>
        <w:t>于通过商务符合性审查的次低投</w:t>
      </w:r>
      <w:r>
        <w:rPr>
          <w:rFonts w:ascii="宋体" w:hAnsi="宋体" w:eastAsia="宋体" w:cs="宋体"/>
          <w:strike/>
          <w:dstrike w:val="0"/>
          <w:color w:val="auto"/>
          <w:spacing w:val="2"/>
          <w:sz w:val="24"/>
          <w:szCs w:val="24"/>
          <w:highlight w:val="none"/>
        </w:rPr>
        <w:t>标评标价</w:t>
      </w:r>
      <w:r>
        <w:rPr>
          <w:rFonts w:ascii="Times New Roman" w:hAnsi="Times New Roman" w:eastAsia="Times New Roman" w:cs="Times New Roman"/>
          <w:strike/>
          <w:dstrike w:val="0"/>
          <w:color w:val="auto"/>
          <w:spacing w:val="2"/>
          <w:sz w:val="24"/>
          <w:szCs w:val="24"/>
          <w:highlight w:val="none"/>
        </w:rPr>
        <w:t>8%</w:t>
      </w:r>
      <w:r>
        <w:rPr>
          <w:rFonts w:ascii="宋体" w:hAnsi="宋体" w:eastAsia="宋体" w:cs="宋体"/>
          <w:strike/>
          <w:dstrike w:val="0"/>
          <w:color w:val="auto"/>
          <w:spacing w:val="2"/>
          <w:sz w:val="24"/>
          <w:szCs w:val="24"/>
          <w:highlight w:val="none"/>
        </w:rPr>
        <w:t>，且经询标投标人对其报价不能充</w:t>
      </w:r>
      <w:r>
        <w:rPr>
          <w:rFonts w:ascii="宋体" w:hAnsi="宋体" w:eastAsia="宋体" w:cs="宋体"/>
          <w:strike/>
          <w:dstrike w:val="0"/>
          <w:color w:val="auto"/>
          <w:spacing w:val="1"/>
          <w:sz w:val="24"/>
          <w:szCs w:val="24"/>
          <w:highlight w:val="none"/>
        </w:rPr>
        <w:t>分说明理由，或提供的相关材料无法</w:t>
      </w:r>
      <w:r>
        <w:rPr>
          <w:rFonts w:ascii="宋体" w:hAnsi="宋体" w:eastAsia="宋体" w:cs="宋体"/>
          <w:strike/>
          <w:dstrike w:val="0"/>
          <w:color w:val="auto"/>
          <w:spacing w:val="-4"/>
          <w:sz w:val="24"/>
          <w:szCs w:val="24"/>
          <w:highlight w:val="none"/>
        </w:rPr>
        <w:t>证明报价不低于其成本价的。</w:t>
      </w:r>
    </w:p>
    <w:p w14:paraId="31F4000A">
      <w:pPr>
        <w:spacing w:before="182" w:line="219" w:lineRule="auto"/>
        <w:ind w:left="54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5</w:t>
      </w:r>
      <w:r>
        <w:rPr>
          <w:rFonts w:ascii="宋体" w:hAnsi="宋体" w:eastAsia="宋体" w:cs="宋体"/>
          <w:strike/>
          <w:dstrike w:val="0"/>
          <w:color w:val="auto"/>
          <w:spacing w:val="-2"/>
          <w:sz w:val="24"/>
          <w:szCs w:val="24"/>
          <w:highlight w:val="none"/>
        </w:rPr>
        <w:t>）评标委员会认定属投标人自身原因有重大漏项的。</w:t>
      </w:r>
    </w:p>
    <w:p w14:paraId="4A8322E7">
      <w:pPr>
        <w:spacing w:before="183" w:line="213" w:lineRule="auto"/>
        <w:ind w:left="559"/>
        <w:rPr>
          <w:rFonts w:ascii="宋体" w:hAnsi="宋体" w:eastAsia="宋体" w:cs="宋体"/>
          <w:strike/>
          <w:dstrike w:val="0"/>
          <w:color w:val="auto"/>
          <w:sz w:val="25"/>
          <w:szCs w:val="25"/>
          <w:highlight w:val="none"/>
        </w:rPr>
      </w:pPr>
      <w:r>
        <w:rPr>
          <w:rFonts w:ascii="宋体" w:hAnsi="宋体" w:eastAsia="宋体" w:cs="宋体"/>
          <w:strike/>
          <w:dstrike w:val="0"/>
          <w:color w:val="auto"/>
          <w:spacing w:val="-13"/>
          <w:sz w:val="24"/>
          <w:szCs w:val="24"/>
          <w:highlight w:val="none"/>
        </w:rPr>
        <w:t>（</w:t>
      </w:r>
      <w:r>
        <w:rPr>
          <w:rFonts w:ascii="Times New Roman" w:hAnsi="Times New Roman" w:eastAsia="Times New Roman" w:cs="Times New Roman"/>
          <w:strike/>
          <w:dstrike w:val="0"/>
          <w:color w:val="auto"/>
          <w:spacing w:val="-13"/>
          <w:sz w:val="24"/>
          <w:szCs w:val="24"/>
          <w:highlight w:val="none"/>
        </w:rPr>
        <w:t>6</w:t>
      </w:r>
      <w:r>
        <w:rPr>
          <w:rFonts w:ascii="宋体" w:hAnsi="宋体" w:eastAsia="宋体" w:cs="宋体"/>
          <w:strike/>
          <w:dstrike w:val="0"/>
          <w:color w:val="auto"/>
          <w:spacing w:val="-13"/>
          <w:sz w:val="24"/>
          <w:szCs w:val="24"/>
          <w:highlight w:val="none"/>
        </w:rPr>
        <w:t>）</w:t>
      </w:r>
      <w:r>
        <w:rPr>
          <w:rFonts w:ascii="宋体" w:hAnsi="宋体" w:eastAsia="宋体" w:cs="宋体"/>
          <w:strike/>
          <w:dstrike w:val="0"/>
          <w:color w:val="auto"/>
          <w:spacing w:val="37"/>
          <w:sz w:val="24"/>
          <w:szCs w:val="24"/>
          <w:highlight w:val="none"/>
        </w:rPr>
        <w:t xml:space="preserve"> </w:t>
      </w:r>
      <w:r>
        <w:rPr>
          <w:rFonts w:ascii="Times New Roman" w:hAnsi="Times New Roman" w:eastAsia="Times New Roman" w:cs="Times New Roman"/>
          <w:i/>
          <w:iCs/>
          <w:strike/>
          <w:dstrike w:val="0"/>
          <w:color w:val="auto"/>
          <w:spacing w:val="-13"/>
          <w:sz w:val="24"/>
          <w:szCs w:val="24"/>
          <w:highlight w:val="none"/>
        </w:rPr>
        <w:t xml:space="preserve">…… </w:t>
      </w:r>
      <w:r>
        <w:rPr>
          <w:rFonts w:ascii="宋体" w:hAnsi="宋体" w:eastAsia="宋体" w:cs="宋体"/>
          <w:i/>
          <w:iCs/>
          <w:strike/>
          <w:dstrike w:val="0"/>
          <w:color w:val="auto"/>
          <w:spacing w:val="-13"/>
          <w:sz w:val="25"/>
          <w:szCs w:val="25"/>
          <w:highlight w:val="none"/>
        </w:rPr>
        <w:t>（由招标人自行扩充）</w:t>
      </w:r>
    </w:p>
    <w:p w14:paraId="254D67BB">
      <w:pPr>
        <w:spacing w:before="178" w:line="218" w:lineRule="auto"/>
        <w:ind w:left="539"/>
        <w:rPr>
          <w:rFonts w:ascii="宋体" w:hAnsi="宋体" w:eastAsia="宋体" w:cs="宋体"/>
          <w:strike/>
          <w:dstrike w:val="0"/>
          <w:color w:val="auto"/>
          <w:sz w:val="24"/>
          <w:szCs w:val="24"/>
          <w:highlight w:val="none"/>
        </w:rPr>
      </w:pPr>
      <w:r>
        <w:rPr>
          <w:rFonts w:ascii="Times New Roman" w:hAnsi="Times New Roman" w:eastAsia="Times New Roman" w:cs="Times New Roman"/>
          <w:b/>
          <w:bCs/>
          <w:strike/>
          <w:dstrike w:val="0"/>
          <w:color w:val="auto"/>
          <w:spacing w:val="-1"/>
          <w:sz w:val="24"/>
          <w:szCs w:val="24"/>
          <w:highlight w:val="none"/>
        </w:rPr>
        <w:t xml:space="preserve">4.5.4  </w:t>
      </w:r>
      <w:r>
        <w:rPr>
          <w:rFonts w:ascii="宋体" w:hAnsi="宋体" w:eastAsia="宋体" w:cs="宋体"/>
          <w:strike/>
          <w:dstrike w:val="0"/>
          <w:color w:val="auto"/>
          <w:spacing w:val="-1"/>
          <w:sz w:val="24"/>
          <w:szCs w:val="24"/>
          <w:highlight w:val="none"/>
        </w:rPr>
        <w:t>当出现否决投标时，评标委员会按上述办法按投标报价由低到高的顺序依</w:t>
      </w:r>
    </w:p>
    <w:p w14:paraId="43CC645C">
      <w:pPr>
        <w:spacing w:line="218"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2DB412F">
      <w:pPr>
        <w:spacing w:before="47" w:line="220" w:lineRule="auto"/>
        <w:ind w:left="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次评审下一个投标文件，直至通过商务评审</w:t>
      </w:r>
      <w:r>
        <w:rPr>
          <w:rFonts w:ascii="宋体" w:hAnsi="宋体" w:eastAsia="宋体" w:cs="宋体"/>
          <w:strike/>
          <w:dstrike w:val="0"/>
          <w:color w:val="auto"/>
          <w:spacing w:val="-3"/>
          <w:sz w:val="24"/>
          <w:szCs w:val="24"/>
          <w:highlight w:val="none"/>
        </w:rPr>
        <w:t>为止。</w:t>
      </w:r>
    </w:p>
    <w:p w14:paraId="27E08EC3">
      <w:pPr>
        <w:spacing w:before="182" w:line="220" w:lineRule="auto"/>
        <w:outlineLvl w:val="2"/>
        <w:rPr>
          <w:rFonts w:ascii="宋体" w:hAnsi="宋体" w:eastAsia="宋体" w:cs="宋体"/>
          <w:strike w:val="0"/>
          <w:dstrike w:val="0"/>
          <w:color w:val="auto"/>
          <w:sz w:val="24"/>
          <w:szCs w:val="24"/>
          <w:highlight w:val="none"/>
        </w:rPr>
      </w:pPr>
      <w:bookmarkStart w:id="440" w:name="bookmark138"/>
      <w:bookmarkEnd w:id="440"/>
      <w:bookmarkStart w:id="441" w:name="_Toc16215"/>
      <w:r>
        <w:rPr>
          <w:rFonts w:ascii="Times New Roman" w:hAnsi="Times New Roman" w:eastAsia="Times New Roman" w:cs="Times New Roman"/>
          <w:b/>
          <w:bCs/>
          <w:strike w:val="0"/>
          <w:dstrike w:val="0"/>
          <w:color w:val="auto"/>
          <w:spacing w:val="-3"/>
          <w:sz w:val="24"/>
          <w:szCs w:val="24"/>
          <w:highlight w:val="none"/>
        </w:rPr>
        <w:t>4.6</w:t>
      </w:r>
      <w:r>
        <w:rPr>
          <w:rFonts w:ascii="Times New Roman" w:hAnsi="Times New Roman" w:eastAsia="Times New Roman" w:cs="Times New Roman"/>
          <w:b/>
          <w:bCs/>
          <w:strike w:val="0"/>
          <w:dstrike w:val="0"/>
          <w:color w:val="auto"/>
          <w:spacing w:val="4"/>
          <w:sz w:val="24"/>
          <w:szCs w:val="24"/>
          <w:highlight w:val="none"/>
        </w:rPr>
        <w:t xml:space="preserve">  </w:t>
      </w:r>
      <w:r>
        <w:rPr>
          <w:rFonts w:ascii="宋体" w:hAnsi="宋体" w:eastAsia="宋体" w:cs="宋体"/>
          <w:b/>
          <w:bCs/>
          <w:strike w:val="0"/>
          <w:dstrike w:val="0"/>
          <w:color w:val="auto"/>
          <w:spacing w:val="-3"/>
          <w:sz w:val="24"/>
          <w:szCs w:val="24"/>
          <w:highlight w:val="none"/>
        </w:rPr>
        <w:t>询标</w:t>
      </w:r>
      <w:bookmarkEnd w:id="441"/>
    </w:p>
    <w:p w14:paraId="66F9FD29">
      <w:pPr>
        <w:spacing w:before="180" w:line="324" w:lineRule="auto"/>
        <w:ind w:left="43" w:firstLine="494"/>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5"/>
          <w:sz w:val="24"/>
          <w:szCs w:val="24"/>
          <w:highlight w:val="none"/>
        </w:rPr>
        <w:t xml:space="preserve">1.  </w:t>
      </w:r>
      <w:r>
        <w:rPr>
          <w:rFonts w:ascii="宋体" w:hAnsi="宋体" w:eastAsia="宋体" w:cs="宋体"/>
          <w:strike/>
          <w:dstrike w:val="0"/>
          <w:color w:val="auto"/>
          <w:spacing w:val="-5"/>
          <w:sz w:val="24"/>
          <w:szCs w:val="24"/>
          <w:highlight w:val="none"/>
        </w:rPr>
        <w:t>凡评标委员会拟作出否决投标决定的，应先向投标人进行书</w:t>
      </w:r>
      <w:r>
        <w:rPr>
          <w:rFonts w:ascii="宋体" w:hAnsi="宋体" w:eastAsia="宋体" w:cs="宋体"/>
          <w:strike/>
          <w:dstrike w:val="0"/>
          <w:color w:val="auto"/>
          <w:spacing w:val="-6"/>
          <w:sz w:val="24"/>
          <w:szCs w:val="24"/>
          <w:highlight w:val="none"/>
        </w:rPr>
        <w:t>面询问核实。未进</w:t>
      </w:r>
      <w:r>
        <w:rPr>
          <w:rFonts w:ascii="宋体" w:hAnsi="宋体" w:eastAsia="宋体" w:cs="宋体"/>
          <w:strike/>
          <w:dstrike w:val="0"/>
          <w:color w:val="auto"/>
          <w:spacing w:val="-16"/>
          <w:sz w:val="24"/>
          <w:szCs w:val="24"/>
          <w:highlight w:val="none"/>
        </w:rPr>
        <w:t>行询问核</w:t>
      </w:r>
      <w:r>
        <w:rPr>
          <w:rFonts w:ascii="宋体" w:hAnsi="宋体" w:eastAsia="宋体" w:cs="宋体"/>
          <w:strike/>
          <w:dstrike w:val="0"/>
          <w:color w:val="auto"/>
          <w:spacing w:val="-15"/>
          <w:sz w:val="24"/>
          <w:szCs w:val="24"/>
          <w:highlight w:val="none"/>
        </w:rPr>
        <w:t>实程序的，不得做出否决投标决定，投</w:t>
      </w:r>
      <w:r>
        <w:rPr>
          <w:rFonts w:ascii="宋体" w:hAnsi="宋体" w:eastAsia="宋体" w:cs="宋体"/>
          <w:strike/>
          <w:dstrike w:val="0"/>
          <w:color w:val="auto"/>
          <w:spacing w:val="-16"/>
          <w:sz w:val="24"/>
          <w:szCs w:val="24"/>
          <w:highlight w:val="none"/>
        </w:rPr>
        <w:t>标人放弃接受询问核实机会的除外。投</w:t>
      </w:r>
      <w:r>
        <w:rPr>
          <w:rFonts w:ascii="宋体" w:hAnsi="宋体" w:eastAsia="宋体" w:cs="宋体"/>
          <w:strike/>
          <w:dstrike w:val="0"/>
          <w:color w:val="auto"/>
          <w:spacing w:val="-12"/>
          <w:sz w:val="24"/>
          <w:szCs w:val="24"/>
          <w:highlight w:val="none"/>
        </w:rPr>
        <w:t>标</w:t>
      </w:r>
      <w:r>
        <w:rPr>
          <w:rFonts w:ascii="宋体" w:hAnsi="宋体" w:eastAsia="宋体" w:cs="宋体"/>
          <w:strike/>
          <w:dstrike w:val="0"/>
          <w:color w:val="auto"/>
          <w:spacing w:val="-22"/>
          <w:sz w:val="24"/>
          <w:szCs w:val="24"/>
          <w:highlight w:val="none"/>
        </w:rPr>
        <w:t>人应自行关注系统</w:t>
      </w:r>
      <w:r>
        <w:rPr>
          <w:rFonts w:ascii="宋体" w:hAnsi="宋体" w:eastAsia="宋体" w:cs="宋体"/>
          <w:strike/>
          <w:dstrike w:val="0"/>
          <w:color w:val="auto"/>
          <w:spacing w:val="-21"/>
          <w:sz w:val="24"/>
          <w:szCs w:val="24"/>
          <w:highlight w:val="none"/>
        </w:rPr>
        <w:t>中评标委员会发出的澄清并及时答复，在规定的时限内投标人不参加核</w:t>
      </w:r>
      <w:r>
        <w:rPr>
          <w:rFonts w:ascii="宋体" w:hAnsi="宋体" w:eastAsia="宋体" w:cs="宋体"/>
          <w:strike/>
          <w:dstrike w:val="0"/>
          <w:color w:val="auto"/>
          <w:spacing w:val="-13"/>
          <w:sz w:val="24"/>
          <w:szCs w:val="24"/>
          <w:highlight w:val="none"/>
        </w:rPr>
        <w:t>实</w:t>
      </w:r>
      <w:r>
        <w:rPr>
          <w:rFonts w:ascii="宋体" w:hAnsi="宋体" w:eastAsia="宋体" w:cs="宋体"/>
          <w:strike/>
          <w:dstrike w:val="0"/>
          <w:color w:val="auto"/>
          <w:spacing w:val="-22"/>
          <w:sz w:val="24"/>
          <w:szCs w:val="24"/>
          <w:highlight w:val="none"/>
        </w:rPr>
        <w:t>或不予答复的，视为放弃接受询问核实机会。</w:t>
      </w:r>
    </w:p>
    <w:p w14:paraId="19AA95F5">
      <w:pPr>
        <w:spacing w:before="182" w:line="289" w:lineRule="auto"/>
        <w:ind w:left="441" w:right="187" w:hanging="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5"/>
          <w:sz w:val="24"/>
          <w:szCs w:val="24"/>
          <w:highlight w:val="none"/>
        </w:rPr>
        <w:t>2.</w:t>
      </w:r>
      <w:r>
        <w:rPr>
          <w:rFonts w:ascii="Times New Roman" w:hAnsi="Times New Roman" w:eastAsia="Times New Roman" w:cs="Times New Roman"/>
          <w:strike/>
          <w:dstrike w:val="0"/>
          <w:color w:val="auto"/>
          <w:spacing w:val="16"/>
          <w:sz w:val="24"/>
          <w:szCs w:val="24"/>
          <w:highlight w:val="none"/>
        </w:rPr>
        <w:t xml:space="preserve">  </w:t>
      </w:r>
      <w:r>
        <w:rPr>
          <w:rFonts w:ascii="宋体" w:hAnsi="宋体" w:eastAsia="宋体" w:cs="宋体"/>
          <w:strike/>
          <w:dstrike w:val="0"/>
          <w:color w:val="auto"/>
          <w:spacing w:val="-15"/>
          <w:sz w:val="24"/>
          <w:szCs w:val="24"/>
          <w:highlight w:val="none"/>
        </w:rPr>
        <w:t>除本评标办法规定的否决情形以外，招标文件中其他条款均不得作为否决投标文</w:t>
      </w:r>
      <w:r>
        <w:rPr>
          <w:rFonts w:ascii="宋体" w:hAnsi="宋体" w:eastAsia="宋体" w:cs="宋体"/>
          <w:strike/>
          <w:dstrike w:val="0"/>
          <w:color w:val="auto"/>
          <w:spacing w:val="-7"/>
          <w:sz w:val="24"/>
          <w:szCs w:val="24"/>
          <w:highlight w:val="none"/>
        </w:rPr>
        <w:t>件的依据。</w:t>
      </w:r>
    </w:p>
    <w:p w14:paraId="4BF42680">
      <w:pPr>
        <w:spacing w:before="181" w:line="220" w:lineRule="auto"/>
        <w:outlineLvl w:val="2"/>
        <w:rPr>
          <w:rFonts w:ascii="宋体" w:hAnsi="宋体" w:eastAsia="宋体" w:cs="宋体"/>
          <w:strike w:val="0"/>
          <w:dstrike w:val="0"/>
          <w:color w:val="auto"/>
          <w:sz w:val="24"/>
          <w:szCs w:val="24"/>
          <w:highlight w:val="none"/>
        </w:rPr>
      </w:pPr>
      <w:bookmarkStart w:id="442" w:name="_Toc31236"/>
      <w:r>
        <w:rPr>
          <w:rFonts w:ascii="Times New Roman" w:hAnsi="Times New Roman" w:eastAsia="Times New Roman" w:cs="Times New Roman"/>
          <w:b/>
          <w:bCs/>
          <w:strike w:val="0"/>
          <w:dstrike w:val="0"/>
          <w:color w:val="auto"/>
          <w:spacing w:val="-2"/>
          <w:sz w:val="24"/>
          <w:szCs w:val="24"/>
          <w:highlight w:val="none"/>
        </w:rPr>
        <w:t xml:space="preserve">4.7  </w:t>
      </w:r>
      <w:r>
        <w:rPr>
          <w:rFonts w:ascii="宋体" w:hAnsi="宋体" w:eastAsia="宋体" w:cs="宋体"/>
          <w:b/>
          <w:bCs/>
          <w:strike w:val="0"/>
          <w:dstrike w:val="0"/>
          <w:color w:val="auto"/>
          <w:spacing w:val="-2"/>
          <w:sz w:val="24"/>
          <w:szCs w:val="24"/>
          <w:highlight w:val="none"/>
        </w:rPr>
        <w:t>评标结果</w:t>
      </w:r>
      <w:bookmarkEnd w:id="442"/>
    </w:p>
    <w:p w14:paraId="3D4B6D5E">
      <w:pPr>
        <w:spacing w:before="181" w:line="289" w:lineRule="auto"/>
        <w:ind w:left="4" w:right="21" w:firstLine="473"/>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 xml:space="preserve">4.7.1  </w:t>
      </w:r>
      <w:r>
        <w:rPr>
          <w:rFonts w:ascii="宋体" w:hAnsi="宋体" w:eastAsia="宋体" w:cs="宋体"/>
          <w:strike/>
          <w:dstrike w:val="0"/>
          <w:color w:val="auto"/>
          <w:spacing w:val="1"/>
          <w:sz w:val="24"/>
          <w:szCs w:val="24"/>
          <w:highlight w:val="none"/>
        </w:rPr>
        <w:t>评标委员会对投标文件作出的评审结</w:t>
      </w:r>
      <w:r>
        <w:rPr>
          <w:rFonts w:ascii="宋体" w:hAnsi="宋体" w:eastAsia="宋体" w:cs="宋体"/>
          <w:strike/>
          <w:dstrike w:val="0"/>
          <w:color w:val="auto"/>
          <w:sz w:val="24"/>
          <w:szCs w:val="24"/>
          <w:highlight w:val="none"/>
        </w:rPr>
        <w:t>论，应当符合有关法律、法规、规章</w:t>
      </w:r>
      <w:r>
        <w:rPr>
          <w:rFonts w:ascii="宋体" w:hAnsi="宋体" w:eastAsia="宋体" w:cs="宋体"/>
          <w:strike/>
          <w:dstrike w:val="0"/>
          <w:color w:val="auto"/>
          <w:spacing w:val="-5"/>
          <w:sz w:val="24"/>
          <w:szCs w:val="24"/>
          <w:highlight w:val="none"/>
        </w:rPr>
        <w:t>和招标文件的规定。</w:t>
      </w:r>
    </w:p>
    <w:p w14:paraId="67D09B64">
      <w:pPr>
        <w:spacing w:before="182" w:line="324" w:lineRule="auto"/>
        <w:ind w:left="2" w:right="21" w:firstLine="47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5"/>
          <w:sz w:val="24"/>
          <w:szCs w:val="24"/>
          <w:highlight w:val="none"/>
        </w:rPr>
        <w:t xml:space="preserve">4.7.2  </w:t>
      </w:r>
      <w:r>
        <w:rPr>
          <w:rFonts w:ascii="宋体" w:hAnsi="宋体" w:eastAsia="宋体" w:cs="宋体"/>
          <w:strike/>
          <w:dstrike w:val="0"/>
          <w:color w:val="auto"/>
          <w:spacing w:val="-5"/>
          <w:sz w:val="24"/>
          <w:szCs w:val="24"/>
          <w:highlight w:val="none"/>
        </w:rPr>
        <w:t>评标委员会应根据评标情况，推荐中</w:t>
      </w:r>
      <w:r>
        <w:rPr>
          <w:rFonts w:ascii="宋体" w:hAnsi="宋体" w:eastAsia="宋体" w:cs="宋体"/>
          <w:strike/>
          <w:dstrike w:val="0"/>
          <w:color w:val="auto"/>
          <w:spacing w:val="-6"/>
          <w:sz w:val="24"/>
          <w:szCs w:val="24"/>
          <w:highlight w:val="none"/>
        </w:rPr>
        <w:t>标候选人，并向招标人提交评标报告。</w:t>
      </w:r>
      <w:r>
        <w:rPr>
          <w:rFonts w:ascii="宋体" w:hAnsi="宋体" w:eastAsia="宋体" w:cs="宋体"/>
          <w:strike/>
          <w:dstrike w:val="0"/>
          <w:color w:val="auto"/>
          <w:spacing w:val="-3"/>
          <w:sz w:val="24"/>
          <w:szCs w:val="24"/>
          <w:highlight w:val="none"/>
        </w:rPr>
        <w:t>评标报告由评标委员会成员起草，评标委员会全体成员应在评标报告上签字确认，评标专家如有保留意见可以在评标报告中阐明。评标委员会成员拒绝在评标报告上签字</w:t>
      </w:r>
      <w:r>
        <w:rPr>
          <w:rFonts w:ascii="宋体" w:hAnsi="宋体" w:eastAsia="宋体" w:cs="宋体"/>
          <w:strike/>
          <w:dstrike w:val="0"/>
          <w:color w:val="auto"/>
          <w:spacing w:val="-2"/>
          <w:sz w:val="24"/>
          <w:szCs w:val="24"/>
          <w:highlight w:val="none"/>
        </w:rPr>
        <w:t>又不书面说明其不同意见和理由的，视为同意评标结果。</w:t>
      </w:r>
    </w:p>
    <w:p w14:paraId="36F51198">
      <w:pPr>
        <w:spacing w:before="183" w:line="218" w:lineRule="auto"/>
        <w:ind w:left="477"/>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 xml:space="preserve">4.7.3  </w:t>
      </w:r>
      <w:r>
        <w:rPr>
          <w:rFonts w:ascii="宋体" w:hAnsi="宋体" w:eastAsia="宋体" w:cs="宋体"/>
          <w:strike/>
          <w:dstrike w:val="0"/>
          <w:color w:val="auto"/>
          <w:spacing w:val="-3"/>
          <w:sz w:val="24"/>
          <w:szCs w:val="24"/>
          <w:highlight w:val="none"/>
        </w:rPr>
        <w:t>评标报告应包括以下内容：</w:t>
      </w:r>
    </w:p>
    <w:p w14:paraId="7B903C0B">
      <w:pPr>
        <w:spacing w:before="185"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1</w:t>
      </w:r>
      <w:r>
        <w:rPr>
          <w:rFonts w:ascii="宋体" w:hAnsi="宋体" w:eastAsia="宋体" w:cs="宋体"/>
          <w:strike/>
          <w:dstrike w:val="0"/>
          <w:color w:val="auto"/>
          <w:spacing w:val="-6"/>
          <w:sz w:val="24"/>
          <w:szCs w:val="24"/>
          <w:highlight w:val="none"/>
        </w:rPr>
        <w:t>）开标记录。</w:t>
      </w:r>
    </w:p>
    <w:p w14:paraId="040E2E82">
      <w:pPr>
        <w:spacing w:before="179"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2</w:t>
      </w:r>
      <w:r>
        <w:rPr>
          <w:rFonts w:ascii="宋体" w:hAnsi="宋体" w:eastAsia="宋体" w:cs="宋体"/>
          <w:strike/>
          <w:dstrike w:val="0"/>
          <w:color w:val="auto"/>
          <w:spacing w:val="-4"/>
          <w:sz w:val="24"/>
          <w:szCs w:val="24"/>
          <w:highlight w:val="none"/>
        </w:rPr>
        <w:t>）评标内容、过程和结果。</w:t>
      </w:r>
    </w:p>
    <w:p w14:paraId="3D8B8B58">
      <w:pPr>
        <w:spacing w:before="182"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3</w:t>
      </w:r>
      <w:r>
        <w:rPr>
          <w:rFonts w:ascii="宋体" w:hAnsi="宋体" w:eastAsia="宋体" w:cs="宋体"/>
          <w:strike/>
          <w:dstrike w:val="0"/>
          <w:color w:val="auto"/>
          <w:spacing w:val="-4"/>
          <w:sz w:val="24"/>
          <w:szCs w:val="24"/>
          <w:highlight w:val="none"/>
        </w:rPr>
        <w:t>）被否决情况详细说明及依据。</w:t>
      </w:r>
    </w:p>
    <w:p w14:paraId="6E4B97A9">
      <w:pPr>
        <w:spacing w:before="182"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5"/>
          <w:sz w:val="24"/>
          <w:szCs w:val="24"/>
          <w:highlight w:val="none"/>
        </w:rPr>
        <w:t>（</w:t>
      </w:r>
      <w:r>
        <w:rPr>
          <w:rFonts w:ascii="Times New Roman" w:hAnsi="Times New Roman" w:eastAsia="Times New Roman" w:cs="Times New Roman"/>
          <w:strike/>
          <w:dstrike w:val="0"/>
          <w:color w:val="auto"/>
          <w:spacing w:val="-5"/>
          <w:sz w:val="24"/>
          <w:szCs w:val="24"/>
          <w:highlight w:val="none"/>
        </w:rPr>
        <w:t>4</w:t>
      </w:r>
      <w:r>
        <w:rPr>
          <w:rFonts w:ascii="宋体" w:hAnsi="宋体" w:eastAsia="宋体" w:cs="宋体"/>
          <w:strike/>
          <w:dstrike w:val="0"/>
          <w:color w:val="auto"/>
          <w:spacing w:val="-5"/>
          <w:sz w:val="24"/>
          <w:szCs w:val="24"/>
          <w:highlight w:val="none"/>
        </w:rPr>
        <w:t>）询标澄清纪要。</w:t>
      </w:r>
    </w:p>
    <w:p w14:paraId="171B0550">
      <w:pPr>
        <w:spacing w:before="181" w:line="219"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w:t>
      </w:r>
      <w:r>
        <w:rPr>
          <w:rFonts w:ascii="Times New Roman" w:hAnsi="Times New Roman" w:eastAsia="Times New Roman" w:cs="Times New Roman"/>
          <w:strike/>
          <w:dstrike w:val="0"/>
          <w:color w:val="auto"/>
          <w:spacing w:val="-3"/>
          <w:sz w:val="24"/>
          <w:szCs w:val="24"/>
          <w:highlight w:val="none"/>
        </w:rPr>
        <w:t>5</w:t>
      </w:r>
      <w:r>
        <w:rPr>
          <w:rFonts w:ascii="宋体" w:hAnsi="宋体" w:eastAsia="宋体" w:cs="宋体"/>
          <w:strike/>
          <w:dstrike w:val="0"/>
          <w:color w:val="auto"/>
          <w:spacing w:val="-3"/>
          <w:sz w:val="24"/>
          <w:szCs w:val="24"/>
          <w:highlight w:val="none"/>
        </w:rPr>
        <w:t>）中标</w:t>
      </w:r>
      <w:r>
        <w:rPr>
          <w:rFonts w:hint="eastAsia" w:ascii="宋体" w:hAnsi="宋体" w:eastAsia="宋体" w:cs="宋体"/>
          <w:strike/>
          <w:dstrike w:val="0"/>
          <w:color w:val="auto"/>
          <w:spacing w:val="-3"/>
          <w:sz w:val="24"/>
          <w:szCs w:val="24"/>
          <w:highlight w:val="none"/>
          <w:lang w:eastAsia="zh-CN"/>
        </w:rPr>
        <w:t>候</w:t>
      </w:r>
      <w:r>
        <w:rPr>
          <w:rFonts w:ascii="宋体" w:hAnsi="宋体" w:eastAsia="宋体" w:cs="宋体"/>
          <w:strike/>
          <w:dstrike w:val="0"/>
          <w:color w:val="auto"/>
          <w:spacing w:val="-3"/>
          <w:sz w:val="24"/>
          <w:szCs w:val="24"/>
          <w:highlight w:val="none"/>
        </w:rPr>
        <w:t>选人的优劣对比和存在问题。</w:t>
      </w:r>
    </w:p>
    <w:p w14:paraId="7482FAB2">
      <w:pPr>
        <w:spacing w:before="181"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w:t>
      </w:r>
      <w:r>
        <w:rPr>
          <w:rFonts w:ascii="Times New Roman" w:hAnsi="Times New Roman" w:eastAsia="Times New Roman" w:cs="Times New Roman"/>
          <w:strike/>
          <w:dstrike w:val="0"/>
          <w:color w:val="auto"/>
          <w:spacing w:val="-4"/>
          <w:sz w:val="24"/>
          <w:szCs w:val="24"/>
          <w:highlight w:val="none"/>
        </w:rPr>
        <w:t>6</w:t>
      </w:r>
      <w:r>
        <w:rPr>
          <w:rFonts w:ascii="宋体" w:hAnsi="宋体" w:eastAsia="宋体" w:cs="宋体"/>
          <w:strike/>
          <w:dstrike w:val="0"/>
          <w:color w:val="auto"/>
          <w:spacing w:val="-4"/>
          <w:sz w:val="24"/>
          <w:szCs w:val="24"/>
          <w:highlight w:val="none"/>
        </w:rPr>
        <w:t>）中标候选人投标业绩。</w:t>
      </w:r>
    </w:p>
    <w:p w14:paraId="6E3C773A">
      <w:pPr>
        <w:spacing w:before="183" w:line="220" w:lineRule="auto"/>
        <w:ind w:left="4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6"/>
          <w:sz w:val="24"/>
          <w:szCs w:val="24"/>
          <w:highlight w:val="none"/>
        </w:rPr>
        <w:t>（</w:t>
      </w:r>
      <w:r>
        <w:rPr>
          <w:rFonts w:ascii="Times New Roman" w:hAnsi="Times New Roman" w:eastAsia="Times New Roman" w:cs="Times New Roman"/>
          <w:strike/>
          <w:dstrike w:val="0"/>
          <w:color w:val="auto"/>
          <w:spacing w:val="-6"/>
          <w:sz w:val="24"/>
          <w:szCs w:val="24"/>
          <w:highlight w:val="none"/>
        </w:rPr>
        <w:t>7</w:t>
      </w:r>
      <w:r>
        <w:rPr>
          <w:rFonts w:ascii="宋体" w:hAnsi="宋体" w:eastAsia="宋体" w:cs="宋体"/>
          <w:strike/>
          <w:dstrike w:val="0"/>
          <w:color w:val="auto"/>
          <w:spacing w:val="-6"/>
          <w:sz w:val="24"/>
          <w:szCs w:val="24"/>
          <w:highlight w:val="none"/>
        </w:rPr>
        <w:t>）其他建议。</w:t>
      </w:r>
    </w:p>
    <w:p w14:paraId="1F006833">
      <w:pPr>
        <w:spacing w:line="220"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7F1E90A">
      <w:pPr>
        <w:spacing w:before="56" w:line="219" w:lineRule="auto"/>
        <w:ind w:left="512"/>
        <w:rPr>
          <w:rFonts w:ascii="宋体" w:hAnsi="宋体" w:eastAsia="宋体" w:cs="宋体"/>
          <w:color w:val="auto"/>
          <w:sz w:val="28"/>
          <w:szCs w:val="28"/>
          <w:highlight w:val="none"/>
        </w:rPr>
      </w:pPr>
      <w:bookmarkStart w:id="443" w:name="bookmark255"/>
      <w:bookmarkEnd w:id="443"/>
      <w:bookmarkStart w:id="444" w:name="bookmark256"/>
      <w:bookmarkEnd w:id="444"/>
      <w:bookmarkStart w:id="445" w:name="bookmark258"/>
      <w:bookmarkEnd w:id="445"/>
      <w:r>
        <w:rPr>
          <w:rFonts w:ascii="宋体" w:hAnsi="宋体" w:eastAsia="宋体" w:cs="宋体"/>
          <w:b/>
          <w:bCs/>
          <w:color w:val="auto"/>
          <w:spacing w:val="-6"/>
          <w:sz w:val="28"/>
          <w:szCs w:val="28"/>
          <w:highlight w:val="none"/>
        </w:rPr>
        <w:t>附件一：投标文件澄清通知</w:t>
      </w:r>
    </w:p>
    <w:p w14:paraId="7D142E60">
      <w:pPr>
        <w:pStyle w:val="3"/>
        <w:spacing w:line="268" w:lineRule="auto"/>
        <w:rPr>
          <w:color w:val="auto"/>
          <w:highlight w:val="none"/>
        </w:rPr>
      </w:pPr>
    </w:p>
    <w:p w14:paraId="4D7AD376">
      <w:pPr>
        <w:pStyle w:val="3"/>
        <w:spacing w:line="269" w:lineRule="auto"/>
        <w:rPr>
          <w:color w:val="auto"/>
          <w:highlight w:val="none"/>
        </w:rPr>
      </w:pPr>
    </w:p>
    <w:p w14:paraId="7E636C35">
      <w:pPr>
        <w:spacing w:before="78" w:line="220" w:lineRule="auto"/>
        <w:ind w:left="3441"/>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投标文件澄清通知</w:t>
      </w:r>
    </w:p>
    <w:p w14:paraId="4DE987E6">
      <w:pPr>
        <w:spacing w:before="182" w:line="220" w:lineRule="auto"/>
        <w:ind w:left="4045"/>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209A62A8">
      <w:pPr>
        <w:pStyle w:val="3"/>
        <w:spacing w:line="255" w:lineRule="auto"/>
        <w:rPr>
          <w:color w:val="auto"/>
          <w:highlight w:val="none"/>
        </w:rPr>
      </w:pPr>
    </w:p>
    <w:p w14:paraId="5BE6258F">
      <w:pPr>
        <w:pStyle w:val="3"/>
        <w:spacing w:line="255" w:lineRule="auto"/>
        <w:rPr>
          <w:color w:val="auto"/>
          <w:highlight w:val="none"/>
        </w:rPr>
      </w:pPr>
    </w:p>
    <w:p w14:paraId="651232C6">
      <w:pPr>
        <w:tabs>
          <w:tab w:val="left" w:pos="1800"/>
        </w:tabs>
        <w:spacing w:before="82" w:line="21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投标人名称</w:t>
      </w:r>
      <w:r>
        <w:rPr>
          <w:rFonts w:ascii="宋体" w:hAnsi="宋体" w:eastAsia="宋体" w:cs="宋体"/>
          <w:color w:val="auto"/>
          <w:spacing w:val="-31"/>
          <w:sz w:val="24"/>
          <w:szCs w:val="24"/>
          <w:highlight w:val="none"/>
        </w:rPr>
        <w:t>）：</w:t>
      </w:r>
    </w:p>
    <w:p w14:paraId="3851B3D8">
      <w:pPr>
        <w:pStyle w:val="3"/>
        <w:spacing w:line="254" w:lineRule="auto"/>
        <w:rPr>
          <w:color w:val="auto"/>
          <w:highlight w:val="none"/>
        </w:rPr>
      </w:pPr>
    </w:p>
    <w:p w14:paraId="46F59C03">
      <w:pPr>
        <w:pStyle w:val="3"/>
        <w:spacing w:line="254" w:lineRule="auto"/>
        <w:rPr>
          <w:color w:val="auto"/>
          <w:highlight w:val="none"/>
        </w:rPr>
      </w:pPr>
    </w:p>
    <w:p w14:paraId="253E257E">
      <w:pPr>
        <w:tabs>
          <w:tab w:val="left" w:pos="2520"/>
        </w:tabs>
        <w:spacing w:before="82" w:line="339" w:lineRule="auto"/>
        <w:ind w:left="10" w:right="11" w:firstLine="46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项目名称</w:t>
      </w:r>
      <w:r>
        <w:rPr>
          <w:rFonts w:ascii="宋体" w:hAnsi="宋体" w:eastAsia="宋体" w:cs="宋体"/>
          <w:color w:val="auto"/>
          <w:spacing w:val="-64"/>
          <w:w w:val="9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4"/>
          <w:w w:val="92"/>
          <w:sz w:val="24"/>
          <w:szCs w:val="24"/>
          <w:highlight w:val="none"/>
        </w:rPr>
        <w:t>（</w:t>
      </w:r>
      <w:r>
        <w:rPr>
          <w:rFonts w:ascii="宋体" w:hAnsi="宋体" w:eastAsia="宋体" w:cs="宋体"/>
          <w:i/>
          <w:iCs/>
          <w:color w:val="auto"/>
          <w:spacing w:val="-1"/>
          <w:sz w:val="25"/>
          <w:szCs w:val="25"/>
          <w:highlight w:val="none"/>
        </w:rPr>
        <w:t>标段名称</w:t>
      </w:r>
      <w:r>
        <w:rPr>
          <w:rFonts w:ascii="宋体" w:hAnsi="宋体" w:eastAsia="宋体" w:cs="宋体"/>
          <w:color w:val="auto"/>
          <w:spacing w:val="-1"/>
          <w:sz w:val="24"/>
          <w:szCs w:val="24"/>
          <w:highlight w:val="none"/>
        </w:rPr>
        <w:t>）评标委员会对你方的投</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标文件进行了仔细的审查，现需你方对下列问题以书面形式予以</w:t>
      </w:r>
      <w:r>
        <w:rPr>
          <w:rFonts w:ascii="宋体" w:hAnsi="宋体" w:eastAsia="宋体" w:cs="宋体"/>
          <w:color w:val="auto"/>
          <w:spacing w:val="-3"/>
          <w:sz w:val="24"/>
          <w:szCs w:val="24"/>
          <w:highlight w:val="none"/>
        </w:rPr>
        <w:t>澄清：</w:t>
      </w:r>
    </w:p>
    <w:p w14:paraId="000A1CB4">
      <w:pPr>
        <w:spacing w:before="76" w:line="179" w:lineRule="auto"/>
        <w:ind w:left="50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4"/>
          <w:sz w:val="24"/>
          <w:szCs w:val="24"/>
          <w:highlight w:val="none"/>
        </w:rPr>
        <w:t>1</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24"/>
          <w:sz w:val="24"/>
          <w:szCs w:val="24"/>
          <w:highlight w:val="none"/>
        </w:rPr>
        <w:t>ⅆⅆ</w:t>
      </w:r>
    </w:p>
    <w:p w14:paraId="2A033D4B">
      <w:pPr>
        <w:spacing w:before="235" w:line="179" w:lineRule="auto"/>
        <w:ind w:left="48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w w:val="124"/>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
          <w:w w:val="1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1"/>
          <w:w w:val="124"/>
          <w:sz w:val="24"/>
          <w:szCs w:val="24"/>
          <w:highlight w:val="none"/>
        </w:rPr>
        <w:t>ⅆⅆ</w:t>
      </w:r>
    </w:p>
    <w:p w14:paraId="7F6C14EF">
      <w:pPr>
        <w:pStyle w:val="3"/>
        <w:spacing w:line="282" w:lineRule="auto"/>
        <w:rPr>
          <w:color w:val="auto"/>
          <w:highlight w:val="none"/>
        </w:rPr>
      </w:pPr>
    </w:p>
    <w:p w14:paraId="74F31AF3">
      <w:pPr>
        <w:spacing w:before="69" w:line="75" w:lineRule="exact"/>
        <w:ind w:left="50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57B09CA6">
      <w:pPr>
        <w:pStyle w:val="3"/>
        <w:spacing w:line="256" w:lineRule="auto"/>
        <w:rPr>
          <w:color w:val="auto"/>
          <w:highlight w:val="none"/>
        </w:rPr>
      </w:pPr>
    </w:p>
    <w:p w14:paraId="72A14D6C">
      <w:pPr>
        <w:pStyle w:val="3"/>
        <w:spacing w:line="256" w:lineRule="auto"/>
        <w:rPr>
          <w:color w:val="auto"/>
          <w:highlight w:val="none"/>
        </w:rPr>
      </w:pPr>
    </w:p>
    <w:p w14:paraId="29FAA227">
      <w:pPr>
        <w:pStyle w:val="3"/>
        <w:spacing w:line="256" w:lineRule="auto"/>
        <w:rPr>
          <w:color w:val="auto"/>
          <w:highlight w:val="none"/>
        </w:rPr>
      </w:pPr>
    </w:p>
    <w:p w14:paraId="32894E20">
      <w:pPr>
        <w:pStyle w:val="3"/>
        <w:spacing w:line="256" w:lineRule="auto"/>
        <w:rPr>
          <w:color w:val="auto"/>
          <w:highlight w:val="none"/>
        </w:rPr>
      </w:pPr>
    </w:p>
    <w:p w14:paraId="4A7C4922">
      <w:pPr>
        <w:pStyle w:val="3"/>
        <w:spacing w:line="257" w:lineRule="auto"/>
        <w:rPr>
          <w:color w:val="auto"/>
          <w:highlight w:val="none"/>
        </w:rPr>
      </w:pPr>
    </w:p>
    <w:p w14:paraId="5C8BD020">
      <w:pPr>
        <w:pStyle w:val="3"/>
        <w:spacing w:line="257" w:lineRule="auto"/>
        <w:rPr>
          <w:color w:val="auto"/>
          <w:highlight w:val="none"/>
        </w:rPr>
      </w:pPr>
    </w:p>
    <w:p w14:paraId="0643FCEC">
      <w:pPr>
        <w:pStyle w:val="3"/>
        <w:spacing w:line="257" w:lineRule="auto"/>
        <w:rPr>
          <w:color w:val="auto"/>
          <w:highlight w:val="none"/>
        </w:rPr>
      </w:pPr>
    </w:p>
    <w:p w14:paraId="300651C7">
      <w:pPr>
        <w:pStyle w:val="3"/>
        <w:spacing w:line="257" w:lineRule="auto"/>
        <w:rPr>
          <w:color w:val="auto"/>
          <w:highlight w:val="none"/>
        </w:rPr>
      </w:pPr>
    </w:p>
    <w:p w14:paraId="297773B9">
      <w:pPr>
        <w:pStyle w:val="3"/>
        <w:spacing w:line="257" w:lineRule="auto"/>
        <w:rPr>
          <w:color w:val="auto"/>
          <w:highlight w:val="none"/>
        </w:rPr>
      </w:pPr>
    </w:p>
    <w:p w14:paraId="3E54BB08">
      <w:pPr>
        <w:pStyle w:val="3"/>
        <w:spacing w:line="257" w:lineRule="auto"/>
        <w:rPr>
          <w:color w:val="auto"/>
          <w:highlight w:val="none"/>
        </w:rPr>
      </w:pPr>
    </w:p>
    <w:p w14:paraId="51A16E36">
      <w:pPr>
        <w:spacing w:before="78" w:line="219" w:lineRule="auto"/>
        <w:ind w:left="300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评标委员会负责人</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color w:val="auto"/>
          <w:spacing w:val="-2"/>
          <w:sz w:val="24"/>
          <w:szCs w:val="24"/>
          <w:highlight w:val="none"/>
        </w:rPr>
        <w:t>签字）</w:t>
      </w:r>
    </w:p>
    <w:p w14:paraId="2B7E7EF7">
      <w:pPr>
        <w:pStyle w:val="3"/>
        <w:spacing w:line="257" w:lineRule="auto"/>
        <w:rPr>
          <w:color w:val="auto"/>
          <w:highlight w:val="none"/>
        </w:rPr>
      </w:pPr>
    </w:p>
    <w:p w14:paraId="31FB7AF4">
      <w:pPr>
        <w:pStyle w:val="3"/>
        <w:spacing w:line="257" w:lineRule="auto"/>
        <w:rPr>
          <w:color w:val="auto"/>
          <w:highlight w:val="none"/>
        </w:rPr>
      </w:pPr>
    </w:p>
    <w:p w14:paraId="599A9C09">
      <w:pPr>
        <w:tabs>
          <w:tab w:val="left" w:pos="5160"/>
        </w:tabs>
        <w:spacing w:before="79" w:line="220" w:lineRule="auto"/>
        <w:ind w:left="456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10"/>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2EEE432D">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301EAE3">
      <w:pPr>
        <w:spacing w:before="56" w:line="219" w:lineRule="auto"/>
        <w:ind w:left="32"/>
        <w:outlineLvl w:val="1"/>
        <w:rPr>
          <w:rFonts w:ascii="宋体" w:hAnsi="宋体" w:eastAsia="宋体" w:cs="宋体"/>
          <w:color w:val="auto"/>
          <w:sz w:val="28"/>
          <w:szCs w:val="28"/>
          <w:highlight w:val="none"/>
        </w:rPr>
      </w:pPr>
      <w:bookmarkStart w:id="446" w:name="bookmark279"/>
      <w:bookmarkEnd w:id="446"/>
      <w:bookmarkStart w:id="447" w:name="bookmark280"/>
      <w:bookmarkEnd w:id="447"/>
      <w:bookmarkStart w:id="448" w:name="_Toc10905"/>
      <w:bookmarkStart w:id="449" w:name="_Toc30736"/>
      <w:r>
        <w:rPr>
          <w:rFonts w:ascii="宋体" w:hAnsi="宋体" w:eastAsia="宋体" w:cs="宋体"/>
          <w:b/>
          <w:bCs/>
          <w:color w:val="auto"/>
          <w:spacing w:val="-8"/>
          <w:sz w:val="28"/>
          <w:szCs w:val="28"/>
          <w:highlight w:val="none"/>
        </w:rPr>
        <w:t>附件二：投标文件澄清函</w:t>
      </w:r>
      <w:bookmarkEnd w:id="448"/>
      <w:bookmarkEnd w:id="449"/>
    </w:p>
    <w:p w14:paraId="15326638">
      <w:pPr>
        <w:pStyle w:val="3"/>
        <w:spacing w:line="328" w:lineRule="auto"/>
        <w:rPr>
          <w:color w:val="auto"/>
          <w:highlight w:val="none"/>
        </w:rPr>
      </w:pPr>
    </w:p>
    <w:p w14:paraId="782F0565">
      <w:pPr>
        <w:pStyle w:val="3"/>
        <w:spacing w:line="328" w:lineRule="auto"/>
        <w:rPr>
          <w:color w:val="auto"/>
          <w:highlight w:val="none"/>
        </w:rPr>
      </w:pPr>
    </w:p>
    <w:p w14:paraId="0AE2708B">
      <w:pPr>
        <w:spacing w:before="78" w:line="220" w:lineRule="auto"/>
        <w:ind w:left="3561"/>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投标文件澄清函</w:t>
      </w:r>
    </w:p>
    <w:p w14:paraId="08B48FAA">
      <w:pPr>
        <w:spacing w:before="182" w:line="220" w:lineRule="auto"/>
        <w:ind w:left="4045"/>
        <w:rPr>
          <w:rFonts w:ascii="宋体" w:hAnsi="宋体" w:eastAsia="宋体" w:cs="宋体"/>
          <w:color w:val="auto"/>
          <w:sz w:val="24"/>
          <w:szCs w:val="24"/>
          <w:highlight w:val="none"/>
        </w:rPr>
      </w:pPr>
      <w:r>
        <w:rPr>
          <w:rFonts w:ascii="宋体" w:hAnsi="宋体" w:eastAsia="宋体" w:cs="宋体"/>
          <w:color w:val="auto"/>
          <w:spacing w:val="-15"/>
          <w:sz w:val="24"/>
          <w:szCs w:val="24"/>
          <w:highlight w:val="none"/>
        </w:rPr>
        <w:t>编号：</w:t>
      </w:r>
    </w:p>
    <w:p w14:paraId="4709564B">
      <w:pPr>
        <w:pStyle w:val="3"/>
        <w:spacing w:line="255" w:lineRule="auto"/>
        <w:rPr>
          <w:color w:val="auto"/>
          <w:highlight w:val="none"/>
        </w:rPr>
      </w:pPr>
    </w:p>
    <w:p w14:paraId="364E4BAD">
      <w:pPr>
        <w:pStyle w:val="3"/>
        <w:spacing w:line="256" w:lineRule="auto"/>
        <w:rPr>
          <w:color w:val="auto"/>
          <w:highlight w:val="none"/>
        </w:rPr>
      </w:pPr>
    </w:p>
    <w:p w14:paraId="5BD083DD">
      <w:pPr>
        <w:tabs>
          <w:tab w:val="left" w:pos="2160"/>
        </w:tabs>
        <w:spacing w:before="81" w:line="212"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项目名称</w:t>
      </w:r>
      <w:r>
        <w:rPr>
          <w:rFonts w:ascii="宋体" w:hAnsi="宋体" w:eastAsia="宋体" w:cs="宋体"/>
          <w:color w:val="auto"/>
          <w:spacing w:val="-5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2"/>
          <w:sz w:val="24"/>
          <w:szCs w:val="24"/>
          <w:highlight w:val="none"/>
        </w:rPr>
        <w:t>（</w:t>
      </w:r>
      <w:r>
        <w:rPr>
          <w:rFonts w:ascii="宋体" w:hAnsi="宋体" w:eastAsia="宋体" w:cs="宋体"/>
          <w:i/>
          <w:iCs/>
          <w:color w:val="auto"/>
          <w:spacing w:val="-1"/>
          <w:sz w:val="25"/>
          <w:szCs w:val="25"/>
          <w:highlight w:val="none"/>
        </w:rPr>
        <w:t>标段名称</w:t>
      </w:r>
      <w:r>
        <w:rPr>
          <w:rFonts w:ascii="宋体" w:hAnsi="宋体" w:eastAsia="宋体" w:cs="宋体"/>
          <w:color w:val="auto"/>
          <w:spacing w:val="-1"/>
          <w:sz w:val="24"/>
          <w:szCs w:val="24"/>
          <w:highlight w:val="none"/>
        </w:rPr>
        <w:t>）评标委员会：</w:t>
      </w:r>
    </w:p>
    <w:p w14:paraId="7E32753F">
      <w:pPr>
        <w:pStyle w:val="3"/>
        <w:spacing w:line="255" w:lineRule="auto"/>
        <w:rPr>
          <w:color w:val="auto"/>
          <w:highlight w:val="none"/>
        </w:rPr>
      </w:pPr>
    </w:p>
    <w:p w14:paraId="21C48D41">
      <w:pPr>
        <w:pStyle w:val="3"/>
        <w:spacing w:line="256" w:lineRule="auto"/>
        <w:rPr>
          <w:color w:val="auto"/>
          <w:highlight w:val="none"/>
        </w:rPr>
      </w:pPr>
    </w:p>
    <w:p w14:paraId="391A4C7A">
      <w:pPr>
        <w:spacing w:before="78" w:line="220" w:lineRule="auto"/>
        <w:ind w:left="49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投标文件澄清通知（编号</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）已收悉，现就有关问题澄清如下：</w:t>
      </w:r>
    </w:p>
    <w:p w14:paraId="7AA39EA1">
      <w:pPr>
        <w:spacing w:before="226" w:line="179" w:lineRule="auto"/>
        <w:ind w:left="50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24"/>
          <w:sz w:val="24"/>
          <w:szCs w:val="24"/>
          <w:highlight w:val="none"/>
        </w:rPr>
        <w:t>1</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24"/>
          <w:sz w:val="24"/>
          <w:szCs w:val="24"/>
          <w:highlight w:val="none"/>
        </w:rPr>
        <w:t>ⅆⅆ</w:t>
      </w:r>
    </w:p>
    <w:p w14:paraId="2F7BE2C5">
      <w:pPr>
        <w:spacing w:before="233" w:line="179" w:lineRule="auto"/>
        <w:ind w:left="48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w w:val="124"/>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1"/>
          <w:w w:val="124"/>
          <w:sz w:val="24"/>
          <w:szCs w:val="24"/>
          <w:highlight w:val="none"/>
        </w:rPr>
        <w:t>.</w:t>
      </w:r>
      <w:r>
        <w:rPr>
          <w:rFonts w:ascii="宋体" w:hAnsi="宋体" w:eastAsia="宋体" w:cs="宋体"/>
          <w:color w:val="auto"/>
          <w:spacing w:val="82"/>
          <w:sz w:val="24"/>
          <w:szCs w:val="24"/>
          <w:highlight w:val="none"/>
        </w:rPr>
        <w:t xml:space="preserve"> </w:t>
      </w:r>
      <w:r>
        <w:rPr>
          <w:rFonts w:ascii="Times New Roman" w:hAnsi="Times New Roman" w:eastAsia="Times New Roman" w:cs="Times New Roman"/>
          <w:color w:val="auto"/>
          <w:spacing w:val="1"/>
          <w:w w:val="124"/>
          <w:sz w:val="24"/>
          <w:szCs w:val="24"/>
          <w:highlight w:val="none"/>
        </w:rPr>
        <w:t>ⅆⅆ</w:t>
      </w:r>
    </w:p>
    <w:p w14:paraId="6F05AB7D">
      <w:pPr>
        <w:pStyle w:val="3"/>
        <w:spacing w:line="285" w:lineRule="auto"/>
        <w:rPr>
          <w:color w:val="auto"/>
          <w:highlight w:val="none"/>
        </w:rPr>
      </w:pPr>
    </w:p>
    <w:p w14:paraId="619B92D1">
      <w:pPr>
        <w:spacing w:before="69" w:line="75" w:lineRule="exact"/>
        <w:ind w:left="506"/>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p w14:paraId="384BA61C">
      <w:pPr>
        <w:pStyle w:val="3"/>
        <w:spacing w:line="247" w:lineRule="auto"/>
        <w:rPr>
          <w:color w:val="auto"/>
          <w:highlight w:val="none"/>
        </w:rPr>
      </w:pPr>
    </w:p>
    <w:p w14:paraId="134AD322">
      <w:pPr>
        <w:pStyle w:val="3"/>
        <w:spacing w:line="247" w:lineRule="auto"/>
        <w:rPr>
          <w:color w:val="auto"/>
          <w:highlight w:val="none"/>
        </w:rPr>
      </w:pPr>
    </w:p>
    <w:p w14:paraId="2116E1D8">
      <w:pPr>
        <w:pStyle w:val="3"/>
        <w:spacing w:line="248" w:lineRule="auto"/>
        <w:rPr>
          <w:color w:val="auto"/>
          <w:highlight w:val="none"/>
        </w:rPr>
      </w:pPr>
    </w:p>
    <w:p w14:paraId="13BFAEFF">
      <w:pPr>
        <w:pStyle w:val="3"/>
        <w:spacing w:line="248" w:lineRule="auto"/>
        <w:rPr>
          <w:color w:val="auto"/>
          <w:highlight w:val="none"/>
        </w:rPr>
      </w:pPr>
    </w:p>
    <w:p w14:paraId="58FC755B">
      <w:pPr>
        <w:pStyle w:val="3"/>
        <w:spacing w:line="248" w:lineRule="auto"/>
        <w:rPr>
          <w:color w:val="auto"/>
          <w:highlight w:val="none"/>
        </w:rPr>
      </w:pPr>
    </w:p>
    <w:p w14:paraId="1C875459">
      <w:pPr>
        <w:pStyle w:val="3"/>
        <w:spacing w:line="248" w:lineRule="auto"/>
        <w:rPr>
          <w:color w:val="auto"/>
          <w:highlight w:val="none"/>
        </w:rPr>
      </w:pPr>
    </w:p>
    <w:p w14:paraId="180D6574">
      <w:pPr>
        <w:pStyle w:val="3"/>
        <w:spacing w:line="248" w:lineRule="auto"/>
        <w:rPr>
          <w:color w:val="auto"/>
          <w:highlight w:val="none"/>
        </w:rPr>
      </w:pPr>
    </w:p>
    <w:p w14:paraId="79B038A1">
      <w:pPr>
        <w:pStyle w:val="3"/>
        <w:spacing w:line="248" w:lineRule="auto"/>
        <w:rPr>
          <w:color w:val="auto"/>
          <w:highlight w:val="none"/>
        </w:rPr>
      </w:pPr>
    </w:p>
    <w:p w14:paraId="63A2B299">
      <w:pPr>
        <w:pStyle w:val="3"/>
        <w:spacing w:line="248" w:lineRule="auto"/>
        <w:rPr>
          <w:color w:val="auto"/>
          <w:highlight w:val="none"/>
        </w:rPr>
      </w:pPr>
    </w:p>
    <w:p w14:paraId="685D1C64">
      <w:pPr>
        <w:pStyle w:val="3"/>
        <w:spacing w:line="248" w:lineRule="auto"/>
        <w:rPr>
          <w:color w:val="auto"/>
          <w:highlight w:val="none"/>
        </w:rPr>
      </w:pPr>
    </w:p>
    <w:p w14:paraId="15B5B498">
      <w:pPr>
        <w:pStyle w:val="3"/>
        <w:spacing w:line="248" w:lineRule="auto"/>
        <w:rPr>
          <w:color w:val="auto"/>
          <w:highlight w:val="none"/>
        </w:rPr>
      </w:pPr>
    </w:p>
    <w:p w14:paraId="76FCC50D">
      <w:pPr>
        <w:pStyle w:val="3"/>
        <w:spacing w:line="248" w:lineRule="auto"/>
        <w:rPr>
          <w:color w:val="auto"/>
          <w:highlight w:val="none"/>
        </w:rPr>
      </w:pPr>
    </w:p>
    <w:p w14:paraId="2430097F">
      <w:pPr>
        <w:spacing w:before="78" w:line="219" w:lineRule="auto"/>
        <w:ind w:left="301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盖单位章）</w:t>
      </w:r>
    </w:p>
    <w:p w14:paraId="7AD05665">
      <w:pPr>
        <w:pStyle w:val="3"/>
        <w:spacing w:line="257" w:lineRule="auto"/>
        <w:rPr>
          <w:color w:val="auto"/>
          <w:highlight w:val="none"/>
        </w:rPr>
      </w:pPr>
    </w:p>
    <w:p w14:paraId="36F85535">
      <w:pPr>
        <w:pStyle w:val="3"/>
        <w:spacing w:line="257" w:lineRule="auto"/>
        <w:rPr>
          <w:color w:val="auto"/>
          <w:highlight w:val="none"/>
        </w:rPr>
      </w:pPr>
    </w:p>
    <w:p w14:paraId="12FD377F">
      <w:pPr>
        <w:spacing w:before="79" w:line="220" w:lineRule="auto"/>
        <w:ind w:left="301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rPr>
        <w:t>签字）</w:t>
      </w:r>
    </w:p>
    <w:p w14:paraId="3700B3BE">
      <w:pPr>
        <w:pStyle w:val="3"/>
        <w:spacing w:line="308" w:lineRule="auto"/>
        <w:rPr>
          <w:color w:val="auto"/>
          <w:highlight w:val="none"/>
        </w:rPr>
      </w:pPr>
    </w:p>
    <w:p w14:paraId="4070183D">
      <w:pPr>
        <w:pStyle w:val="3"/>
        <w:spacing w:line="309" w:lineRule="auto"/>
        <w:rPr>
          <w:color w:val="auto"/>
          <w:highlight w:val="none"/>
        </w:rPr>
      </w:pPr>
    </w:p>
    <w:p w14:paraId="4319712B">
      <w:pPr>
        <w:pStyle w:val="3"/>
        <w:spacing w:line="309" w:lineRule="auto"/>
        <w:rPr>
          <w:color w:val="auto"/>
          <w:highlight w:val="none"/>
        </w:rPr>
      </w:pPr>
    </w:p>
    <w:p w14:paraId="18AB069F">
      <w:pPr>
        <w:tabs>
          <w:tab w:val="left" w:pos="5760"/>
        </w:tabs>
        <w:spacing w:before="78" w:line="220" w:lineRule="auto"/>
        <w:ind w:left="516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10"/>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751CECB4">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8301C78">
      <w:pPr>
        <w:spacing w:before="71" w:line="219" w:lineRule="auto"/>
        <w:ind w:left="2410"/>
        <w:outlineLvl w:val="0"/>
        <w:rPr>
          <w:rFonts w:ascii="宋体" w:hAnsi="宋体" w:eastAsia="宋体" w:cs="宋体"/>
          <w:color w:val="auto"/>
          <w:sz w:val="36"/>
          <w:szCs w:val="36"/>
          <w:highlight w:val="none"/>
        </w:rPr>
      </w:pPr>
      <w:bookmarkStart w:id="450" w:name="bookmark282"/>
      <w:bookmarkEnd w:id="450"/>
      <w:bookmarkStart w:id="451" w:name="bookmark288"/>
      <w:bookmarkEnd w:id="451"/>
      <w:bookmarkStart w:id="452" w:name="bookmark286"/>
      <w:bookmarkEnd w:id="452"/>
      <w:bookmarkStart w:id="453" w:name="bookmark281"/>
      <w:bookmarkEnd w:id="453"/>
      <w:bookmarkStart w:id="454" w:name="bookmark284"/>
      <w:bookmarkEnd w:id="454"/>
      <w:bookmarkStart w:id="455" w:name="_Toc27183"/>
      <w:bookmarkStart w:id="456" w:name="_Toc23018"/>
      <w:r>
        <w:rPr>
          <w:rFonts w:ascii="宋体" w:hAnsi="宋体" w:eastAsia="宋体" w:cs="宋体"/>
          <w:b/>
          <w:bCs/>
          <w:color w:val="auto"/>
          <w:spacing w:val="-3"/>
          <w:sz w:val="36"/>
          <w:szCs w:val="36"/>
          <w:highlight w:val="none"/>
        </w:rPr>
        <w:t>第四章</w:t>
      </w:r>
      <w:r>
        <w:rPr>
          <w:rFonts w:ascii="宋体" w:hAnsi="宋体" w:eastAsia="宋体" w:cs="宋体"/>
          <w:color w:val="auto"/>
          <w:spacing w:val="-3"/>
          <w:sz w:val="36"/>
          <w:szCs w:val="36"/>
          <w:highlight w:val="none"/>
        </w:rPr>
        <w:t xml:space="preserve">  </w:t>
      </w:r>
      <w:r>
        <w:rPr>
          <w:rFonts w:ascii="宋体" w:hAnsi="宋体" w:eastAsia="宋体" w:cs="宋体"/>
          <w:b/>
          <w:bCs/>
          <w:color w:val="auto"/>
          <w:spacing w:val="-3"/>
          <w:sz w:val="36"/>
          <w:szCs w:val="36"/>
          <w:highlight w:val="none"/>
        </w:rPr>
        <w:t>合同条款及格式</w:t>
      </w:r>
      <w:bookmarkEnd w:id="455"/>
      <w:bookmarkEnd w:id="456"/>
    </w:p>
    <w:p w14:paraId="3E4A52E1">
      <w:pPr>
        <w:spacing w:before="273" w:line="225" w:lineRule="auto"/>
        <w:ind w:left="2790"/>
        <w:outlineLvl w:val="1"/>
        <w:rPr>
          <w:rFonts w:ascii="宋体" w:hAnsi="宋体" w:eastAsia="宋体" w:cs="宋体"/>
          <w:b/>
          <w:bCs/>
          <w:color w:val="auto"/>
          <w:spacing w:val="6"/>
          <w:sz w:val="31"/>
          <w:szCs w:val="31"/>
          <w:highlight w:val="none"/>
        </w:rPr>
      </w:pPr>
      <w:bookmarkStart w:id="457" w:name="bookmark283"/>
      <w:bookmarkEnd w:id="457"/>
      <w:bookmarkStart w:id="458" w:name="_Toc23501"/>
      <w:bookmarkStart w:id="459" w:name="_Toc14122"/>
      <w:r>
        <w:rPr>
          <w:rFonts w:ascii="宋体" w:hAnsi="宋体" w:eastAsia="宋体" w:cs="宋体"/>
          <w:b/>
          <w:bCs/>
          <w:color w:val="auto"/>
          <w:spacing w:val="6"/>
          <w:sz w:val="31"/>
          <w:szCs w:val="31"/>
          <w:highlight w:val="none"/>
        </w:rPr>
        <w:t>第一节</w:t>
      </w:r>
      <w:r>
        <w:rPr>
          <w:rFonts w:ascii="宋体" w:hAnsi="宋体" w:eastAsia="宋体" w:cs="宋体"/>
          <w:color w:val="auto"/>
          <w:spacing w:val="6"/>
          <w:sz w:val="31"/>
          <w:szCs w:val="31"/>
          <w:highlight w:val="none"/>
        </w:rPr>
        <w:t xml:space="preserve">  </w:t>
      </w:r>
      <w:r>
        <w:rPr>
          <w:rFonts w:ascii="宋体" w:hAnsi="宋体" w:eastAsia="宋体" w:cs="宋体"/>
          <w:b/>
          <w:bCs/>
          <w:color w:val="auto"/>
          <w:spacing w:val="6"/>
          <w:sz w:val="31"/>
          <w:szCs w:val="31"/>
          <w:highlight w:val="none"/>
        </w:rPr>
        <w:t>通用合同条款</w:t>
      </w:r>
      <w:bookmarkEnd w:id="458"/>
      <w:bookmarkEnd w:id="459"/>
    </w:p>
    <w:p w14:paraId="33339526">
      <w:pPr>
        <w:pStyle w:val="3"/>
        <w:spacing w:line="265" w:lineRule="auto"/>
        <w:rPr>
          <w:rFonts w:hint="eastAsia" w:cs="宋体"/>
          <w:b/>
          <w:bCs/>
          <w:color w:val="auto"/>
          <w:spacing w:val="6"/>
          <w:sz w:val="31"/>
          <w:szCs w:val="31"/>
          <w:highlight w:val="none"/>
          <w:lang w:eastAsia="zh-CN"/>
        </w:rPr>
      </w:pPr>
      <w:bookmarkStart w:id="460" w:name="bookmark628"/>
      <w:bookmarkEnd w:id="460"/>
      <w:bookmarkStart w:id="461" w:name="bookmark625"/>
      <w:bookmarkEnd w:id="461"/>
      <w:bookmarkStart w:id="462" w:name="bookmark285"/>
      <w:bookmarkEnd w:id="462"/>
      <w:bookmarkStart w:id="463" w:name="bookmark626"/>
      <w:bookmarkEnd w:id="463"/>
      <w:bookmarkStart w:id="464" w:name="bookmark630"/>
      <w:bookmarkEnd w:id="464"/>
      <w:bookmarkStart w:id="465" w:name="_Toc31749"/>
      <w:r>
        <w:rPr>
          <w:rFonts w:hint="eastAsia" w:cs="宋体"/>
          <w:b/>
          <w:bCs/>
          <w:color w:val="auto"/>
          <w:spacing w:val="6"/>
          <w:sz w:val="31"/>
          <w:szCs w:val="31"/>
          <w:highlight w:val="none"/>
          <w:lang w:val="en-US" w:eastAsia="zh-CN"/>
        </w:rPr>
        <w:t>通篇使用</w:t>
      </w:r>
      <w:r>
        <w:rPr>
          <w:rFonts w:hint="eastAsia" w:cs="宋体"/>
          <w:b/>
          <w:bCs/>
          <w:color w:val="auto"/>
          <w:spacing w:val="6"/>
          <w:sz w:val="31"/>
          <w:szCs w:val="31"/>
          <w:highlight w:val="none"/>
          <w:lang w:eastAsia="zh-CN"/>
        </w:rPr>
        <w:t>《浙江省水利水电工程施工招标文件示范文本（2025年）第四章第一</w:t>
      </w:r>
      <w:r>
        <w:rPr>
          <w:rFonts w:hint="eastAsia" w:cs="宋体"/>
          <w:b/>
          <w:bCs/>
          <w:color w:val="auto"/>
          <w:spacing w:val="6"/>
          <w:sz w:val="31"/>
          <w:szCs w:val="31"/>
          <w:highlight w:val="none"/>
          <w:lang w:val="en-US" w:eastAsia="zh-CN"/>
        </w:rPr>
        <w:t>节通用合同条款</w:t>
      </w:r>
      <w:r>
        <w:rPr>
          <w:rFonts w:hint="eastAsia" w:cs="宋体"/>
          <w:b/>
          <w:bCs/>
          <w:color w:val="auto"/>
          <w:spacing w:val="6"/>
          <w:sz w:val="31"/>
          <w:szCs w:val="31"/>
          <w:highlight w:val="none"/>
          <w:lang w:eastAsia="zh-CN"/>
        </w:rPr>
        <w:t>）</w:t>
      </w:r>
    </w:p>
    <w:p w14:paraId="51E967BC">
      <w:pPr>
        <w:pStyle w:val="16"/>
        <w:rPr>
          <w:color w:val="auto"/>
          <w:highlight w:val="none"/>
        </w:rPr>
      </w:pPr>
    </w:p>
    <w:p w14:paraId="0D5F5796">
      <w:pPr>
        <w:spacing w:before="63" w:line="225" w:lineRule="auto"/>
        <w:ind w:left="2793"/>
        <w:outlineLvl w:val="0"/>
        <w:rPr>
          <w:rFonts w:ascii="宋体" w:hAnsi="宋体" w:eastAsia="宋体" w:cs="宋体"/>
          <w:color w:val="auto"/>
          <w:sz w:val="31"/>
          <w:szCs w:val="31"/>
          <w:highlight w:val="none"/>
        </w:rPr>
      </w:pPr>
      <w:bookmarkStart w:id="466" w:name="_Toc3947"/>
      <w:r>
        <w:rPr>
          <w:rFonts w:ascii="宋体" w:hAnsi="宋体" w:eastAsia="宋体" w:cs="宋体"/>
          <w:b/>
          <w:bCs/>
          <w:color w:val="auto"/>
          <w:spacing w:val="6"/>
          <w:sz w:val="31"/>
          <w:szCs w:val="31"/>
          <w:highlight w:val="none"/>
        </w:rPr>
        <w:t>第二节</w:t>
      </w:r>
      <w:r>
        <w:rPr>
          <w:rFonts w:ascii="宋体" w:hAnsi="宋体" w:eastAsia="宋体" w:cs="宋体"/>
          <w:color w:val="auto"/>
          <w:spacing w:val="6"/>
          <w:sz w:val="31"/>
          <w:szCs w:val="31"/>
          <w:highlight w:val="none"/>
        </w:rPr>
        <w:t xml:space="preserve">  </w:t>
      </w:r>
      <w:r>
        <w:rPr>
          <w:rFonts w:ascii="宋体" w:hAnsi="宋体" w:eastAsia="宋体" w:cs="宋体"/>
          <w:b/>
          <w:bCs/>
          <w:color w:val="auto"/>
          <w:spacing w:val="6"/>
          <w:sz w:val="31"/>
          <w:szCs w:val="31"/>
          <w:highlight w:val="none"/>
        </w:rPr>
        <w:t>专用合同条款</w:t>
      </w:r>
      <w:bookmarkEnd w:id="465"/>
      <w:bookmarkEnd w:id="466"/>
    </w:p>
    <w:p w14:paraId="5A20C30A">
      <w:pPr>
        <w:pStyle w:val="3"/>
        <w:spacing w:line="265" w:lineRule="auto"/>
        <w:rPr>
          <w:color w:val="auto"/>
          <w:highlight w:val="none"/>
        </w:rPr>
      </w:pPr>
    </w:p>
    <w:p w14:paraId="131E1377">
      <w:pPr>
        <w:spacing w:before="91" w:line="221" w:lineRule="auto"/>
        <w:ind w:left="12"/>
        <w:outlineLvl w:val="0"/>
        <w:rPr>
          <w:rFonts w:ascii="宋体" w:hAnsi="宋体" w:eastAsia="宋体" w:cs="宋体"/>
          <w:color w:val="auto"/>
          <w:sz w:val="28"/>
          <w:szCs w:val="28"/>
          <w:highlight w:val="none"/>
        </w:rPr>
      </w:pPr>
      <w:bookmarkStart w:id="467" w:name="bookmark627"/>
      <w:bookmarkEnd w:id="467"/>
      <w:bookmarkStart w:id="468" w:name="_Toc31194"/>
      <w:bookmarkStart w:id="469" w:name="_Toc32019"/>
      <w:r>
        <w:rPr>
          <w:rFonts w:ascii="Times New Roman" w:hAnsi="Times New Roman" w:eastAsia="Times New Roman" w:cs="Times New Roman"/>
          <w:b/>
          <w:bCs/>
          <w:color w:val="auto"/>
          <w:spacing w:val="-9"/>
          <w:sz w:val="28"/>
          <w:szCs w:val="28"/>
          <w:highlight w:val="none"/>
        </w:rPr>
        <w:t>1</w:t>
      </w:r>
      <w:r>
        <w:rPr>
          <w:rFonts w:ascii="Times New Roman" w:hAnsi="Times New Roman" w:eastAsia="Times New Roman" w:cs="Times New Roman"/>
          <w:b/>
          <w:bCs/>
          <w:color w:val="auto"/>
          <w:spacing w:val="8"/>
          <w:sz w:val="28"/>
          <w:szCs w:val="28"/>
          <w:highlight w:val="none"/>
        </w:rPr>
        <w:t xml:space="preserve">  </w:t>
      </w:r>
      <w:r>
        <w:rPr>
          <w:rFonts w:ascii="宋体" w:hAnsi="宋体" w:eastAsia="宋体" w:cs="宋体"/>
          <w:b/>
          <w:bCs/>
          <w:color w:val="auto"/>
          <w:spacing w:val="-9"/>
          <w:sz w:val="28"/>
          <w:szCs w:val="28"/>
          <w:highlight w:val="none"/>
        </w:rPr>
        <w:t>一般约定</w:t>
      </w:r>
      <w:bookmarkEnd w:id="468"/>
      <w:bookmarkEnd w:id="469"/>
    </w:p>
    <w:p w14:paraId="0D0351FF">
      <w:pPr>
        <w:pStyle w:val="3"/>
        <w:spacing w:line="245" w:lineRule="auto"/>
        <w:rPr>
          <w:color w:val="auto"/>
          <w:highlight w:val="none"/>
        </w:rPr>
      </w:pPr>
    </w:p>
    <w:p w14:paraId="38BE5CA0">
      <w:pPr>
        <w:spacing w:before="78" w:line="220" w:lineRule="auto"/>
        <w:ind w:left="10"/>
        <w:outlineLvl w:val="1"/>
        <w:rPr>
          <w:rFonts w:ascii="宋体" w:hAnsi="宋体" w:eastAsia="宋体" w:cs="宋体"/>
          <w:color w:val="auto"/>
          <w:sz w:val="24"/>
          <w:szCs w:val="24"/>
          <w:highlight w:val="none"/>
        </w:rPr>
      </w:pPr>
      <w:bookmarkStart w:id="470" w:name="bookmark629"/>
      <w:bookmarkEnd w:id="470"/>
      <w:bookmarkStart w:id="471" w:name="_Toc3749"/>
      <w:bookmarkStart w:id="472" w:name="_Toc6839"/>
      <w:r>
        <w:rPr>
          <w:rFonts w:ascii="Times New Roman" w:hAnsi="Times New Roman" w:eastAsia="Times New Roman" w:cs="Times New Roman"/>
          <w:b/>
          <w:bCs/>
          <w:color w:val="auto"/>
          <w:spacing w:val="-5"/>
          <w:sz w:val="24"/>
          <w:szCs w:val="24"/>
          <w:highlight w:val="none"/>
        </w:rPr>
        <w:t>1.1</w:t>
      </w:r>
      <w:r>
        <w:rPr>
          <w:rFonts w:ascii="Times New Roman" w:hAnsi="Times New Roman" w:eastAsia="Times New Roman" w:cs="Times New Roman"/>
          <w:b/>
          <w:bCs/>
          <w:color w:val="auto"/>
          <w:spacing w:val="6"/>
          <w:sz w:val="24"/>
          <w:szCs w:val="24"/>
          <w:highlight w:val="none"/>
        </w:rPr>
        <w:t xml:space="preserve">  </w:t>
      </w:r>
      <w:r>
        <w:rPr>
          <w:rFonts w:ascii="宋体" w:hAnsi="宋体" w:eastAsia="宋体" w:cs="宋体"/>
          <w:b/>
          <w:bCs/>
          <w:color w:val="auto"/>
          <w:spacing w:val="-5"/>
          <w:sz w:val="24"/>
          <w:szCs w:val="24"/>
          <w:highlight w:val="none"/>
        </w:rPr>
        <w:t>词语定义</w:t>
      </w:r>
      <w:bookmarkEnd w:id="471"/>
      <w:bookmarkEnd w:id="472"/>
    </w:p>
    <w:p w14:paraId="4F414A63">
      <w:pPr>
        <w:spacing w:before="182" w:line="220" w:lineRule="auto"/>
        <w:ind w:left="49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1.1.2  </w:t>
      </w:r>
      <w:r>
        <w:rPr>
          <w:rFonts w:ascii="宋体" w:hAnsi="宋体" w:eastAsia="宋体" w:cs="宋体"/>
          <w:color w:val="auto"/>
          <w:spacing w:val="-1"/>
          <w:sz w:val="24"/>
          <w:szCs w:val="24"/>
          <w:highlight w:val="none"/>
        </w:rPr>
        <w:t>合同当事人和人员</w:t>
      </w:r>
    </w:p>
    <w:p w14:paraId="6313D894">
      <w:pPr>
        <w:spacing w:before="179" w:line="220" w:lineRule="auto"/>
        <w:ind w:left="502"/>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"1.1.2.2"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1.1.2.2</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发包人：</w:t>
      </w:r>
      <w:r>
        <w:rPr>
          <w:rFonts w:ascii="宋体" w:hAnsi="宋体" w:eastAsia="宋体" w:cs="宋体"/>
          <w:color w:val="auto"/>
          <w:sz w:val="24"/>
          <w:szCs w:val="24"/>
          <w:highlight w:val="none"/>
          <w:u w:val="single" w:color="auto"/>
        </w:rPr>
        <w:t xml:space="preserve">  </w:t>
      </w:r>
      <w:r>
        <w:rPr>
          <w:rFonts w:hint="eastAsia" w:ascii="Times New Roman" w:hAnsi="Times New Roman" w:eastAsia="宋体" w:cs="Times New Roman"/>
          <w:color w:val="auto"/>
          <w:spacing w:val="-11"/>
          <w:sz w:val="24"/>
          <w:szCs w:val="24"/>
          <w:highlight w:val="none"/>
          <w:u w:val="single"/>
          <w:lang w:eastAsia="zh-CN"/>
        </w:rPr>
        <w:t>绍兴市镜湖综合保护投资建设有限公司</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p>
    <w:p w14:paraId="01FE1C73">
      <w:pPr>
        <w:spacing w:before="181" w:line="220" w:lineRule="auto"/>
        <w:ind w:left="502"/>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"1.1.2.3"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1.1.2.3</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承包人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签约后填入）。</w:t>
      </w:r>
    </w:p>
    <w:p w14:paraId="663B1949">
      <w:pPr>
        <w:spacing w:before="180" w:line="220" w:lineRule="auto"/>
        <w:ind w:left="502"/>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"1.1.2.5"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1.1.2.5</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分包人</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3"/>
          <w:sz w:val="24"/>
          <w:szCs w:val="24"/>
          <w:highlight w:val="none"/>
        </w:rPr>
        <w:t>签约后填入）。</w:t>
      </w:r>
    </w:p>
    <w:p w14:paraId="2AA40131">
      <w:pPr>
        <w:spacing w:before="182" w:line="222" w:lineRule="auto"/>
        <w:ind w:left="502"/>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"1.1.2.6" </w:instrText>
      </w:r>
      <w:r>
        <w:rPr>
          <w:color w:val="auto"/>
          <w:highlight w:val="none"/>
        </w:rPr>
        <w:fldChar w:fldCharType="separate"/>
      </w:r>
      <w:r>
        <w:rPr>
          <w:rFonts w:ascii="Times New Roman" w:hAnsi="Times New Roman" w:eastAsia="Times New Roman" w:cs="Times New Roman"/>
          <w:color w:val="auto"/>
          <w:spacing w:val="-3"/>
          <w:sz w:val="24"/>
          <w:szCs w:val="24"/>
          <w:highlight w:val="none"/>
        </w:rPr>
        <w:t>1.1.2.6</w:t>
      </w:r>
      <w:r>
        <w:rPr>
          <w:rFonts w:ascii="Times New Roman" w:hAnsi="Times New Roman" w:eastAsia="Times New Roman" w:cs="Times New Roman"/>
          <w:color w:val="auto"/>
          <w:spacing w:val="-3"/>
          <w:sz w:val="24"/>
          <w:szCs w:val="24"/>
          <w:highlight w:val="none"/>
        </w:rPr>
        <w:fldChar w:fldCharType="end"/>
      </w:r>
      <w:r>
        <w:rPr>
          <w:rFonts w:ascii="Times New Roman" w:hAnsi="Times New Roman" w:eastAsia="Times New Roman" w:cs="Times New Roman"/>
          <w:color w:val="auto"/>
          <w:spacing w:val="-3"/>
          <w:sz w:val="24"/>
          <w:szCs w:val="24"/>
          <w:highlight w:val="none"/>
        </w:rPr>
        <w:t xml:space="preserve">  </w:t>
      </w:r>
      <w:r>
        <w:rPr>
          <w:rFonts w:ascii="宋体" w:hAnsi="宋体" w:eastAsia="宋体" w:cs="宋体"/>
          <w:color w:val="auto"/>
          <w:spacing w:val="-3"/>
          <w:sz w:val="24"/>
          <w:szCs w:val="24"/>
          <w:highlight w:val="none"/>
        </w:rPr>
        <w:t>监理人：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p>
    <w:p w14:paraId="5C564A1A">
      <w:pPr>
        <w:spacing w:before="179" w:line="220" w:lineRule="auto"/>
        <w:ind w:left="492"/>
        <w:rPr>
          <w:rFonts w:ascii="宋体" w:hAnsi="宋体" w:eastAsia="宋体" w:cs="宋体"/>
          <w:color w:val="auto"/>
          <w:sz w:val="24"/>
          <w:szCs w:val="24"/>
          <w:highlight w:val="none"/>
        </w:rPr>
      </w:pPr>
      <w:r>
        <w:rPr>
          <w:rFonts w:ascii="Times New Roman" w:hAnsi="Times New Roman" w:eastAsia="Times New Roman" w:cs="Times New Roman"/>
          <w:b/>
          <w:bCs/>
          <w:color w:val="auto"/>
          <w:spacing w:val="-6"/>
          <w:sz w:val="24"/>
          <w:szCs w:val="24"/>
          <w:highlight w:val="none"/>
        </w:rPr>
        <w:t>1.1.4</w:t>
      </w:r>
      <w:r>
        <w:rPr>
          <w:rFonts w:ascii="Times New Roman" w:hAnsi="Times New Roman" w:eastAsia="Times New Roman" w:cs="Times New Roman"/>
          <w:b/>
          <w:bCs/>
          <w:color w:val="auto"/>
          <w:spacing w:val="25"/>
          <w:sz w:val="24"/>
          <w:szCs w:val="24"/>
          <w:highlight w:val="none"/>
        </w:rPr>
        <w:t xml:space="preserve">  </w:t>
      </w:r>
      <w:r>
        <w:rPr>
          <w:rFonts w:ascii="宋体" w:hAnsi="宋体" w:eastAsia="宋体" w:cs="宋体"/>
          <w:color w:val="auto"/>
          <w:spacing w:val="-6"/>
          <w:sz w:val="24"/>
          <w:szCs w:val="24"/>
          <w:highlight w:val="none"/>
        </w:rPr>
        <w:t>日期</w:t>
      </w:r>
    </w:p>
    <w:p w14:paraId="67B4C72C">
      <w:pPr>
        <w:spacing w:before="179" w:line="220" w:lineRule="auto"/>
        <w:ind w:left="502"/>
        <w:rPr>
          <w:rFonts w:ascii="宋体" w:hAnsi="宋体" w:eastAsia="宋体" w:cs="宋体"/>
          <w:color w:val="auto"/>
          <w:sz w:val="24"/>
          <w:szCs w:val="24"/>
          <w:highlight w:val="none"/>
        </w:rPr>
      </w:pPr>
      <w:r>
        <w:rPr>
          <w:color w:val="auto"/>
          <w:highlight w:val="none"/>
        </w:rPr>
        <w:fldChar w:fldCharType="begin"/>
      </w:r>
      <w:r>
        <w:rPr>
          <w:color w:val="auto"/>
          <w:highlight w:val="none"/>
        </w:rPr>
        <w:instrText xml:space="preserve"> HYPERLINK "1.1.4.5" </w:instrText>
      </w:r>
      <w:r>
        <w:rPr>
          <w:color w:val="auto"/>
          <w:highlight w:val="none"/>
        </w:rPr>
        <w:fldChar w:fldCharType="separate"/>
      </w:r>
      <w:r>
        <w:rPr>
          <w:rFonts w:ascii="Times New Roman" w:hAnsi="Times New Roman" w:eastAsia="Times New Roman" w:cs="Times New Roman"/>
          <w:color w:val="auto"/>
          <w:spacing w:val="-2"/>
          <w:sz w:val="24"/>
          <w:szCs w:val="24"/>
          <w:highlight w:val="none"/>
        </w:rPr>
        <w:t>1.1.4.5</w:t>
      </w:r>
      <w:r>
        <w:rPr>
          <w:rFonts w:ascii="Times New Roman" w:hAnsi="Times New Roman" w:eastAsia="Times New Roman" w:cs="Times New Roman"/>
          <w:color w:val="auto"/>
          <w:spacing w:val="-2"/>
          <w:sz w:val="24"/>
          <w:szCs w:val="24"/>
          <w:highlight w:val="none"/>
        </w:rPr>
        <w:fldChar w:fldCharType="end"/>
      </w:r>
      <w:r>
        <w:rPr>
          <w:rFonts w:ascii="Times New Roman" w:hAnsi="Times New Roman" w:eastAsia="Times New Roman" w:cs="Times New Roman"/>
          <w:color w:val="auto"/>
          <w:spacing w:val="-2"/>
          <w:sz w:val="24"/>
          <w:szCs w:val="24"/>
          <w:highlight w:val="none"/>
        </w:rPr>
        <w:t xml:space="preserve">  </w:t>
      </w:r>
      <w:r>
        <w:rPr>
          <w:rFonts w:ascii="宋体" w:hAnsi="宋体" w:eastAsia="宋体" w:cs="宋体"/>
          <w:color w:val="auto"/>
          <w:spacing w:val="-2"/>
          <w:sz w:val="24"/>
          <w:szCs w:val="24"/>
          <w:highlight w:val="none"/>
        </w:rPr>
        <w:t>缺陷责任期（工程质量保修期</w:t>
      </w:r>
      <w:r>
        <w:rPr>
          <w:rFonts w:ascii="宋体" w:hAnsi="宋体" w:eastAsia="宋体" w:cs="宋体"/>
          <w:color w:val="auto"/>
          <w:spacing w:val="4"/>
          <w:sz w:val="24"/>
          <w:szCs w:val="24"/>
          <w:highlight w:val="none"/>
        </w:rPr>
        <w:t>）：</w:t>
      </w:r>
      <w:r>
        <w:rPr>
          <w:rFonts w:ascii="宋体" w:hAnsi="宋体" w:eastAsia="宋体" w:cs="宋体"/>
          <w:color w:val="auto"/>
          <w:spacing w:val="-2"/>
          <w:sz w:val="24"/>
          <w:szCs w:val="24"/>
          <w:highlight w:val="none"/>
        </w:rPr>
        <w:t>为</w:t>
      </w:r>
      <w:r>
        <w:rPr>
          <w:rFonts w:ascii="宋体" w:hAnsi="宋体" w:eastAsia="宋体" w:cs="宋体"/>
          <w:color w:val="auto"/>
          <w:spacing w:val="-2"/>
          <w:sz w:val="24"/>
          <w:szCs w:val="24"/>
          <w:highlight w:val="none"/>
          <w:u w:val="single" w:color="auto"/>
        </w:rPr>
        <w:t xml:space="preserve">  </w:t>
      </w:r>
      <w:r>
        <w:rPr>
          <w:rFonts w:ascii="Times New Roman" w:hAnsi="Times New Roman" w:eastAsia="宋体" w:cs="Times New Roman"/>
          <w:color w:val="auto"/>
          <w:spacing w:val="-2"/>
          <w:sz w:val="24"/>
          <w:szCs w:val="24"/>
          <w:highlight w:val="none"/>
          <w:u w:val="single"/>
          <w:lang w:eastAsia="zh-CN"/>
        </w:rPr>
        <w:t xml:space="preserve"> </w:t>
      </w:r>
      <w:r>
        <w:rPr>
          <w:rFonts w:hint="eastAsia" w:ascii="Times New Roman" w:hAnsi="Times New Roman" w:eastAsia="宋体" w:cs="Times New Roman"/>
          <w:color w:val="auto"/>
          <w:spacing w:val="-2"/>
          <w:sz w:val="24"/>
          <w:szCs w:val="24"/>
          <w:highlight w:val="none"/>
          <w:u w:val="single"/>
          <w:lang w:val="en-US" w:eastAsia="zh-CN"/>
        </w:rPr>
        <w:t>2</w:t>
      </w:r>
      <w:r>
        <w:rPr>
          <w:rFonts w:ascii="Times New Roman" w:hAnsi="Times New Roman" w:eastAsia="宋体" w:cs="Times New Roman"/>
          <w:color w:val="auto"/>
          <w:spacing w:val="-2"/>
          <w:sz w:val="24"/>
          <w:szCs w:val="24"/>
          <w:highlight w:val="none"/>
          <w:u w:val="single"/>
          <w:lang w:eastAsia="zh-CN"/>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2"/>
          <w:sz w:val="24"/>
          <w:szCs w:val="24"/>
          <w:highlight w:val="none"/>
        </w:rPr>
        <w:t>年。</w:t>
      </w:r>
    </w:p>
    <w:p w14:paraId="5C9B8E8D">
      <w:pPr>
        <w:spacing w:before="182" w:line="220" w:lineRule="auto"/>
        <w:ind w:left="10"/>
        <w:outlineLvl w:val="1"/>
        <w:rPr>
          <w:rFonts w:ascii="宋体" w:hAnsi="宋体" w:eastAsia="宋体" w:cs="宋体"/>
          <w:color w:val="auto"/>
          <w:sz w:val="24"/>
          <w:szCs w:val="24"/>
          <w:highlight w:val="none"/>
        </w:rPr>
      </w:pPr>
      <w:bookmarkStart w:id="473" w:name="bookmark632"/>
      <w:bookmarkEnd w:id="473"/>
      <w:bookmarkStart w:id="474" w:name="bookmark631"/>
      <w:bookmarkEnd w:id="474"/>
      <w:bookmarkStart w:id="475" w:name="_Toc26669"/>
      <w:bookmarkStart w:id="476" w:name="_Toc28750"/>
      <w:r>
        <w:rPr>
          <w:rFonts w:ascii="Times New Roman" w:hAnsi="Times New Roman" w:eastAsia="Times New Roman" w:cs="Times New Roman"/>
          <w:b/>
          <w:bCs/>
          <w:color w:val="auto"/>
          <w:spacing w:val="-3"/>
          <w:sz w:val="24"/>
          <w:szCs w:val="24"/>
          <w:highlight w:val="none"/>
        </w:rPr>
        <w:t xml:space="preserve">1.4  </w:t>
      </w:r>
      <w:r>
        <w:rPr>
          <w:rFonts w:ascii="宋体" w:hAnsi="宋体" w:eastAsia="宋体" w:cs="宋体"/>
          <w:b/>
          <w:bCs/>
          <w:color w:val="auto"/>
          <w:spacing w:val="-3"/>
          <w:sz w:val="24"/>
          <w:szCs w:val="24"/>
          <w:highlight w:val="none"/>
        </w:rPr>
        <w:t>合同文件的优先顺序</w:t>
      </w:r>
      <w:bookmarkEnd w:id="475"/>
      <w:bookmarkEnd w:id="476"/>
    </w:p>
    <w:p w14:paraId="091E3589">
      <w:pPr>
        <w:spacing w:before="180" w:line="220" w:lineRule="auto"/>
        <w:ind w:left="49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除合同另有规定外，解释合同文件的优先顺序如下：</w:t>
      </w:r>
    </w:p>
    <w:p w14:paraId="131BB427">
      <w:pPr>
        <w:spacing w:before="182" w:line="219" w:lineRule="auto"/>
        <w:ind w:left="49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）合同协议书（包括补充协议书）。</w:t>
      </w:r>
    </w:p>
    <w:p w14:paraId="06ADA0D5">
      <w:pPr>
        <w:spacing w:before="181" w:line="219" w:lineRule="auto"/>
        <w:ind w:left="49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w:t>
      </w:r>
      <w:r>
        <w:rPr>
          <w:rFonts w:ascii="Times New Roman" w:hAnsi="Times New Roman" w:eastAsia="Times New Roman" w:cs="Times New Roman"/>
          <w:color w:val="auto"/>
          <w:spacing w:val="-6"/>
          <w:sz w:val="24"/>
          <w:szCs w:val="24"/>
          <w:highlight w:val="none"/>
        </w:rPr>
        <w:t>2</w:t>
      </w:r>
      <w:r>
        <w:rPr>
          <w:rFonts w:ascii="宋体" w:hAnsi="宋体" w:eastAsia="宋体" w:cs="宋体"/>
          <w:color w:val="auto"/>
          <w:spacing w:val="-6"/>
          <w:sz w:val="24"/>
          <w:szCs w:val="24"/>
          <w:highlight w:val="none"/>
        </w:rPr>
        <w:t>）中标通知书。</w:t>
      </w:r>
    </w:p>
    <w:p w14:paraId="7B1EEE69">
      <w:pPr>
        <w:spacing w:before="183" w:line="219" w:lineRule="auto"/>
        <w:ind w:left="49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）投标函及投标函附录。</w:t>
      </w:r>
    </w:p>
    <w:p w14:paraId="57A426E3">
      <w:pPr>
        <w:spacing w:before="181" w:line="220" w:lineRule="auto"/>
        <w:ind w:left="49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）招投标文件澄清问题、澄清问题的复函、补充通知等相关资料。</w:t>
      </w:r>
    </w:p>
    <w:p w14:paraId="2409940C">
      <w:pPr>
        <w:spacing w:before="182"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5</w:t>
      </w:r>
      <w:r>
        <w:rPr>
          <w:rFonts w:ascii="宋体" w:hAnsi="宋体" w:eastAsia="宋体" w:cs="宋体"/>
          <w:color w:val="auto"/>
          <w:spacing w:val="-5"/>
          <w:sz w:val="24"/>
          <w:szCs w:val="24"/>
          <w:highlight w:val="none"/>
        </w:rPr>
        <w:t>）专用合同条款。</w:t>
      </w:r>
    </w:p>
    <w:p w14:paraId="1A26B70E">
      <w:pPr>
        <w:spacing w:before="179"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6</w:t>
      </w:r>
      <w:r>
        <w:rPr>
          <w:rFonts w:ascii="宋体" w:hAnsi="宋体" w:eastAsia="宋体" w:cs="宋体"/>
          <w:color w:val="auto"/>
          <w:spacing w:val="-5"/>
          <w:sz w:val="24"/>
          <w:szCs w:val="24"/>
          <w:highlight w:val="none"/>
        </w:rPr>
        <w:t>）通用合同条款。</w:t>
      </w:r>
    </w:p>
    <w:p w14:paraId="26A0CC12">
      <w:pPr>
        <w:spacing w:before="182" w:line="220" w:lineRule="auto"/>
        <w:ind w:left="49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7</w:t>
      </w:r>
      <w:r>
        <w:rPr>
          <w:rFonts w:ascii="宋体" w:hAnsi="宋体" w:eastAsia="宋体" w:cs="宋体"/>
          <w:color w:val="auto"/>
          <w:spacing w:val="-5"/>
          <w:sz w:val="24"/>
          <w:szCs w:val="24"/>
          <w:highlight w:val="none"/>
        </w:rPr>
        <w:t>）技术标准和要求。</w:t>
      </w:r>
    </w:p>
    <w:p w14:paraId="670576E1">
      <w:pPr>
        <w:spacing w:before="180" w:line="221" w:lineRule="auto"/>
        <w:ind w:left="490"/>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8</w:t>
      </w:r>
      <w:r>
        <w:rPr>
          <w:rFonts w:ascii="宋体" w:hAnsi="宋体" w:eastAsia="宋体" w:cs="宋体"/>
          <w:color w:val="auto"/>
          <w:spacing w:val="-7"/>
          <w:sz w:val="24"/>
          <w:szCs w:val="24"/>
          <w:highlight w:val="none"/>
        </w:rPr>
        <w:t>）图纸。</w:t>
      </w:r>
    </w:p>
    <w:p w14:paraId="6FDC6C59">
      <w:pPr>
        <w:spacing w:before="181" w:line="218" w:lineRule="auto"/>
        <w:ind w:left="49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9</w:t>
      </w:r>
      <w:r>
        <w:rPr>
          <w:rFonts w:ascii="宋体" w:hAnsi="宋体" w:eastAsia="宋体" w:cs="宋体"/>
          <w:color w:val="auto"/>
          <w:spacing w:val="-4"/>
          <w:sz w:val="24"/>
          <w:szCs w:val="24"/>
          <w:highlight w:val="none"/>
        </w:rPr>
        <w:t>）已标价的工程量清单。</w:t>
      </w:r>
    </w:p>
    <w:p w14:paraId="0676A5D0">
      <w:pPr>
        <w:spacing w:before="182" w:line="220" w:lineRule="auto"/>
        <w:ind w:left="49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10</w:t>
      </w:r>
      <w:r>
        <w:rPr>
          <w:rFonts w:ascii="宋体" w:hAnsi="宋体" w:eastAsia="宋体" w:cs="宋体"/>
          <w:color w:val="auto"/>
          <w:spacing w:val="-3"/>
          <w:sz w:val="24"/>
          <w:szCs w:val="24"/>
          <w:highlight w:val="none"/>
        </w:rPr>
        <w:t>）经双方确认进入合同的其他文件。</w:t>
      </w:r>
    </w:p>
    <w:p w14:paraId="43234544">
      <w:pPr>
        <w:spacing w:before="182" w:line="222" w:lineRule="auto"/>
        <w:ind w:left="10"/>
        <w:outlineLvl w:val="1"/>
        <w:rPr>
          <w:rFonts w:ascii="宋体" w:hAnsi="宋体" w:eastAsia="宋体" w:cs="宋体"/>
          <w:color w:val="auto"/>
          <w:sz w:val="24"/>
          <w:szCs w:val="24"/>
          <w:highlight w:val="none"/>
        </w:rPr>
      </w:pPr>
      <w:bookmarkStart w:id="477" w:name="bookmark633"/>
      <w:bookmarkEnd w:id="477"/>
      <w:bookmarkStart w:id="478" w:name="bookmark634"/>
      <w:bookmarkEnd w:id="478"/>
      <w:bookmarkStart w:id="479" w:name="_Toc5959"/>
      <w:bookmarkStart w:id="480" w:name="_Toc28982"/>
      <w:r>
        <w:rPr>
          <w:rFonts w:ascii="Times New Roman" w:hAnsi="Times New Roman" w:eastAsia="Times New Roman" w:cs="Times New Roman"/>
          <w:b/>
          <w:bCs/>
          <w:color w:val="auto"/>
          <w:spacing w:val="-5"/>
          <w:sz w:val="24"/>
          <w:szCs w:val="24"/>
          <w:highlight w:val="none"/>
        </w:rPr>
        <w:t>1.7</w:t>
      </w:r>
      <w:r>
        <w:rPr>
          <w:rFonts w:ascii="Times New Roman" w:hAnsi="Times New Roman" w:eastAsia="Times New Roman" w:cs="Times New Roman"/>
          <w:b/>
          <w:bCs/>
          <w:color w:val="auto"/>
          <w:spacing w:val="5"/>
          <w:sz w:val="24"/>
          <w:szCs w:val="24"/>
          <w:highlight w:val="none"/>
        </w:rPr>
        <w:t xml:space="preserve">  </w:t>
      </w:r>
      <w:r>
        <w:rPr>
          <w:rFonts w:ascii="宋体" w:hAnsi="宋体" w:eastAsia="宋体" w:cs="宋体"/>
          <w:b/>
          <w:bCs/>
          <w:color w:val="auto"/>
          <w:spacing w:val="-5"/>
          <w:sz w:val="24"/>
          <w:szCs w:val="24"/>
          <w:highlight w:val="none"/>
        </w:rPr>
        <w:t>联络</w:t>
      </w:r>
      <w:bookmarkEnd w:id="479"/>
      <w:bookmarkEnd w:id="480"/>
    </w:p>
    <w:p w14:paraId="03375A73">
      <w:pPr>
        <w:spacing w:before="177" w:line="347" w:lineRule="auto"/>
        <w:ind w:left="10" w:right="12" w:firstLine="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1.7.2  </w:t>
      </w:r>
      <w:r>
        <w:rPr>
          <w:rFonts w:ascii="宋体" w:hAnsi="宋体" w:eastAsia="宋体" w:cs="宋体"/>
          <w:color w:val="auto"/>
          <w:spacing w:val="-2"/>
          <w:sz w:val="24"/>
          <w:szCs w:val="24"/>
          <w:highlight w:val="none"/>
        </w:rPr>
        <w:t>来往函件均应按技术标准和要求（合</w:t>
      </w:r>
      <w:r>
        <w:rPr>
          <w:rFonts w:ascii="宋体" w:hAnsi="宋体" w:eastAsia="宋体" w:cs="宋体"/>
          <w:color w:val="auto"/>
          <w:spacing w:val="-3"/>
          <w:sz w:val="24"/>
          <w:szCs w:val="24"/>
          <w:highlight w:val="none"/>
        </w:rPr>
        <w:t>同技术条款）约定的期限送达</w:t>
      </w:r>
      <w:r>
        <w:rPr>
          <w:rFonts w:ascii="宋体" w:hAnsi="宋体" w:eastAsia="宋体" w:cs="宋体"/>
          <w:color w:val="auto"/>
          <w:spacing w:val="44"/>
          <w:sz w:val="24"/>
          <w:szCs w:val="24"/>
          <w:highlight w:val="none"/>
          <w:u w:val="single" w:color="auto"/>
        </w:rPr>
        <w:t xml:space="preserve"> </w:t>
      </w:r>
      <w:r>
        <w:rPr>
          <w:rFonts w:hint="eastAsia" w:ascii="宋体" w:hAnsi="宋体" w:eastAsia="宋体" w:cs="宋体"/>
          <w:b w:val="0"/>
          <w:bCs w:val="0"/>
          <w:snapToGrid/>
          <w:color w:val="auto"/>
          <w:kern w:val="0"/>
          <w:sz w:val="24"/>
          <w:szCs w:val="24"/>
          <w:highlight w:val="none"/>
          <w:u w:val="single"/>
          <w:lang w:val="en-US" w:eastAsia="zh-CN"/>
        </w:rPr>
        <w:t>合同签订时明确（填写文件送达地点）</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1601238D">
      <w:pPr>
        <w:spacing w:before="160" w:line="220" w:lineRule="auto"/>
        <w:outlineLvl w:val="0"/>
        <w:rPr>
          <w:rFonts w:ascii="宋体" w:hAnsi="宋体" w:eastAsia="宋体" w:cs="宋体"/>
          <w:color w:val="auto"/>
          <w:sz w:val="28"/>
          <w:szCs w:val="28"/>
          <w:highlight w:val="none"/>
        </w:rPr>
      </w:pPr>
      <w:bookmarkStart w:id="481" w:name="bookmark635"/>
      <w:bookmarkEnd w:id="481"/>
      <w:bookmarkStart w:id="482" w:name="bookmark638"/>
      <w:bookmarkEnd w:id="482"/>
      <w:bookmarkStart w:id="483" w:name="bookmark636"/>
      <w:bookmarkEnd w:id="483"/>
      <w:bookmarkStart w:id="484" w:name="_Toc491"/>
      <w:bookmarkStart w:id="485" w:name="_Toc3221"/>
      <w:r>
        <w:rPr>
          <w:rFonts w:ascii="Times New Roman" w:hAnsi="Times New Roman" w:eastAsia="Times New Roman" w:cs="Times New Roman"/>
          <w:b/>
          <w:bCs/>
          <w:color w:val="auto"/>
          <w:spacing w:val="-6"/>
          <w:sz w:val="28"/>
          <w:szCs w:val="28"/>
          <w:highlight w:val="none"/>
        </w:rPr>
        <w:t>2</w:t>
      </w:r>
      <w:r>
        <w:rPr>
          <w:rFonts w:ascii="Times New Roman" w:hAnsi="Times New Roman" w:eastAsia="Times New Roman" w:cs="Times New Roman"/>
          <w:b/>
          <w:bCs/>
          <w:color w:val="auto"/>
          <w:spacing w:val="10"/>
          <w:sz w:val="28"/>
          <w:szCs w:val="28"/>
          <w:highlight w:val="none"/>
        </w:rPr>
        <w:t xml:space="preserve">  </w:t>
      </w:r>
      <w:r>
        <w:rPr>
          <w:rFonts w:ascii="宋体" w:hAnsi="宋体" w:eastAsia="宋体" w:cs="宋体"/>
          <w:b/>
          <w:bCs/>
          <w:color w:val="auto"/>
          <w:spacing w:val="-6"/>
          <w:sz w:val="28"/>
          <w:szCs w:val="28"/>
          <w:highlight w:val="none"/>
        </w:rPr>
        <w:t>发包人义务</w:t>
      </w:r>
      <w:bookmarkEnd w:id="484"/>
      <w:bookmarkEnd w:id="485"/>
    </w:p>
    <w:p w14:paraId="37F3EECC">
      <w:pPr>
        <w:pStyle w:val="3"/>
        <w:spacing w:line="245" w:lineRule="auto"/>
        <w:rPr>
          <w:color w:val="auto"/>
          <w:highlight w:val="none"/>
        </w:rPr>
      </w:pPr>
    </w:p>
    <w:p w14:paraId="23A00B4D">
      <w:pPr>
        <w:spacing w:before="79" w:line="219" w:lineRule="auto"/>
        <w:outlineLvl w:val="1"/>
        <w:rPr>
          <w:rFonts w:ascii="宋体" w:hAnsi="宋体" w:eastAsia="宋体" w:cs="宋体"/>
          <w:color w:val="auto"/>
          <w:sz w:val="24"/>
          <w:szCs w:val="24"/>
          <w:highlight w:val="none"/>
        </w:rPr>
      </w:pPr>
      <w:bookmarkStart w:id="486" w:name="bookmark637"/>
      <w:bookmarkEnd w:id="486"/>
      <w:bookmarkStart w:id="487" w:name="_Toc17353"/>
      <w:bookmarkStart w:id="488" w:name="_Toc3122"/>
      <w:r>
        <w:rPr>
          <w:rFonts w:ascii="Times New Roman" w:hAnsi="Times New Roman" w:eastAsia="Times New Roman" w:cs="Times New Roman"/>
          <w:b/>
          <w:bCs/>
          <w:color w:val="auto"/>
          <w:spacing w:val="-2"/>
          <w:sz w:val="24"/>
          <w:szCs w:val="24"/>
          <w:highlight w:val="none"/>
        </w:rPr>
        <w:t xml:space="preserve">2.3  </w:t>
      </w:r>
      <w:r>
        <w:rPr>
          <w:rFonts w:ascii="宋体" w:hAnsi="宋体" w:eastAsia="宋体" w:cs="宋体"/>
          <w:b/>
          <w:bCs/>
          <w:color w:val="auto"/>
          <w:spacing w:val="-2"/>
          <w:sz w:val="24"/>
          <w:szCs w:val="24"/>
          <w:highlight w:val="none"/>
        </w:rPr>
        <w:t>提供施工场地</w:t>
      </w:r>
      <w:bookmarkEnd w:id="487"/>
      <w:bookmarkEnd w:id="488"/>
    </w:p>
    <w:p w14:paraId="161C7A77">
      <w:pPr>
        <w:spacing w:before="181" w:line="289" w:lineRule="auto"/>
        <w:ind w:left="27" w:right="1" w:firstLine="455"/>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2.3.2  </w:t>
      </w:r>
      <w:r>
        <w:rPr>
          <w:rFonts w:ascii="宋体" w:hAnsi="宋体" w:eastAsia="宋体" w:cs="宋体"/>
          <w:color w:val="auto"/>
          <w:sz w:val="24"/>
          <w:szCs w:val="24"/>
          <w:highlight w:val="none"/>
        </w:rPr>
        <w:t>发包人提供的用地范围为：</w:t>
      </w:r>
      <w:r>
        <w:rPr>
          <w:rFonts w:ascii="宋体" w:hAnsi="宋体" w:eastAsia="宋体" w:cs="宋体"/>
          <w:color w:val="auto"/>
          <w:sz w:val="24"/>
          <w:szCs w:val="24"/>
          <w:highlight w:val="none"/>
          <w:u w:val="single" w:color="auto"/>
        </w:rPr>
        <w:t xml:space="preserve"> </w:t>
      </w:r>
      <w:r>
        <w:rPr>
          <w:rFonts w:hint="eastAsia" w:ascii="宋体" w:hAnsi="宋体" w:eastAsia="宋体" w:cs="宋体"/>
          <w:b/>
          <w:bCs/>
          <w:snapToGrid/>
          <w:color w:val="auto"/>
          <w:kern w:val="0"/>
          <w:sz w:val="24"/>
          <w:szCs w:val="24"/>
          <w:highlight w:val="none"/>
          <w:u w:val="single"/>
          <w:lang w:val="en-US" w:eastAsia="zh-CN"/>
        </w:rPr>
        <w:t>征地红线范围及发包人提供的临时用地。超出上述范围需要使用的场地，均由承包人自行解决，并自行办妥一切需要办理的手续，由此引起的一切纠纷、事故和赔偿责任，均由承包人承担。</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87"/>
          <w:sz w:val="24"/>
          <w:szCs w:val="24"/>
          <w:highlight w:val="none"/>
        </w:rPr>
        <w:t xml:space="preserve"> </w:t>
      </w:r>
      <w:r>
        <w:rPr>
          <w:rFonts w:ascii="宋体" w:hAnsi="宋体" w:eastAsia="宋体" w:cs="宋体"/>
          <w:color w:val="auto"/>
          <w:spacing w:val="-1"/>
          <w:sz w:val="24"/>
          <w:szCs w:val="24"/>
          <w:highlight w:val="none"/>
        </w:rPr>
        <w:t>。承包人自行勘察的施工场地范围为：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09237042">
      <w:pPr>
        <w:spacing w:before="181" w:line="220" w:lineRule="auto"/>
        <w:ind w:left="1"/>
        <w:outlineLvl w:val="1"/>
        <w:rPr>
          <w:rFonts w:ascii="宋体" w:hAnsi="宋体" w:eastAsia="宋体" w:cs="宋体"/>
          <w:color w:val="auto"/>
          <w:sz w:val="24"/>
          <w:szCs w:val="24"/>
          <w:highlight w:val="none"/>
        </w:rPr>
      </w:pPr>
      <w:bookmarkStart w:id="489" w:name="bookmark639"/>
      <w:bookmarkEnd w:id="489"/>
      <w:bookmarkStart w:id="490" w:name="bookmark640"/>
      <w:bookmarkEnd w:id="490"/>
      <w:bookmarkStart w:id="491" w:name="_Toc15360"/>
      <w:bookmarkStart w:id="492" w:name="_Toc5146"/>
      <w:r>
        <w:rPr>
          <w:rFonts w:ascii="Times New Roman" w:hAnsi="Times New Roman" w:eastAsia="Times New Roman" w:cs="Times New Roman"/>
          <w:b/>
          <w:bCs/>
          <w:color w:val="auto"/>
          <w:spacing w:val="-2"/>
          <w:sz w:val="24"/>
          <w:szCs w:val="24"/>
          <w:highlight w:val="none"/>
        </w:rPr>
        <w:t xml:space="preserve">2.8  </w:t>
      </w:r>
      <w:r>
        <w:rPr>
          <w:rFonts w:ascii="宋体" w:hAnsi="宋体" w:eastAsia="宋体" w:cs="宋体"/>
          <w:b/>
          <w:bCs/>
          <w:color w:val="auto"/>
          <w:spacing w:val="-2"/>
          <w:sz w:val="24"/>
          <w:szCs w:val="24"/>
          <w:highlight w:val="none"/>
        </w:rPr>
        <w:t>其他义务</w:t>
      </w:r>
      <w:bookmarkEnd w:id="491"/>
      <w:bookmarkEnd w:id="492"/>
    </w:p>
    <w:p w14:paraId="733C1E62">
      <w:pPr>
        <w:spacing w:before="179" w:line="220" w:lineRule="auto"/>
        <w:ind w:left="49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（根据发包人合同管理的要求补充）</w:t>
      </w:r>
    </w:p>
    <w:p w14:paraId="660AF95B">
      <w:pPr>
        <w:numPr>
          <w:ilvl w:val="0"/>
          <w:numId w:val="0"/>
        </w:numPr>
        <w:spacing w:before="182" w:line="232" w:lineRule="auto"/>
        <w:ind w:left="492" w:leftChars="0"/>
        <w:rPr>
          <w:rFonts w:hint="default" w:ascii="Times New Roman" w:hAnsi="Times New Roman" w:eastAsia="宋体" w:cs="Times New Roman"/>
          <w:color w:val="auto"/>
          <w:sz w:val="24"/>
          <w:szCs w:val="24"/>
          <w:highlight w:val="none"/>
          <w:lang w:val="en-US" w:eastAsia="zh-CN"/>
        </w:rPr>
      </w:pPr>
      <w:r>
        <w:rPr>
          <w:rFonts w:hint="default" w:ascii="Times New Roman" w:hAnsi="Times New Roman" w:eastAsia="宋体" w:cs="Times New Roman"/>
          <w:snapToGrid w:val="0"/>
          <w:color w:val="auto"/>
          <w:kern w:val="0"/>
          <w:sz w:val="24"/>
          <w:szCs w:val="24"/>
          <w:lang w:val="en-US" w:eastAsia="zh-CN" w:bidi="ar-SA"/>
        </w:rPr>
        <w:t>（1）</w:t>
      </w:r>
      <w:r>
        <w:rPr>
          <w:rFonts w:hint="eastAsia" w:ascii="Times New Roman" w:hAnsi="Times New Roman" w:eastAsia="宋体" w:cs="Times New Roman"/>
          <w:color w:val="auto"/>
          <w:spacing w:val="31"/>
          <w:w w:val="108"/>
          <w:sz w:val="24"/>
          <w:szCs w:val="24"/>
          <w:highlight w:val="none"/>
          <w:u w:val="single"/>
          <w:lang w:val="en-US" w:eastAsia="zh-CN"/>
        </w:rPr>
        <w:t xml:space="preserve">  / </w:t>
      </w:r>
      <w:r>
        <w:rPr>
          <w:rFonts w:hint="eastAsia" w:ascii="Times New Roman" w:hAnsi="Times New Roman" w:eastAsia="宋体" w:cs="Times New Roman"/>
          <w:color w:val="auto"/>
          <w:spacing w:val="31"/>
          <w:w w:val="108"/>
          <w:sz w:val="24"/>
          <w:szCs w:val="24"/>
          <w:highlight w:val="none"/>
          <w:u w:val="none"/>
          <w:lang w:val="en-US" w:eastAsia="zh-CN"/>
        </w:rPr>
        <w:t>。</w:t>
      </w:r>
    </w:p>
    <w:p w14:paraId="17653224">
      <w:pPr>
        <w:spacing w:before="292" w:line="223" w:lineRule="auto"/>
        <w:outlineLvl w:val="0"/>
        <w:rPr>
          <w:rFonts w:ascii="宋体" w:hAnsi="宋体" w:eastAsia="宋体" w:cs="宋体"/>
          <w:color w:val="auto"/>
          <w:sz w:val="28"/>
          <w:szCs w:val="28"/>
          <w:highlight w:val="none"/>
        </w:rPr>
      </w:pPr>
      <w:bookmarkStart w:id="493" w:name="bookmark642"/>
      <w:bookmarkEnd w:id="493"/>
      <w:bookmarkStart w:id="494" w:name="bookmark641"/>
      <w:bookmarkEnd w:id="494"/>
      <w:bookmarkStart w:id="495" w:name="bookmark644"/>
      <w:bookmarkEnd w:id="495"/>
      <w:bookmarkStart w:id="496" w:name="_Toc4181"/>
      <w:bookmarkStart w:id="497" w:name="_Toc13402"/>
      <w:r>
        <w:rPr>
          <w:rFonts w:ascii="Times New Roman" w:hAnsi="Times New Roman" w:eastAsia="Times New Roman" w:cs="Times New Roman"/>
          <w:b/>
          <w:bCs/>
          <w:color w:val="auto"/>
          <w:spacing w:val="-5"/>
          <w:sz w:val="28"/>
          <w:szCs w:val="28"/>
          <w:highlight w:val="none"/>
        </w:rPr>
        <w:t>3</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5"/>
          <w:sz w:val="28"/>
          <w:szCs w:val="28"/>
          <w:highlight w:val="none"/>
        </w:rPr>
        <w:t>监理人</w:t>
      </w:r>
      <w:bookmarkEnd w:id="496"/>
      <w:bookmarkEnd w:id="497"/>
    </w:p>
    <w:p w14:paraId="5371FE37">
      <w:pPr>
        <w:pStyle w:val="3"/>
        <w:rPr>
          <w:color w:val="auto"/>
          <w:highlight w:val="none"/>
        </w:rPr>
      </w:pPr>
    </w:p>
    <w:p w14:paraId="51FD3AA2">
      <w:pPr>
        <w:spacing w:before="78" w:line="220" w:lineRule="auto"/>
        <w:outlineLvl w:val="1"/>
        <w:rPr>
          <w:rFonts w:ascii="宋体" w:hAnsi="宋体" w:eastAsia="宋体" w:cs="宋体"/>
          <w:color w:val="auto"/>
          <w:sz w:val="24"/>
          <w:szCs w:val="24"/>
          <w:highlight w:val="none"/>
        </w:rPr>
      </w:pPr>
      <w:bookmarkStart w:id="498" w:name="bookmark643"/>
      <w:bookmarkEnd w:id="498"/>
      <w:bookmarkStart w:id="499" w:name="_Toc26402"/>
      <w:bookmarkStart w:id="500" w:name="_Toc22815"/>
      <w:r>
        <w:rPr>
          <w:rFonts w:ascii="Times New Roman" w:hAnsi="Times New Roman" w:eastAsia="Times New Roman" w:cs="Times New Roman"/>
          <w:b/>
          <w:bCs/>
          <w:color w:val="auto"/>
          <w:spacing w:val="-2"/>
          <w:sz w:val="24"/>
          <w:szCs w:val="24"/>
          <w:highlight w:val="none"/>
        </w:rPr>
        <w:t xml:space="preserve">3.1  </w:t>
      </w:r>
      <w:r>
        <w:rPr>
          <w:rFonts w:ascii="宋体" w:hAnsi="宋体" w:eastAsia="宋体" w:cs="宋体"/>
          <w:b/>
          <w:bCs/>
          <w:color w:val="auto"/>
          <w:spacing w:val="-2"/>
          <w:sz w:val="24"/>
          <w:szCs w:val="24"/>
          <w:highlight w:val="none"/>
        </w:rPr>
        <w:t>监理人的职责和权力</w:t>
      </w:r>
      <w:bookmarkEnd w:id="499"/>
      <w:bookmarkEnd w:id="500"/>
    </w:p>
    <w:p w14:paraId="6F261BD6">
      <w:pPr>
        <w:spacing w:before="181" w:line="289" w:lineRule="auto"/>
        <w:ind w:left="27" w:right="1" w:firstLine="455"/>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3.1.1  </w:t>
      </w:r>
      <w:r>
        <w:rPr>
          <w:rFonts w:ascii="宋体" w:hAnsi="宋体" w:eastAsia="宋体" w:cs="宋体"/>
          <w:color w:val="auto"/>
          <w:spacing w:val="1"/>
          <w:sz w:val="24"/>
          <w:szCs w:val="24"/>
          <w:highlight w:val="none"/>
        </w:rPr>
        <w:t>监理人须根据发包人事先批准的</w:t>
      </w:r>
      <w:r>
        <w:rPr>
          <w:rFonts w:ascii="宋体" w:hAnsi="宋体" w:eastAsia="宋体" w:cs="宋体"/>
          <w:color w:val="auto"/>
          <w:sz w:val="24"/>
          <w:szCs w:val="24"/>
          <w:highlight w:val="none"/>
        </w:rPr>
        <w:t xml:space="preserve">权力范围行使权力，发包人批准的权利范 </w:t>
      </w:r>
      <w:r>
        <w:rPr>
          <w:rFonts w:ascii="宋体" w:hAnsi="宋体" w:eastAsia="宋体" w:cs="宋体"/>
          <w:color w:val="auto"/>
          <w:spacing w:val="-2"/>
          <w:sz w:val="24"/>
          <w:szCs w:val="24"/>
          <w:highlight w:val="none"/>
        </w:rPr>
        <w:t>围</w:t>
      </w:r>
      <w:r>
        <w:rPr>
          <w:rFonts w:ascii="宋体" w:hAnsi="宋体" w:eastAsia="宋体" w:cs="宋体"/>
          <w:color w:val="auto"/>
          <w:spacing w:val="6"/>
          <w:sz w:val="24"/>
          <w:szCs w:val="24"/>
          <w:highlight w:val="none"/>
        </w:rPr>
        <w:t>：（</w:t>
      </w:r>
      <w:r>
        <w:rPr>
          <w:rFonts w:ascii="宋体" w:hAnsi="宋体" w:eastAsia="宋体" w:cs="宋体"/>
          <w:color w:val="auto"/>
          <w:spacing w:val="-2"/>
          <w:sz w:val="24"/>
          <w:szCs w:val="24"/>
          <w:highlight w:val="none"/>
        </w:rPr>
        <w:t>填写监理人须经发包人的批准才能行使的权利，以下示例供参考）</w:t>
      </w:r>
    </w:p>
    <w:p w14:paraId="5A0DE812">
      <w:pPr>
        <w:spacing w:before="181" w:line="289" w:lineRule="auto"/>
        <w:ind w:left="27" w:right="1" w:firstLine="455"/>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1</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lang w:eastAsia="zh-CN"/>
        </w:rPr>
        <w:t>按第4.3条规定，批准工程分包。</w:t>
      </w:r>
    </w:p>
    <w:p w14:paraId="201B9CF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ascii="宋体" w:hAnsi="宋体" w:eastAsia="宋体" w:cs="宋体"/>
          <w:color w:val="auto"/>
          <w:spacing w:val="1"/>
          <w:sz w:val="24"/>
          <w:szCs w:val="24"/>
          <w:highlight w:val="none"/>
          <w:lang w:eastAsia="zh-CN"/>
        </w:rPr>
      </w:pPr>
      <w:r>
        <w:rPr>
          <w:rFonts w:hint="eastAsia" w:ascii="宋体" w:hAnsi="宋体" w:eastAsia="宋体" w:cs="宋体"/>
          <w:b w:val="0"/>
          <w:bCs w:val="0"/>
          <w:snapToGrid/>
          <w:color w:val="auto"/>
          <w:kern w:val="0"/>
          <w:sz w:val="24"/>
          <w:szCs w:val="24"/>
          <w:highlight w:val="none"/>
          <w:lang w:val="en-US" w:eastAsia="zh-CN"/>
        </w:rPr>
        <w:t>（2）按本章第 11.3 款规定，确定延长完工期限。</w:t>
      </w:r>
    </w:p>
    <w:p w14:paraId="47555790">
      <w:pPr>
        <w:spacing w:before="181" w:line="289" w:lineRule="auto"/>
        <w:ind w:left="27" w:right="1" w:firstLine="455"/>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3</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lang w:eastAsia="zh-CN"/>
        </w:rPr>
        <w:t>按第15条规定，当变更引起的合同价格增减时作出变更决定。</w:t>
      </w:r>
    </w:p>
    <w:p w14:paraId="6E268613">
      <w:pPr>
        <w:spacing w:before="181" w:line="289" w:lineRule="auto"/>
        <w:ind w:left="27" w:right="1" w:firstLine="455"/>
        <w:rPr>
          <w:rFonts w:ascii="宋体" w:hAnsi="宋体" w:eastAsia="宋体" w:cs="宋体"/>
          <w:color w:val="auto"/>
          <w:spacing w:val="1"/>
          <w:sz w:val="24"/>
          <w:szCs w:val="24"/>
          <w:highlight w:val="none"/>
          <w:lang w:eastAsia="zh-CN"/>
        </w:rPr>
      </w:pPr>
      <w:r>
        <w:rPr>
          <w:rFonts w:hint="eastAsia" w:ascii="宋体" w:hAnsi="宋体" w:eastAsia="宋体" w:cs="宋体"/>
          <w:color w:val="auto"/>
          <w:spacing w:val="1"/>
          <w:sz w:val="24"/>
          <w:szCs w:val="24"/>
          <w:highlight w:val="none"/>
          <w:lang w:eastAsia="zh-CN"/>
        </w:rPr>
        <w:t>（</w:t>
      </w:r>
      <w:r>
        <w:rPr>
          <w:rFonts w:hint="eastAsia" w:ascii="宋体" w:hAnsi="宋体" w:eastAsia="宋体" w:cs="宋体"/>
          <w:color w:val="auto"/>
          <w:spacing w:val="1"/>
          <w:sz w:val="24"/>
          <w:szCs w:val="24"/>
          <w:highlight w:val="none"/>
          <w:lang w:val="en-US" w:eastAsia="zh-CN"/>
        </w:rPr>
        <w:t>4</w:t>
      </w:r>
      <w:r>
        <w:rPr>
          <w:rFonts w:hint="eastAsia" w:ascii="宋体" w:hAnsi="宋体" w:eastAsia="宋体" w:cs="宋体"/>
          <w:color w:val="auto"/>
          <w:spacing w:val="1"/>
          <w:sz w:val="24"/>
          <w:szCs w:val="24"/>
          <w:highlight w:val="none"/>
          <w:lang w:eastAsia="zh-CN"/>
        </w:rPr>
        <w:t>）</w:t>
      </w:r>
      <w:r>
        <w:rPr>
          <w:rFonts w:ascii="宋体" w:hAnsi="宋体" w:eastAsia="宋体" w:cs="宋体"/>
          <w:color w:val="auto"/>
          <w:spacing w:val="1"/>
          <w:sz w:val="24"/>
          <w:szCs w:val="24"/>
          <w:highlight w:val="none"/>
          <w:lang w:eastAsia="zh-CN"/>
        </w:rPr>
        <w:t>按第15.4条规定，因变更而变动的单价和合价；</w:t>
      </w:r>
    </w:p>
    <w:p w14:paraId="2B40BF8D">
      <w:pPr>
        <w:spacing w:before="181" w:line="289" w:lineRule="auto"/>
        <w:ind w:left="27" w:right="1" w:firstLine="455"/>
        <w:rPr>
          <w:rFonts w:ascii="Times New Roman" w:hAnsi="Times New Roman" w:eastAsia="Times New Roman" w:cs="Times New Roman"/>
          <w:color w:val="auto"/>
          <w:sz w:val="24"/>
          <w:szCs w:val="24"/>
          <w:highlight w:val="none"/>
        </w:rPr>
      </w:pPr>
      <w:r>
        <w:rPr>
          <w:rFonts w:ascii="宋体" w:hAnsi="宋体" w:eastAsia="宋体" w:cs="宋体"/>
          <w:color w:val="auto"/>
          <w:spacing w:val="1"/>
          <w:sz w:val="24"/>
          <w:szCs w:val="24"/>
          <w:highlight w:val="none"/>
          <w:lang w:eastAsia="zh-CN"/>
        </w:rPr>
        <w:t>尽管有以上规定，但当监理人认为出现了危及生命、工程或毗邻财产等安全的紧急事件时，在不免除合同规定的承包人责任的情况下，监理人可以指示承包人实施为消除或减少这种危险所必须进行的工作，即使没有发包人的事先批准，承包人也应立即遵照执行。监理人应按第15条的规定增加相应的费用，并通知承包人。</w:t>
      </w:r>
    </w:p>
    <w:p w14:paraId="5C9FF4E2">
      <w:pPr>
        <w:spacing w:before="290" w:line="220" w:lineRule="auto"/>
        <w:ind w:left="3"/>
        <w:outlineLvl w:val="0"/>
        <w:rPr>
          <w:rFonts w:ascii="宋体" w:hAnsi="宋体" w:eastAsia="宋体" w:cs="宋体"/>
          <w:color w:val="auto"/>
          <w:sz w:val="28"/>
          <w:szCs w:val="28"/>
          <w:highlight w:val="none"/>
        </w:rPr>
      </w:pPr>
      <w:bookmarkStart w:id="501" w:name="bookmark646"/>
      <w:bookmarkEnd w:id="501"/>
      <w:bookmarkStart w:id="502" w:name="bookmark648"/>
      <w:bookmarkEnd w:id="502"/>
      <w:bookmarkStart w:id="503" w:name="bookmark645"/>
      <w:bookmarkEnd w:id="503"/>
      <w:bookmarkStart w:id="504" w:name="_Toc30546"/>
      <w:bookmarkStart w:id="505" w:name="_Toc8676"/>
      <w:r>
        <w:rPr>
          <w:rFonts w:ascii="Times New Roman" w:hAnsi="Times New Roman" w:eastAsia="Times New Roman" w:cs="Times New Roman"/>
          <w:b/>
          <w:bCs/>
          <w:color w:val="auto"/>
          <w:spacing w:val="-6"/>
          <w:sz w:val="28"/>
          <w:szCs w:val="28"/>
          <w:highlight w:val="none"/>
        </w:rPr>
        <w:t>4</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6"/>
          <w:sz w:val="28"/>
          <w:szCs w:val="28"/>
          <w:highlight w:val="none"/>
        </w:rPr>
        <w:t>承包人</w:t>
      </w:r>
      <w:bookmarkEnd w:id="504"/>
      <w:bookmarkEnd w:id="505"/>
    </w:p>
    <w:p w14:paraId="09512598">
      <w:pPr>
        <w:pStyle w:val="3"/>
        <w:spacing w:line="245" w:lineRule="auto"/>
        <w:rPr>
          <w:color w:val="auto"/>
          <w:highlight w:val="none"/>
        </w:rPr>
      </w:pPr>
    </w:p>
    <w:p w14:paraId="625C2BE7">
      <w:pPr>
        <w:spacing w:before="78" w:line="220" w:lineRule="auto"/>
        <w:ind w:left="2"/>
        <w:outlineLvl w:val="1"/>
        <w:rPr>
          <w:rFonts w:ascii="宋体" w:hAnsi="宋体" w:eastAsia="宋体" w:cs="宋体"/>
          <w:color w:val="auto"/>
          <w:sz w:val="24"/>
          <w:szCs w:val="24"/>
          <w:highlight w:val="none"/>
        </w:rPr>
      </w:pPr>
      <w:bookmarkStart w:id="506" w:name="bookmark647"/>
      <w:bookmarkEnd w:id="506"/>
      <w:bookmarkStart w:id="507" w:name="_Toc5425"/>
      <w:bookmarkStart w:id="508" w:name="_Toc3906"/>
      <w:r>
        <w:rPr>
          <w:rFonts w:ascii="Times New Roman" w:hAnsi="Times New Roman" w:eastAsia="Times New Roman" w:cs="Times New Roman"/>
          <w:b/>
          <w:bCs/>
          <w:color w:val="auto"/>
          <w:spacing w:val="-2"/>
          <w:sz w:val="24"/>
          <w:szCs w:val="24"/>
          <w:highlight w:val="none"/>
        </w:rPr>
        <w:t xml:space="preserve">4.1  </w:t>
      </w:r>
      <w:r>
        <w:rPr>
          <w:rFonts w:ascii="宋体" w:hAnsi="宋体" w:eastAsia="宋体" w:cs="宋体"/>
          <w:b/>
          <w:bCs/>
          <w:color w:val="auto"/>
          <w:spacing w:val="-2"/>
          <w:sz w:val="24"/>
          <w:szCs w:val="24"/>
          <w:highlight w:val="none"/>
        </w:rPr>
        <w:t>承包人一般义务</w:t>
      </w:r>
      <w:bookmarkEnd w:id="507"/>
      <w:bookmarkEnd w:id="508"/>
    </w:p>
    <w:p w14:paraId="0915133D">
      <w:pPr>
        <w:keepNext w:val="0"/>
        <w:keepLines w:val="0"/>
        <w:pageBreakBefore w:val="0"/>
        <w:widowControl/>
        <w:kinsoku w:val="0"/>
        <w:wordWrap/>
        <w:overflowPunct/>
        <w:topLinePunct w:val="0"/>
        <w:autoSpaceDE w:val="0"/>
        <w:autoSpaceDN w:val="0"/>
        <w:bidi w:val="0"/>
        <w:adjustRightInd w:val="0"/>
        <w:snapToGrid w:val="0"/>
        <w:spacing w:line="420" w:lineRule="exact"/>
        <w:ind w:left="220"/>
        <w:jc w:val="both"/>
        <w:textAlignment w:val="baseline"/>
        <w:rPr>
          <w:rFonts w:hint="eastAsia" w:ascii="Times New Roman" w:hAnsi="Times New Roman" w:eastAsia="宋体" w:cs="Times New Roman"/>
          <w:color w:val="auto"/>
          <w:spacing w:val="-5"/>
          <w:sz w:val="24"/>
          <w:szCs w:val="24"/>
          <w:highlight w:val="none"/>
          <w:u w:val="single"/>
          <w:lang w:eastAsia="zh-CN"/>
        </w:rPr>
      </w:pPr>
      <w:r>
        <w:rPr>
          <w:rFonts w:ascii="Times New Roman" w:hAnsi="Times New Roman" w:eastAsia="Times New Roman" w:cs="Times New Roman"/>
          <w:b/>
          <w:bCs/>
          <w:color w:val="auto"/>
          <w:spacing w:val="-1"/>
          <w:sz w:val="24"/>
          <w:szCs w:val="24"/>
          <w:highlight w:val="none"/>
        </w:rPr>
        <w:t xml:space="preserve">4.1.11  </w:t>
      </w:r>
      <w:r>
        <w:rPr>
          <w:rFonts w:ascii="宋体" w:hAnsi="宋体" w:eastAsia="宋体" w:cs="宋体"/>
          <w:color w:val="auto"/>
          <w:spacing w:val="-1"/>
          <w:sz w:val="24"/>
          <w:szCs w:val="24"/>
          <w:highlight w:val="none"/>
        </w:rPr>
        <w:t>其他义务</w:t>
      </w:r>
      <w:r>
        <w:rPr>
          <w:rFonts w:hint="eastAsia" w:ascii="宋体" w:hAnsi="宋体" w:eastAsia="宋体" w:cs="宋体"/>
          <w:color w:val="auto"/>
          <w:spacing w:val="4"/>
          <w:sz w:val="24"/>
          <w:szCs w:val="24"/>
          <w:highlight w:val="none"/>
          <w:lang w:eastAsia="zh-CN"/>
        </w:rPr>
        <w:t>：</w:t>
      </w:r>
    </w:p>
    <w:p w14:paraId="66FE781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承包人因项目建设所需红线范围外和发包人提供的临时用地之外的临时用地（包括但不限于混凝土生产系统、砂石料堆场、钢筋加工场、淤泥输送管铺设等），均由承包人自行落实解决、承担相关费用和办理相关手续，由此引起的一切纠纷、事故和赔偿责任，均由承包人承担，包括在相应项目的报价中（发包人不另行列项支付），发包人提供相应的协调，但发包人的协调并不减轻或免除承包人的义务。临时占地退还前，承包人应自费恢复到临时占地使用前（或占地使用协议规定）的状况。如因承包人撤离后未按要求对临时占地进行恢复或虽进行了恢复但未达到使用标准的，将由发包人委托第三方对其恢复，所发生的费用将从应付给承包人的任何款项内扣除。</w:t>
      </w:r>
    </w:p>
    <w:p w14:paraId="0DA3C2A6">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（2）承担施工安全保卫工作及施工照明的责任和要求：根据工程需要，提供和维修施工使用的照明、围栏设施，并负责安全保卫。</w:t>
      </w:r>
    </w:p>
    <w:p w14:paraId="1A0485E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3）需承包人办理的有关施工场地交通、环卫和施工噪音管理等手续：遵守政府有关主管部门对施工场地交通、施工噪音以及环境保护和安全生产等的管理规定，办理相关手续、并以书面形式通知发包人；施工过程中由承包人负责处理自身原因涉及市政、环保、卫生、交通、污水处理和自身原因引起的一切纠纷、事故赔偿责任和社会治安等关系。其中施工期间生产的泥浆等废排水、余水，承包人应根据施工组织设计并结合现场情况考虑制定处理措施方案，须满足当地环保等有关部门的要求。 </w:t>
      </w:r>
    </w:p>
    <w:p w14:paraId="78BC974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（4）承包人进驻施工现场后 3 天内应根据本条款要求制定工地规则并报监理人审查批准，告示全体工作人员在工程实施过程中切实遵守。</w:t>
      </w:r>
    </w:p>
    <w:p w14:paraId="68F7E71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工地规则应包括但不限于下列内容：</w:t>
      </w:r>
    </w:p>
    <w:p w14:paraId="42DAA8A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a 安全保卫制度；</w:t>
      </w:r>
    </w:p>
    <w:p w14:paraId="606C9BF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b 施工安全制度；</w:t>
      </w:r>
    </w:p>
    <w:p w14:paraId="76687F2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c 工地出入管理制度；</w:t>
      </w:r>
    </w:p>
    <w:p w14:paraId="52B28A7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d 环境卫生制度；</w:t>
      </w:r>
    </w:p>
    <w:p w14:paraId="3C2BE71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e 防火、防爆制度；</w:t>
      </w:r>
    </w:p>
    <w:p w14:paraId="05BC247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f 周围及邻近环境保护规则；</w:t>
      </w:r>
    </w:p>
    <w:p w14:paraId="095D9C1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g 农民工管理制度（含维护农民工权益制度）；</w:t>
      </w:r>
    </w:p>
    <w:p w14:paraId="394A2BB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h 社会治安、计划生育管理制度。承包人应实施严格的各类安全防护措施，切实做好安民措施，设置必要的施工警戒标志，线杆保护措施，制定各项安全保证措施，做好施工照明、看守和警卫工作，有毒气体防护措施和电源电线安全保护措施，并对工程施工现场的安全负责，接受发包人和监理单位的现场代表对安全措施的监督。如果由于承包人未能对其负责的上述事项采取各种必要的措施而导致或发生与此有关的人身伤亡、罚款、索赔、损失补偿、诉讼费用及其他一切责任应由承包人负责。</w:t>
      </w:r>
    </w:p>
    <w:p w14:paraId="78300F4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（5）承包人按时向发包人（或监理人）提交开、完、竣工报告、隐蔽工程验收报告、质量自检记录、完工验收报告及工程事故报告等资料。</w:t>
      </w:r>
    </w:p>
    <w:p w14:paraId="28E09DB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6）承包人如采用水上施工，按港航等部门要求取得相关的施工许可及到港船舶检验等有关证件所需的费用应进入报价，发包人不另行列项支付，并负责办理应由承包人办理的施工所需各种证件、批件和其他审批手续。</w:t>
      </w:r>
    </w:p>
    <w:p w14:paraId="28FFE6E9">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（7）承包人应采取一切措施，防止机械、设备及材料的沉没。若发生沉没，应立即向有关部门报告，并及时通知发包人、监理人。承包人应采取得当措施，及时设置浮标或障碍指示灯，直至打捞工作完成为止。</w:t>
      </w:r>
    </w:p>
    <w:p w14:paraId="35D47C7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（8）承包人应充分考虑到施工现场所有的设备、临时建筑等防火安全，配备足够的防火灭火设备。</w:t>
      </w:r>
    </w:p>
    <w:p w14:paraId="2CC23E41">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9）承包人应妥善处理好与工程其他承包人的配合关系，因施工交叉干扰等问题影响到工程质量、施工进度时，承包人应与相关标段的承包人友好协商、自行解决。自行协商无法解决时，承包人应无条件服从发包人、全过程咨询人及监理人的协调。</w:t>
      </w:r>
    </w:p>
    <w:p w14:paraId="3293433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10）完工工程成品保护的特殊要求及费用承担：已完工工程未交付发包人之前，由承包人负责已完工程的保护工作，保护期间发生损坏，承包人自费予以修复。需要采取特殊保护措施的工程部位，承包人应制定特殊保护措施，报发包人（或监理人）同意后实施。</w:t>
      </w:r>
    </w:p>
    <w:p w14:paraId="1B38826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（11）施工现场清洁卫生的要求：保证施工场地清洁符合环境卫生管理的有关规定，完工验收通过后 30 天内工完场清，并承担因自身原因违反有关规定造成的损失和罚款。</w:t>
      </w:r>
    </w:p>
    <w:p w14:paraId="12CAB5B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（12）承包人应充分考虑施工过程因限制水位、雨水导致河道水位高于设计常水位的情况，在施工中应充分考虑风险并采取有效措施，由此产生的措施费用增加等后果，责任均由承包人承担。</w:t>
      </w:r>
    </w:p>
    <w:p w14:paraId="5B4212A6">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13）文明施工按当地政府有关部门颁发的文明施工要求及招标文件中技术条款执行。施工区域范围内搞好市容环境卫生，并接受有关主管部门和发包人、监理人的检查；环境保护按招标文件及有关部门的要求执行。因承包人原因造成工程损失或人身伤害，由承包人承担全部责任及费用。</w:t>
      </w:r>
    </w:p>
    <w:p w14:paraId="6909388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14）必须接受发包人、全过程咨询人的管理或其委托的监理单位的监理，并为其开展工作和生活提供方便，按照要求提供完整真实的原始记录、检测记录等技术资料及各种报表。承包人应执行发包人对工程管理所制定的各项管理制度。</w:t>
      </w:r>
    </w:p>
    <w:p w14:paraId="0FE5AFA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15）发生工程质量事故或工伤事故后，必须迅速有效地实施先期处置，防止事故进一步扩大，并须按水行政主管、绍兴市有关规定及时电话联系发包人或全过程咨询人或监理，按规定上报事故书面报告一式二份，同时按政府有关部门要求采取措施，发生的费用由承包人承担。</w:t>
      </w:r>
    </w:p>
    <w:p w14:paraId="58F07E59">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（16）参加发包人召开的与本工程相关的会议，并做好会前有关资料的准备。在保修期内要及时做好回访工作，属保修责任范围的事项应及时按相关标准维修。</w:t>
      </w:r>
    </w:p>
    <w:p w14:paraId="4744B0C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（17）遵守发包人制订的安全生产相关管理规定。</w:t>
      </w:r>
    </w:p>
    <w:p w14:paraId="27E9D21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（18）保障农民工工资支付</w:t>
      </w:r>
    </w:p>
    <w:p w14:paraId="5C244419">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工程款支付实行人工费和其他工程款两条线拨付机制。施工合同中按浙建[2020]7号文规定，明确人工费用拨付周期和拨付比例为15%；承包人中标后需在绍兴市区范围内的任一家银行建立项目农民工工资专用账户和建设工程资金监管协议，发包人将向承包人自开工后下一个月起按约定金额打入项目农民工工资专用账户用于支付农民工工资，此账户的款项只能用于支付农民工工资，不得挪作他用，否则发包人有权责令其改正并对其扣以违约金，且发包人有权在工程款中直接扣除。</w:t>
      </w:r>
    </w:p>
    <w:p w14:paraId="32EA1C8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本项目实行农民工用工实名制管理和农民工工资专用账户管理制度，承包人按规定缴纳农民工工资保证金，并开设农民工工资专用账户，专项用于支付该工程建设项目农民工工资。本项目的所有民工工资均由该项目农民工工资专用账户拨付，委托专户开设银行将农民工工资直接划入农民工办理的实名制工资卡中。</w:t>
      </w:r>
    </w:p>
    <w:p w14:paraId="17A40AE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3）承包人应按规定严格落实农民工工资保障的各项制度，确保该项目所有农民工工资按月足额支付。如果承包人或其分包人未按月足额支付农民工工资导致发包人承担连带责任垫付人工工资，则发包人有权在下一期支付给承包人的款项中扣除相应的金额，直接支付给农民工个人，并保留向承包人索偿的权利。</w:t>
      </w:r>
    </w:p>
    <w:p w14:paraId="3913A2B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19）承包人在使用地方道路过程中，必须采取一切措施确保车辆正常通行，做到施工、通车两不误。承包人应针对通车路段的施工特点，提出通车路段的施工维护方案，满足交通主管部门的要求，报监理人批准，并认真组织实施。由于承包人措施不力，导致阻车和事故频发或损坏地方道路，影响交通安全和正常运行，并造成重大影响，引起索赔，赔偿、诉讼费用及工程拖延或施工费用增加时，应由承包人承担一切责任和费用。</w:t>
      </w:r>
    </w:p>
    <w:p w14:paraId="6E9A736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20）本工程实施前承包人应对沿线范围内的地下管线、道路和周围建筑物、构筑物进行周密的勘察，并在施工前采取必要的加固措施，在施工过程中采取措施对变形进行控制，发现损坏应及时抢修，施工结束后进行必要的维修，维修结果必须经相关管理部门认可，确保沿线在影响范围内的地下管线、道路和周围建筑物、构筑物的正常使用，并承担有关费用。</w:t>
      </w:r>
    </w:p>
    <w:p w14:paraId="602DDB99">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（21）本工程施工过程中应做好沿线的堤防、建筑等的位移、沉降观测记录，定期整理，若有异常情况及时报告监理人、设计人及发包人。</w:t>
      </w:r>
    </w:p>
    <w:p w14:paraId="64B6946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（22）堆积场（包括但不限于临时土方堆积场、物料场等）必须按规范及设计要求，实行全封闭并设置警戒标识，并在出路口设置路障，防止非工程人员进入，加强日常巡逻，制定应急预案。</w:t>
      </w:r>
    </w:p>
    <w:p w14:paraId="04661D1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（23）承包人不按合同约定完成以上工作，发包人有权限令其停止施工并进行整改，由此引起的损失由承包人承担。</w:t>
      </w:r>
    </w:p>
    <w:p w14:paraId="1F8B6B9A">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default"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（24）承包人提交的竣工资料均按发包人及市档案馆的要求执行。</w:t>
      </w:r>
    </w:p>
    <w:p w14:paraId="45F86228">
      <w:pPr>
        <w:keepNext w:val="0"/>
        <w:keepLines w:val="0"/>
        <w:pageBreakBefore w:val="0"/>
        <w:widowControl/>
        <w:numPr>
          <w:ilvl w:val="0"/>
          <w:numId w:val="0"/>
        </w:numPr>
        <w:kinsoku w:val="0"/>
        <w:wordWrap/>
        <w:overflowPunct/>
        <w:topLinePunct w:val="0"/>
        <w:autoSpaceDE w:val="0"/>
        <w:autoSpaceDN w:val="0"/>
        <w:bidi w:val="0"/>
        <w:adjustRightInd w:val="0"/>
        <w:snapToGrid w:val="0"/>
        <w:spacing w:line="420" w:lineRule="exact"/>
        <w:ind w:left="0" w:leftChars="0" w:firstLine="220" w:firstLineChars="0"/>
        <w:jc w:val="both"/>
        <w:textAlignment w:val="baseline"/>
        <w:rPr>
          <w:rFonts w:ascii="Times New Roman" w:hAnsi="Times New Roman" w:eastAsia="宋体" w:cs="Times New Roman"/>
          <w:color w:val="auto"/>
          <w:spacing w:val="-5"/>
          <w:sz w:val="24"/>
          <w:szCs w:val="24"/>
          <w:highlight w:val="none"/>
          <w:u w:val="single"/>
          <w:lang w:eastAsia="zh-CN"/>
        </w:rPr>
      </w:pPr>
      <w:r>
        <w:rPr>
          <w:rFonts w:hint="eastAsia" w:ascii="宋体" w:hAnsi="宋体" w:eastAsia="宋体" w:cs="宋体"/>
          <w:b w:val="0"/>
          <w:bCs w:val="0"/>
          <w:snapToGrid/>
          <w:color w:val="auto"/>
          <w:kern w:val="0"/>
          <w:sz w:val="24"/>
          <w:szCs w:val="24"/>
          <w:highlight w:val="none"/>
          <w:lang w:val="en-US" w:eastAsia="zh-CN"/>
        </w:rPr>
        <w:t>（25）上述（1）至（23）各条款涉及的各类费用均应列入措施费内，发包人不再向承包人另行支付。如因此类原因导致工期延误，工期不予顺延，并由承包人承担相应的责任及费用。</w:t>
      </w:r>
    </w:p>
    <w:p w14:paraId="167C67BA">
      <w:pPr>
        <w:spacing w:before="165" w:line="220" w:lineRule="auto"/>
        <w:ind w:left="2"/>
        <w:outlineLvl w:val="1"/>
        <w:rPr>
          <w:rFonts w:ascii="宋体" w:hAnsi="宋体" w:eastAsia="宋体" w:cs="宋体"/>
          <w:color w:val="auto"/>
          <w:sz w:val="24"/>
          <w:szCs w:val="24"/>
          <w:highlight w:val="none"/>
        </w:rPr>
      </w:pPr>
      <w:bookmarkStart w:id="509" w:name="bookmark649"/>
      <w:bookmarkEnd w:id="509"/>
      <w:bookmarkStart w:id="510" w:name="bookmark650"/>
      <w:bookmarkEnd w:id="510"/>
      <w:bookmarkStart w:id="511" w:name="_Toc27551"/>
      <w:bookmarkStart w:id="512" w:name="_Toc26984"/>
      <w:r>
        <w:rPr>
          <w:rFonts w:ascii="Times New Roman" w:hAnsi="Times New Roman" w:eastAsia="Times New Roman" w:cs="Times New Roman"/>
          <w:b/>
          <w:bCs/>
          <w:color w:val="auto"/>
          <w:spacing w:val="-4"/>
          <w:sz w:val="24"/>
          <w:szCs w:val="24"/>
          <w:highlight w:val="none"/>
        </w:rPr>
        <w:t>4.3</w:t>
      </w:r>
      <w:r>
        <w:rPr>
          <w:rFonts w:ascii="Times New Roman" w:hAnsi="Times New Roman" w:eastAsia="Times New Roman" w:cs="Times New Roman"/>
          <w:b/>
          <w:bCs/>
          <w:color w:val="auto"/>
          <w:spacing w:val="7"/>
          <w:sz w:val="24"/>
          <w:szCs w:val="24"/>
          <w:highlight w:val="none"/>
        </w:rPr>
        <w:t xml:space="preserve">  </w:t>
      </w:r>
      <w:r>
        <w:rPr>
          <w:rFonts w:ascii="宋体" w:hAnsi="宋体" w:eastAsia="宋体" w:cs="宋体"/>
          <w:b/>
          <w:bCs/>
          <w:color w:val="auto"/>
          <w:spacing w:val="-4"/>
          <w:sz w:val="24"/>
          <w:szCs w:val="24"/>
          <w:highlight w:val="none"/>
        </w:rPr>
        <w:t>分包</w:t>
      </w:r>
      <w:bookmarkEnd w:id="511"/>
      <w:bookmarkEnd w:id="512"/>
    </w:p>
    <w:p w14:paraId="4D35B00A">
      <w:pPr>
        <w:spacing w:before="180" w:line="219" w:lineRule="auto"/>
        <w:ind w:left="484"/>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4.3.2  </w:t>
      </w:r>
      <w:r>
        <w:rPr>
          <w:rFonts w:hint="eastAsia" w:ascii="宋体" w:hAnsi="宋体" w:eastAsia="宋体" w:cs="宋体"/>
          <w:b w:val="0"/>
          <w:bCs w:val="0"/>
          <w:snapToGrid/>
          <w:color w:val="auto"/>
          <w:kern w:val="0"/>
          <w:sz w:val="24"/>
          <w:szCs w:val="24"/>
          <w:highlight w:val="none"/>
          <w:lang w:val="en-US" w:eastAsia="zh-CN"/>
        </w:rPr>
        <w:t>本工程不允许分包。</w:t>
      </w:r>
    </w:p>
    <w:p w14:paraId="1F5F8422">
      <w:pPr>
        <w:spacing w:before="165" w:line="360" w:lineRule="auto"/>
        <w:ind w:left="2"/>
        <w:outlineLvl w:val="1"/>
        <w:rPr>
          <w:rFonts w:ascii="宋体" w:hAnsi="宋体" w:eastAsia="宋体" w:cs="宋体"/>
          <w:b/>
          <w:bCs/>
          <w:color w:val="auto"/>
          <w:spacing w:val="-4"/>
          <w:sz w:val="24"/>
          <w:szCs w:val="24"/>
          <w:highlight w:val="none"/>
        </w:rPr>
      </w:pPr>
      <w:bookmarkStart w:id="513" w:name="bookmark652"/>
      <w:bookmarkEnd w:id="513"/>
      <w:bookmarkStart w:id="514" w:name="bookmark651"/>
      <w:bookmarkEnd w:id="514"/>
      <w:bookmarkStart w:id="515" w:name="_Toc17061"/>
      <w:bookmarkStart w:id="516" w:name="_Toc19432"/>
      <w:r>
        <w:rPr>
          <w:rFonts w:ascii="宋体" w:hAnsi="宋体" w:eastAsia="宋体" w:cs="宋体"/>
          <w:b/>
          <w:bCs/>
          <w:color w:val="auto"/>
          <w:spacing w:val="-4"/>
          <w:sz w:val="24"/>
          <w:szCs w:val="24"/>
          <w:highlight w:val="none"/>
        </w:rPr>
        <w:t>4.5  项目负责人、副项目负责人（若有）</w:t>
      </w:r>
      <w:bookmarkEnd w:id="515"/>
      <w:bookmarkEnd w:id="516"/>
    </w:p>
    <w:p w14:paraId="124CC7DD">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本款4.5.5项补充：</w:t>
      </w:r>
    </w:p>
    <w:p w14:paraId="3BCE81F0">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项目负责人</w:t>
      </w:r>
      <w:bookmarkStart w:id="517" w:name="bookmark78"/>
      <w:bookmarkEnd w:id="517"/>
      <w:bookmarkStart w:id="518" w:name="bookmark80"/>
      <w:bookmarkEnd w:id="518"/>
      <w:r>
        <w:rPr>
          <w:rFonts w:hint="eastAsia" w:ascii="宋体" w:hAnsi="宋体" w:eastAsia="宋体" w:cs="宋体"/>
          <w:b w:val="0"/>
          <w:bCs w:val="0"/>
          <w:snapToGrid/>
          <w:color w:val="auto"/>
          <w:kern w:val="0"/>
          <w:sz w:val="24"/>
          <w:szCs w:val="24"/>
          <w:highlight w:val="none"/>
          <w:lang w:val="en-US" w:eastAsia="zh-CN"/>
        </w:rPr>
        <w:t>每月驻工地的天数不少于</w:t>
      </w:r>
      <w:r>
        <w:rPr>
          <w:rFonts w:hint="eastAsia" w:ascii="宋体" w:hAnsi="宋体" w:eastAsia="宋体" w:cs="宋体"/>
          <w:b w:val="0"/>
          <w:bCs w:val="0"/>
          <w:snapToGrid/>
          <w:color w:val="auto"/>
          <w:kern w:val="0"/>
          <w:sz w:val="24"/>
          <w:szCs w:val="24"/>
          <w:highlight w:val="none"/>
          <w:u w:val="single"/>
          <w:lang w:val="en-US" w:eastAsia="zh-CN"/>
        </w:rPr>
        <w:t>22</w:t>
      </w:r>
      <w:r>
        <w:rPr>
          <w:rFonts w:hint="eastAsia" w:ascii="宋体" w:hAnsi="宋体" w:eastAsia="宋体" w:cs="宋体"/>
          <w:b w:val="0"/>
          <w:bCs w:val="0"/>
          <w:snapToGrid/>
          <w:color w:val="auto"/>
          <w:kern w:val="0"/>
          <w:sz w:val="24"/>
          <w:szCs w:val="24"/>
          <w:highlight w:val="none"/>
          <w:lang w:val="en-US" w:eastAsia="zh-CN"/>
        </w:rPr>
        <w:t>天（遇法定节假日可扣减），每少一天支付违约金</w:t>
      </w:r>
      <w:r>
        <w:rPr>
          <w:rFonts w:hint="eastAsia" w:ascii="宋体" w:hAnsi="宋体" w:eastAsia="宋体" w:cs="宋体"/>
          <w:b w:val="0"/>
          <w:bCs w:val="0"/>
          <w:snapToGrid/>
          <w:color w:val="auto"/>
          <w:kern w:val="0"/>
          <w:sz w:val="24"/>
          <w:szCs w:val="24"/>
          <w:highlight w:val="none"/>
          <w:u w:val="single"/>
          <w:lang w:val="en-US" w:eastAsia="zh-CN"/>
        </w:rPr>
        <w:t xml:space="preserve"> 500 </w:t>
      </w:r>
      <w:r>
        <w:rPr>
          <w:rFonts w:hint="eastAsia" w:ascii="宋体" w:hAnsi="宋体" w:eastAsia="宋体" w:cs="宋体"/>
          <w:b w:val="0"/>
          <w:bCs w:val="0"/>
          <w:snapToGrid/>
          <w:color w:val="auto"/>
          <w:kern w:val="0"/>
          <w:sz w:val="24"/>
          <w:szCs w:val="24"/>
          <w:highlight w:val="none"/>
          <w:lang w:val="en-US" w:eastAsia="zh-CN"/>
        </w:rPr>
        <w:t>元，但扣款最终的累计总金额不应超过</w:t>
      </w:r>
      <w:r>
        <w:rPr>
          <w:rFonts w:hint="eastAsia" w:ascii="宋体" w:hAnsi="宋体" w:eastAsia="宋体" w:cs="宋体"/>
          <w:b w:val="0"/>
          <w:bCs w:val="0"/>
          <w:snapToGrid/>
          <w:color w:val="auto"/>
          <w:kern w:val="0"/>
          <w:sz w:val="24"/>
          <w:szCs w:val="24"/>
          <w:highlight w:val="none"/>
          <w:u w:val="single"/>
          <w:lang w:val="en-US" w:eastAsia="zh-CN"/>
        </w:rPr>
        <w:t xml:space="preserve"> 5 </w:t>
      </w:r>
      <w:r>
        <w:rPr>
          <w:rFonts w:hint="eastAsia" w:ascii="宋体" w:hAnsi="宋体" w:eastAsia="宋体" w:cs="宋体"/>
          <w:b w:val="0"/>
          <w:bCs w:val="0"/>
          <w:snapToGrid/>
          <w:color w:val="auto"/>
          <w:kern w:val="0"/>
          <w:sz w:val="24"/>
          <w:szCs w:val="24"/>
          <w:highlight w:val="none"/>
          <w:lang w:val="en-US" w:eastAsia="zh-CN"/>
        </w:rPr>
        <w:t>万元。</w:t>
      </w:r>
    </w:p>
    <w:p w14:paraId="49FB5CA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本章4.5.6款补充：</w:t>
      </w:r>
    </w:p>
    <w:p w14:paraId="138A826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项目负责人未经批准，擅自离开施工现场的违约责任：</w:t>
      </w:r>
      <w:r>
        <w:rPr>
          <w:rFonts w:hint="eastAsia" w:ascii="宋体" w:hAnsi="宋体" w:eastAsia="宋体" w:cs="宋体"/>
          <w:b w:val="0"/>
          <w:bCs w:val="0"/>
          <w:snapToGrid/>
          <w:color w:val="auto"/>
          <w:kern w:val="0"/>
          <w:sz w:val="24"/>
          <w:szCs w:val="24"/>
          <w:highlight w:val="none"/>
          <w:u w:val="single"/>
          <w:lang w:val="en-US" w:eastAsia="zh-CN"/>
        </w:rPr>
        <w:t>按当期工程款中扣除500元/天•次违约金。</w:t>
      </w:r>
    </w:p>
    <w:p w14:paraId="51065B09">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b w:val="0"/>
          <w:bCs w:val="0"/>
          <w:snapToGrid/>
          <w:color w:val="auto"/>
          <w:kern w:val="0"/>
          <w:sz w:val="24"/>
          <w:szCs w:val="24"/>
          <w:highlight w:val="none"/>
          <w:lang w:val="en-US" w:eastAsia="zh-CN"/>
        </w:rPr>
        <w:t>上述违约金在当月工程进度款中直接扣除，在工地工作天数按监理人实际考勤记录为准</w:t>
      </w:r>
      <w:r>
        <w:rPr>
          <w:rFonts w:hint="eastAsia" w:ascii="宋体" w:hAnsi="宋体" w:eastAsia="宋体" w:cs="宋体"/>
          <w:snapToGrid/>
          <w:color w:val="auto"/>
          <w:sz w:val="24"/>
          <w:szCs w:val="24"/>
          <w:highlight w:val="none"/>
          <w:lang w:eastAsia="zh-CN"/>
        </w:rPr>
        <w:t>。</w:t>
      </w:r>
    </w:p>
    <w:p w14:paraId="69DBCF47">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b w:val="0"/>
          <w:bCs w:val="0"/>
          <w:snapToGrid/>
          <w:color w:val="auto"/>
          <w:kern w:val="0"/>
          <w:sz w:val="24"/>
          <w:szCs w:val="24"/>
          <w:highlight w:val="none"/>
          <w:lang w:val="en-US" w:eastAsia="zh-CN"/>
        </w:rPr>
        <w:t>承包人的项目负责人连续</w:t>
      </w:r>
      <w:r>
        <w:rPr>
          <w:rFonts w:hint="eastAsia" w:ascii="宋体" w:hAnsi="宋体" w:eastAsia="宋体" w:cs="宋体"/>
          <w:b w:val="0"/>
          <w:bCs w:val="0"/>
          <w:snapToGrid/>
          <w:color w:val="auto"/>
          <w:kern w:val="0"/>
          <w:sz w:val="24"/>
          <w:szCs w:val="24"/>
          <w:highlight w:val="none"/>
          <w:u w:val="single"/>
          <w:lang w:val="en-US" w:eastAsia="zh-CN"/>
        </w:rPr>
        <w:t xml:space="preserve"> 3 </w:t>
      </w:r>
      <w:r>
        <w:rPr>
          <w:rFonts w:hint="eastAsia" w:ascii="宋体" w:hAnsi="宋体" w:eastAsia="宋体" w:cs="宋体"/>
          <w:b w:val="0"/>
          <w:bCs w:val="0"/>
          <w:snapToGrid/>
          <w:color w:val="auto"/>
          <w:kern w:val="0"/>
          <w:sz w:val="24"/>
          <w:szCs w:val="24"/>
          <w:highlight w:val="none"/>
          <w:lang w:val="en-US" w:eastAsia="zh-CN"/>
        </w:rPr>
        <w:t>个月及以上或累计</w:t>
      </w:r>
      <w:r>
        <w:rPr>
          <w:rFonts w:hint="eastAsia" w:ascii="宋体" w:hAnsi="宋体" w:eastAsia="宋体" w:cs="宋体"/>
          <w:b w:val="0"/>
          <w:bCs w:val="0"/>
          <w:snapToGrid/>
          <w:color w:val="auto"/>
          <w:kern w:val="0"/>
          <w:sz w:val="24"/>
          <w:szCs w:val="24"/>
          <w:highlight w:val="none"/>
          <w:u w:val="single"/>
          <w:lang w:val="en-US" w:eastAsia="zh-CN"/>
        </w:rPr>
        <w:t xml:space="preserve"> 6 </w:t>
      </w:r>
      <w:r>
        <w:rPr>
          <w:rFonts w:hint="eastAsia" w:ascii="宋体" w:hAnsi="宋体" w:eastAsia="宋体" w:cs="宋体"/>
          <w:b w:val="0"/>
          <w:bCs w:val="0"/>
          <w:snapToGrid/>
          <w:color w:val="auto"/>
          <w:kern w:val="0"/>
          <w:sz w:val="24"/>
          <w:szCs w:val="24"/>
          <w:highlight w:val="none"/>
          <w:lang w:val="en-US" w:eastAsia="zh-CN"/>
        </w:rPr>
        <w:t>个月及以上每月驻工地的天数少于</w:t>
      </w:r>
      <w:r>
        <w:rPr>
          <w:rFonts w:hint="eastAsia" w:ascii="宋体" w:hAnsi="宋体" w:eastAsia="宋体" w:cs="宋体"/>
          <w:b w:val="0"/>
          <w:bCs w:val="0"/>
          <w:snapToGrid/>
          <w:color w:val="auto"/>
          <w:kern w:val="0"/>
          <w:sz w:val="24"/>
          <w:szCs w:val="24"/>
          <w:highlight w:val="none"/>
          <w:u w:val="single"/>
          <w:lang w:val="en-US" w:eastAsia="zh-CN"/>
        </w:rPr>
        <w:t xml:space="preserve"> 15 </w:t>
      </w:r>
      <w:r>
        <w:rPr>
          <w:rFonts w:hint="eastAsia" w:ascii="宋体" w:hAnsi="宋体" w:eastAsia="宋体" w:cs="宋体"/>
          <w:b w:val="0"/>
          <w:bCs w:val="0"/>
          <w:snapToGrid/>
          <w:color w:val="auto"/>
          <w:kern w:val="0"/>
          <w:sz w:val="24"/>
          <w:szCs w:val="24"/>
          <w:highlight w:val="none"/>
          <w:lang w:val="en-US" w:eastAsia="zh-CN"/>
        </w:rPr>
        <w:t>天，发包人有权解除合同</w:t>
      </w:r>
      <w:r>
        <w:rPr>
          <w:rFonts w:hint="eastAsia" w:ascii="宋体" w:hAnsi="宋体" w:eastAsia="宋体" w:cs="宋体"/>
          <w:snapToGrid/>
          <w:color w:val="auto"/>
          <w:sz w:val="24"/>
          <w:szCs w:val="24"/>
          <w:highlight w:val="none"/>
          <w:lang w:eastAsia="zh-CN"/>
        </w:rPr>
        <w:t>。</w:t>
      </w:r>
    </w:p>
    <w:p w14:paraId="6208DE61">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楷体" w:hAnsi="楷体" w:eastAsia="楷体" w:cs="楷体"/>
          <w:b/>
          <w:bCs/>
          <w:snapToGrid/>
          <w:color w:val="auto"/>
          <w:kern w:val="0"/>
          <w:sz w:val="24"/>
          <w:szCs w:val="24"/>
          <w:highlight w:val="none"/>
          <w:lang w:val="en-US" w:eastAsia="zh-CN"/>
        </w:rPr>
      </w:pPr>
      <w:bookmarkStart w:id="519" w:name="bookmark654"/>
      <w:bookmarkEnd w:id="519"/>
      <w:bookmarkStart w:id="520" w:name="bookmark653"/>
      <w:bookmarkEnd w:id="520"/>
      <w:r>
        <w:rPr>
          <w:rFonts w:hint="eastAsia" w:ascii="楷体" w:hAnsi="楷体" w:eastAsia="楷体" w:cs="楷体"/>
          <w:b/>
          <w:bCs/>
          <w:snapToGrid/>
          <w:color w:val="auto"/>
          <w:kern w:val="0"/>
          <w:sz w:val="24"/>
          <w:szCs w:val="24"/>
          <w:highlight w:val="none"/>
          <w:lang w:val="en-US" w:eastAsia="zh-CN"/>
        </w:rPr>
        <w:t>4.6  承包人人员的管理</w:t>
      </w:r>
    </w:p>
    <w:p w14:paraId="0929C44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本章4.6.3款补充：</w:t>
      </w:r>
    </w:p>
    <w:p w14:paraId="41139C7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项目技术负责人每月驻工地时间不得少于</w:t>
      </w:r>
      <w:r>
        <w:rPr>
          <w:rFonts w:hint="eastAsia" w:ascii="宋体" w:hAnsi="宋体" w:eastAsia="宋体" w:cs="宋体"/>
          <w:b w:val="0"/>
          <w:bCs w:val="0"/>
          <w:snapToGrid/>
          <w:color w:val="auto"/>
          <w:kern w:val="0"/>
          <w:sz w:val="24"/>
          <w:szCs w:val="24"/>
          <w:highlight w:val="none"/>
          <w:u w:val="single"/>
          <w:lang w:val="en-US" w:eastAsia="zh-CN"/>
        </w:rPr>
        <w:t xml:space="preserve"> 22 </w:t>
      </w:r>
      <w:r>
        <w:rPr>
          <w:rFonts w:hint="eastAsia" w:ascii="宋体" w:hAnsi="宋体" w:eastAsia="宋体" w:cs="宋体"/>
          <w:b w:val="0"/>
          <w:bCs w:val="0"/>
          <w:snapToGrid/>
          <w:color w:val="auto"/>
          <w:kern w:val="0"/>
          <w:sz w:val="24"/>
          <w:szCs w:val="24"/>
          <w:highlight w:val="none"/>
          <w:lang w:val="en-US" w:eastAsia="zh-CN"/>
        </w:rPr>
        <w:t>天（遇法定节假日可扣减），每少一天支付违约金</w:t>
      </w:r>
      <w:r>
        <w:rPr>
          <w:rFonts w:hint="eastAsia" w:ascii="宋体" w:hAnsi="宋体" w:eastAsia="宋体" w:cs="宋体"/>
          <w:b w:val="0"/>
          <w:bCs w:val="0"/>
          <w:snapToGrid/>
          <w:color w:val="auto"/>
          <w:kern w:val="0"/>
          <w:sz w:val="24"/>
          <w:szCs w:val="24"/>
          <w:highlight w:val="none"/>
          <w:u w:val="single"/>
          <w:lang w:val="en-US" w:eastAsia="zh-CN"/>
        </w:rPr>
        <w:t xml:space="preserve"> 500 </w:t>
      </w:r>
      <w:r>
        <w:rPr>
          <w:rFonts w:hint="eastAsia" w:ascii="宋体" w:hAnsi="宋体" w:eastAsia="宋体" w:cs="宋体"/>
          <w:b w:val="0"/>
          <w:bCs w:val="0"/>
          <w:snapToGrid/>
          <w:color w:val="auto"/>
          <w:kern w:val="0"/>
          <w:sz w:val="24"/>
          <w:szCs w:val="24"/>
          <w:highlight w:val="none"/>
          <w:lang w:val="en-US" w:eastAsia="zh-CN"/>
        </w:rPr>
        <w:t>元，但扣款最终的累计总金额不应超过</w:t>
      </w:r>
      <w:r>
        <w:rPr>
          <w:rFonts w:hint="eastAsia" w:ascii="宋体" w:hAnsi="宋体" w:eastAsia="宋体" w:cs="宋体"/>
          <w:b w:val="0"/>
          <w:bCs w:val="0"/>
          <w:snapToGrid/>
          <w:color w:val="auto"/>
          <w:kern w:val="0"/>
          <w:sz w:val="24"/>
          <w:szCs w:val="24"/>
          <w:highlight w:val="none"/>
          <w:u w:val="single"/>
          <w:lang w:val="en-US" w:eastAsia="zh-CN"/>
        </w:rPr>
        <w:t xml:space="preserve"> 5 </w:t>
      </w:r>
      <w:r>
        <w:rPr>
          <w:rFonts w:hint="eastAsia" w:ascii="宋体" w:hAnsi="宋体" w:eastAsia="宋体" w:cs="宋体"/>
          <w:b w:val="0"/>
          <w:bCs w:val="0"/>
          <w:snapToGrid/>
          <w:color w:val="auto"/>
          <w:kern w:val="0"/>
          <w:sz w:val="24"/>
          <w:szCs w:val="24"/>
          <w:highlight w:val="none"/>
          <w:lang w:val="en-US" w:eastAsia="zh-CN"/>
        </w:rPr>
        <w:t>万元。</w:t>
      </w:r>
    </w:p>
    <w:p w14:paraId="194DD0A6">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专职安全生产管理人员每月驻工地时间不得少于</w:t>
      </w:r>
      <w:r>
        <w:rPr>
          <w:rFonts w:hint="eastAsia" w:ascii="宋体" w:hAnsi="宋体" w:eastAsia="宋体" w:cs="宋体"/>
          <w:b w:val="0"/>
          <w:bCs w:val="0"/>
          <w:snapToGrid/>
          <w:color w:val="auto"/>
          <w:kern w:val="0"/>
          <w:sz w:val="24"/>
          <w:szCs w:val="24"/>
          <w:highlight w:val="none"/>
          <w:u w:val="single"/>
          <w:lang w:val="en-US" w:eastAsia="zh-CN"/>
        </w:rPr>
        <w:t xml:space="preserve"> 22 </w:t>
      </w:r>
      <w:r>
        <w:rPr>
          <w:rFonts w:hint="eastAsia" w:ascii="宋体" w:hAnsi="宋体" w:eastAsia="宋体" w:cs="宋体"/>
          <w:b w:val="0"/>
          <w:bCs w:val="0"/>
          <w:snapToGrid/>
          <w:color w:val="auto"/>
          <w:kern w:val="0"/>
          <w:sz w:val="24"/>
          <w:szCs w:val="24"/>
          <w:highlight w:val="none"/>
          <w:lang w:val="en-US" w:eastAsia="zh-CN"/>
        </w:rPr>
        <w:t>天（遇法定节假日可扣减），每人每少一天支付违约金</w:t>
      </w:r>
      <w:r>
        <w:rPr>
          <w:rFonts w:hint="eastAsia" w:ascii="宋体" w:hAnsi="宋体" w:eastAsia="宋体" w:cs="宋体"/>
          <w:b w:val="0"/>
          <w:bCs w:val="0"/>
          <w:snapToGrid/>
          <w:color w:val="auto"/>
          <w:kern w:val="0"/>
          <w:sz w:val="24"/>
          <w:szCs w:val="24"/>
          <w:highlight w:val="none"/>
          <w:u w:val="single"/>
          <w:lang w:val="en-US" w:eastAsia="zh-CN"/>
        </w:rPr>
        <w:t xml:space="preserve"> 100</w:t>
      </w:r>
      <w:r>
        <w:rPr>
          <w:rFonts w:hint="eastAsia" w:ascii="宋体" w:hAnsi="宋体" w:eastAsia="宋体" w:cs="宋体"/>
          <w:b w:val="0"/>
          <w:bCs w:val="0"/>
          <w:snapToGrid/>
          <w:color w:val="auto"/>
          <w:kern w:val="0"/>
          <w:sz w:val="24"/>
          <w:szCs w:val="24"/>
          <w:highlight w:val="none"/>
          <w:lang w:val="en-US" w:eastAsia="zh-CN"/>
        </w:rPr>
        <w:t>元，但扣款最终的累计总金额不应超过</w:t>
      </w:r>
      <w:r>
        <w:rPr>
          <w:rFonts w:hint="eastAsia" w:ascii="宋体" w:hAnsi="宋体" w:eastAsia="宋体" w:cs="宋体"/>
          <w:b w:val="0"/>
          <w:bCs w:val="0"/>
          <w:snapToGrid/>
          <w:color w:val="auto"/>
          <w:kern w:val="0"/>
          <w:sz w:val="24"/>
          <w:szCs w:val="24"/>
          <w:highlight w:val="none"/>
          <w:u w:val="single"/>
          <w:lang w:val="en-US" w:eastAsia="zh-CN"/>
        </w:rPr>
        <w:t xml:space="preserve"> 5 </w:t>
      </w:r>
      <w:r>
        <w:rPr>
          <w:rFonts w:hint="eastAsia" w:ascii="宋体" w:hAnsi="宋体" w:eastAsia="宋体" w:cs="宋体"/>
          <w:b w:val="0"/>
          <w:bCs w:val="0"/>
          <w:snapToGrid/>
          <w:color w:val="auto"/>
          <w:kern w:val="0"/>
          <w:sz w:val="24"/>
          <w:szCs w:val="24"/>
          <w:highlight w:val="none"/>
          <w:lang w:val="en-US" w:eastAsia="zh-CN"/>
        </w:rPr>
        <w:t>万元。</w:t>
      </w:r>
    </w:p>
    <w:p w14:paraId="1F8629E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本章4.6.4款补充：</w:t>
      </w:r>
    </w:p>
    <w:p w14:paraId="143EF51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质检员、施工员、专职安全员每月驻工地时间不得少于</w:t>
      </w:r>
      <w:r>
        <w:rPr>
          <w:rFonts w:hint="eastAsia" w:ascii="宋体" w:hAnsi="宋体" w:eastAsia="宋体" w:cs="宋体"/>
          <w:b w:val="0"/>
          <w:bCs w:val="0"/>
          <w:snapToGrid/>
          <w:color w:val="auto"/>
          <w:kern w:val="0"/>
          <w:sz w:val="24"/>
          <w:szCs w:val="24"/>
          <w:highlight w:val="none"/>
          <w:u w:val="single"/>
          <w:lang w:val="en-US" w:eastAsia="zh-CN"/>
        </w:rPr>
        <w:t xml:space="preserve"> 22 </w:t>
      </w:r>
      <w:r>
        <w:rPr>
          <w:rFonts w:hint="eastAsia" w:ascii="宋体" w:hAnsi="宋体" w:eastAsia="宋体" w:cs="宋体"/>
          <w:b w:val="0"/>
          <w:bCs w:val="0"/>
          <w:snapToGrid/>
          <w:color w:val="auto"/>
          <w:kern w:val="0"/>
          <w:sz w:val="24"/>
          <w:szCs w:val="24"/>
          <w:highlight w:val="none"/>
          <w:lang w:val="en-US" w:eastAsia="zh-CN"/>
        </w:rPr>
        <w:t>天（遇法定节假日可扣减），每人每少一天支付违约金</w:t>
      </w:r>
      <w:r>
        <w:rPr>
          <w:rFonts w:hint="eastAsia" w:ascii="宋体" w:hAnsi="宋体" w:eastAsia="宋体" w:cs="宋体"/>
          <w:b w:val="0"/>
          <w:bCs w:val="0"/>
          <w:snapToGrid/>
          <w:color w:val="auto"/>
          <w:kern w:val="0"/>
          <w:sz w:val="24"/>
          <w:szCs w:val="24"/>
          <w:highlight w:val="none"/>
          <w:u w:val="single"/>
          <w:lang w:val="en-US" w:eastAsia="zh-CN"/>
        </w:rPr>
        <w:t xml:space="preserve"> 100 </w:t>
      </w:r>
      <w:r>
        <w:rPr>
          <w:rFonts w:hint="eastAsia" w:ascii="宋体" w:hAnsi="宋体" w:eastAsia="宋体" w:cs="宋体"/>
          <w:b w:val="0"/>
          <w:bCs w:val="0"/>
          <w:snapToGrid/>
          <w:color w:val="auto"/>
          <w:kern w:val="0"/>
          <w:sz w:val="24"/>
          <w:szCs w:val="24"/>
          <w:highlight w:val="none"/>
          <w:lang w:val="en-US" w:eastAsia="zh-CN"/>
        </w:rPr>
        <w:t>元，但扣款最终的累计总金额不应超过</w:t>
      </w:r>
      <w:r>
        <w:rPr>
          <w:rFonts w:hint="eastAsia" w:ascii="宋体" w:hAnsi="宋体" w:eastAsia="宋体" w:cs="宋体"/>
          <w:b w:val="0"/>
          <w:bCs w:val="0"/>
          <w:snapToGrid/>
          <w:color w:val="auto"/>
          <w:kern w:val="0"/>
          <w:sz w:val="24"/>
          <w:szCs w:val="24"/>
          <w:highlight w:val="none"/>
          <w:u w:val="single"/>
          <w:lang w:val="en-US" w:eastAsia="zh-CN"/>
        </w:rPr>
        <w:t xml:space="preserve"> 5</w:t>
      </w:r>
      <w:r>
        <w:rPr>
          <w:rFonts w:hint="eastAsia" w:ascii="宋体" w:hAnsi="宋体" w:eastAsia="宋体" w:cs="宋体"/>
          <w:b w:val="0"/>
          <w:bCs w:val="0"/>
          <w:snapToGrid/>
          <w:color w:val="auto"/>
          <w:kern w:val="0"/>
          <w:sz w:val="24"/>
          <w:szCs w:val="24"/>
          <w:highlight w:val="none"/>
          <w:lang w:val="en-US" w:eastAsia="zh-CN"/>
        </w:rPr>
        <w:t xml:space="preserve"> 万元。</w:t>
      </w:r>
    </w:p>
    <w:p w14:paraId="024B2EE7">
      <w:pPr>
        <w:spacing w:before="31" w:line="347" w:lineRule="auto"/>
        <w:ind w:firstLine="480" w:firstLineChars="200"/>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上述违约金在当月工程进度款中直接扣除，在工地工作天数按监理人实际考勤记录为准。</w:t>
      </w:r>
    </w:p>
    <w:p w14:paraId="7D159692">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楷体" w:hAnsi="楷体" w:eastAsia="楷体" w:cs="楷体"/>
          <w:b/>
          <w:bCs/>
          <w:snapToGrid/>
          <w:color w:val="auto"/>
          <w:kern w:val="0"/>
          <w:sz w:val="24"/>
          <w:szCs w:val="24"/>
          <w:highlight w:val="none"/>
          <w:lang w:val="en-US" w:eastAsia="zh-CN"/>
        </w:rPr>
      </w:pPr>
      <w:r>
        <w:rPr>
          <w:rFonts w:hint="eastAsia" w:ascii="楷体" w:hAnsi="楷体" w:eastAsia="楷体" w:cs="楷体"/>
          <w:b/>
          <w:bCs/>
          <w:snapToGrid/>
          <w:color w:val="auto"/>
          <w:kern w:val="0"/>
          <w:sz w:val="24"/>
          <w:szCs w:val="24"/>
          <w:highlight w:val="none"/>
          <w:lang w:val="en-US" w:eastAsia="zh-CN"/>
        </w:rPr>
        <w:t>4.7  撤换承包人项目负责人和其他人员</w:t>
      </w:r>
    </w:p>
    <w:p w14:paraId="627A2C9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本款补充：</w:t>
      </w:r>
    </w:p>
    <w:p w14:paraId="0D6D42F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项目负责人、技术负责人不得擅自更换。若承包人擅自更换的，除每人次需支付</w:t>
      </w:r>
      <w:r>
        <w:rPr>
          <w:rFonts w:hint="eastAsia" w:ascii="宋体" w:hAnsi="宋体" w:eastAsia="宋体" w:cs="宋体"/>
          <w:b w:val="0"/>
          <w:bCs w:val="0"/>
          <w:snapToGrid/>
          <w:color w:val="auto"/>
          <w:kern w:val="0"/>
          <w:sz w:val="24"/>
          <w:szCs w:val="24"/>
          <w:highlight w:val="none"/>
          <w:u w:val="single"/>
          <w:lang w:val="en-US" w:eastAsia="zh-CN"/>
        </w:rPr>
        <w:t xml:space="preserve"> 5 </w:t>
      </w:r>
      <w:r>
        <w:rPr>
          <w:rFonts w:hint="eastAsia" w:ascii="宋体" w:hAnsi="宋体" w:eastAsia="宋体" w:cs="宋体"/>
          <w:b w:val="0"/>
          <w:bCs w:val="0"/>
          <w:snapToGrid/>
          <w:color w:val="auto"/>
          <w:kern w:val="0"/>
          <w:sz w:val="24"/>
          <w:szCs w:val="24"/>
          <w:highlight w:val="none"/>
          <w:lang w:val="en-US" w:eastAsia="zh-CN"/>
        </w:rPr>
        <w:t>万元的违约金外，发包人有权将其作为不良行为记录上报水行政主管部门；情节特别严重的，发包人有权中止合同。在合同工程未通过完工验收或合同解除前，项目负责人、技术负责人确需更换的，应征得发包人同意，并经原项目负责人备案主管部门备案，且更换后的人员不得低于原投标承诺人员所具有的资格和业绩条件。</w:t>
      </w:r>
    </w:p>
    <w:p w14:paraId="78B7BA6A">
      <w:pPr>
        <w:spacing w:before="31" w:line="347" w:lineRule="auto"/>
        <w:ind w:firstLine="480" w:firstLineChars="200"/>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承包人的安全员、质量员、施工员、专职安全生产管理人员等人员擅自调换每人次需支付违约金</w:t>
      </w:r>
      <w:r>
        <w:rPr>
          <w:rFonts w:hint="eastAsia" w:ascii="宋体" w:hAnsi="宋体" w:eastAsia="宋体" w:cs="宋体"/>
          <w:b w:val="0"/>
          <w:bCs w:val="0"/>
          <w:snapToGrid/>
          <w:color w:val="auto"/>
          <w:kern w:val="0"/>
          <w:sz w:val="24"/>
          <w:szCs w:val="24"/>
          <w:highlight w:val="none"/>
          <w:u w:val="single"/>
          <w:lang w:val="en-US" w:eastAsia="zh-CN"/>
        </w:rPr>
        <w:t xml:space="preserve"> 0.25 </w:t>
      </w:r>
      <w:r>
        <w:rPr>
          <w:rFonts w:hint="eastAsia" w:ascii="宋体" w:hAnsi="宋体" w:eastAsia="宋体" w:cs="宋体"/>
          <w:b w:val="0"/>
          <w:bCs w:val="0"/>
          <w:snapToGrid/>
          <w:color w:val="auto"/>
          <w:kern w:val="0"/>
          <w:sz w:val="24"/>
          <w:szCs w:val="24"/>
          <w:highlight w:val="none"/>
          <w:lang w:val="en-US" w:eastAsia="zh-CN"/>
        </w:rPr>
        <w:t>万元。违约金在工程进度付款中扣除。</w:t>
      </w:r>
    </w:p>
    <w:p w14:paraId="51DFA6E5">
      <w:pPr>
        <w:spacing w:before="31" w:line="220" w:lineRule="auto"/>
        <w:outlineLvl w:val="1"/>
        <w:rPr>
          <w:rFonts w:ascii="宋体" w:hAnsi="宋体" w:eastAsia="宋体" w:cs="宋体"/>
          <w:color w:val="auto"/>
          <w:sz w:val="24"/>
          <w:szCs w:val="24"/>
          <w:highlight w:val="none"/>
        </w:rPr>
      </w:pPr>
      <w:bookmarkStart w:id="521" w:name="bookmark657"/>
      <w:bookmarkEnd w:id="521"/>
      <w:bookmarkStart w:id="522" w:name="bookmark658"/>
      <w:bookmarkEnd w:id="522"/>
      <w:bookmarkStart w:id="523" w:name="_Toc11653"/>
      <w:bookmarkStart w:id="524" w:name="_Toc25920"/>
      <w:r>
        <w:rPr>
          <w:rFonts w:ascii="Times New Roman" w:hAnsi="Times New Roman" w:eastAsia="Times New Roman" w:cs="Times New Roman"/>
          <w:b/>
          <w:bCs/>
          <w:color w:val="auto"/>
          <w:spacing w:val="-2"/>
          <w:sz w:val="24"/>
          <w:szCs w:val="24"/>
          <w:highlight w:val="none"/>
        </w:rPr>
        <w:t xml:space="preserve">4.11  </w:t>
      </w:r>
      <w:r>
        <w:rPr>
          <w:rFonts w:ascii="宋体" w:hAnsi="宋体" w:eastAsia="宋体" w:cs="宋体"/>
          <w:b/>
          <w:bCs/>
          <w:color w:val="auto"/>
          <w:spacing w:val="-2"/>
          <w:sz w:val="24"/>
          <w:szCs w:val="24"/>
          <w:highlight w:val="none"/>
        </w:rPr>
        <w:t>不利物质条件</w:t>
      </w:r>
      <w:bookmarkEnd w:id="523"/>
      <w:bookmarkEnd w:id="524"/>
    </w:p>
    <w:p w14:paraId="7B05A97E">
      <w:pPr>
        <w:spacing w:before="182"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4.11.1  </w:t>
      </w:r>
      <w:r>
        <w:rPr>
          <w:rFonts w:ascii="宋体" w:hAnsi="宋体" w:eastAsia="宋体" w:cs="宋体"/>
          <w:color w:val="auto"/>
          <w:sz w:val="24"/>
          <w:szCs w:val="24"/>
          <w:highlight w:val="none"/>
        </w:rPr>
        <w:t>不利物质条件的范围：</w:t>
      </w:r>
      <w:r>
        <w:rPr>
          <w:rFonts w:ascii="宋体" w:hAnsi="宋体" w:eastAsia="宋体" w:cs="宋体"/>
          <w:color w:val="auto"/>
          <w:sz w:val="24"/>
          <w:szCs w:val="24"/>
          <w:highlight w:val="none"/>
          <w:u w:val="single" w:color="auto"/>
        </w:rPr>
        <w:t xml:space="preserve"> </w:t>
      </w:r>
      <w:r>
        <w:rPr>
          <w:rFonts w:hint="eastAsia" w:ascii="宋体" w:hAnsi="宋体" w:eastAsia="宋体" w:cs="宋体"/>
          <w:b w:val="0"/>
          <w:bCs w:val="0"/>
          <w:snapToGrid/>
          <w:color w:val="auto"/>
          <w:kern w:val="0"/>
          <w:sz w:val="24"/>
          <w:szCs w:val="24"/>
          <w:highlight w:val="none"/>
          <w:u w:val="single"/>
          <w:lang w:val="en-US" w:eastAsia="zh-CN"/>
        </w:rPr>
        <w:t xml:space="preserve"> </w:t>
      </w:r>
      <w:r>
        <w:rPr>
          <w:rFonts w:hint="eastAsia" w:ascii="宋体" w:hAnsi="宋体" w:eastAsia="宋体" w:cs="宋体"/>
          <w:b/>
          <w:bCs/>
          <w:snapToGrid/>
          <w:color w:val="auto"/>
          <w:kern w:val="0"/>
          <w:sz w:val="24"/>
          <w:szCs w:val="24"/>
          <w:highlight w:val="none"/>
          <w:u w:val="single"/>
          <w:lang w:val="en-US" w:eastAsia="zh-CN"/>
        </w:rPr>
        <w:t>施工中遇到文物或古迹</w:t>
      </w:r>
      <w:r>
        <w:rPr>
          <w:rFonts w:hint="eastAsia" w:ascii="宋体" w:hAnsi="宋体" w:eastAsia="宋体" w:cs="宋体"/>
          <w:b w:val="0"/>
          <w:bCs w:val="0"/>
          <w:snapToGrid/>
          <w:color w:val="auto"/>
          <w:kern w:val="0"/>
          <w:sz w:val="24"/>
          <w:szCs w:val="24"/>
          <w:highlight w:val="none"/>
          <w:u w:val="single"/>
          <w:lang w:val="en-US" w:eastAsia="zh-CN"/>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5B6A8F11">
      <w:pPr>
        <w:spacing w:before="307" w:line="219" w:lineRule="auto"/>
        <w:ind w:left="3"/>
        <w:outlineLvl w:val="0"/>
        <w:rPr>
          <w:rFonts w:ascii="宋体" w:hAnsi="宋体" w:eastAsia="宋体" w:cs="宋体"/>
          <w:color w:val="auto"/>
          <w:sz w:val="28"/>
          <w:szCs w:val="28"/>
          <w:highlight w:val="none"/>
        </w:rPr>
      </w:pPr>
      <w:bookmarkStart w:id="525" w:name="bookmark659"/>
      <w:bookmarkEnd w:id="525"/>
      <w:bookmarkStart w:id="526" w:name="bookmark662"/>
      <w:bookmarkEnd w:id="526"/>
      <w:bookmarkStart w:id="527" w:name="bookmark660"/>
      <w:bookmarkEnd w:id="527"/>
      <w:bookmarkStart w:id="528" w:name="_Toc31697"/>
      <w:bookmarkStart w:id="529" w:name="_Toc20434"/>
      <w:r>
        <w:rPr>
          <w:rFonts w:ascii="Times New Roman" w:hAnsi="Times New Roman" w:eastAsia="Times New Roman" w:cs="Times New Roman"/>
          <w:b/>
          <w:bCs/>
          <w:color w:val="auto"/>
          <w:spacing w:val="-3"/>
          <w:sz w:val="28"/>
          <w:szCs w:val="28"/>
          <w:highlight w:val="none"/>
        </w:rPr>
        <w:t xml:space="preserve">5  </w:t>
      </w:r>
      <w:r>
        <w:rPr>
          <w:rFonts w:ascii="宋体" w:hAnsi="宋体" w:eastAsia="宋体" w:cs="宋体"/>
          <w:b/>
          <w:bCs/>
          <w:color w:val="auto"/>
          <w:spacing w:val="-3"/>
          <w:sz w:val="28"/>
          <w:szCs w:val="28"/>
          <w:highlight w:val="none"/>
        </w:rPr>
        <w:t>材料和工程设备</w:t>
      </w:r>
      <w:bookmarkEnd w:id="528"/>
      <w:bookmarkEnd w:id="529"/>
    </w:p>
    <w:p w14:paraId="7D5201BE">
      <w:pPr>
        <w:pStyle w:val="3"/>
        <w:spacing w:line="246" w:lineRule="auto"/>
        <w:rPr>
          <w:color w:val="auto"/>
          <w:highlight w:val="none"/>
        </w:rPr>
      </w:pPr>
    </w:p>
    <w:p w14:paraId="4EBA7134">
      <w:pPr>
        <w:spacing w:before="78" w:line="219" w:lineRule="auto"/>
        <w:ind w:left="2"/>
        <w:outlineLvl w:val="1"/>
        <w:rPr>
          <w:rFonts w:ascii="宋体" w:hAnsi="宋体" w:eastAsia="宋体" w:cs="宋体"/>
          <w:color w:val="auto"/>
          <w:sz w:val="24"/>
          <w:szCs w:val="24"/>
          <w:highlight w:val="none"/>
        </w:rPr>
      </w:pPr>
      <w:bookmarkStart w:id="530" w:name="bookmark661"/>
      <w:bookmarkEnd w:id="530"/>
      <w:bookmarkStart w:id="531" w:name="_Toc7364"/>
      <w:bookmarkStart w:id="532" w:name="_Toc31166"/>
      <w:r>
        <w:rPr>
          <w:rFonts w:ascii="Times New Roman" w:hAnsi="Times New Roman" w:eastAsia="Times New Roman" w:cs="Times New Roman"/>
          <w:b/>
          <w:bCs/>
          <w:color w:val="auto"/>
          <w:spacing w:val="-2"/>
          <w:sz w:val="24"/>
          <w:szCs w:val="24"/>
          <w:highlight w:val="none"/>
        </w:rPr>
        <w:t xml:space="preserve">5.2  </w:t>
      </w:r>
      <w:r>
        <w:rPr>
          <w:rFonts w:ascii="宋体" w:hAnsi="宋体" w:eastAsia="宋体" w:cs="宋体"/>
          <w:b/>
          <w:bCs/>
          <w:color w:val="auto"/>
          <w:spacing w:val="-2"/>
          <w:sz w:val="24"/>
          <w:szCs w:val="24"/>
          <w:highlight w:val="none"/>
        </w:rPr>
        <w:t>发包人提供的材料和工程设备</w:t>
      </w:r>
      <w:bookmarkEnd w:id="531"/>
      <w:bookmarkEnd w:id="532"/>
    </w:p>
    <w:p w14:paraId="28C2C5FE">
      <w:pPr>
        <w:spacing w:before="184" w:line="219" w:lineRule="auto"/>
        <w:ind w:left="485"/>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 xml:space="preserve">5.2.1  </w:t>
      </w:r>
      <w:r>
        <w:rPr>
          <w:rFonts w:ascii="宋体" w:hAnsi="宋体" w:eastAsia="宋体" w:cs="宋体"/>
          <w:color w:val="auto"/>
          <w:spacing w:val="-2"/>
          <w:sz w:val="24"/>
          <w:szCs w:val="24"/>
          <w:highlight w:val="none"/>
        </w:rPr>
        <w:t>发包人提供的材料和设备见下表。</w:t>
      </w:r>
    </w:p>
    <w:p w14:paraId="3CF33D7B">
      <w:pPr>
        <w:tabs>
          <w:tab w:val="center" w:pos="4461"/>
        </w:tabs>
        <w:spacing w:line="219"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p>
    <w:p w14:paraId="2FDD43D9">
      <w:pPr>
        <w:tabs>
          <w:tab w:val="center" w:pos="4461"/>
        </w:tabs>
        <w:spacing w:line="219" w:lineRule="auto"/>
        <w:jc w:val="center"/>
        <w:rPr>
          <w:rFonts w:ascii="宋体" w:hAnsi="宋体" w:eastAsia="宋体" w:cs="宋体"/>
          <w:color w:val="auto"/>
          <w:sz w:val="21"/>
          <w:szCs w:val="21"/>
          <w:highlight w:val="none"/>
        </w:rPr>
      </w:pPr>
      <w:r>
        <w:rPr>
          <w:rFonts w:ascii="宋体" w:hAnsi="宋体" w:eastAsia="宋体" w:cs="宋体"/>
          <w:b/>
          <w:bCs/>
          <w:color w:val="auto"/>
          <w:spacing w:val="-4"/>
          <w:sz w:val="21"/>
          <w:szCs w:val="21"/>
          <w:highlight w:val="none"/>
        </w:rPr>
        <w:t>发包人提供的材料表（参考格式）</w:t>
      </w:r>
    </w:p>
    <w:p w14:paraId="4DAA3158">
      <w:pPr>
        <w:spacing w:line="128" w:lineRule="exact"/>
        <w:rPr>
          <w:color w:val="auto"/>
          <w:highlight w:val="none"/>
        </w:rPr>
      </w:pPr>
    </w:p>
    <w:tbl>
      <w:tblPr>
        <w:tblStyle w:val="32"/>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19"/>
        <w:gridCol w:w="1596"/>
        <w:gridCol w:w="1229"/>
        <w:gridCol w:w="807"/>
        <w:gridCol w:w="1112"/>
        <w:gridCol w:w="1112"/>
        <w:gridCol w:w="1555"/>
        <w:gridCol w:w="675"/>
      </w:tblGrid>
      <w:tr w14:paraId="26469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819" w:type="dxa"/>
            <w:tcBorders>
              <w:top w:val="single" w:color="000000" w:sz="6" w:space="0"/>
              <w:left w:val="single" w:color="000000" w:sz="6" w:space="0"/>
            </w:tcBorders>
            <w:vAlign w:val="top"/>
          </w:tcPr>
          <w:p w14:paraId="40030852">
            <w:pPr>
              <w:pStyle w:val="33"/>
              <w:spacing w:before="125" w:line="222" w:lineRule="auto"/>
              <w:ind w:left="196"/>
              <w:rPr>
                <w:color w:val="auto"/>
                <w:sz w:val="21"/>
                <w:szCs w:val="21"/>
                <w:highlight w:val="none"/>
              </w:rPr>
            </w:pPr>
            <w:r>
              <w:rPr>
                <w:color w:val="auto"/>
                <w:spacing w:val="-2"/>
                <w:sz w:val="21"/>
                <w:szCs w:val="21"/>
                <w:highlight w:val="none"/>
              </w:rPr>
              <w:t>序号</w:t>
            </w:r>
          </w:p>
        </w:tc>
        <w:tc>
          <w:tcPr>
            <w:tcW w:w="1596" w:type="dxa"/>
            <w:tcBorders>
              <w:top w:val="single" w:color="000000" w:sz="6" w:space="0"/>
            </w:tcBorders>
            <w:vAlign w:val="top"/>
          </w:tcPr>
          <w:p w14:paraId="21F6C5BC">
            <w:pPr>
              <w:pStyle w:val="33"/>
              <w:spacing w:before="125" w:line="220" w:lineRule="auto"/>
              <w:ind w:left="376"/>
              <w:rPr>
                <w:color w:val="auto"/>
                <w:sz w:val="21"/>
                <w:szCs w:val="21"/>
                <w:highlight w:val="none"/>
              </w:rPr>
            </w:pPr>
            <w:r>
              <w:rPr>
                <w:color w:val="auto"/>
                <w:spacing w:val="-2"/>
                <w:sz w:val="21"/>
                <w:szCs w:val="21"/>
                <w:highlight w:val="none"/>
              </w:rPr>
              <w:t>材料名称</w:t>
            </w:r>
          </w:p>
        </w:tc>
        <w:tc>
          <w:tcPr>
            <w:tcW w:w="1229" w:type="dxa"/>
            <w:tcBorders>
              <w:top w:val="single" w:color="000000" w:sz="6" w:space="0"/>
            </w:tcBorders>
            <w:vAlign w:val="top"/>
          </w:tcPr>
          <w:p w14:paraId="551D52C5">
            <w:pPr>
              <w:pStyle w:val="33"/>
              <w:spacing w:before="125" w:line="220" w:lineRule="auto"/>
              <w:ind w:left="196"/>
              <w:rPr>
                <w:color w:val="auto"/>
                <w:sz w:val="21"/>
                <w:szCs w:val="21"/>
                <w:highlight w:val="none"/>
              </w:rPr>
            </w:pPr>
            <w:r>
              <w:rPr>
                <w:color w:val="auto"/>
                <w:spacing w:val="-2"/>
                <w:sz w:val="21"/>
                <w:szCs w:val="21"/>
                <w:highlight w:val="none"/>
              </w:rPr>
              <w:t>材料规格</w:t>
            </w:r>
          </w:p>
        </w:tc>
        <w:tc>
          <w:tcPr>
            <w:tcW w:w="807" w:type="dxa"/>
            <w:tcBorders>
              <w:top w:val="single" w:color="000000" w:sz="6" w:space="0"/>
            </w:tcBorders>
            <w:vAlign w:val="top"/>
          </w:tcPr>
          <w:p w14:paraId="7EA3ABD3">
            <w:pPr>
              <w:pStyle w:val="33"/>
              <w:spacing w:before="124" w:line="221" w:lineRule="auto"/>
              <w:ind w:left="200"/>
              <w:rPr>
                <w:color w:val="auto"/>
                <w:sz w:val="21"/>
                <w:szCs w:val="21"/>
                <w:highlight w:val="none"/>
              </w:rPr>
            </w:pPr>
            <w:r>
              <w:rPr>
                <w:color w:val="auto"/>
                <w:spacing w:val="-2"/>
                <w:sz w:val="21"/>
                <w:szCs w:val="21"/>
                <w:highlight w:val="none"/>
              </w:rPr>
              <w:t>数量</w:t>
            </w:r>
          </w:p>
        </w:tc>
        <w:tc>
          <w:tcPr>
            <w:tcW w:w="1112" w:type="dxa"/>
            <w:tcBorders>
              <w:top w:val="single" w:color="000000" w:sz="6" w:space="0"/>
            </w:tcBorders>
            <w:vAlign w:val="top"/>
          </w:tcPr>
          <w:p w14:paraId="3CD5ED16">
            <w:pPr>
              <w:pStyle w:val="33"/>
              <w:spacing w:before="125" w:line="220" w:lineRule="auto"/>
              <w:ind w:left="147"/>
              <w:rPr>
                <w:color w:val="auto"/>
                <w:sz w:val="21"/>
                <w:szCs w:val="21"/>
                <w:highlight w:val="none"/>
              </w:rPr>
            </w:pPr>
            <w:r>
              <w:rPr>
                <w:color w:val="auto"/>
                <w:spacing w:val="-3"/>
                <w:sz w:val="21"/>
                <w:szCs w:val="21"/>
                <w:highlight w:val="none"/>
              </w:rPr>
              <w:t>交货地点</w:t>
            </w:r>
          </w:p>
        </w:tc>
        <w:tc>
          <w:tcPr>
            <w:tcW w:w="1112" w:type="dxa"/>
            <w:tcBorders>
              <w:top w:val="single" w:color="000000" w:sz="6" w:space="0"/>
            </w:tcBorders>
            <w:vAlign w:val="top"/>
          </w:tcPr>
          <w:p w14:paraId="596231FF">
            <w:pPr>
              <w:pStyle w:val="33"/>
              <w:spacing w:before="125" w:line="220" w:lineRule="auto"/>
              <w:ind w:left="146"/>
              <w:rPr>
                <w:color w:val="auto"/>
                <w:sz w:val="21"/>
                <w:szCs w:val="21"/>
                <w:highlight w:val="none"/>
              </w:rPr>
            </w:pPr>
            <w:r>
              <w:rPr>
                <w:color w:val="auto"/>
                <w:spacing w:val="-3"/>
                <w:sz w:val="21"/>
                <w:szCs w:val="21"/>
                <w:highlight w:val="none"/>
              </w:rPr>
              <w:t>交货方式</w:t>
            </w:r>
          </w:p>
        </w:tc>
        <w:tc>
          <w:tcPr>
            <w:tcW w:w="1555" w:type="dxa"/>
            <w:tcBorders>
              <w:top w:val="single" w:color="000000" w:sz="6" w:space="0"/>
            </w:tcBorders>
            <w:vAlign w:val="top"/>
          </w:tcPr>
          <w:p w14:paraId="027AAEDF">
            <w:pPr>
              <w:pStyle w:val="33"/>
              <w:spacing w:before="125" w:line="220" w:lineRule="auto"/>
              <w:ind w:left="155"/>
              <w:rPr>
                <w:color w:val="auto"/>
                <w:sz w:val="21"/>
                <w:szCs w:val="21"/>
                <w:highlight w:val="none"/>
              </w:rPr>
            </w:pPr>
            <w:r>
              <w:rPr>
                <w:color w:val="auto"/>
                <w:spacing w:val="-1"/>
                <w:sz w:val="21"/>
                <w:szCs w:val="21"/>
                <w:highlight w:val="none"/>
              </w:rPr>
              <w:t>计划交货日期</w:t>
            </w:r>
          </w:p>
        </w:tc>
        <w:tc>
          <w:tcPr>
            <w:tcW w:w="675" w:type="dxa"/>
            <w:tcBorders>
              <w:top w:val="single" w:color="000000" w:sz="6" w:space="0"/>
              <w:right w:val="single" w:color="000000" w:sz="6" w:space="0"/>
            </w:tcBorders>
            <w:vAlign w:val="top"/>
          </w:tcPr>
          <w:p w14:paraId="362E2890">
            <w:pPr>
              <w:pStyle w:val="33"/>
              <w:spacing w:before="125" w:line="222" w:lineRule="auto"/>
              <w:ind w:left="136"/>
              <w:rPr>
                <w:color w:val="auto"/>
                <w:sz w:val="21"/>
                <w:szCs w:val="21"/>
                <w:highlight w:val="none"/>
              </w:rPr>
            </w:pPr>
            <w:r>
              <w:rPr>
                <w:color w:val="auto"/>
                <w:spacing w:val="-3"/>
                <w:sz w:val="21"/>
                <w:szCs w:val="21"/>
                <w:highlight w:val="none"/>
              </w:rPr>
              <w:t>备注</w:t>
            </w:r>
          </w:p>
        </w:tc>
      </w:tr>
      <w:tr w14:paraId="2A2279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819" w:type="dxa"/>
            <w:tcBorders>
              <w:left w:val="single" w:color="000000" w:sz="6" w:space="0"/>
            </w:tcBorders>
            <w:vAlign w:val="top"/>
          </w:tcPr>
          <w:p w14:paraId="39DD62DC">
            <w:pPr>
              <w:rPr>
                <w:rFonts w:ascii="Arial"/>
                <w:color w:val="auto"/>
                <w:sz w:val="21"/>
                <w:highlight w:val="none"/>
              </w:rPr>
            </w:pPr>
          </w:p>
        </w:tc>
        <w:tc>
          <w:tcPr>
            <w:tcW w:w="1596" w:type="dxa"/>
            <w:vAlign w:val="top"/>
          </w:tcPr>
          <w:p w14:paraId="4A973189">
            <w:pPr>
              <w:rPr>
                <w:rFonts w:ascii="Arial"/>
                <w:color w:val="auto"/>
                <w:sz w:val="21"/>
                <w:highlight w:val="none"/>
              </w:rPr>
            </w:pPr>
          </w:p>
        </w:tc>
        <w:tc>
          <w:tcPr>
            <w:tcW w:w="1229" w:type="dxa"/>
            <w:vAlign w:val="top"/>
          </w:tcPr>
          <w:p w14:paraId="460557DD">
            <w:pPr>
              <w:rPr>
                <w:rFonts w:ascii="Arial"/>
                <w:color w:val="auto"/>
                <w:sz w:val="21"/>
                <w:highlight w:val="none"/>
              </w:rPr>
            </w:pPr>
          </w:p>
        </w:tc>
        <w:tc>
          <w:tcPr>
            <w:tcW w:w="807" w:type="dxa"/>
            <w:vAlign w:val="top"/>
          </w:tcPr>
          <w:p w14:paraId="14AF9B11">
            <w:pPr>
              <w:rPr>
                <w:rFonts w:ascii="Arial"/>
                <w:color w:val="auto"/>
                <w:sz w:val="21"/>
                <w:highlight w:val="none"/>
              </w:rPr>
            </w:pPr>
          </w:p>
        </w:tc>
        <w:tc>
          <w:tcPr>
            <w:tcW w:w="1112" w:type="dxa"/>
            <w:vAlign w:val="top"/>
          </w:tcPr>
          <w:p w14:paraId="50DE6379">
            <w:pPr>
              <w:rPr>
                <w:rFonts w:ascii="Arial"/>
                <w:color w:val="auto"/>
                <w:sz w:val="21"/>
                <w:highlight w:val="none"/>
              </w:rPr>
            </w:pPr>
          </w:p>
        </w:tc>
        <w:tc>
          <w:tcPr>
            <w:tcW w:w="1112" w:type="dxa"/>
            <w:vAlign w:val="top"/>
          </w:tcPr>
          <w:p w14:paraId="7D35CF19">
            <w:pPr>
              <w:rPr>
                <w:rFonts w:ascii="Arial"/>
                <w:color w:val="auto"/>
                <w:sz w:val="21"/>
                <w:highlight w:val="none"/>
              </w:rPr>
            </w:pPr>
          </w:p>
        </w:tc>
        <w:tc>
          <w:tcPr>
            <w:tcW w:w="1555" w:type="dxa"/>
            <w:vAlign w:val="top"/>
          </w:tcPr>
          <w:p w14:paraId="3FE4DCDC">
            <w:pPr>
              <w:rPr>
                <w:rFonts w:ascii="Arial"/>
                <w:color w:val="auto"/>
                <w:sz w:val="21"/>
                <w:highlight w:val="none"/>
              </w:rPr>
            </w:pPr>
          </w:p>
        </w:tc>
        <w:tc>
          <w:tcPr>
            <w:tcW w:w="675" w:type="dxa"/>
            <w:tcBorders>
              <w:right w:val="single" w:color="000000" w:sz="6" w:space="0"/>
            </w:tcBorders>
            <w:vAlign w:val="top"/>
          </w:tcPr>
          <w:p w14:paraId="1BF662D7">
            <w:pPr>
              <w:rPr>
                <w:rFonts w:ascii="Arial"/>
                <w:color w:val="auto"/>
                <w:sz w:val="21"/>
                <w:highlight w:val="none"/>
              </w:rPr>
            </w:pPr>
          </w:p>
        </w:tc>
      </w:tr>
      <w:tr w14:paraId="64D80A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819" w:type="dxa"/>
            <w:tcBorders>
              <w:left w:val="single" w:color="000000" w:sz="6" w:space="0"/>
            </w:tcBorders>
            <w:vAlign w:val="top"/>
          </w:tcPr>
          <w:p w14:paraId="40BA2C90">
            <w:pPr>
              <w:rPr>
                <w:rFonts w:ascii="Arial"/>
                <w:color w:val="auto"/>
                <w:sz w:val="21"/>
                <w:highlight w:val="none"/>
              </w:rPr>
            </w:pPr>
          </w:p>
        </w:tc>
        <w:tc>
          <w:tcPr>
            <w:tcW w:w="1596" w:type="dxa"/>
            <w:vAlign w:val="top"/>
          </w:tcPr>
          <w:p w14:paraId="06702995">
            <w:pPr>
              <w:rPr>
                <w:rFonts w:ascii="Arial"/>
                <w:color w:val="auto"/>
                <w:sz w:val="21"/>
                <w:highlight w:val="none"/>
              </w:rPr>
            </w:pPr>
          </w:p>
        </w:tc>
        <w:tc>
          <w:tcPr>
            <w:tcW w:w="1229" w:type="dxa"/>
            <w:vAlign w:val="top"/>
          </w:tcPr>
          <w:p w14:paraId="65CF2050">
            <w:pPr>
              <w:rPr>
                <w:rFonts w:ascii="Arial"/>
                <w:color w:val="auto"/>
                <w:sz w:val="21"/>
                <w:highlight w:val="none"/>
              </w:rPr>
            </w:pPr>
          </w:p>
        </w:tc>
        <w:tc>
          <w:tcPr>
            <w:tcW w:w="807" w:type="dxa"/>
            <w:vAlign w:val="top"/>
          </w:tcPr>
          <w:p w14:paraId="3EAEB4B5">
            <w:pPr>
              <w:rPr>
                <w:rFonts w:ascii="Arial"/>
                <w:color w:val="auto"/>
                <w:sz w:val="21"/>
                <w:highlight w:val="none"/>
              </w:rPr>
            </w:pPr>
          </w:p>
        </w:tc>
        <w:tc>
          <w:tcPr>
            <w:tcW w:w="1112" w:type="dxa"/>
            <w:vAlign w:val="top"/>
          </w:tcPr>
          <w:p w14:paraId="25B07505">
            <w:pPr>
              <w:rPr>
                <w:rFonts w:ascii="Arial"/>
                <w:color w:val="auto"/>
                <w:sz w:val="21"/>
                <w:highlight w:val="none"/>
              </w:rPr>
            </w:pPr>
          </w:p>
        </w:tc>
        <w:tc>
          <w:tcPr>
            <w:tcW w:w="1112" w:type="dxa"/>
            <w:vAlign w:val="top"/>
          </w:tcPr>
          <w:p w14:paraId="4A9A3A3D">
            <w:pPr>
              <w:rPr>
                <w:rFonts w:ascii="Arial"/>
                <w:color w:val="auto"/>
                <w:sz w:val="21"/>
                <w:highlight w:val="none"/>
              </w:rPr>
            </w:pPr>
          </w:p>
        </w:tc>
        <w:tc>
          <w:tcPr>
            <w:tcW w:w="1555" w:type="dxa"/>
            <w:vAlign w:val="top"/>
          </w:tcPr>
          <w:p w14:paraId="42AF7479">
            <w:pPr>
              <w:rPr>
                <w:rFonts w:ascii="Arial"/>
                <w:color w:val="auto"/>
                <w:sz w:val="21"/>
                <w:highlight w:val="none"/>
              </w:rPr>
            </w:pPr>
          </w:p>
        </w:tc>
        <w:tc>
          <w:tcPr>
            <w:tcW w:w="675" w:type="dxa"/>
            <w:tcBorders>
              <w:right w:val="single" w:color="000000" w:sz="6" w:space="0"/>
            </w:tcBorders>
            <w:vAlign w:val="top"/>
          </w:tcPr>
          <w:p w14:paraId="0BB733DD">
            <w:pPr>
              <w:rPr>
                <w:rFonts w:ascii="Arial"/>
                <w:color w:val="auto"/>
                <w:sz w:val="21"/>
                <w:highlight w:val="none"/>
              </w:rPr>
            </w:pPr>
          </w:p>
        </w:tc>
      </w:tr>
      <w:tr w14:paraId="689376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819" w:type="dxa"/>
            <w:tcBorders>
              <w:left w:val="single" w:color="000000" w:sz="6" w:space="0"/>
              <w:bottom w:val="single" w:color="000000" w:sz="6" w:space="0"/>
            </w:tcBorders>
            <w:vAlign w:val="top"/>
          </w:tcPr>
          <w:p w14:paraId="0E05C3EC">
            <w:pPr>
              <w:rPr>
                <w:rFonts w:ascii="Arial"/>
                <w:color w:val="auto"/>
                <w:sz w:val="21"/>
                <w:highlight w:val="none"/>
              </w:rPr>
            </w:pPr>
          </w:p>
        </w:tc>
        <w:tc>
          <w:tcPr>
            <w:tcW w:w="1596" w:type="dxa"/>
            <w:tcBorders>
              <w:bottom w:val="single" w:color="000000" w:sz="6" w:space="0"/>
            </w:tcBorders>
            <w:vAlign w:val="top"/>
          </w:tcPr>
          <w:p w14:paraId="7C9BA65C">
            <w:pPr>
              <w:rPr>
                <w:rFonts w:ascii="Arial"/>
                <w:color w:val="auto"/>
                <w:sz w:val="21"/>
                <w:highlight w:val="none"/>
              </w:rPr>
            </w:pPr>
          </w:p>
        </w:tc>
        <w:tc>
          <w:tcPr>
            <w:tcW w:w="1229" w:type="dxa"/>
            <w:tcBorders>
              <w:bottom w:val="single" w:color="000000" w:sz="6" w:space="0"/>
            </w:tcBorders>
            <w:vAlign w:val="top"/>
          </w:tcPr>
          <w:p w14:paraId="76B081C0">
            <w:pPr>
              <w:rPr>
                <w:rFonts w:ascii="Arial"/>
                <w:color w:val="auto"/>
                <w:sz w:val="21"/>
                <w:highlight w:val="none"/>
              </w:rPr>
            </w:pPr>
          </w:p>
        </w:tc>
        <w:tc>
          <w:tcPr>
            <w:tcW w:w="807" w:type="dxa"/>
            <w:tcBorders>
              <w:bottom w:val="single" w:color="000000" w:sz="6" w:space="0"/>
            </w:tcBorders>
            <w:vAlign w:val="top"/>
          </w:tcPr>
          <w:p w14:paraId="01C879EC">
            <w:pPr>
              <w:rPr>
                <w:rFonts w:ascii="Arial"/>
                <w:color w:val="auto"/>
                <w:sz w:val="21"/>
                <w:highlight w:val="none"/>
              </w:rPr>
            </w:pPr>
          </w:p>
        </w:tc>
        <w:tc>
          <w:tcPr>
            <w:tcW w:w="1112" w:type="dxa"/>
            <w:tcBorders>
              <w:bottom w:val="single" w:color="000000" w:sz="6" w:space="0"/>
            </w:tcBorders>
            <w:vAlign w:val="top"/>
          </w:tcPr>
          <w:p w14:paraId="17A71EAE">
            <w:pPr>
              <w:rPr>
                <w:rFonts w:ascii="Arial"/>
                <w:color w:val="auto"/>
                <w:sz w:val="21"/>
                <w:highlight w:val="none"/>
              </w:rPr>
            </w:pPr>
          </w:p>
        </w:tc>
        <w:tc>
          <w:tcPr>
            <w:tcW w:w="1112" w:type="dxa"/>
            <w:tcBorders>
              <w:bottom w:val="single" w:color="000000" w:sz="6" w:space="0"/>
            </w:tcBorders>
            <w:vAlign w:val="top"/>
          </w:tcPr>
          <w:p w14:paraId="54EF739B">
            <w:pPr>
              <w:rPr>
                <w:rFonts w:ascii="Arial"/>
                <w:color w:val="auto"/>
                <w:sz w:val="21"/>
                <w:highlight w:val="none"/>
              </w:rPr>
            </w:pPr>
          </w:p>
        </w:tc>
        <w:tc>
          <w:tcPr>
            <w:tcW w:w="1555" w:type="dxa"/>
            <w:tcBorders>
              <w:bottom w:val="single" w:color="000000" w:sz="6" w:space="0"/>
            </w:tcBorders>
            <w:vAlign w:val="top"/>
          </w:tcPr>
          <w:p w14:paraId="6454B31E">
            <w:pPr>
              <w:rPr>
                <w:rFonts w:ascii="Arial"/>
                <w:color w:val="auto"/>
                <w:sz w:val="21"/>
                <w:highlight w:val="none"/>
              </w:rPr>
            </w:pPr>
          </w:p>
        </w:tc>
        <w:tc>
          <w:tcPr>
            <w:tcW w:w="675" w:type="dxa"/>
            <w:tcBorders>
              <w:bottom w:val="single" w:color="000000" w:sz="6" w:space="0"/>
              <w:right w:val="single" w:color="000000" w:sz="6" w:space="0"/>
            </w:tcBorders>
            <w:vAlign w:val="top"/>
          </w:tcPr>
          <w:p w14:paraId="20FDC9C9">
            <w:pPr>
              <w:rPr>
                <w:rFonts w:ascii="Arial"/>
                <w:color w:val="auto"/>
                <w:sz w:val="21"/>
                <w:highlight w:val="none"/>
              </w:rPr>
            </w:pPr>
          </w:p>
        </w:tc>
      </w:tr>
    </w:tbl>
    <w:p w14:paraId="3AEF3793">
      <w:pPr>
        <w:spacing w:before="68" w:line="220" w:lineRule="auto"/>
        <w:rPr>
          <w:rFonts w:ascii="宋体" w:hAnsi="宋体" w:eastAsia="宋体" w:cs="宋体"/>
          <w:b/>
          <w:bCs/>
          <w:color w:val="auto"/>
          <w:spacing w:val="-3"/>
          <w:sz w:val="21"/>
          <w:szCs w:val="21"/>
          <w:highlight w:val="none"/>
        </w:rPr>
      </w:pPr>
    </w:p>
    <w:p w14:paraId="5034D9BE">
      <w:pPr>
        <w:spacing w:before="68" w:line="220" w:lineRule="auto"/>
        <w:ind w:left="2831"/>
        <w:rPr>
          <w:rFonts w:ascii="宋体" w:hAnsi="宋体" w:eastAsia="宋体" w:cs="宋体"/>
          <w:color w:val="auto"/>
          <w:sz w:val="21"/>
          <w:szCs w:val="21"/>
          <w:highlight w:val="none"/>
        </w:rPr>
      </w:pPr>
      <w:r>
        <w:rPr>
          <w:rFonts w:ascii="宋体" w:hAnsi="宋体" w:eastAsia="宋体" w:cs="宋体"/>
          <w:b/>
          <w:bCs/>
          <w:color w:val="auto"/>
          <w:spacing w:val="-3"/>
          <w:sz w:val="21"/>
          <w:szCs w:val="21"/>
          <w:highlight w:val="none"/>
        </w:rPr>
        <w:t>发包人提供的工程设备表（参考格式）</w:t>
      </w:r>
    </w:p>
    <w:p w14:paraId="1306C595">
      <w:pPr>
        <w:spacing w:line="128" w:lineRule="exact"/>
        <w:rPr>
          <w:color w:val="auto"/>
          <w:highlight w:val="none"/>
        </w:rPr>
      </w:pPr>
    </w:p>
    <w:tbl>
      <w:tblPr>
        <w:tblStyle w:val="32"/>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37"/>
        <w:gridCol w:w="1778"/>
        <w:gridCol w:w="1229"/>
        <w:gridCol w:w="802"/>
        <w:gridCol w:w="1119"/>
        <w:gridCol w:w="1107"/>
        <w:gridCol w:w="1557"/>
        <w:gridCol w:w="676"/>
      </w:tblGrid>
      <w:tr w14:paraId="7D51CC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9" w:hRule="atLeast"/>
        </w:trPr>
        <w:tc>
          <w:tcPr>
            <w:tcW w:w="637" w:type="dxa"/>
            <w:tcBorders>
              <w:top w:val="single" w:color="000000" w:sz="6" w:space="0"/>
              <w:left w:val="single" w:color="000000" w:sz="6" w:space="0"/>
            </w:tcBorders>
            <w:vAlign w:val="top"/>
          </w:tcPr>
          <w:p w14:paraId="67C6603C">
            <w:pPr>
              <w:pStyle w:val="33"/>
              <w:spacing w:before="125" w:line="222" w:lineRule="auto"/>
              <w:ind w:left="105"/>
              <w:rPr>
                <w:color w:val="auto"/>
                <w:sz w:val="21"/>
                <w:szCs w:val="21"/>
                <w:highlight w:val="none"/>
              </w:rPr>
            </w:pPr>
            <w:r>
              <w:rPr>
                <w:color w:val="auto"/>
                <w:spacing w:val="-2"/>
                <w:sz w:val="21"/>
                <w:szCs w:val="21"/>
                <w:highlight w:val="none"/>
              </w:rPr>
              <w:t>序号</w:t>
            </w:r>
          </w:p>
        </w:tc>
        <w:tc>
          <w:tcPr>
            <w:tcW w:w="1778" w:type="dxa"/>
            <w:tcBorders>
              <w:top w:val="single" w:color="000000" w:sz="6" w:space="0"/>
            </w:tcBorders>
            <w:vAlign w:val="top"/>
          </w:tcPr>
          <w:p w14:paraId="4E490353">
            <w:pPr>
              <w:pStyle w:val="33"/>
              <w:spacing w:before="125" w:line="221" w:lineRule="auto"/>
              <w:ind w:left="261"/>
              <w:rPr>
                <w:color w:val="auto"/>
                <w:sz w:val="21"/>
                <w:szCs w:val="21"/>
                <w:highlight w:val="none"/>
              </w:rPr>
            </w:pPr>
            <w:r>
              <w:rPr>
                <w:color w:val="auto"/>
                <w:spacing w:val="-2"/>
                <w:sz w:val="21"/>
                <w:szCs w:val="21"/>
                <w:highlight w:val="none"/>
              </w:rPr>
              <w:t>工程设备名称</w:t>
            </w:r>
          </w:p>
        </w:tc>
        <w:tc>
          <w:tcPr>
            <w:tcW w:w="1229" w:type="dxa"/>
            <w:tcBorders>
              <w:top w:val="single" w:color="000000" w:sz="6" w:space="0"/>
            </w:tcBorders>
            <w:vAlign w:val="top"/>
          </w:tcPr>
          <w:p w14:paraId="5A2163CC">
            <w:pPr>
              <w:pStyle w:val="33"/>
              <w:spacing w:before="124" w:line="221" w:lineRule="auto"/>
              <w:ind w:left="97"/>
              <w:rPr>
                <w:color w:val="auto"/>
                <w:sz w:val="21"/>
                <w:szCs w:val="21"/>
                <w:highlight w:val="none"/>
              </w:rPr>
            </w:pPr>
            <w:r>
              <w:rPr>
                <w:color w:val="auto"/>
                <w:spacing w:val="-3"/>
                <w:sz w:val="21"/>
                <w:szCs w:val="21"/>
                <w:highlight w:val="none"/>
              </w:rPr>
              <w:t>型号及规格</w:t>
            </w:r>
          </w:p>
        </w:tc>
        <w:tc>
          <w:tcPr>
            <w:tcW w:w="802" w:type="dxa"/>
            <w:tcBorders>
              <w:top w:val="single" w:color="000000" w:sz="6" w:space="0"/>
            </w:tcBorders>
            <w:vAlign w:val="top"/>
          </w:tcPr>
          <w:p w14:paraId="115FAA2D">
            <w:pPr>
              <w:pStyle w:val="33"/>
              <w:spacing w:before="124" w:line="221" w:lineRule="auto"/>
              <w:ind w:left="198"/>
              <w:rPr>
                <w:color w:val="auto"/>
                <w:sz w:val="21"/>
                <w:szCs w:val="21"/>
                <w:highlight w:val="none"/>
              </w:rPr>
            </w:pPr>
            <w:r>
              <w:rPr>
                <w:color w:val="auto"/>
                <w:spacing w:val="-2"/>
                <w:sz w:val="21"/>
                <w:szCs w:val="21"/>
                <w:highlight w:val="none"/>
              </w:rPr>
              <w:t>数量</w:t>
            </w:r>
          </w:p>
        </w:tc>
        <w:tc>
          <w:tcPr>
            <w:tcW w:w="1119" w:type="dxa"/>
            <w:tcBorders>
              <w:top w:val="single" w:color="000000" w:sz="6" w:space="0"/>
            </w:tcBorders>
            <w:vAlign w:val="top"/>
          </w:tcPr>
          <w:p w14:paraId="58D6B9D0">
            <w:pPr>
              <w:pStyle w:val="33"/>
              <w:spacing w:before="125" w:line="220" w:lineRule="auto"/>
              <w:ind w:left="152"/>
              <w:rPr>
                <w:color w:val="auto"/>
                <w:sz w:val="21"/>
                <w:szCs w:val="21"/>
                <w:highlight w:val="none"/>
              </w:rPr>
            </w:pPr>
            <w:r>
              <w:rPr>
                <w:color w:val="auto"/>
                <w:spacing w:val="-3"/>
                <w:sz w:val="21"/>
                <w:szCs w:val="21"/>
                <w:highlight w:val="none"/>
              </w:rPr>
              <w:t>交货地点</w:t>
            </w:r>
          </w:p>
        </w:tc>
        <w:tc>
          <w:tcPr>
            <w:tcW w:w="1107" w:type="dxa"/>
            <w:tcBorders>
              <w:top w:val="single" w:color="000000" w:sz="6" w:space="0"/>
            </w:tcBorders>
            <w:vAlign w:val="top"/>
          </w:tcPr>
          <w:p w14:paraId="4FA8BC0F">
            <w:pPr>
              <w:pStyle w:val="33"/>
              <w:spacing w:before="125" w:line="220" w:lineRule="auto"/>
              <w:ind w:left="147"/>
              <w:rPr>
                <w:color w:val="auto"/>
                <w:sz w:val="21"/>
                <w:szCs w:val="21"/>
                <w:highlight w:val="none"/>
              </w:rPr>
            </w:pPr>
            <w:r>
              <w:rPr>
                <w:color w:val="auto"/>
                <w:spacing w:val="-3"/>
                <w:sz w:val="21"/>
                <w:szCs w:val="21"/>
                <w:highlight w:val="none"/>
              </w:rPr>
              <w:t>交货方式</w:t>
            </w:r>
          </w:p>
        </w:tc>
        <w:tc>
          <w:tcPr>
            <w:tcW w:w="1557" w:type="dxa"/>
            <w:tcBorders>
              <w:top w:val="single" w:color="000000" w:sz="6" w:space="0"/>
            </w:tcBorders>
            <w:vAlign w:val="top"/>
          </w:tcPr>
          <w:p w14:paraId="47E21331">
            <w:pPr>
              <w:pStyle w:val="33"/>
              <w:spacing w:before="125" w:line="220" w:lineRule="auto"/>
              <w:ind w:left="159"/>
              <w:rPr>
                <w:color w:val="auto"/>
                <w:sz w:val="21"/>
                <w:szCs w:val="21"/>
                <w:highlight w:val="none"/>
              </w:rPr>
            </w:pPr>
            <w:r>
              <w:rPr>
                <w:color w:val="auto"/>
                <w:spacing w:val="-1"/>
                <w:sz w:val="21"/>
                <w:szCs w:val="21"/>
                <w:highlight w:val="none"/>
              </w:rPr>
              <w:t>计划交货日期</w:t>
            </w:r>
          </w:p>
        </w:tc>
        <w:tc>
          <w:tcPr>
            <w:tcW w:w="676" w:type="dxa"/>
            <w:tcBorders>
              <w:top w:val="single" w:color="000000" w:sz="6" w:space="0"/>
              <w:right w:val="single" w:color="000000" w:sz="6" w:space="0"/>
            </w:tcBorders>
            <w:vAlign w:val="top"/>
          </w:tcPr>
          <w:p w14:paraId="22E8E1A5">
            <w:pPr>
              <w:pStyle w:val="33"/>
              <w:spacing w:before="125" w:line="222" w:lineRule="auto"/>
              <w:ind w:left="138"/>
              <w:rPr>
                <w:color w:val="auto"/>
                <w:sz w:val="21"/>
                <w:szCs w:val="21"/>
                <w:highlight w:val="none"/>
              </w:rPr>
            </w:pPr>
            <w:r>
              <w:rPr>
                <w:color w:val="auto"/>
                <w:spacing w:val="-3"/>
                <w:sz w:val="21"/>
                <w:szCs w:val="21"/>
                <w:highlight w:val="none"/>
              </w:rPr>
              <w:t>备注</w:t>
            </w:r>
          </w:p>
        </w:tc>
      </w:tr>
      <w:tr w14:paraId="487C27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7" w:hRule="atLeast"/>
        </w:trPr>
        <w:tc>
          <w:tcPr>
            <w:tcW w:w="637" w:type="dxa"/>
            <w:tcBorders>
              <w:left w:val="single" w:color="000000" w:sz="6" w:space="0"/>
            </w:tcBorders>
            <w:vAlign w:val="top"/>
          </w:tcPr>
          <w:p w14:paraId="1C3395B7">
            <w:pPr>
              <w:rPr>
                <w:rFonts w:ascii="Arial"/>
                <w:color w:val="auto"/>
                <w:sz w:val="21"/>
                <w:highlight w:val="none"/>
              </w:rPr>
            </w:pPr>
          </w:p>
        </w:tc>
        <w:tc>
          <w:tcPr>
            <w:tcW w:w="1778" w:type="dxa"/>
            <w:vAlign w:val="top"/>
          </w:tcPr>
          <w:p w14:paraId="03FA83F7">
            <w:pPr>
              <w:rPr>
                <w:rFonts w:ascii="Arial"/>
                <w:color w:val="auto"/>
                <w:sz w:val="21"/>
                <w:highlight w:val="none"/>
              </w:rPr>
            </w:pPr>
          </w:p>
        </w:tc>
        <w:tc>
          <w:tcPr>
            <w:tcW w:w="1229" w:type="dxa"/>
            <w:vAlign w:val="top"/>
          </w:tcPr>
          <w:p w14:paraId="6B7A6444">
            <w:pPr>
              <w:rPr>
                <w:rFonts w:ascii="Arial"/>
                <w:color w:val="auto"/>
                <w:sz w:val="21"/>
                <w:highlight w:val="none"/>
              </w:rPr>
            </w:pPr>
          </w:p>
        </w:tc>
        <w:tc>
          <w:tcPr>
            <w:tcW w:w="802" w:type="dxa"/>
            <w:vAlign w:val="top"/>
          </w:tcPr>
          <w:p w14:paraId="4A5E04F3">
            <w:pPr>
              <w:rPr>
                <w:rFonts w:ascii="Arial"/>
                <w:color w:val="auto"/>
                <w:sz w:val="21"/>
                <w:highlight w:val="none"/>
              </w:rPr>
            </w:pPr>
          </w:p>
        </w:tc>
        <w:tc>
          <w:tcPr>
            <w:tcW w:w="1119" w:type="dxa"/>
            <w:vAlign w:val="top"/>
          </w:tcPr>
          <w:p w14:paraId="2F44EA8D">
            <w:pPr>
              <w:rPr>
                <w:rFonts w:ascii="Arial"/>
                <w:color w:val="auto"/>
                <w:sz w:val="21"/>
                <w:highlight w:val="none"/>
              </w:rPr>
            </w:pPr>
          </w:p>
        </w:tc>
        <w:tc>
          <w:tcPr>
            <w:tcW w:w="1107" w:type="dxa"/>
            <w:vAlign w:val="top"/>
          </w:tcPr>
          <w:p w14:paraId="3952C9CE">
            <w:pPr>
              <w:rPr>
                <w:rFonts w:ascii="Arial"/>
                <w:color w:val="auto"/>
                <w:sz w:val="21"/>
                <w:highlight w:val="none"/>
              </w:rPr>
            </w:pPr>
          </w:p>
        </w:tc>
        <w:tc>
          <w:tcPr>
            <w:tcW w:w="1557" w:type="dxa"/>
            <w:vAlign w:val="top"/>
          </w:tcPr>
          <w:p w14:paraId="79DA4C7B">
            <w:pPr>
              <w:rPr>
                <w:rFonts w:ascii="Arial"/>
                <w:color w:val="auto"/>
                <w:sz w:val="21"/>
                <w:highlight w:val="none"/>
              </w:rPr>
            </w:pPr>
          </w:p>
        </w:tc>
        <w:tc>
          <w:tcPr>
            <w:tcW w:w="676" w:type="dxa"/>
            <w:tcBorders>
              <w:right w:val="single" w:color="000000" w:sz="6" w:space="0"/>
            </w:tcBorders>
            <w:vAlign w:val="top"/>
          </w:tcPr>
          <w:p w14:paraId="6D4FCB67">
            <w:pPr>
              <w:rPr>
                <w:rFonts w:ascii="Arial"/>
                <w:color w:val="auto"/>
                <w:sz w:val="21"/>
                <w:highlight w:val="none"/>
              </w:rPr>
            </w:pPr>
          </w:p>
        </w:tc>
      </w:tr>
      <w:tr w14:paraId="33BE4E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637" w:type="dxa"/>
            <w:tcBorders>
              <w:left w:val="single" w:color="000000" w:sz="6" w:space="0"/>
            </w:tcBorders>
            <w:vAlign w:val="top"/>
          </w:tcPr>
          <w:p w14:paraId="41009D3A">
            <w:pPr>
              <w:rPr>
                <w:rFonts w:ascii="Arial"/>
                <w:color w:val="auto"/>
                <w:sz w:val="21"/>
                <w:highlight w:val="none"/>
              </w:rPr>
            </w:pPr>
          </w:p>
        </w:tc>
        <w:tc>
          <w:tcPr>
            <w:tcW w:w="1778" w:type="dxa"/>
            <w:vAlign w:val="top"/>
          </w:tcPr>
          <w:p w14:paraId="4DBE97BD">
            <w:pPr>
              <w:rPr>
                <w:rFonts w:ascii="Arial"/>
                <w:color w:val="auto"/>
                <w:sz w:val="21"/>
                <w:highlight w:val="none"/>
              </w:rPr>
            </w:pPr>
          </w:p>
        </w:tc>
        <w:tc>
          <w:tcPr>
            <w:tcW w:w="1229" w:type="dxa"/>
            <w:vAlign w:val="top"/>
          </w:tcPr>
          <w:p w14:paraId="2FE4CF81">
            <w:pPr>
              <w:rPr>
                <w:rFonts w:ascii="Arial"/>
                <w:color w:val="auto"/>
                <w:sz w:val="21"/>
                <w:highlight w:val="none"/>
              </w:rPr>
            </w:pPr>
          </w:p>
        </w:tc>
        <w:tc>
          <w:tcPr>
            <w:tcW w:w="802" w:type="dxa"/>
            <w:vAlign w:val="top"/>
          </w:tcPr>
          <w:p w14:paraId="52946897">
            <w:pPr>
              <w:rPr>
                <w:rFonts w:ascii="Arial"/>
                <w:color w:val="auto"/>
                <w:sz w:val="21"/>
                <w:highlight w:val="none"/>
              </w:rPr>
            </w:pPr>
          </w:p>
        </w:tc>
        <w:tc>
          <w:tcPr>
            <w:tcW w:w="1119" w:type="dxa"/>
            <w:vAlign w:val="top"/>
          </w:tcPr>
          <w:p w14:paraId="6F8A3D3F">
            <w:pPr>
              <w:rPr>
                <w:rFonts w:ascii="Arial"/>
                <w:color w:val="auto"/>
                <w:sz w:val="21"/>
                <w:highlight w:val="none"/>
              </w:rPr>
            </w:pPr>
          </w:p>
        </w:tc>
        <w:tc>
          <w:tcPr>
            <w:tcW w:w="1107" w:type="dxa"/>
            <w:vAlign w:val="top"/>
          </w:tcPr>
          <w:p w14:paraId="6B04AC3B">
            <w:pPr>
              <w:rPr>
                <w:rFonts w:ascii="Arial"/>
                <w:color w:val="auto"/>
                <w:sz w:val="21"/>
                <w:highlight w:val="none"/>
              </w:rPr>
            </w:pPr>
          </w:p>
        </w:tc>
        <w:tc>
          <w:tcPr>
            <w:tcW w:w="1557" w:type="dxa"/>
            <w:vAlign w:val="top"/>
          </w:tcPr>
          <w:p w14:paraId="50C1535D">
            <w:pPr>
              <w:rPr>
                <w:rFonts w:ascii="Arial"/>
                <w:color w:val="auto"/>
                <w:sz w:val="21"/>
                <w:highlight w:val="none"/>
              </w:rPr>
            </w:pPr>
          </w:p>
        </w:tc>
        <w:tc>
          <w:tcPr>
            <w:tcW w:w="676" w:type="dxa"/>
            <w:tcBorders>
              <w:right w:val="single" w:color="000000" w:sz="6" w:space="0"/>
            </w:tcBorders>
            <w:vAlign w:val="top"/>
          </w:tcPr>
          <w:p w14:paraId="1C5FD893">
            <w:pPr>
              <w:rPr>
                <w:rFonts w:ascii="Arial"/>
                <w:color w:val="auto"/>
                <w:sz w:val="21"/>
                <w:highlight w:val="none"/>
              </w:rPr>
            </w:pPr>
          </w:p>
        </w:tc>
      </w:tr>
      <w:tr w14:paraId="3CAEB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637" w:type="dxa"/>
            <w:tcBorders>
              <w:left w:val="single" w:color="000000" w:sz="6" w:space="0"/>
              <w:bottom w:val="single" w:color="000000" w:sz="6" w:space="0"/>
            </w:tcBorders>
            <w:vAlign w:val="top"/>
          </w:tcPr>
          <w:p w14:paraId="1DD30731">
            <w:pPr>
              <w:rPr>
                <w:rFonts w:ascii="Arial"/>
                <w:color w:val="auto"/>
                <w:sz w:val="21"/>
                <w:highlight w:val="none"/>
              </w:rPr>
            </w:pPr>
          </w:p>
        </w:tc>
        <w:tc>
          <w:tcPr>
            <w:tcW w:w="1778" w:type="dxa"/>
            <w:tcBorders>
              <w:bottom w:val="single" w:color="000000" w:sz="6" w:space="0"/>
            </w:tcBorders>
            <w:vAlign w:val="top"/>
          </w:tcPr>
          <w:p w14:paraId="1D6EA2A4">
            <w:pPr>
              <w:rPr>
                <w:rFonts w:ascii="Arial"/>
                <w:color w:val="auto"/>
                <w:sz w:val="21"/>
                <w:highlight w:val="none"/>
              </w:rPr>
            </w:pPr>
          </w:p>
        </w:tc>
        <w:tc>
          <w:tcPr>
            <w:tcW w:w="1229" w:type="dxa"/>
            <w:tcBorders>
              <w:bottom w:val="single" w:color="000000" w:sz="6" w:space="0"/>
            </w:tcBorders>
            <w:vAlign w:val="top"/>
          </w:tcPr>
          <w:p w14:paraId="640B241F">
            <w:pPr>
              <w:rPr>
                <w:rFonts w:ascii="Arial"/>
                <w:color w:val="auto"/>
                <w:sz w:val="21"/>
                <w:highlight w:val="none"/>
              </w:rPr>
            </w:pPr>
          </w:p>
        </w:tc>
        <w:tc>
          <w:tcPr>
            <w:tcW w:w="802" w:type="dxa"/>
            <w:tcBorders>
              <w:bottom w:val="single" w:color="000000" w:sz="6" w:space="0"/>
            </w:tcBorders>
            <w:vAlign w:val="top"/>
          </w:tcPr>
          <w:p w14:paraId="2EE8D971">
            <w:pPr>
              <w:rPr>
                <w:rFonts w:ascii="Arial"/>
                <w:color w:val="auto"/>
                <w:sz w:val="21"/>
                <w:highlight w:val="none"/>
              </w:rPr>
            </w:pPr>
          </w:p>
        </w:tc>
        <w:tc>
          <w:tcPr>
            <w:tcW w:w="1119" w:type="dxa"/>
            <w:tcBorders>
              <w:bottom w:val="single" w:color="000000" w:sz="6" w:space="0"/>
            </w:tcBorders>
            <w:vAlign w:val="top"/>
          </w:tcPr>
          <w:p w14:paraId="7B6053A6">
            <w:pPr>
              <w:rPr>
                <w:rFonts w:ascii="Arial"/>
                <w:color w:val="auto"/>
                <w:sz w:val="21"/>
                <w:highlight w:val="none"/>
              </w:rPr>
            </w:pPr>
          </w:p>
        </w:tc>
        <w:tc>
          <w:tcPr>
            <w:tcW w:w="1107" w:type="dxa"/>
            <w:tcBorders>
              <w:bottom w:val="single" w:color="000000" w:sz="6" w:space="0"/>
            </w:tcBorders>
            <w:vAlign w:val="top"/>
          </w:tcPr>
          <w:p w14:paraId="45AECD79">
            <w:pPr>
              <w:rPr>
                <w:rFonts w:ascii="Arial"/>
                <w:color w:val="auto"/>
                <w:sz w:val="21"/>
                <w:highlight w:val="none"/>
              </w:rPr>
            </w:pPr>
          </w:p>
        </w:tc>
        <w:tc>
          <w:tcPr>
            <w:tcW w:w="1557" w:type="dxa"/>
            <w:tcBorders>
              <w:bottom w:val="single" w:color="000000" w:sz="6" w:space="0"/>
            </w:tcBorders>
            <w:vAlign w:val="top"/>
          </w:tcPr>
          <w:p w14:paraId="796E69E8">
            <w:pPr>
              <w:rPr>
                <w:rFonts w:ascii="Arial"/>
                <w:color w:val="auto"/>
                <w:sz w:val="21"/>
                <w:highlight w:val="none"/>
              </w:rPr>
            </w:pPr>
          </w:p>
        </w:tc>
        <w:tc>
          <w:tcPr>
            <w:tcW w:w="676" w:type="dxa"/>
            <w:tcBorders>
              <w:bottom w:val="single" w:color="000000" w:sz="6" w:space="0"/>
              <w:right w:val="single" w:color="000000" w:sz="6" w:space="0"/>
            </w:tcBorders>
            <w:vAlign w:val="top"/>
          </w:tcPr>
          <w:p w14:paraId="388575A2">
            <w:pPr>
              <w:rPr>
                <w:rFonts w:ascii="Arial"/>
                <w:color w:val="auto"/>
                <w:sz w:val="21"/>
                <w:highlight w:val="none"/>
              </w:rPr>
            </w:pPr>
          </w:p>
        </w:tc>
      </w:tr>
    </w:tbl>
    <w:p w14:paraId="43AB1FC0">
      <w:pPr>
        <w:pStyle w:val="3"/>
        <w:rPr>
          <w:color w:val="auto"/>
          <w:highlight w:val="none"/>
        </w:rPr>
      </w:pPr>
    </w:p>
    <w:p w14:paraId="77961609">
      <w:pPr>
        <w:pStyle w:val="3"/>
        <w:rPr>
          <w:color w:val="auto"/>
          <w:highlight w:val="none"/>
        </w:rPr>
      </w:pPr>
    </w:p>
    <w:p w14:paraId="0D407CFE">
      <w:pPr>
        <w:spacing w:before="91" w:line="220" w:lineRule="auto"/>
        <w:ind w:left="10"/>
        <w:outlineLvl w:val="0"/>
        <w:rPr>
          <w:rFonts w:ascii="宋体" w:hAnsi="宋体" w:eastAsia="宋体" w:cs="宋体"/>
          <w:color w:val="auto"/>
          <w:sz w:val="28"/>
          <w:szCs w:val="28"/>
          <w:highlight w:val="none"/>
        </w:rPr>
      </w:pPr>
      <w:bookmarkStart w:id="533" w:name="bookmark664"/>
      <w:bookmarkEnd w:id="533"/>
      <w:bookmarkStart w:id="534" w:name="bookmark666"/>
      <w:bookmarkEnd w:id="534"/>
      <w:bookmarkStart w:id="535" w:name="bookmark663"/>
      <w:bookmarkEnd w:id="535"/>
      <w:bookmarkStart w:id="536" w:name="_Toc9894"/>
      <w:bookmarkStart w:id="537" w:name="_Toc9842"/>
      <w:r>
        <w:rPr>
          <w:rFonts w:ascii="Times New Roman" w:hAnsi="Times New Roman" w:eastAsia="Times New Roman" w:cs="Times New Roman"/>
          <w:b/>
          <w:bCs/>
          <w:color w:val="auto"/>
          <w:spacing w:val="-3"/>
          <w:sz w:val="28"/>
          <w:szCs w:val="28"/>
          <w:highlight w:val="none"/>
        </w:rPr>
        <w:t xml:space="preserve">6  </w:t>
      </w:r>
      <w:r>
        <w:rPr>
          <w:rFonts w:ascii="宋体" w:hAnsi="宋体" w:eastAsia="宋体" w:cs="宋体"/>
          <w:b/>
          <w:bCs/>
          <w:color w:val="auto"/>
          <w:spacing w:val="-3"/>
          <w:sz w:val="28"/>
          <w:szCs w:val="28"/>
          <w:highlight w:val="none"/>
        </w:rPr>
        <w:t>施工设备和临时设施</w:t>
      </w:r>
      <w:bookmarkEnd w:id="536"/>
      <w:bookmarkEnd w:id="537"/>
    </w:p>
    <w:p w14:paraId="6A0BE116">
      <w:pPr>
        <w:pStyle w:val="3"/>
        <w:spacing w:line="245" w:lineRule="auto"/>
        <w:rPr>
          <w:color w:val="auto"/>
          <w:highlight w:val="none"/>
        </w:rPr>
      </w:pPr>
    </w:p>
    <w:p w14:paraId="6EB73217">
      <w:pPr>
        <w:spacing w:before="78" w:line="219" w:lineRule="auto"/>
        <w:ind w:left="8"/>
        <w:outlineLvl w:val="1"/>
        <w:rPr>
          <w:rFonts w:ascii="宋体" w:hAnsi="宋体" w:eastAsia="宋体" w:cs="宋体"/>
          <w:color w:val="auto"/>
          <w:sz w:val="24"/>
          <w:szCs w:val="24"/>
          <w:highlight w:val="none"/>
        </w:rPr>
      </w:pPr>
      <w:bookmarkStart w:id="538" w:name="bookmark665"/>
      <w:bookmarkEnd w:id="538"/>
      <w:bookmarkStart w:id="539" w:name="_Toc18973"/>
      <w:bookmarkStart w:id="540" w:name="_Toc12991"/>
      <w:r>
        <w:rPr>
          <w:rFonts w:ascii="Times New Roman" w:hAnsi="Times New Roman" w:eastAsia="Times New Roman" w:cs="Times New Roman"/>
          <w:b/>
          <w:bCs/>
          <w:color w:val="auto"/>
          <w:spacing w:val="-2"/>
          <w:sz w:val="24"/>
          <w:szCs w:val="24"/>
          <w:highlight w:val="none"/>
        </w:rPr>
        <w:t xml:space="preserve">6.2  </w:t>
      </w:r>
      <w:r>
        <w:rPr>
          <w:rFonts w:ascii="宋体" w:hAnsi="宋体" w:eastAsia="宋体" w:cs="宋体"/>
          <w:b/>
          <w:bCs/>
          <w:color w:val="auto"/>
          <w:spacing w:val="-2"/>
          <w:sz w:val="24"/>
          <w:szCs w:val="24"/>
          <w:highlight w:val="none"/>
        </w:rPr>
        <w:t>发包人提供的施工设备和临时设施</w:t>
      </w:r>
      <w:bookmarkEnd w:id="539"/>
      <w:bookmarkEnd w:id="540"/>
    </w:p>
    <w:p w14:paraId="3E0CC480">
      <w:pPr>
        <w:spacing w:before="183" w:line="219" w:lineRule="auto"/>
        <w:ind w:left="495"/>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）发包人提供的施工设备见下表：</w:t>
      </w:r>
    </w:p>
    <w:p w14:paraId="4EE0C9EA">
      <w:pPr>
        <w:spacing w:before="175" w:line="220" w:lineRule="auto"/>
        <w:ind w:left="2831"/>
        <w:rPr>
          <w:rFonts w:ascii="宋体" w:hAnsi="宋体" w:eastAsia="宋体" w:cs="宋体"/>
          <w:color w:val="auto"/>
          <w:sz w:val="21"/>
          <w:szCs w:val="21"/>
          <w:highlight w:val="none"/>
        </w:rPr>
      </w:pPr>
      <w:r>
        <w:rPr>
          <w:rFonts w:ascii="宋体" w:hAnsi="宋体" w:eastAsia="宋体" w:cs="宋体"/>
          <w:b/>
          <w:bCs/>
          <w:color w:val="auto"/>
          <w:spacing w:val="-3"/>
          <w:sz w:val="21"/>
          <w:szCs w:val="21"/>
          <w:highlight w:val="none"/>
        </w:rPr>
        <w:t>发包人提供的施工设备表（参考格式）</w:t>
      </w:r>
    </w:p>
    <w:p w14:paraId="27DB37E0">
      <w:pPr>
        <w:spacing w:line="128" w:lineRule="exact"/>
        <w:rPr>
          <w:color w:val="auto"/>
          <w:highlight w:val="none"/>
        </w:rPr>
      </w:pPr>
    </w:p>
    <w:tbl>
      <w:tblPr>
        <w:tblStyle w:val="32"/>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83"/>
        <w:gridCol w:w="1536"/>
        <w:gridCol w:w="1325"/>
        <w:gridCol w:w="1215"/>
        <w:gridCol w:w="707"/>
        <w:gridCol w:w="1107"/>
        <w:gridCol w:w="1557"/>
        <w:gridCol w:w="675"/>
      </w:tblGrid>
      <w:tr w14:paraId="630CE8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1" w:hRule="atLeast"/>
        </w:trPr>
        <w:tc>
          <w:tcPr>
            <w:tcW w:w="783" w:type="dxa"/>
            <w:tcBorders>
              <w:top w:val="single" w:color="000000" w:sz="6" w:space="0"/>
              <w:left w:val="single" w:color="000000" w:sz="6" w:space="0"/>
            </w:tcBorders>
            <w:vAlign w:val="top"/>
          </w:tcPr>
          <w:p w14:paraId="6C590CCE">
            <w:pPr>
              <w:pStyle w:val="33"/>
              <w:spacing w:before="125" w:line="222" w:lineRule="auto"/>
              <w:ind w:left="179"/>
              <w:rPr>
                <w:color w:val="auto"/>
                <w:sz w:val="21"/>
                <w:szCs w:val="21"/>
                <w:highlight w:val="none"/>
              </w:rPr>
            </w:pPr>
            <w:r>
              <w:rPr>
                <w:color w:val="auto"/>
                <w:spacing w:val="-2"/>
                <w:sz w:val="21"/>
                <w:szCs w:val="21"/>
                <w:highlight w:val="none"/>
              </w:rPr>
              <w:t>序号</w:t>
            </w:r>
          </w:p>
        </w:tc>
        <w:tc>
          <w:tcPr>
            <w:tcW w:w="1536" w:type="dxa"/>
            <w:tcBorders>
              <w:top w:val="single" w:color="000000" w:sz="6" w:space="0"/>
            </w:tcBorders>
            <w:vAlign w:val="top"/>
          </w:tcPr>
          <w:p w14:paraId="185F9CE0">
            <w:pPr>
              <w:pStyle w:val="33"/>
              <w:spacing w:before="125" w:line="222" w:lineRule="auto"/>
              <w:ind w:left="138"/>
              <w:rPr>
                <w:color w:val="auto"/>
                <w:sz w:val="21"/>
                <w:szCs w:val="21"/>
                <w:highlight w:val="none"/>
              </w:rPr>
            </w:pPr>
            <w:r>
              <w:rPr>
                <w:color w:val="auto"/>
                <w:spacing w:val="-1"/>
                <w:sz w:val="21"/>
                <w:szCs w:val="21"/>
                <w:highlight w:val="none"/>
              </w:rPr>
              <w:t>施工设备名称</w:t>
            </w:r>
          </w:p>
        </w:tc>
        <w:tc>
          <w:tcPr>
            <w:tcW w:w="1325" w:type="dxa"/>
            <w:tcBorders>
              <w:top w:val="single" w:color="000000" w:sz="6" w:space="0"/>
            </w:tcBorders>
            <w:vAlign w:val="top"/>
          </w:tcPr>
          <w:p w14:paraId="3A22CDF4">
            <w:pPr>
              <w:pStyle w:val="33"/>
              <w:spacing w:before="124" w:line="221" w:lineRule="auto"/>
              <w:ind w:left="145"/>
              <w:rPr>
                <w:color w:val="auto"/>
                <w:sz w:val="21"/>
                <w:szCs w:val="21"/>
                <w:highlight w:val="none"/>
              </w:rPr>
            </w:pPr>
            <w:r>
              <w:rPr>
                <w:color w:val="auto"/>
                <w:spacing w:val="-3"/>
                <w:sz w:val="21"/>
                <w:szCs w:val="21"/>
                <w:highlight w:val="none"/>
              </w:rPr>
              <w:t>型号及规格</w:t>
            </w:r>
          </w:p>
        </w:tc>
        <w:tc>
          <w:tcPr>
            <w:tcW w:w="1215" w:type="dxa"/>
            <w:tcBorders>
              <w:top w:val="single" w:color="000000" w:sz="6" w:space="0"/>
            </w:tcBorders>
            <w:vAlign w:val="top"/>
          </w:tcPr>
          <w:p w14:paraId="407E7148">
            <w:pPr>
              <w:pStyle w:val="33"/>
              <w:spacing w:before="124" w:line="221" w:lineRule="auto"/>
              <w:ind w:left="195"/>
              <w:rPr>
                <w:color w:val="auto"/>
                <w:sz w:val="21"/>
                <w:szCs w:val="21"/>
                <w:highlight w:val="none"/>
              </w:rPr>
            </w:pPr>
            <w:r>
              <w:rPr>
                <w:color w:val="auto"/>
                <w:spacing w:val="-3"/>
                <w:sz w:val="21"/>
                <w:szCs w:val="21"/>
                <w:highlight w:val="none"/>
              </w:rPr>
              <w:t>设备状况</w:t>
            </w:r>
          </w:p>
        </w:tc>
        <w:tc>
          <w:tcPr>
            <w:tcW w:w="707" w:type="dxa"/>
            <w:tcBorders>
              <w:top w:val="single" w:color="000000" w:sz="6" w:space="0"/>
            </w:tcBorders>
            <w:vAlign w:val="top"/>
          </w:tcPr>
          <w:p w14:paraId="4FC0C0F7">
            <w:pPr>
              <w:pStyle w:val="33"/>
              <w:spacing w:before="124" w:line="221" w:lineRule="auto"/>
              <w:ind w:left="152"/>
              <w:rPr>
                <w:color w:val="auto"/>
                <w:sz w:val="21"/>
                <w:szCs w:val="21"/>
                <w:highlight w:val="none"/>
              </w:rPr>
            </w:pPr>
            <w:r>
              <w:rPr>
                <w:color w:val="auto"/>
                <w:spacing w:val="-2"/>
                <w:sz w:val="21"/>
                <w:szCs w:val="21"/>
                <w:highlight w:val="none"/>
              </w:rPr>
              <w:t>数量</w:t>
            </w:r>
          </w:p>
        </w:tc>
        <w:tc>
          <w:tcPr>
            <w:tcW w:w="1107" w:type="dxa"/>
            <w:tcBorders>
              <w:top w:val="single" w:color="000000" w:sz="6" w:space="0"/>
            </w:tcBorders>
            <w:vAlign w:val="top"/>
          </w:tcPr>
          <w:p w14:paraId="1BB6B7C0">
            <w:pPr>
              <w:pStyle w:val="33"/>
              <w:spacing w:before="125" w:line="222" w:lineRule="auto"/>
              <w:ind w:left="142"/>
              <w:rPr>
                <w:color w:val="auto"/>
                <w:sz w:val="21"/>
                <w:szCs w:val="21"/>
                <w:highlight w:val="none"/>
              </w:rPr>
            </w:pPr>
            <w:r>
              <w:rPr>
                <w:color w:val="auto"/>
                <w:spacing w:val="-2"/>
                <w:sz w:val="21"/>
                <w:szCs w:val="21"/>
                <w:highlight w:val="none"/>
              </w:rPr>
              <w:t>移交地点</w:t>
            </w:r>
          </w:p>
        </w:tc>
        <w:tc>
          <w:tcPr>
            <w:tcW w:w="1557" w:type="dxa"/>
            <w:tcBorders>
              <w:top w:val="single" w:color="000000" w:sz="6" w:space="0"/>
            </w:tcBorders>
            <w:vAlign w:val="top"/>
          </w:tcPr>
          <w:p w14:paraId="482C851D">
            <w:pPr>
              <w:pStyle w:val="33"/>
              <w:spacing w:before="125" w:line="221" w:lineRule="auto"/>
              <w:ind w:left="158"/>
              <w:rPr>
                <w:color w:val="auto"/>
                <w:sz w:val="21"/>
                <w:szCs w:val="21"/>
                <w:highlight w:val="none"/>
              </w:rPr>
            </w:pPr>
            <w:r>
              <w:rPr>
                <w:color w:val="auto"/>
                <w:spacing w:val="-1"/>
                <w:sz w:val="21"/>
                <w:szCs w:val="21"/>
                <w:highlight w:val="none"/>
              </w:rPr>
              <w:t>计划移交日期</w:t>
            </w:r>
          </w:p>
        </w:tc>
        <w:tc>
          <w:tcPr>
            <w:tcW w:w="675" w:type="dxa"/>
            <w:tcBorders>
              <w:top w:val="single" w:color="000000" w:sz="6" w:space="0"/>
              <w:right w:val="single" w:color="000000" w:sz="6" w:space="0"/>
            </w:tcBorders>
            <w:vAlign w:val="top"/>
          </w:tcPr>
          <w:p w14:paraId="627FD003">
            <w:pPr>
              <w:pStyle w:val="33"/>
              <w:spacing w:before="125" w:line="222" w:lineRule="auto"/>
              <w:ind w:left="137"/>
              <w:rPr>
                <w:color w:val="auto"/>
                <w:sz w:val="21"/>
                <w:szCs w:val="21"/>
                <w:highlight w:val="none"/>
              </w:rPr>
            </w:pPr>
            <w:r>
              <w:rPr>
                <w:color w:val="auto"/>
                <w:spacing w:val="-3"/>
                <w:sz w:val="21"/>
                <w:szCs w:val="21"/>
                <w:highlight w:val="none"/>
              </w:rPr>
              <w:t>备注</w:t>
            </w:r>
          </w:p>
        </w:tc>
      </w:tr>
      <w:tr w14:paraId="495FB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783" w:type="dxa"/>
            <w:tcBorders>
              <w:left w:val="single" w:color="000000" w:sz="6" w:space="0"/>
            </w:tcBorders>
            <w:vAlign w:val="top"/>
          </w:tcPr>
          <w:p w14:paraId="5168E2D7">
            <w:pPr>
              <w:rPr>
                <w:rFonts w:ascii="Arial"/>
                <w:color w:val="auto"/>
                <w:sz w:val="21"/>
                <w:highlight w:val="none"/>
              </w:rPr>
            </w:pPr>
          </w:p>
        </w:tc>
        <w:tc>
          <w:tcPr>
            <w:tcW w:w="1536" w:type="dxa"/>
            <w:vAlign w:val="top"/>
          </w:tcPr>
          <w:p w14:paraId="61D8E43E">
            <w:pPr>
              <w:rPr>
                <w:rFonts w:ascii="Arial"/>
                <w:color w:val="auto"/>
                <w:sz w:val="21"/>
                <w:highlight w:val="none"/>
              </w:rPr>
            </w:pPr>
          </w:p>
        </w:tc>
        <w:tc>
          <w:tcPr>
            <w:tcW w:w="1325" w:type="dxa"/>
            <w:vAlign w:val="top"/>
          </w:tcPr>
          <w:p w14:paraId="700FD584">
            <w:pPr>
              <w:rPr>
                <w:rFonts w:ascii="Arial"/>
                <w:color w:val="auto"/>
                <w:sz w:val="21"/>
                <w:highlight w:val="none"/>
              </w:rPr>
            </w:pPr>
          </w:p>
        </w:tc>
        <w:tc>
          <w:tcPr>
            <w:tcW w:w="1215" w:type="dxa"/>
            <w:vAlign w:val="top"/>
          </w:tcPr>
          <w:p w14:paraId="4A94DD40">
            <w:pPr>
              <w:rPr>
                <w:rFonts w:ascii="Arial"/>
                <w:color w:val="auto"/>
                <w:sz w:val="21"/>
                <w:highlight w:val="none"/>
              </w:rPr>
            </w:pPr>
          </w:p>
        </w:tc>
        <w:tc>
          <w:tcPr>
            <w:tcW w:w="707" w:type="dxa"/>
            <w:vAlign w:val="top"/>
          </w:tcPr>
          <w:p w14:paraId="1087CC55">
            <w:pPr>
              <w:rPr>
                <w:rFonts w:ascii="Arial"/>
                <w:color w:val="auto"/>
                <w:sz w:val="21"/>
                <w:highlight w:val="none"/>
              </w:rPr>
            </w:pPr>
          </w:p>
        </w:tc>
        <w:tc>
          <w:tcPr>
            <w:tcW w:w="1107" w:type="dxa"/>
            <w:vAlign w:val="top"/>
          </w:tcPr>
          <w:p w14:paraId="46B7F4A9">
            <w:pPr>
              <w:rPr>
                <w:rFonts w:ascii="Arial"/>
                <w:color w:val="auto"/>
                <w:sz w:val="21"/>
                <w:highlight w:val="none"/>
              </w:rPr>
            </w:pPr>
          </w:p>
        </w:tc>
        <w:tc>
          <w:tcPr>
            <w:tcW w:w="1557" w:type="dxa"/>
            <w:vAlign w:val="top"/>
          </w:tcPr>
          <w:p w14:paraId="628BCBD5">
            <w:pPr>
              <w:rPr>
                <w:rFonts w:ascii="Arial"/>
                <w:color w:val="auto"/>
                <w:sz w:val="21"/>
                <w:highlight w:val="none"/>
              </w:rPr>
            </w:pPr>
          </w:p>
        </w:tc>
        <w:tc>
          <w:tcPr>
            <w:tcW w:w="675" w:type="dxa"/>
            <w:tcBorders>
              <w:right w:val="single" w:color="000000" w:sz="6" w:space="0"/>
            </w:tcBorders>
            <w:vAlign w:val="top"/>
          </w:tcPr>
          <w:p w14:paraId="4C2145DF">
            <w:pPr>
              <w:rPr>
                <w:rFonts w:ascii="Arial"/>
                <w:color w:val="auto"/>
                <w:sz w:val="21"/>
                <w:highlight w:val="none"/>
              </w:rPr>
            </w:pPr>
          </w:p>
        </w:tc>
      </w:tr>
      <w:tr w14:paraId="28187B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4" w:hRule="atLeast"/>
        </w:trPr>
        <w:tc>
          <w:tcPr>
            <w:tcW w:w="783" w:type="dxa"/>
            <w:tcBorders>
              <w:left w:val="single" w:color="000000" w:sz="6" w:space="0"/>
            </w:tcBorders>
            <w:vAlign w:val="top"/>
          </w:tcPr>
          <w:p w14:paraId="6268F9E3">
            <w:pPr>
              <w:rPr>
                <w:rFonts w:ascii="Arial"/>
                <w:color w:val="auto"/>
                <w:sz w:val="21"/>
                <w:highlight w:val="none"/>
              </w:rPr>
            </w:pPr>
          </w:p>
        </w:tc>
        <w:tc>
          <w:tcPr>
            <w:tcW w:w="1536" w:type="dxa"/>
            <w:vAlign w:val="top"/>
          </w:tcPr>
          <w:p w14:paraId="2DA9FF0D">
            <w:pPr>
              <w:rPr>
                <w:rFonts w:ascii="Arial"/>
                <w:color w:val="auto"/>
                <w:sz w:val="21"/>
                <w:highlight w:val="none"/>
              </w:rPr>
            </w:pPr>
          </w:p>
        </w:tc>
        <w:tc>
          <w:tcPr>
            <w:tcW w:w="1325" w:type="dxa"/>
            <w:vAlign w:val="top"/>
          </w:tcPr>
          <w:p w14:paraId="06B71763">
            <w:pPr>
              <w:rPr>
                <w:rFonts w:ascii="Arial"/>
                <w:color w:val="auto"/>
                <w:sz w:val="21"/>
                <w:highlight w:val="none"/>
              </w:rPr>
            </w:pPr>
          </w:p>
        </w:tc>
        <w:tc>
          <w:tcPr>
            <w:tcW w:w="1215" w:type="dxa"/>
            <w:vAlign w:val="top"/>
          </w:tcPr>
          <w:p w14:paraId="7E298138">
            <w:pPr>
              <w:rPr>
                <w:rFonts w:ascii="Arial"/>
                <w:color w:val="auto"/>
                <w:sz w:val="21"/>
                <w:highlight w:val="none"/>
              </w:rPr>
            </w:pPr>
          </w:p>
        </w:tc>
        <w:tc>
          <w:tcPr>
            <w:tcW w:w="707" w:type="dxa"/>
            <w:vAlign w:val="top"/>
          </w:tcPr>
          <w:p w14:paraId="464CEA62">
            <w:pPr>
              <w:rPr>
                <w:rFonts w:ascii="Arial"/>
                <w:color w:val="auto"/>
                <w:sz w:val="21"/>
                <w:highlight w:val="none"/>
              </w:rPr>
            </w:pPr>
          </w:p>
        </w:tc>
        <w:tc>
          <w:tcPr>
            <w:tcW w:w="1107" w:type="dxa"/>
            <w:vAlign w:val="top"/>
          </w:tcPr>
          <w:p w14:paraId="3CDC77A3">
            <w:pPr>
              <w:rPr>
                <w:rFonts w:ascii="Arial"/>
                <w:color w:val="auto"/>
                <w:sz w:val="21"/>
                <w:highlight w:val="none"/>
              </w:rPr>
            </w:pPr>
          </w:p>
        </w:tc>
        <w:tc>
          <w:tcPr>
            <w:tcW w:w="1557" w:type="dxa"/>
            <w:vAlign w:val="top"/>
          </w:tcPr>
          <w:p w14:paraId="6D6623D5">
            <w:pPr>
              <w:rPr>
                <w:rFonts w:ascii="Arial"/>
                <w:color w:val="auto"/>
                <w:sz w:val="21"/>
                <w:highlight w:val="none"/>
              </w:rPr>
            </w:pPr>
          </w:p>
        </w:tc>
        <w:tc>
          <w:tcPr>
            <w:tcW w:w="675" w:type="dxa"/>
            <w:tcBorders>
              <w:right w:val="single" w:color="000000" w:sz="6" w:space="0"/>
            </w:tcBorders>
            <w:vAlign w:val="top"/>
          </w:tcPr>
          <w:p w14:paraId="1CFCB3B8">
            <w:pPr>
              <w:rPr>
                <w:rFonts w:ascii="Arial"/>
                <w:color w:val="auto"/>
                <w:sz w:val="21"/>
                <w:highlight w:val="none"/>
              </w:rPr>
            </w:pPr>
          </w:p>
        </w:tc>
      </w:tr>
      <w:tr w14:paraId="698D54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1" w:hRule="atLeast"/>
        </w:trPr>
        <w:tc>
          <w:tcPr>
            <w:tcW w:w="783" w:type="dxa"/>
            <w:tcBorders>
              <w:left w:val="single" w:color="000000" w:sz="6" w:space="0"/>
              <w:bottom w:val="single" w:color="000000" w:sz="6" w:space="0"/>
            </w:tcBorders>
            <w:vAlign w:val="top"/>
          </w:tcPr>
          <w:p w14:paraId="50B653E3">
            <w:pPr>
              <w:rPr>
                <w:rFonts w:ascii="Arial"/>
                <w:color w:val="auto"/>
                <w:sz w:val="21"/>
                <w:highlight w:val="none"/>
              </w:rPr>
            </w:pPr>
          </w:p>
        </w:tc>
        <w:tc>
          <w:tcPr>
            <w:tcW w:w="1536" w:type="dxa"/>
            <w:tcBorders>
              <w:bottom w:val="single" w:color="000000" w:sz="6" w:space="0"/>
            </w:tcBorders>
            <w:vAlign w:val="top"/>
          </w:tcPr>
          <w:p w14:paraId="08251C02">
            <w:pPr>
              <w:rPr>
                <w:rFonts w:ascii="Arial"/>
                <w:color w:val="auto"/>
                <w:sz w:val="21"/>
                <w:highlight w:val="none"/>
              </w:rPr>
            </w:pPr>
          </w:p>
        </w:tc>
        <w:tc>
          <w:tcPr>
            <w:tcW w:w="1325" w:type="dxa"/>
            <w:tcBorders>
              <w:bottom w:val="single" w:color="000000" w:sz="6" w:space="0"/>
            </w:tcBorders>
            <w:vAlign w:val="top"/>
          </w:tcPr>
          <w:p w14:paraId="69BD9907">
            <w:pPr>
              <w:rPr>
                <w:rFonts w:ascii="Arial"/>
                <w:color w:val="auto"/>
                <w:sz w:val="21"/>
                <w:highlight w:val="none"/>
              </w:rPr>
            </w:pPr>
          </w:p>
        </w:tc>
        <w:tc>
          <w:tcPr>
            <w:tcW w:w="1215" w:type="dxa"/>
            <w:tcBorders>
              <w:bottom w:val="single" w:color="000000" w:sz="6" w:space="0"/>
            </w:tcBorders>
            <w:vAlign w:val="top"/>
          </w:tcPr>
          <w:p w14:paraId="62A1B078">
            <w:pPr>
              <w:rPr>
                <w:rFonts w:ascii="Arial"/>
                <w:color w:val="auto"/>
                <w:sz w:val="21"/>
                <w:highlight w:val="none"/>
              </w:rPr>
            </w:pPr>
          </w:p>
        </w:tc>
        <w:tc>
          <w:tcPr>
            <w:tcW w:w="707" w:type="dxa"/>
            <w:tcBorders>
              <w:bottom w:val="single" w:color="000000" w:sz="6" w:space="0"/>
            </w:tcBorders>
            <w:vAlign w:val="top"/>
          </w:tcPr>
          <w:p w14:paraId="3E67781D">
            <w:pPr>
              <w:rPr>
                <w:rFonts w:ascii="Arial"/>
                <w:color w:val="auto"/>
                <w:sz w:val="21"/>
                <w:highlight w:val="none"/>
              </w:rPr>
            </w:pPr>
          </w:p>
        </w:tc>
        <w:tc>
          <w:tcPr>
            <w:tcW w:w="1107" w:type="dxa"/>
            <w:tcBorders>
              <w:bottom w:val="single" w:color="000000" w:sz="6" w:space="0"/>
            </w:tcBorders>
            <w:vAlign w:val="top"/>
          </w:tcPr>
          <w:p w14:paraId="3DC46925">
            <w:pPr>
              <w:rPr>
                <w:rFonts w:ascii="Arial"/>
                <w:color w:val="auto"/>
                <w:sz w:val="21"/>
                <w:highlight w:val="none"/>
              </w:rPr>
            </w:pPr>
          </w:p>
        </w:tc>
        <w:tc>
          <w:tcPr>
            <w:tcW w:w="1557" w:type="dxa"/>
            <w:tcBorders>
              <w:bottom w:val="single" w:color="000000" w:sz="6" w:space="0"/>
            </w:tcBorders>
            <w:vAlign w:val="top"/>
          </w:tcPr>
          <w:p w14:paraId="00BF9172">
            <w:pPr>
              <w:rPr>
                <w:rFonts w:ascii="Arial"/>
                <w:color w:val="auto"/>
                <w:sz w:val="21"/>
                <w:highlight w:val="none"/>
              </w:rPr>
            </w:pPr>
          </w:p>
        </w:tc>
        <w:tc>
          <w:tcPr>
            <w:tcW w:w="675" w:type="dxa"/>
            <w:tcBorders>
              <w:bottom w:val="single" w:color="000000" w:sz="6" w:space="0"/>
              <w:right w:val="single" w:color="000000" w:sz="6" w:space="0"/>
            </w:tcBorders>
            <w:vAlign w:val="top"/>
          </w:tcPr>
          <w:p w14:paraId="2AF1CA45">
            <w:pPr>
              <w:rPr>
                <w:rFonts w:ascii="Arial"/>
                <w:color w:val="auto"/>
                <w:sz w:val="21"/>
                <w:highlight w:val="none"/>
              </w:rPr>
            </w:pPr>
          </w:p>
        </w:tc>
      </w:tr>
    </w:tbl>
    <w:p w14:paraId="6ED5B1ED">
      <w:pPr>
        <w:spacing w:before="29" w:line="221" w:lineRule="auto"/>
        <w:ind w:left="428"/>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注：设备状况栏内填写该设备的新旧程度、购进时间、已使用小时数和最近一次大修时间。</w:t>
      </w:r>
    </w:p>
    <w:p w14:paraId="3050E363">
      <w:pPr>
        <w:pStyle w:val="3"/>
        <w:spacing w:line="325" w:lineRule="auto"/>
        <w:rPr>
          <w:color w:val="auto"/>
          <w:highlight w:val="none"/>
        </w:rPr>
      </w:pPr>
    </w:p>
    <w:p w14:paraId="69A9CDC1">
      <w:pPr>
        <w:spacing w:before="79" w:line="219" w:lineRule="auto"/>
        <w:ind w:left="49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）发包人提供的临时设施：</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687C788D">
      <w:pPr>
        <w:spacing w:before="307" w:line="220" w:lineRule="auto"/>
        <w:ind w:left="9"/>
        <w:outlineLvl w:val="0"/>
        <w:rPr>
          <w:rFonts w:ascii="宋体" w:hAnsi="宋体" w:eastAsia="宋体" w:cs="宋体"/>
          <w:color w:val="auto"/>
          <w:sz w:val="28"/>
          <w:szCs w:val="28"/>
          <w:highlight w:val="none"/>
        </w:rPr>
      </w:pPr>
      <w:bookmarkStart w:id="541" w:name="bookmark667"/>
      <w:bookmarkEnd w:id="541"/>
      <w:bookmarkStart w:id="542" w:name="bookmark670"/>
      <w:bookmarkEnd w:id="542"/>
      <w:bookmarkStart w:id="543" w:name="bookmark668"/>
      <w:bookmarkEnd w:id="543"/>
      <w:bookmarkStart w:id="544" w:name="_Toc9784"/>
      <w:bookmarkStart w:id="545" w:name="_Toc362"/>
      <w:r>
        <w:rPr>
          <w:rFonts w:ascii="Times New Roman" w:hAnsi="Times New Roman" w:eastAsia="Times New Roman" w:cs="Times New Roman"/>
          <w:b/>
          <w:bCs/>
          <w:color w:val="auto"/>
          <w:spacing w:val="-7"/>
          <w:sz w:val="28"/>
          <w:szCs w:val="28"/>
          <w:highlight w:val="none"/>
        </w:rPr>
        <w:t>7</w:t>
      </w:r>
      <w:r>
        <w:rPr>
          <w:rFonts w:ascii="Times New Roman" w:hAnsi="Times New Roman" w:eastAsia="Times New Roman" w:cs="Times New Roman"/>
          <w:b/>
          <w:bCs/>
          <w:color w:val="auto"/>
          <w:spacing w:val="10"/>
          <w:sz w:val="28"/>
          <w:szCs w:val="28"/>
          <w:highlight w:val="none"/>
        </w:rPr>
        <w:t xml:space="preserve">  </w:t>
      </w:r>
      <w:r>
        <w:rPr>
          <w:rFonts w:ascii="宋体" w:hAnsi="宋体" w:eastAsia="宋体" w:cs="宋体"/>
          <w:b/>
          <w:bCs/>
          <w:color w:val="auto"/>
          <w:spacing w:val="-7"/>
          <w:sz w:val="28"/>
          <w:szCs w:val="28"/>
          <w:highlight w:val="none"/>
        </w:rPr>
        <w:t>交通运输</w:t>
      </w:r>
      <w:bookmarkEnd w:id="544"/>
      <w:bookmarkEnd w:id="545"/>
    </w:p>
    <w:p w14:paraId="0FC94FFE">
      <w:pPr>
        <w:pStyle w:val="3"/>
        <w:spacing w:line="245" w:lineRule="auto"/>
        <w:rPr>
          <w:color w:val="auto"/>
          <w:highlight w:val="none"/>
        </w:rPr>
      </w:pPr>
    </w:p>
    <w:p w14:paraId="2861693A">
      <w:pPr>
        <w:spacing w:before="78" w:line="220" w:lineRule="auto"/>
        <w:ind w:left="8"/>
        <w:outlineLvl w:val="1"/>
        <w:rPr>
          <w:rFonts w:ascii="宋体" w:hAnsi="宋体" w:eastAsia="宋体" w:cs="宋体"/>
          <w:color w:val="auto"/>
          <w:sz w:val="24"/>
          <w:szCs w:val="24"/>
          <w:highlight w:val="none"/>
        </w:rPr>
      </w:pPr>
      <w:bookmarkStart w:id="546" w:name="bookmark669"/>
      <w:bookmarkEnd w:id="546"/>
      <w:bookmarkStart w:id="547" w:name="_Toc11257"/>
      <w:bookmarkStart w:id="548" w:name="_Toc12097"/>
      <w:r>
        <w:rPr>
          <w:rFonts w:ascii="Times New Roman" w:hAnsi="Times New Roman" w:eastAsia="Times New Roman" w:cs="Times New Roman"/>
          <w:b/>
          <w:bCs/>
          <w:color w:val="auto"/>
          <w:spacing w:val="-2"/>
          <w:sz w:val="24"/>
          <w:szCs w:val="24"/>
          <w:highlight w:val="none"/>
        </w:rPr>
        <w:t xml:space="preserve">7.1  </w:t>
      </w:r>
      <w:r>
        <w:rPr>
          <w:rFonts w:ascii="宋体" w:hAnsi="宋体" w:eastAsia="宋体" w:cs="宋体"/>
          <w:b/>
          <w:bCs/>
          <w:color w:val="auto"/>
          <w:spacing w:val="-2"/>
          <w:sz w:val="24"/>
          <w:szCs w:val="24"/>
          <w:highlight w:val="none"/>
        </w:rPr>
        <w:t>道路通行权和场外设施</w:t>
      </w:r>
      <w:bookmarkEnd w:id="547"/>
      <w:bookmarkEnd w:id="548"/>
    </w:p>
    <w:p w14:paraId="079C6787">
      <w:pPr>
        <w:widowControl w:val="0"/>
        <w:kinsoku/>
        <w:autoSpaceDE/>
        <w:autoSpaceDN/>
        <w:snapToGrid/>
        <w:spacing w:line="360" w:lineRule="auto"/>
        <w:ind w:firstLine="480" w:firstLineChars="200"/>
        <w:jc w:val="both"/>
        <w:rPr>
          <w:rFonts w:hint="eastAsia" w:ascii="宋体" w:hAnsi="宋体" w:eastAsia="宋体" w:cs="宋体"/>
          <w:b/>
          <w:bCs/>
          <w:snapToGrid/>
          <w:color w:val="auto"/>
          <w:sz w:val="24"/>
          <w:szCs w:val="24"/>
          <w:highlight w:val="none"/>
          <w:u w:val="single"/>
          <w:lang w:eastAsia="zh-CN"/>
        </w:rPr>
      </w:pPr>
      <w:r>
        <w:rPr>
          <w:rFonts w:ascii="宋体" w:hAnsi="宋体" w:eastAsia="宋体" w:cs="宋体"/>
          <w:color w:val="auto"/>
          <w:sz w:val="24"/>
          <w:szCs w:val="24"/>
          <w:highlight w:val="none"/>
        </w:rPr>
        <w:t>道路通行权和场外设施的约定：</w:t>
      </w:r>
      <w:r>
        <w:rPr>
          <w:rFonts w:ascii="宋体" w:hAnsi="宋体" w:eastAsia="宋体" w:cs="宋体"/>
          <w:color w:val="auto"/>
          <w:sz w:val="24"/>
          <w:szCs w:val="24"/>
          <w:highlight w:val="none"/>
          <w:u w:val="single" w:color="auto"/>
        </w:rPr>
        <w:t xml:space="preserve">  </w:t>
      </w:r>
      <w:r>
        <w:rPr>
          <w:rFonts w:hint="eastAsia" w:ascii="宋体" w:hAnsi="宋体" w:eastAsia="宋体" w:cs="宋体"/>
          <w:b/>
          <w:bCs/>
          <w:snapToGrid/>
          <w:color w:val="auto"/>
          <w:sz w:val="24"/>
          <w:szCs w:val="24"/>
          <w:highlight w:val="none"/>
          <w:u w:val="single"/>
          <w:lang w:eastAsia="zh-CN"/>
        </w:rPr>
        <w:t>承包人自行协调场外道路及设施，必须采取一切措施确保车辆（船只）正常通行，做到施工、通车（通船）两不误。承包人应针对通车（通船）路段的施工特点，提出通车（通船）路段的施工维护、安全、分流方案，满足交通主管部门的要求，如不归交通主管部门管理的道路（河道）则满足当地相关管理部门要求；</w:t>
      </w:r>
    </w:p>
    <w:p w14:paraId="1D8D0925">
      <w:pPr>
        <w:widowControl w:val="0"/>
        <w:kinsoku/>
        <w:autoSpaceDE/>
        <w:autoSpaceDN/>
        <w:snapToGrid/>
        <w:spacing w:line="360" w:lineRule="auto"/>
        <w:ind w:firstLine="482" w:firstLineChars="200"/>
        <w:jc w:val="both"/>
        <w:rPr>
          <w:rFonts w:hint="eastAsia" w:ascii="宋体" w:hAnsi="宋体" w:eastAsia="宋体" w:cs="宋体"/>
          <w:b/>
          <w:bCs/>
          <w:snapToGrid/>
          <w:color w:val="auto"/>
          <w:sz w:val="24"/>
          <w:szCs w:val="24"/>
          <w:highlight w:val="none"/>
          <w:u w:val="single"/>
          <w:lang w:eastAsia="zh-CN"/>
        </w:rPr>
      </w:pPr>
      <w:r>
        <w:rPr>
          <w:rFonts w:hint="eastAsia" w:ascii="宋体" w:hAnsi="宋体" w:eastAsia="宋体" w:cs="宋体"/>
          <w:b/>
          <w:bCs/>
          <w:snapToGrid/>
          <w:color w:val="auto"/>
          <w:sz w:val="24"/>
          <w:szCs w:val="24"/>
          <w:highlight w:val="none"/>
          <w:u w:val="single"/>
          <w:lang w:eastAsia="zh-CN"/>
        </w:rPr>
        <w:t>(1)由业主提供的施工用地及临时进场道路（河道）等无法满足施工通车（通船）及作业需求，由承包人负责再修建、保养、维修及施工退场后的修复，相关费用由承包人自行承担。</w:t>
      </w:r>
    </w:p>
    <w:p w14:paraId="4455126B">
      <w:pPr>
        <w:widowControl w:val="0"/>
        <w:kinsoku/>
        <w:autoSpaceDE/>
        <w:autoSpaceDN/>
        <w:snapToGrid/>
        <w:spacing w:line="360" w:lineRule="auto"/>
        <w:ind w:firstLine="482" w:firstLineChars="200"/>
        <w:jc w:val="both"/>
        <w:rPr>
          <w:rFonts w:hint="eastAsia" w:ascii="宋体" w:hAnsi="宋体" w:eastAsia="宋体" w:cs="宋体"/>
          <w:b/>
          <w:bCs/>
          <w:snapToGrid/>
          <w:color w:val="auto"/>
          <w:sz w:val="24"/>
          <w:szCs w:val="24"/>
          <w:highlight w:val="none"/>
          <w:u w:val="single"/>
          <w:lang w:eastAsia="zh-CN"/>
        </w:rPr>
      </w:pPr>
      <w:r>
        <w:rPr>
          <w:rFonts w:hint="eastAsia" w:ascii="宋体" w:hAnsi="宋体" w:eastAsia="宋体" w:cs="宋体"/>
          <w:b/>
          <w:bCs/>
          <w:snapToGrid/>
          <w:color w:val="auto"/>
          <w:sz w:val="24"/>
          <w:szCs w:val="24"/>
          <w:highlight w:val="none"/>
          <w:u w:val="single"/>
          <w:lang w:eastAsia="zh-CN"/>
        </w:rPr>
        <w:t>（2）承包人负责场内过境车辆（船只）的协调和分流工作；</w:t>
      </w:r>
    </w:p>
    <w:p w14:paraId="796AB71C">
      <w:pPr>
        <w:widowControl w:val="0"/>
        <w:kinsoku/>
        <w:autoSpaceDE/>
        <w:autoSpaceDN/>
        <w:snapToGrid/>
        <w:spacing w:line="360" w:lineRule="auto"/>
        <w:ind w:firstLine="482" w:firstLineChars="200"/>
        <w:jc w:val="both"/>
        <w:rPr>
          <w:rFonts w:ascii="宋体" w:hAnsi="宋体" w:eastAsia="宋体" w:cs="宋体"/>
          <w:color w:val="auto"/>
          <w:sz w:val="24"/>
          <w:szCs w:val="24"/>
          <w:highlight w:val="none"/>
        </w:rPr>
      </w:pPr>
      <w:r>
        <w:rPr>
          <w:rFonts w:hint="eastAsia" w:ascii="宋体" w:hAnsi="宋体" w:eastAsia="宋体" w:cs="宋体"/>
          <w:b/>
          <w:bCs/>
          <w:snapToGrid/>
          <w:color w:val="auto"/>
          <w:sz w:val="24"/>
          <w:szCs w:val="24"/>
          <w:highlight w:val="none"/>
          <w:u w:val="single"/>
          <w:lang w:eastAsia="zh-CN"/>
        </w:rPr>
        <w:t>（3）本条（1）～（2）款相关费用计入措施费，不再另行计费</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E6F5C37">
      <w:pPr>
        <w:spacing w:before="308" w:line="221" w:lineRule="auto"/>
        <w:ind w:left="9"/>
        <w:outlineLvl w:val="0"/>
        <w:rPr>
          <w:rFonts w:ascii="宋体" w:hAnsi="宋体" w:eastAsia="宋体" w:cs="宋体"/>
          <w:color w:val="auto"/>
          <w:sz w:val="28"/>
          <w:szCs w:val="28"/>
          <w:highlight w:val="none"/>
        </w:rPr>
      </w:pPr>
      <w:bookmarkStart w:id="549" w:name="bookmark674"/>
      <w:bookmarkEnd w:id="549"/>
      <w:bookmarkStart w:id="550" w:name="bookmark671"/>
      <w:bookmarkEnd w:id="550"/>
      <w:bookmarkStart w:id="551" w:name="bookmark672"/>
      <w:bookmarkEnd w:id="551"/>
      <w:bookmarkStart w:id="552" w:name="_Toc9226"/>
      <w:bookmarkStart w:id="553" w:name="_Toc23114"/>
      <w:r>
        <w:rPr>
          <w:rFonts w:ascii="Times New Roman" w:hAnsi="Times New Roman" w:eastAsia="Times New Roman" w:cs="Times New Roman"/>
          <w:b/>
          <w:bCs/>
          <w:color w:val="auto"/>
          <w:spacing w:val="-6"/>
          <w:sz w:val="28"/>
          <w:szCs w:val="28"/>
          <w:highlight w:val="none"/>
        </w:rPr>
        <w:t>8</w:t>
      </w:r>
      <w:r>
        <w:rPr>
          <w:rFonts w:ascii="Times New Roman" w:hAnsi="Times New Roman" w:eastAsia="Times New Roman" w:cs="Times New Roman"/>
          <w:b/>
          <w:bCs/>
          <w:color w:val="auto"/>
          <w:spacing w:val="6"/>
          <w:sz w:val="28"/>
          <w:szCs w:val="28"/>
          <w:highlight w:val="none"/>
        </w:rPr>
        <w:t xml:space="preserve">  </w:t>
      </w:r>
      <w:r>
        <w:rPr>
          <w:rFonts w:ascii="宋体" w:hAnsi="宋体" w:eastAsia="宋体" w:cs="宋体"/>
          <w:b/>
          <w:bCs/>
          <w:color w:val="auto"/>
          <w:spacing w:val="-6"/>
          <w:sz w:val="28"/>
          <w:szCs w:val="28"/>
          <w:highlight w:val="none"/>
        </w:rPr>
        <w:t>测量放线</w:t>
      </w:r>
      <w:bookmarkEnd w:id="552"/>
      <w:bookmarkEnd w:id="553"/>
    </w:p>
    <w:p w14:paraId="5943C5CB">
      <w:pPr>
        <w:pStyle w:val="3"/>
        <w:spacing w:line="242" w:lineRule="auto"/>
        <w:rPr>
          <w:color w:val="auto"/>
          <w:highlight w:val="none"/>
        </w:rPr>
      </w:pPr>
    </w:p>
    <w:p w14:paraId="1D260C75">
      <w:pPr>
        <w:spacing w:before="79" w:line="220" w:lineRule="auto"/>
        <w:ind w:left="8"/>
        <w:outlineLvl w:val="1"/>
        <w:rPr>
          <w:rFonts w:ascii="宋体" w:hAnsi="宋体" w:eastAsia="宋体" w:cs="宋体"/>
          <w:color w:val="auto"/>
          <w:sz w:val="24"/>
          <w:szCs w:val="24"/>
          <w:highlight w:val="none"/>
        </w:rPr>
      </w:pPr>
      <w:bookmarkStart w:id="554" w:name="bookmark673"/>
      <w:bookmarkEnd w:id="554"/>
      <w:bookmarkStart w:id="555" w:name="_Toc12365"/>
      <w:bookmarkStart w:id="556" w:name="_Toc7731"/>
      <w:r>
        <w:rPr>
          <w:rFonts w:ascii="Times New Roman" w:hAnsi="Times New Roman" w:eastAsia="Times New Roman" w:cs="Times New Roman"/>
          <w:b/>
          <w:bCs/>
          <w:color w:val="auto"/>
          <w:spacing w:val="-2"/>
          <w:sz w:val="24"/>
          <w:szCs w:val="24"/>
          <w:highlight w:val="none"/>
        </w:rPr>
        <w:t xml:space="preserve">8.1  </w:t>
      </w:r>
      <w:r>
        <w:rPr>
          <w:rFonts w:ascii="宋体" w:hAnsi="宋体" w:eastAsia="宋体" w:cs="宋体"/>
          <w:b/>
          <w:bCs/>
          <w:color w:val="auto"/>
          <w:spacing w:val="-2"/>
          <w:sz w:val="24"/>
          <w:szCs w:val="24"/>
          <w:highlight w:val="none"/>
        </w:rPr>
        <w:t>施工控制网</w:t>
      </w:r>
      <w:bookmarkEnd w:id="555"/>
      <w:bookmarkEnd w:id="556"/>
    </w:p>
    <w:p w14:paraId="1D92626C">
      <w:pPr>
        <w:widowControl w:val="0"/>
        <w:kinsoku/>
        <w:autoSpaceDE/>
        <w:autoSpaceDN/>
        <w:snapToGrid/>
        <w:spacing w:line="360" w:lineRule="auto"/>
        <w:ind w:firstLine="480" w:firstLineChars="200"/>
        <w:jc w:val="both"/>
        <w:rPr>
          <w:rFonts w:hint="eastAsia" w:ascii="宋体" w:hAnsi="宋体" w:eastAsia="宋体" w:cs="宋体"/>
          <w:b/>
          <w:bCs/>
          <w:snapToGrid/>
          <w:color w:val="auto"/>
          <w:sz w:val="24"/>
          <w:szCs w:val="24"/>
          <w:highlight w:val="none"/>
          <w:u w:val="single"/>
          <w:lang w:eastAsia="zh-CN"/>
        </w:rPr>
      </w:pPr>
      <w:r>
        <w:rPr>
          <w:rFonts w:ascii="Times New Roman" w:hAnsi="Times New Roman" w:eastAsia="Times New Roman" w:cs="Times New Roman"/>
          <w:b/>
          <w:bCs/>
          <w:color w:val="auto"/>
          <w:sz w:val="24"/>
          <w:szCs w:val="24"/>
          <w:highlight w:val="none"/>
        </w:rPr>
        <w:t xml:space="preserve">8.1.1  </w:t>
      </w:r>
      <w:r>
        <w:rPr>
          <w:rFonts w:ascii="宋体" w:hAnsi="宋体" w:eastAsia="宋体" w:cs="宋体"/>
          <w:color w:val="auto"/>
          <w:sz w:val="24"/>
          <w:szCs w:val="24"/>
          <w:highlight w:val="none"/>
        </w:rPr>
        <w:t>施工控制网的约定：</w:t>
      </w:r>
      <w:r>
        <w:rPr>
          <w:rFonts w:ascii="宋体" w:hAnsi="宋体" w:eastAsia="宋体" w:cs="宋体"/>
          <w:color w:val="auto"/>
          <w:sz w:val="24"/>
          <w:szCs w:val="24"/>
          <w:highlight w:val="none"/>
          <w:u w:val="single" w:color="auto"/>
        </w:rPr>
        <w:t xml:space="preserve">  </w:t>
      </w:r>
      <w:r>
        <w:rPr>
          <w:rFonts w:hint="eastAsia" w:ascii="宋体" w:hAnsi="宋体" w:eastAsia="宋体" w:cs="宋体"/>
          <w:b/>
          <w:bCs/>
          <w:snapToGrid/>
          <w:color w:val="auto"/>
          <w:sz w:val="24"/>
          <w:szCs w:val="24"/>
          <w:highlight w:val="none"/>
          <w:u w:val="single"/>
          <w:lang w:eastAsia="zh-CN"/>
        </w:rPr>
        <w:t xml:space="preserve"> 发包人应在开工日期前14天内，发包人通过监理人向承包人提供测量基准点布置图、基准线和水准点及其书面资料。承包人在接到测量基准点布置图后14天内完成施工控制网布设，并将施工控制网资料报送监理人审批 。</w:t>
      </w:r>
    </w:p>
    <w:p w14:paraId="1B54CDE8">
      <w:pPr>
        <w:spacing w:before="55" w:line="221" w:lineRule="auto"/>
        <w:ind w:left="1"/>
        <w:outlineLvl w:val="0"/>
        <w:rPr>
          <w:rFonts w:ascii="宋体" w:hAnsi="宋体" w:eastAsia="宋体" w:cs="宋体"/>
          <w:color w:val="auto"/>
          <w:sz w:val="28"/>
          <w:szCs w:val="28"/>
          <w:highlight w:val="none"/>
        </w:rPr>
      </w:pPr>
      <w:bookmarkStart w:id="557" w:name="bookmark675"/>
      <w:bookmarkEnd w:id="557"/>
      <w:bookmarkStart w:id="558" w:name="bookmark678"/>
      <w:bookmarkEnd w:id="558"/>
      <w:bookmarkStart w:id="559" w:name="bookmark676"/>
      <w:bookmarkEnd w:id="559"/>
      <w:bookmarkStart w:id="560" w:name="_Toc19870"/>
      <w:bookmarkStart w:id="561" w:name="_Toc2704"/>
      <w:r>
        <w:rPr>
          <w:rFonts w:ascii="Times New Roman" w:hAnsi="Times New Roman" w:eastAsia="Times New Roman" w:cs="Times New Roman"/>
          <w:b/>
          <w:bCs/>
          <w:color w:val="auto"/>
          <w:spacing w:val="-2"/>
          <w:sz w:val="28"/>
          <w:szCs w:val="28"/>
          <w:highlight w:val="none"/>
        </w:rPr>
        <w:t xml:space="preserve">9  </w:t>
      </w:r>
      <w:r>
        <w:rPr>
          <w:rFonts w:ascii="宋体" w:hAnsi="宋体" w:eastAsia="宋体" w:cs="宋体"/>
          <w:b/>
          <w:bCs/>
          <w:color w:val="auto"/>
          <w:spacing w:val="-2"/>
          <w:sz w:val="28"/>
          <w:szCs w:val="28"/>
          <w:highlight w:val="none"/>
        </w:rPr>
        <w:t>施工安全、治安保卫和环境保护</w:t>
      </w:r>
      <w:bookmarkEnd w:id="560"/>
      <w:bookmarkEnd w:id="561"/>
    </w:p>
    <w:p w14:paraId="33CDDF15">
      <w:pPr>
        <w:pStyle w:val="3"/>
        <w:spacing w:line="244" w:lineRule="auto"/>
        <w:rPr>
          <w:color w:val="auto"/>
          <w:highlight w:val="none"/>
        </w:rPr>
      </w:pPr>
    </w:p>
    <w:p w14:paraId="12B337ED">
      <w:pPr>
        <w:spacing w:before="78" w:line="220" w:lineRule="auto"/>
        <w:outlineLvl w:val="1"/>
        <w:rPr>
          <w:rFonts w:ascii="宋体" w:hAnsi="宋体" w:eastAsia="宋体" w:cs="宋体"/>
          <w:color w:val="auto"/>
          <w:sz w:val="24"/>
          <w:szCs w:val="24"/>
          <w:highlight w:val="none"/>
        </w:rPr>
      </w:pPr>
      <w:bookmarkStart w:id="562" w:name="bookmark677"/>
      <w:bookmarkEnd w:id="562"/>
      <w:bookmarkStart w:id="563" w:name="_Toc12120"/>
      <w:bookmarkStart w:id="564" w:name="_Toc10574"/>
      <w:r>
        <w:rPr>
          <w:rFonts w:ascii="Times New Roman" w:hAnsi="Times New Roman" w:eastAsia="Times New Roman" w:cs="Times New Roman"/>
          <w:b/>
          <w:bCs/>
          <w:color w:val="auto"/>
          <w:spacing w:val="-2"/>
          <w:sz w:val="24"/>
          <w:szCs w:val="24"/>
          <w:highlight w:val="none"/>
        </w:rPr>
        <w:t xml:space="preserve">9.1  </w:t>
      </w:r>
      <w:r>
        <w:rPr>
          <w:rFonts w:ascii="宋体" w:hAnsi="宋体" w:eastAsia="宋体" w:cs="宋体"/>
          <w:b/>
          <w:bCs/>
          <w:color w:val="auto"/>
          <w:spacing w:val="-2"/>
          <w:sz w:val="24"/>
          <w:szCs w:val="24"/>
          <w:highlight w:val="none"/>
        </w:rPr>
        <w:t>发包人的施工安全责任</w:t>
      </w:r>
      <w:bookmarkEnd w:id="563"/>
      <w:bookmarkEnd w:id="564"/>
    </w:p>
    <w:p w14:paraId="34AF76EC">
      <w:pPr>
        <w:spacing w:before="179" w:line="219" w:lineRule="auto"/>
        <w:ind w:left="482"/>
        <w:rPr>
          <w:rFonts w:hint="eastAsia" w:ascii="宋体" w:hAnsi="宋体" w:eastAsia="宋体" w:cs="宋体"/>
          <w:color w:val="auto"/>
          <w:sz w:val="24"/>
          <w:szCs w:val="24"/>
          <w:highlight w:val="none"/>
          <w:lang w:eastAsia="zh-CN"/>
        </w:rPr>
      </w:pPr>
      <w:r>
        <w:rPr>
          <w:rFonts w:ascii="Times New Roman" w:hAnsi="Times New Roman" w:eastAsia="Times New Roman" w:cs="Times New Roman"/>
          <w:b/>
          <w:bCs/>
          <w:color w:val="auto"/>
          <w:spacing w:val="-2"/>
          <w:sz w:val="24"/>
          <w:szCs w:val="24"/>
          <w:highlight w:val="none"/>
        </w:rPr>
        <w:t xml:space="preserve">9.1.4  </w:t>
      </w:r>
      <w:r>
        <w:rPr>
          <w:rFonts w:ascii="宋体" w:hAnsi="宋体" w:eastAsia="宋体" w:cs="宋体"/>
          <w:color w:val="auto"/>
          <w:spacing w:val="-2"/>
          <w:sz w:val="24"/>
          <w:szCs w:val="24"/>
          <w:highlight w:val="none"/>
        </w:rPr>
        <w:t>发包人提供</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b/>
          <w:bCs/>
          <w:color w:val="auto"/>
          <w:spacing w:val="-2"/>
          <w:sz w:val="24"/>
          <w:szCs w:val="24"/>
          <w:highlight w:val="none"/>
          <w:u w:val="single" w:color="auto"/>
        </w:rPr>
        <w:t>工程区域内的水文、地质</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0"/>
          <w:sz w:val="24"/>
          <w:szCs w:val="24"/>
          <w:highlight w:val="none"/>
        </w:rPr>
        <w:t xml:space="preserve"> </w:t>
      </w:r>
      <w:r>
        <w:rPr>
          <w:rFonts w:ascii="宋体" w:hAnsi="宋体" w:eastAsia="宋体" w:cs="宋体"/>
          <w:color w:val="auto"/>
          <w:spacing w:val="-2"/>
          <w:sz w:val="24"/>
          <w:szCs w:val="24"/>
          <w:highlight w:val="none"/>
        </w:rPr>
        <w:t>资料，其余资料由承包人负责收集</w:t>
      </w:r>
      <w:r>
        <w:rPr>
          <w:rFonts w:hint="eastAsia" w:ascii="宋体" w:hAnsi="宋体" w:eastAsia="宋体" w:cs="宋体"/>
          <w:color w:val="auto"/>
          <w:spacing w:val="-2"/>
          <w:sz w:val="24"/>
          <w:szCs w:val="24"/>
          <w:highlight w:val="none"/>
          <w:lang w:eastAsia="zh-CN"/>
        </w:rPr>
        <w:t>。</w:t>
      </w:r>
    </w:p>
    <w:p w14:paraId="3C4F65CA">
      <w:pPr>
        <w:spacing w:before="182" w:line="220" w:lineRule="auto"/>
        <w:outlineLvl w:val="1"/>
        <w:rPr>
          <w:rFonts w:ascii="宋体" w:hAnsi="宋体" w:eastAsia="宋体" w:cs="宋体"/>
          <w:color w:val="auto"/>
          <w:sz w:val="24"/>
          <w:szCs w:val="24"/>
          <w:highlight w:val="none"/>
        </w:rPr>
      </w:pPr>
      <w:bookmarkStart w:id="565" w:name="bookmark679"/>
      <w:bookmarkEnd w:id="565"/>
      <w:bookmarkStart w:id="566" w:name="bookmark680"/>
      <w:bookmarkEnd w:id="566"/>
      <w:bookmarkStart w:id="567" w:name="_Toc7463"/>
      <w:bookmarkStart w:id="568" w:name="_Toc15666"/>
      <w:r>
        <w:rPr>
          <w:rFonts w:ascii="Times New Roman" w:hAnsi="Times New Roman" w:eastAsia="Times New Roman" w:cs="Times New Roman"/>
          <w:b/>
          <w:bCs/>
          <w:color w:val="auto"/>
          <w:spacing w:val="-2"/>
          <w:sz w:val="24"/>
          <w:szCs w:val="24"/>
          <w:highlight w:val="none"/>
        </w:rPr>
        <w:t xml:space="preserve">9.2  </w:t>
      </w:r>
      <w:r>
        <w:rPr>
          <w:rFonts w:ascii="宋体" w:hAnsi="宋体" w:eastAsia="宋体" w:cs="宋体"/>
          <w:b/>
          <w:bCs/>
          <w:color w:val="auto"/>
          <w:spacing w:val="-2"/>
          <w:sz w:val="24"/>
          <w:szCs w:val="24"/>
          <w:highlight w:val="none"/>
        </w:rPr>
        <w:t>承包人的施工安全责任</w:t>
      </w:r>
      <w:bookmarkEnd w:id="567"/>
      <w:bookmarkEnd w:id="568"/>
    </w:p>
    <w:p w14:paraId="1340D561">
      <w:pPr>
        <w:keepNext w:val="0"/>
        <w:keepLines w:val="0"/>
        <w:pageBreakBefore w:val="0"/>
        <w:widowControl/>
        <w:kinsoku w:val="0"/>
        <w:wordWrap/>
        <w:overflowPunct/>
        <w:topLinePunct w:val="0"/>
        <w:autoSpaceDE w:val="0"/>
        <w:autoSpaceDN w:val="0"/>
        <w:bidi w:val="0"/>
        <w:adjustRightInd w:val="0"/>
        <w:snapToGrid w:val="0"/>
        <w:spacing w:before="180" w:line="291" w:lineRule="auto"/>
        <w:ind w:firstLine="482" w:firstLineChars="200"/>
        <w:textAlignment w:val="baseline"/>
        <w:rPr>
          <w:rFonts w:hint="eastAsia" w:ascii="宋体" w:hAnsi="宋体" w:eastAsia="宋体" w:cs="宋体"/>
          <w:b/>
          <w:bCs/>
          <w:snapToGrid/>
          <w:color w:val="auto"/>
          <w:sz w:val="24"/>
          <w:szCs w:val="24"/>
          <w:highlight w:val="none"/>
          <w:lang w:eastAsia="zh-CN"/>
        </w:rPr>
      </w:pPr>
      <w:bookmarkStart w:id="569" w:name="bookmark682"/>
      <w:bookmarkEnd w:id="569"/>
      <w:bookmarkStart w:id="570" w:name="bookmark681"/>
      <w:bookmarkEnd w:id="570"/>
      <w:bookmarkStart w:id="571" w:name="_Toc12789"/>
      <w:r>
        <w:rPr>
          <w:rFonts w:hint="eastAsia" w:ascii="宋体" w:hAnsi="宋体" w:eastAsia="宋体" w:cs="宋体"/>
          <w:b/>
          <w:bCs/>
          <w:snapToGrid/>
          <w:color w:val="auto"/>
          <w:sz w:val="24"/>
          <w:szCs w:val="24"/>
          <w:highlight w:val="none"/>
          <w:lang w:eastAsia="zh-CN"/>
        </w:rPr>
        <w:t>9.2.12</w:t>
      </w:r>
      <w:r>
        <w:rPr>
          <w:rFonts w:hint="eastAsia" w:ascii="宋体" w:hAnsi="宋体" w:eastAsia="宋体" w:cs="宋体"/>
          <w:snapToGrid/>
          <w:color w:val="auto"/>
          <w:sz w:val="24"/>
          <w:szCs w:val="24"/>
          <w:highlight w:val="none"/>
          <w:lang w:eastAsia="zh-CN"/>
        </w:rPr>
        <w:t>下列</w:t>
      </w:r>
      <w:r>
        <w:rPr>
          <w:rFonts w:hint="eastAsia" w:ascii="宋体" w:hAnsi="宋体" w:eastAsia="宋体" w:cs="宋体"/>
          <w:color w:val="auto"/>
          <w:spacing w:val="-1"/>
          <w:sz w:val="24"/>
          <w:szCs w:val="24"/>
          <w:highlight w:val="none"/>
          <w:lang w:eastAsia="zh-CN"/>
        </w:rPr>
        <w:t>工程应</w:t>
      </w:r>
      <w:r>
        <w:rPr>
          <w:rFonts w:hint="eastAsia" w:ascii="宋体" w:hAnsi="宋体" w:eastAsia="宋体" w:cs="宋体"/>
          <w:snapToGrid/>
          <w:color w:val="auto"/>
          <w:sz w:val="24"/>
          <w:szCs w:val="24"/>
          <w:highlight w:val="none"/>
          <w:lang w:eastAsia="zh-CN"/>
        </w:rPr>
        <w:t>编制专项施工方案：</w:t>
      </w:r>
      <w:r>
        <w:rPr>
          <w:rFonts w:hint="eastAsia" w:ascii="宋体" w:hAnsi="宋体" w:eastAsia="宋体" w:cs="宋体"/>
          <w:b/>
          <w:bCs/>
          <w:snapToGrid/>
          <w:color w:val="auto"/>
          <w:kern w:val="0"/>
          <w:sz w:val="24"/>
          <w:szCs w:val="24"/>
          <w:highlight w:val="none"/>
          <w:u w:val="single"/>
          <w:lang w:val="en-US" w:eastAsia="zh-CN"/>
        </w:rPr>
        <w:t>施工导流及工程度汛、围堰工程、基坑支护、降水工程、土方工程、混凝土模板支撑工程等危险性较大的工程</w:t>
      </w:r>
      <w:r>
        <w:rPr>
          <w:rFonts w:hint="eastAsia" w:ascii="宋体" w:hAnsi="宋体" w:eastAsia="宋体" w:cs="宋体"/>
          <w:b/>
          <w:bCs/>
          <w:snapToGrid/>
          <w:color w:val="auto"/>
          <w:sz w:val="24"/>
          <w:szCs w:val="24"/>
          <w:highlight w:val="none"/>
          <w:u w:val="single"/>
          <w:lang w:eastAsia="zh-CN"/>
        </w:rPr>
        <w:t>，</w:t>
      </w:r>
      <w:r>
        <w:rPr>
          <w:rFonts w:hint="eastAsia" w:ascii="宋体" w:hAnsi="宋体" w:eastAsia="宋体" w:cs="宋体"/>
          <w:color w:val="auto"/>
          <w:spacing w:val="-1"/>
          <w:sz w:val="24"/>
          <w:szCs w:val="24"/>
          <w:highlight w:val="none"/>
          <w:lang w:eastAsia="zh-CN"/>
        </w:rPr>
        <w:t>其中</w:t>
      </w:r>
      <w:r>
        <w:rPr>
          <w:rFonts w:hint="eastAsia" w:ascii="宋体" w:hAnsi="宋体" w:eastAsia="宋体" w:cs="宋体"/>
          <w:b/>
          <w:bCs/>
          <w:snapToGrid/>
          <w:color w:val="auto"/>
          <w:kern w:val="0"/>
          <w:sz w:val="24"/>
          <w:szCs w:val="24"/>
          <w:highlight w:val="none"/>
          <w:u w:val="single"/>
          <w:lang w:val="en-US" w:eastAsia="zh-CN"/>
        </w:rPr>
        <w:t>工程度汛方案、深基坑工程</w:t>
      </w:r>
      <w:r>
        <w:rPr>
          <w:rFonts w:hint="eastAsia" w:ascii="宋体" w:hAnsi="宋体" w:eastAsia="宋体" w:cs="宋体"/>
          <w:snapToGrid/>
          <w:color w:val="auto"/>
          <w:sz w:val="24"/>
          <w:szCs w:val="24"/>
          <w:highlight w:val="none"/>
          <w:lang w:eastAsia="zh-CN"/>
        </w:rPr>
        <w:t>等应组织专家论证和审查，发生的费用由承包人负责</w:t>
      </w:r>
      <w:r>
        <w:rPr>
          <w:rFonts w:hint="eastAsia" w:ascii="宋体" w:hAnsi="宋体" w:eastAsia="宋体" w:cs="宋体"/>
          <w:b/>
          <w:bCs/>
          <w:snapToGrid/>
          <w:color w:val="auto"/>
          <w:sz w:val="24"/>
          <w:szCs w:val="24"/>
          <w:highlight w:val="none"/>
          <w:lang w:eastAsia="zh-CN"/>
        </w:rPr>
        <w:t>。</w:t>
      </w:r>
    </w:p>
    <w:bookmarkEnd w:id="571"/>
    <w:p w14:paraId="74017F25">
      <w:pPr>
        <w:widowControl w:val="0"/>
        <w:kinsoku/>
        <w:autoSpaceDE/>
        <w:autoSpaceDN/>
        <w:snapToGrid/>
        <w:spacing w:line="360" w:lineRule="auto"/>
        <w:jc w:val="both"/>
        <w:rPr>
          <w:rFonts w:hint="eastAsia" w:ascii="楷体" w:hAnsi="楷体" w:eastAsia="楷体" w:cs="楷体"/>
          <w:b/>
          <w:bCs/>
          <w:snapToGrid/>
          <w:color w:val="auto"/>
          <w:sz w:val="24"/>
          <w:szCs w:val="24"/>
          <w:highlight w:val="none"/>
          <w:lang w:eastAsia="zh-CN"/>
        </w:rPr>
      </w:pPr>
      <w:bookmarkStart w:id="572" w:name="bookmark683"/>
      <w:bookmarkEnd w:id="572"/>
      <w:bookmarkStart w:id="573" w:name="bookmark686"/>
      <w:bookmarkEnd w:id="573"/>
      <w:bookmarkStart w:id="574" w:name="bookmark684"/>
      <w:bookmarkEnd w:id="574"/>
      <w:bookmarkStart w:id="575" w:name="_Toc21319"/>
      <w:r>
        <w:rPr>
          <w:rFonts w:hint="eastAsia" w:ascii="楷体" w:hAnsi="楷体" w:eastAsia="楷体" w:cs="楷体"/>
          <w:b/>
          <w:bCs/>
          <w:snapToGrid/>
          <w:color w:val="auto"/>
          <w:sz w:val="24"/>
          <w:szCs w:val="24"/>
          <w:highlight w:val="none"/>
          <w:lang w:eastAsia="zh-CN"/>
        </w:rPr>
        <w:t>9.4环境保护</w:t>
      </w:r>
    </w:p>
    <w:p w14:paraId="5E0469D5">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补充以下条款：</w:t>
      </w:r>
    </w:p>
    <w:p w14:paraId="557187E6">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9.4.7承包人应严格执行国家有关水域环境生态保护的规定，合理选择施工设备和施工工艺，采取有效措施，减少施工对周边水域的影响。</w:t>
      </w:r>
    </w:p>
    <w:p w14:paraId="3ECD2A4E">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9.4.8承包人应做好施工期各项水质保护措施，各类污水需执行分治外排原则，禁止排入饮用水水源保护区。特别加强对施工废水的处理措施，确保达标排放。取土场、施工临时占地远离饮用水水源保护区。</w:t>
      </w:r>
    </w:p>
    <w:p w14:paraId="2B59EB48">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trike w:val="0"/>
          <w:dstrike w:val="0"/>
          <w:snapToGrid/>
          <w:color w:val="auto"/>
          <w:sz w:val="24"/>
          <w:szCs w:val="24"/>
          <w:highlight w:val="none"/>
          <w:lang w:eastAsia="zh-CN"/>
        </w:rPr>
        <w:t>9.4.9承包人应尽可能优化施工方案，严格限定施工活动范围，合理安排好施工时段和施工方式。加强水土流失防治，落实相应的工程措施、植物措施和临时措施。进一步优化工程取土方案，禁止在环境敏感区范围内设置工程取土场。施工期注意收集表层土壤，施工结束应立即开展对取土场及临时占地的复植、复耕等生态修复工作。</w:t>
      </w:r>
    </w:p>
    <w:p w14:paraId="5A5AF99E">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9.4.10承包人应做好施工区附近和施工公路沿线居民点的噪声和扬尘污染防治工作。选用低噪声设备，合理安排施工作业时间。建筑垃圾及施工人员生活垃圾须及时清运并妥善处理，禁止随意抛弃、排入水体。</w:t>
      </w:r>
    </w:p>
    <w:p w14:paraId="7D946F1B">
      <w:pPr>
        <w:widowControl w:val="0"/>
        <w:kinsoku/>
        <w:autoSpaceDE/>
        <w:autoSpaceDN/>
        <w:snapToGrid/>
        <w:spacing w:line="360" w:lineRule="auto"/>
        <w:ind w:firstLine="482" w:firstLineChars="200"/>
        <w:jc w:val="both"/>
        <w:rPr>
          <w:rFonts w:hint="eastAsia"/>
          <w:color w:val="auto"/>
          <w:highlight w:val="none"/>
        </w:rPr>
      </w:pPr>
      <w:r>
        <w:rPr>
          <w:rFonts w:hint="eastAsia" w:ascii="宋体" w:hAnsi="宋体" w:eastAsia="宋体" w:cs="宋体"/>
          <w:b/>
          <w:bCs/>
          <w:snapToGrid/>
          <w:color w:val="auto"/>
          <w:sz w:val="24"/>
          <w:szCs w:val="24"/>
          <w:highlight w:val="none"/>
          <w:lang w:eastAsia="zh-CN"/>
        </w:rPr>
        <w:t>9.4.11</w:t>
      </w:r>
      <w:r>
        <w:rPr>
          <w:rFonts w:hint="eastAsia" w:ascii="宋体" w:hAnsi="宋体" w:eastAsia="宋体" w:cs="宋体"/>
          <w:snapToGrid/>
          <w:color w:val="auto"/>
          <w:sz w:val="24"/>
          <w:szCs w:val="24"/>
          <w:highlight w:val="none"/>
          <w:lang w:eastAsia="zh-CN"/>
        </w:rPr>
        <w:t>承包人应做好施工区现场保护工作，禁止在本工程范围内进行土方、弃料、生活垃圾、建筑垃圾等违法偷倒行为，如有发现承包人应配合做好现场调查取证工作，并交由相关责任部门依法处理。</w:t>
      </w:r>
    </w:p>
    <w:p w14:paraId="47B150E4">
      <w:pPr>
        <w:widowControl w:val="0"/>
        <w:kinsoku/>
        <w:autoSpaceDE/>
        <w:autoSpaceDN/>
        <w:snapToGrid/>
        <w:spacing w:line="360" w:lineRule="auto"/>
        <w:jc w:val="both"/>
        <w:rPr>
          <w:rFonts w:hint="eastAsia" w:ascii="楷体" w:hAnsi="楷体" w:eastAsia="楷体" w:cs="楷体"/>
          <w:b/>
          <w:bCs/>
          <w:snapToGrid/>
          <w:color w:val="auto"/>
          <w:sz w:val="24"/>
          <w:szCs w:val="24"/>
          <w:highlight w:val="none"/>
          <w:lang w:eastAsia="zh-CN"/>
        </w:rPr>
      </w:pPr>
      <w:r>
        <w:rPr>
          <w:rFonts w:hint="eastAsia" w:ascii="楷体" w:hAnsi="楷体" w:eastAsia="楷体" w:cs="楷体"/>
          <w:b/>
          <w:bCs/>
          <w:snapToGrid/>
          <w:color w:val="auto"/>
          <w:sz w:val="24"/>
          <w:szCs w:val="24"/>
          <w:highlight w:val="none"/>
          <w:lang w:eastAsia="zh-CN"/>
        </w:rPr>
        <w:t>9.6水土保持</w:t>
      </w:r>
    </w:p>
    <w:p w14:paraId="1C3E6692">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snapToGrid/>
          <w:color w:val="auto"/>
          <w:sz w:val="24"/>
          <w:szCs w:val="24"/>
          <w:highlight w:val="none"/>
          <w:lang w:eastAsia="zh-CN"/>
        </w:rPr>
        <w:t>增加以下条款：</w:t>
      </w:r>
    </w:p>
    <w:p w14:paraId="68440379">
      <w:pPr>
        <w:widowControl w:val="0"/>
        <w:kinsoku/>
        <w:autoSpaceDE/>
        <w:autoSpaceDN/>
        <w:snapToGrid/>
        <w:spacing w:line="360" w:lineRule="auto"/>
        <w:ind w:firstLine="482" w:firstLineChars="200"/>
        <w:jc w:val="both"/>
        <w:rPr>
          <w:rFonts w:ascii="Times New Roman" w:hAnsi="Times New Roman" w:eastAsia="宋体" w:cs="Times New Roman"/>
          <w:color w:val="auto"/>
          <w:spacing w:val="-5"/>
          <w:sz w:val="24"/>
          <w:szCs w:val="24"/>
          <w:highlight w:val="none"/>
          <w:lang w:eastAsia="zh-CN"/>
        </w:rPr>
      </w:pPr>
      <w:r>
        <w:rPr>
          <w:rFonts w:hint="eastAsia" w:ascii="宋体" w:hAnsi="宋体" w:eastAsia="宋体" w:cs="宋体"/>
          <w:b/>
          <w:bCs/>
          <w:snapToGrid/>
          <w:color w:val="auto"/>
          <w:sz w:val="24"/>
          <w:szCs w:val="24"/>
          <w:highlight w:val="none"/>
          <w:lang w:eastAsia="zh-CN"/>
        </w:rPr>
        <w:t>9.6.4</w:t>
      </w:r>
      <w:r>
        <w:rPr>
          <w:rFonts w:hint="eastAsia" w:ascii="宋体" w:hAnsi="宋体" w:eastAsia="宋体" w:cs="宋体"/>
          <w:snapToGrid/>
          <w:color w:val="auto"/>
          <w:sz w:val="24"/>
          <w:szCs w:val="24"/>
          <w:highlight w:val="none"/>
          <w:lang w:eastAsia="zh-CN"/>
        </w:rPr>
        <w:t>承包人的各类施工活动要严格限定在用地范围内，严禁随意占压、扰动和破坏地表植被；做好表土的剥离、集中堆放、拦挡、排水、苫盖及回覆等；施工过程中产生的弃土（渣）要及时清运至指定地点堆放并进行防护，禁止随意倾倒或在河道里堆弃。施工结束后要及时进行迹地整治、复耕或恢复植被。加强施工组织管理和临时防护措施，合理安排施工时序，严格控制施工期间可能造成的水土流失。</w:t>
      </w:r>
    </w:p>
    <w:p w14:paraId="46E461BD">
      <w:pPr>
        <w:keepNext w:val="0"/>
        <w:keepLines w:val="0"/>
        <w:pageBreakBefore w:val="0"/>
        <w:widowControl/>
        <w:kinsoku w:val="0"/>
        <w:wordWrap/>
        <w:overflowPunct/>
        <w:topLinePunct w:val="0"/>
        <w:bidi w:val="0"/>
        <w:adjustRightInd w:val="0"/>
        <w:snapToGrid w:val="0"/>
        <w:spacing w:before="78" w:line="291" w:lineRule="auto"/>
        <w:ind w:left="8"/>
        <w:textAlignment w:val="baseline"/>
        <w:outlineLvl w:val="1"/>
        <w:rPr>
          <w:rFonts w:hint="eastAsia" w:ascii="Times New Roman" w:hAnsi="Times New Roman" w:eastAsia="Times New Roman" w:cs="Times New Roman"/>
          <w:b/>
          <w:bCs/>
          <w:snapToGrid w:val="0"/>
          <w:color w:val="auto"/>
          <w:spacing w:val="-2"/>
          <w:kern w:val="0"/>
          <w:sz w:val="24"/>
          <w:szCs w:val="24"/>
          <w:highlight w:val="none"/>
          <w:lang w:val="en-US" w:eastAsia="zh-CN" w:bidi="ar-SA"/>
        </w:rPr>
      </w:pPr>
      <w:bookmarkStart w:id="576" w:name="_Toc17454"/>
      <w:bookmarkStart w:id="577" w:name="_Toc1823"/>
      <w:r>
        <w:rPr>
          <w:rFonts w:hint="eastAsia" w:ascii="Times New Roman" w:hAnsi="Times New Roman" w:eastAsia="Times New Roman" w:cs="Times New Roman"/>
          <w:b/>
          <w:bCs/>
          <w:snapToGrid w:val="0"/>
          <w:color w:val="auto"/>
          <w:spacing w:val="-2"/>
          <w:kern w:val="0"/>
          <w:sz w:val="24"/>
          <w:szCs w:val="24"/>
          <w:highlight w:val="none"/>
          <w:lang w:val="en-US" w:eastAsia="zh-CN" w:bidi="ar-SA"/>
        </w:rPr>
        <w:t>9.7文明工地</w:t>
      </w:r>
      <w:bookmarkEnd w:id="576"/>
      <w:bookmarkEnd w:id="577"/>
    </w:p>
    <w:p w14:paraId="65DAEBF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本合同文明工地的约定</w:t>
      </w:r>
      <w:r>
        <w:rPr>
          <w:rFonts w:hint="eastAsia" w:ascii="宋体" w:hAnsi="宋体" w:eastAsia="宋体" w:cs="宋体"/>
          <w:b w:val="0"/>
          <w:bCs w:val="0"/>
          <w:snapToGrid/>
          <w:color w:val="auto"/>
          <w:kern w:val="0"/>
          <w:sz w:val="24"/>
          <w:szCs w:val="24"/>
          <w:highlight w:val="none"/>
          <w:u w:val="single"/>
          <w:lang w:val="en-US" w:eastAsia="zh-CN"/>
        </w:rPr>
        <w:t xml:space="preserve">： </w:t>
      </w:r>
      <w:r>
        <w:rPr>
          <w:rFonts w:hint="eastAsia" w:ascii="宋体" w:hAnsi="宋体" w:eastAsia="宋体" w:cs="宋体"/>
          <w:b/>
          <w:bCs/>
          <w:snapToGrid/>
          <w:color w:val="auto"/>
          <w:kern w:val="0"/>
          <w:sz w:val="24"/>
          <w:szCs w:val="24"/>
          <w:highlight w:val="none"/>
          <w:u w:val="single"/>
          <w:lang w:val="en-US" w:eastAsia="zh-CN"/>
        </w:rPr>
        <w:t>按浙江省、绍兴市政府及镜湖开发办有关部门颁发的文明施工要求及招标文件中技术条款要求执行。安全文明施工费开工后一次性支付</w:t>
      </w:r>
      <w:r>
        <w:rPr>
          <w:rFonts w:hint="eastAsia" w:ascii="宋体" w:hAnsi="宋体" w:eastAsia="宋体" w:cs="宋体"/>
          <w:b/>
          <w:bCs/>
          <w:snapToGrid/>
          <w:color w:val="auto"/>
          <w:kern w:val="0"/>
          <w:sz w:val="24"/>
          <w:szCs w:val="24"/>
          <w:highlight w:val="none"/>
          <w:lang w:val="en-US" w:eastAsia="zh-CN"/>
        </w:rPr>
        <w:t>。</w:t>
      </w:r>
    </w:p>
    <w:p w14:paraId="494C38F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本章补充：</w:t>
      </w:r>
    </w:p>
    <w:p w14:paraId="15E97949">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楷体" w:hAnsi="楷体" w:eastAsia="楷体" w:cs="楷体"/>
          <w:b/>
          <w:bCs/>
          <w:snapToGrid/>
          <w:color w:val="auto"/>
          <w:kern w:val="0"/>
          <w:sz w:val="24"/>
          <w:szCs w:val="24"/>
          <w:highlight w:val="none"/>
          <w:lang w:val="en-US" w:eastAsia="zh-CN"/>
        </w:rPr>
      </w:pPr>
      <w:r>
        <w:rPr>
          <w:rFonts w:hint="eastAsia" w:ascii="楷体" w:hAnsi="楷体" w:eastAsia="楷体" w:cs="楷体"/>
          <w:b/>
          <w:bCs/>
          <w:snapToGrid/>
          <w:color w:val="auto"/>
          <w:kern w:val="0"/>
          <w:sz w:val="24"/>
          <w:szCs w:val="24"/>
          <w:highlight w:val="none"/>
          <w:lang w:val="en-US" w:eastAsia="zh-CN"/>
        </w:rPr>
        <w:t>9.9 文明施工</w:t>
      </w:r>
    </w:p>
    <w:p w14:paraId="3ADA57C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合同当事人对文明施工的要求：</w:t>
      </w:r>
      <w:r>
        <w:rPr>
          <w:rFonts w:hint="eastAsia" w:ascii="宋体" w:hAnsi="宋体" w:eastAsia="宋体" w:cs="宋体"/>
          <w:b/>
          <w:bCs/>
          <w:snapToGrid/>
          <w:color w:val="auto"/>
          <w:kern w:val="0"/>
          <w:sz w:val="24"/>
          <w:szCs w:val="24"/>
          <w:highlight w:val="none"/>
          <w:u w:val="single"/>
          <w:lang w:val="en-US" w:eastAsia="zh-CN"/>
        </w:rPr>
        <w:t>1.本项目涉及柴油动力移动源的，该移动源应当符合低排放要求；承包人应按相关部门要求做好扬尘防范工作，项目实施过程中，涉及使用柴油动力移动源的，该移动源应当符合低排放要求。根据《绍兴市柴油动力移动源排气污染防治办法》第九条、第十三条的规定，承包人在合同实施过程中使用的柴油动力移动源（柴油货车、非道路移动机械）必须符合低排放要求并已向生态环境部门申领绿色编码，在进入作业现场前须如实向发包人登记报备绿色编码，未申领绿色编码的柴油动力移动源不得进入作业现场施工。在作业现场发现有未申领绿色编码的柴油动力移动源或者未如实进行绿色编码报备的，认定承包人违约，按照合同违约条款承担相应违约责任；2、承包人工程渣土、废弃泥浆等建筑垃圾需满足《绍兴市区建筑垃圾资源化利用专项规划（2020-2025）》相关要求。对本工程施工过程产生的建筑垃圾需要进行综合合理利用，对无法利用部分方可允许进行外运处置，建筑垃圾减量化资源化利用涉及费用已经在标底费用中综合考虑，不再另行计取。渣土运输许可证办理须在施工许可证办理完成后不晚于一个月内，并不迟于施工实际需土方清运时间。3、承包人应按照省、市有关建筑工程施工现场标准化管理规定及开发办的相关要求组织施工，确保现场文明施工，为周边创造良好环境。由于承包人原因造成了损失，承包人除承担违约责任外，同时将对发包人及其他参建单位由此造成的直接损失进行赔偿；4、承包人按镜湖开发办文明施工的通行标准或其出台的相关的指导文件做到文明施工，工完场清，保证施工场地清洁符合环境卫生管理的有关规定，承担因违反有关规定造成的损失，同时按每次500元支付违约金；5、在发包人或相关行业管理部门考核检查过程中如发现问题书面整改通知书下达后要求3天内整改完毕，整改不及时、不到位且情节严重，发包人发出书面通知，按该项目费用（以预算为依据）每次2%作为违约金，在工程款支付中直接扣除。</w:t>
      </w:r>
    </w:p>
    <w:p w14:paraId="5DDFD18F">
      <w:pPr>
        <w:spacing w:before="309" w:line="220" w:lineRule="auto"/>
        <w:ind w:left="11"/>
        <w:outlineLvl w:val="0"/>
        <w:rPr>
          <w:rFonts w:hint="eastAsia"/>
          <w:color w:val="auto"/>
          <w:highlight w:val="none"/>
          <w:lang w:val="en-US" w:eastAsia="zh-CN"/>
        </w:rPr>
      </w:pPr>
      <w:bookmarkStart w:id="578" w:name="_Toc22202"/>
      <w:r>
        <w:rPr>
          <w:rFonts w:ascii="Times New Roman" w:hAnsi="Times New Roman" w:eastAsia="Times New Roman" w:cs="Times New Roman"/>
          <w:b/>
          <w:bCs/>
          <w:color w:val="auto"/>
          <w:spacing w:val="-3"/>
          <w:sz w:val="28"/>
          <w:szCs w:val="28"/>
          <w:highlight w:val="none"/>
        </w:rPr>
        <w:t xml:space="preserve">11  </w:t>
      </w:r>
      <w:r>
        <w:rPr>
          <w:rFonts w:ascii="宋体" w:hAnsi="宋体" w:eastAsia="宋体" w:cs="宋体"/>
          <w:b/>
          <w:bCs/>
          <w:color w:val="auto"/>
          <w:spacing w:val="-3"/>
          <w:sz w:val="28"/>
          <w:szCs w:val="28"/>
          <w:highlight w:val="none"/>
        </w:rPr>
        <w:t>开工和完工</w:t>
      </w:r>
      <w:bookmarkEnd w:id="575"/>
      <w:bookmarkEnd w:id="578"/>
    </w:p>
    <w:p w14:paraId="1BC234C3">
      <w:pPr>
        <w:pStyle w:val="3"/>
        <w:spacing w:line="245" w:lineRule="auto"/>
        <w:rPr>
          <w:color w:val="auto"/>
          <w:highlight w:val="none"/>
        </w:rPr>
      </w:pPr>
    </w:p>
    <w:p w14:paraId="55851DF0">
      <w:pPr>
        <w:spacing w:before="78" w:line="220" w:lineRule="auto"/>
        <w:ind w:left="8"/>
        <w:outlineLvl w:val="1"/>
        <w:rPr>
          <w:rFonts w:ascii="宋体" w:hAnsi="宋体" w:eastAsia="宋体" w:cs="宋体"/>
          <w:color w:val="auto"/>
          <w:sz w:val="24"/>
          <w:szCs w:val="24"/>
          <w:highlight w:val="none"/>
        </w:rPr>
      </w:pPr>
      <w:bookmarkStart w:id="579" w:name="bookmark685"/>
      <w:bookmarkEnd w:id="579"/>
      <w:bookmarkStart w:id="580" w:name="_Toc25907"/>
      <w:bookmarkStart w:id="581" w:name="_Toc8395"/>
      <w:r>
        <w:rPr>
          <w:rFonts w:ascii="Times New Roman" w:hAnsi="Times New Roman" w:eastAsia="Times New Roman" w:cs="Times New Roman"/>
          <w:b/>
          <w:bCs/>
          <w:color w:val="auto"/>
          <w:spacing w:val="-2"/>
          <w:sz w:val="24"/>
          <w:szCs w:val="24"/>
          <w:highlight w:val="none"/>
        </w:rPr>
        <w:t xml:space="preserve">11.4  </w:t>
      </w:r>
      <w:r>
        <w:rPr>
          <w:rFonts w:ascii="宋体" w:hAnsi="宋体" w:eastAsia="宋体" w:cs="宋体"/>
          <w:b/>
          <w:bCs/>
          <w:color w:val="auto"/>
          <w:spacing w:val="-2"/>
          <w:sz w:val="24"/>
          <w:szCs w:val="24"/>
          <w:highlight w:val="none"/>
        </w:rPr>
        <w:t>异常恶劣的气候条件</w:t>
      </w:r>
      <w:bookmarkEnd w:id="580"/>
      <w:bookmarkEnd w:id="581"/>
    </w:p>
    <w:p w14:paraId="696F77E1">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bookmarkStart w:id="582" w:name="bookmark688"/>
      <w:bookmarkEnd w:id="582"/>
      <w:bookmarkStart w:id="583" w:name="bookmark687"/>
      <w:bookmarkEnd w:id="583"/>
      <w:bookmarkStart w:id="584" w:name="_Toc29119"/>
      <w:r>
        <w:rPr>
          <w:rFonts w:hint="eastAsia" w:ascii="宋体" w:hAnsi="宋体" w:eastAsia="宋体" w:cs="宋体"/>
          <w:snapToGrid/>
          <w:color w:val="auto"/>
          <w:kern w:val="0"/>
          <w:sz w:val="24"/>
          <w:szCs w:val="24"/>
          <w:highlight w:val="none"/>
          <w:lang w:val="en-US" w:eastAsia="zh-CN"/>
        </w:rPr>
        <w:t>11.4.3  本合同工程界定异常恶劣的气候条件的范围为：</w:t>
      </w:r>
    </w:p>
    <w:p w14:paraId="21B7F0C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（1）日降雨量大于</w:t>
      </w:r>
      <w:r>
        <w:rPr>
          <w:rFonts w:hint="eastAsia" w:ascii="宋体" w:hAnsi="宋体" w:eastAsia="宋体" w:cs="宋体"/>
          <w:b/>
          <w:bCs/>
          <w:snapToGrid/>
          <w:color w:val="auto"/>
          <w:kern w:val="0"/>
          <w:sz w:val="24"/>
          <w:szCs w:val="24"/>
          <w:highlight w:val="none"/>
          <w:u w:val="single"/>
          <w:lang w:val="en-US" w:eastAsia="zh-CN"/>
        </w:rPr>
        <w:t xml:space="preserve">  50  </w:t>
      </w:r>
      <w:r>
        <w:rPr>
          <w:rFonts w:hint="eastAsia" w:ascii="宋体" w:hAnsi="宋体" w:eastAsia="宋体" w:cs="宋体"/>
          <w:snapToGrid/>
          <w:color w:val="auto"/>
          <w:kern w:val="0"/>
          <w:sz w:val="24"/>
          <w:szCs w:val="24"/>
          <w:highlight w:val="none"/>
          <w:lang w:val="en-US" w:eastAsia="zh-CN"/>
        </w:rPr>
        <w:t>mm 的雨日超过</w:t>
      </w:r>
      <w:r>
        <w:rPr>
          <w:rFonts w:hint="eastAsia" w:ascii="宋体" w:hAnsi="宋体" w:eastAsia="宋体" w:cs="宋体"/>
          <w:b/>
          <w:bCs/>
          <w:snapToGrid/>
          <w:color w:val="auto"/>
          <w:kern w:val="0"/>
          <w:sz w:val="24"/>
          <w:szCs w:val="24"/>
          <w:highlight w:val="none"/>
          <w:u w:val="single"/>
          <w:lang w:val="en-US" w:eastAsia="zh-CN"/>
        </w:rPr>
        <w:t xml:space="preserve">  1  </w:t>
      </w:r>
      <w:r>
        <w:rPr>
          <w:rFonts w:hint="eastAsia" w:ascii="宋体" w:hAnsi="宋体" w:eastAsia="宋体" w:cs="宋体"/>
          <w:snapToGrid/>
          <w:color w:val="auto"/>
          <w:kern w:val="0"/>
          <w:sz w:val="24"/>
          <w:szCs w:val="24"/>
          <w:highlight w:val="none"/>
          <w:lang w:val="en-US" w:eastAsia="zh-CN"/>
        </w:rPr>
        <w:t>天。</w:t>
      </w:r>
    </w:p>
    <w:p w14:paraId="0D379C4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（2）风速大于</w:t>
      </w:r>
      <w:r>
        <w:rPr>
          <w:rFonts w:hint="eastAsia" w:ascii="宋体" w:hAnsi="宋体" w:eastAsia="宋体" w:cs="宋体"/>
          <w:b/>
          <w:bCs/>
          <w:snapToGrid/>
          <w:color w:val="auto"/>
          <w:kern w:val="0"/>
          <w:sz w:val="24"/>
          <w:szCs w:val="24"/>
          <w:highlight w:val="none"/>
          <w:u w:val="single"/>
          <w:lang w:val="en-US" w:eastAsia="zh-CN"/>
        </w:rPr>
        <w:t xml:space="preserve"> 17  </w:t>
      </w:r>
      <w:r>
        <w:rPr>
          <w:rFonts w:hint="eastAsia" w:ascii="宋体" w:hAnsi="宋体" w:eastAsia="宋体" w:cs="宋体"/>
          <w:snapToGrid/>
          <w:color w:val="auto"/>
          <w:kern w:val="0"/>
          <w:sz w:val="24"/>
          <w:szCs w:val="24"/>
          <w:highlight w:val="none"/>
          <w:lang w:val="en-US" w:eastAsia="zh-CN"/>
        </w:rPr>
        <w:t>m/s的</w:t>
      </w:r>
      <w:r>
        <w:rPr>
          <w:rFonts w:hint="eastAsia" w:ascii="宋体" w:hAnsi="宋体" w:eastAsia="宋体" w:cs="宋体"/>
          <w:b/>
          <w:bCs/>
          <w:snapToGrid/>
          <w:color w:val="auto"/>
          <w:kern w:val="0"/>
          <w:sz w:val="24"/>
          <w:szCs w:val="24"/>
          <w:highlight w:val="none"/>
          <w:u w:val="single"/>
          <w:lang w:val="en-US" w:eastAsia="zh-CN"/>
        </w:rPr>
        <w:t xml:space="preserve"> 7 </w:t>
      </w:r>
      <w:r>
        <w:rPr>
          <w:rFonts w:hint="eastAsia" w:ascii="宋体" w:hAnsi="宋体" w:eastAsia="宋体" w:cs="宋体"/>
          <w:snapToGrid/>
          <w:color w:val="auto"/>
          <w:kern w:val="0"/>
          <w:sz w:val="24"/>
          <w:szCs w:val="24"/>
          <w:highlight w:val="none"/>
          <w:lang w:val="en-US" w:eastAsia="zh-CN"/>
        </w:rPr>
        <w:t xml:space="preserve">级以上台风灾害。 </w:t>
      </w:r>
    </w:p>
    <w:p w14:paraId="3AEDC86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（3）日最高气温超过</w:t>
      </w:r>
      <w:r>
        <w:rPr>
          <w:rFonts w:hint="eastAsia" w:ascii="宋体" w:hAnsi="宋体" w:eastAsia="宋体" w:cs="宋体"/>
          <w:snapToGrid/>
          <w:color w:val="auto"/>
          <w:kern w:val="0"/>
          <w:sz w:val="24"/>
          <w:szCs w:val="24"/>
          <w:highlight w:val="none"/>
          <w:u w:val="single"/>
          <w:lang w:val="en-US" w:eastAsia="zh-CN"/>
        </w:rPr>
        <w:t xml:space="preserve">  40 </w:t>
      </w:r>
      <w:r>
        <w:rPr>
          <w:rFonts w:hint="eastAsia" w:ascii="宋体" w:hAnsi="宋体" w:eastAsia="宋体" w:cs="宋体"/>
          <w:snapToGrid/>
          <w:color w:val="auto"/>
          <w:kern w:val="0"/>
          <w:sz w:val="24"/>
          <w:szCs w:val="24"/>
          <w:highlight w:val="none"/>
          <w:lang w:val="en-US" w:eastAsia="zh-CN"/>
        </w:rPr>
        <w:t xml:space="preserve"> ℃的高温大于</w:t>
      </w:r>
      <w:r>
        <w:rPr>
          <w:rFonts w:hint="eastAsia" w:ascii="宋体" w:hAnsi="宋体" w:eastAsia="宋体" w:cs="宋体"/>
          <w:snapToGrid/>
          <w:color w:val="auto"/>
          <w:kern w:val="0"/>
          <w:sz w:val="24"/>
          <w:szCs w:val="24"/>
          <w:highlight w:val="none"/>
          <w:u w:val="single"/>
          <w:lang w:val="en-US" w:eastAsia="zh-CN"/>
        </w:rPr>
        <w:t xml:space="preserve"> 3  </w:t>
      </w:r>
      <w:r>
        <w:rPr>
          <w:rFonts w:hint="eastAsia" w:ascii="宋体" w:hAnsi="宋体" w:eastAsia="宋体" w:cs="宋体"/>
          <w:snapToGrid/>
          <w:color w:val="auto"/>
          <w:kern w:val="0"/>
          <w:sz w:val="24"/>
          <w:szCs w:val="24"/>
          <w:highlight w:val="none"/>
          <w:lang w:val="en-US" w:eastAsia="zh-CN"/>
        </w:rPr>
        <w:t xml:space="preserve">天。 </w:t>
      </w:r>
    </w:p>
    <w:p w14:paraId="1E40C92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（4）日最低气温低于</w:t>
      </w:r>
      <w:r>
        <w:rPr>
          <w:rFonts w:hint="eastAsia" w:ascii="宋体" w:hAnsi="宋体" w:eastAsia="宋体" w:cs="宋体"/>
          <w:snapToGrid/>
          <w:color w:val="auto"/>
          <w:kern w:val="0"/>
          <w:sz w:val="24"/>
          <w:szCs w:val="24"/>
          <w:highlight w:val="none"/>
          <w:u w:val="single"/>
          <w:lang w:val="en-US" w:eastAsia="zh-CN"/>
        </w:rPr>
        <w:t xml:space="preserve">  -5 </w:t>
      </w:r>
      <w:r>
        <w:rPr>
          <w:rFonts w:hint="eastAsia" w:ascii="宋体" w:hAnsi="宋体" w:eastAsia="宋体" w:cs="宋体"/>
          <w:snapToGrid/>
          <w:color w:val="auto"/>
          <w:kern w:val="0"/>
          <w:sz w:val="24"/>
          <w:szCs w:val="24"/>
          <w:highlight w:val="none"/>
          <w:lang w:val="en-US" w:eastAsia="zh-CN"/>
        </w:rPr>
        <w:t>℃的严寒大于</w:t>
      </w:r>
      <w:r>
        <w:rPr>
          <w:rFonts w:hint="eastAsia" w:ascii="宋体" w:hAnsi="宋体" w:eastAsia="宋体" w:cs="宋体"/>
          <w:snapToGrid/>
          <w:color w:val="auto"/>
          <w:kern w:val="0"/>
          <w:sz w:val="24"/>
          <w:szCs w:val="24"/>
          <w:highlight w:val="none"/>
          <w:u w:val="single"/>
          <w:lang w:val="en-US" w:eastAsia="zh-CN"/>
        </w:rPr>
        <w:t xml:space="preserve"> 3  </w:t>
      </w:r>
      <w:r>
        <w:rPr>
          <w:rFonts w:hint="eastAsia" w:ascii="宋体" w:hAnsi="宋体" w:eastAsia="宋体" w:cs="宋体"/>
          <w:snapToGrid/>
          <w:color w:val="auto"/>
          <w:kern w:val="0"/>
          <w:sz w:val="24"/>
          <w:szCs w:val="24"/>
          <w:highlight w:val="none"/>
          <w:lang w:val="en-US" w:eastAsia="zh-CN"/>
        </w:rPr>
        <w:t xml:space="preserve">天。 </w:t>
      </w:r>
    </w:p>
    <w:p w14:paraId="55EA0B9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（5）造成工程损失的冰雹和大雪灾害：冰雹和日降雪量超过 10mm 以上的天气。</w:t>
      </w:r>
    </w:p>
    <w:p w14:paraId="41BCDCE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snapToGrid/>
          <w:color w:val="auto"/>
          <w:kern w:val="0"/>
          <w:sz w:val="24"/>
          <w:szCs w:val="24"/>
          <w:highlight w:val="none"/>
          <w:lang w:val="en-US" w:eastAsia="zh-CN"/>
        </w:rPr>
      </w:pPr>
      <w:r>
        <w:rPr>
          <w:rFonts w:hint="eastAsia" w:ascii="宋体" w:hAnsi="宋体" w:eastAsia="宋体" w:cs="宋体"/>
          <w:snapToGrid/>
          <w:color w:val="auto"/>
          <w:kern w:val="0"/>
          <w:sz w:val="24"/>
          <w:szCs w:val="24"/>
          <w:highlight w:val="none"/>
          <w:lang w:val="en-US" w:eastAsia="zh-CN"/>
        </w:rPr>
        <w:t>（6）其它异常恶劣气候灾害。</w:t>
      </w:r>
    </w:p>
    <w:p w14:paraId="19F0E4FA">
      <w:pPr>
        <w:spacing w:before="182" w:line="220" w:lineRule="auto"/>
        <w:ind w:left="8"/>
        <w:outlineLvl w:val="1"/>
        <w:rPr>
          <w:rFonts w:ascii="宋体" w:hAnsi="宋体" w:eastAsia="宋体" w:cs="宋体"/>
          <w:color w:val="auto"/>
          <w:sz w:val="24"/>
          <w:szCs w:val="24"/>
          <w:highlight w:val="none"/>
        </w:rPr>
      </w:pPr>
      <w:bookmarkStart w:id="585" w:name="_Toc29088"/>
      <w:r>
        <w:rPr>
          <w:rFonts w:ascii="Times New Roman" w:hAnsi="Times New Roman" w:eastAsia="Times New Roman" w:cs="Times New Roman"/>
          <w:b/>
          <w:bCs/>
          <w:color w:val="auto"/>
          <w:spacing w:val="-3"/>
          <w:sz w:val="24"/>
          <w:szCs w:val="24"/>
          <w:highlight w:val="none"/>
        </w:rPr>
        <w:t xml:space="preserve">11.5  </w:t>
      </w:r>
      <w:r>
        <w:rPr>
          <w:rFonts w:ascii="宋体" w:hAnsi="宋体" w:eastAsia="宋体" w:cs="宋体"/>
          <w:b/>
          <w:bCs/>
          <w:color w:val="auto"/>
          <w:spacing w:val="-3"/>
          <w:sz w:val="24"/>
          <w:szCs w:val="24"/>
          <w:highlight w:val="none"/>
        </w:rPr>
        <w:t>承包人的工期延误</w:t>
      </w:r>
      <w:bookmarkEnd w:id="584"/>
      <w:bookmarkEnd w:id="585"/>
    </w:p>
    <w:p w14:paraId="2B480049">
      <w:pPr>
        <w:spacing w:before="180" w:line="220" w:lineRule="auto"/>
        <w:ind w:left="48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）逾期完工违约金表。</w:t>
      </w:r>
    </w:p>
    <w:p w14:paraId="0F3C1525">
      <w:pPr>
        <w:spacing w:before="176" w:line="221" w:lineRule="auto"/>
        <w:ind w:left="3759"/>
        <w:rPr>
          <w:rFonts w:ascii="宋体" w:hAnsi="宋体" w:eastAsia="宋体" w:cs="宋体"/>
          <w:color w:val="auto"/>
          <w:sz w:val="21"/>
          <w:szCs w:val="21"/>
          <w:highlight w:val="none"/>
        </w:rPr>
      </w:pPr>
      <w:r>
        <w:rPr>
          <w:rFonts w:ascii="宋体" w:hAnsi="宋体" w:eastAsia="宋体" w:cs="宋体"/>
          <w:b/>
          <w:bCs/>
          <w:color w:val="auto"/>
          <w:spacing w:val="-2"/>
          <w:sz w:val="21"/>
          <w:szCs w:val="21"/>
          <w:highlight w:val="none"/>
        </w:rPr>
        <w:t>逾期完工违约金表</w:t>
      </w:r>
    </w:p>
    <w:p w14:paraId="6106D634">
      <w:pPr>
        <w:spacing w:line="127" w:lineRule="exact"/>
        <w:rPr>
          <w:color w:val="auto"/>
          <w:highlight w:val="none"/>
        </w:rPr>
      </w:pPr>
    </w:p>
    <w:tbl>
      <w:tblPr>
        <w:tblStyle w:val="18"/>
        <w:tblW w:w="0" w:type="auto"/>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66"/>
        <w:gridCol w:w="2665"/>
        <w:gridCol w:w="3460"/>
        <w:gridCol w:w="1702"/>
      </w:tblGrid>
      <w:tr w14:paraId="4313AE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66" w:type="dxa"/>
            <w:tcBorders>
              <w:top w:val="single" w:color="000000" w:sz="6" w:space="0"/>
              <w:left w:val="single" w:color="000000" w:sz="6" w:space="0"/>
            </w:tcBorders>
            <w:noWrap w:val="0"/>
            <w:vAlign w:val="top"/>
          </w:tcPr>
          <w:p w14:paraId="7734A80D">
            <w:pPr>
              <w:pStyle w:val="33"/>
              <w:pageBreakBefore w:val="0"/>
              <w:overflowPunct/>
              <w:topLinePunct w:val="0"/>
              <w:bidi w:val="0"/>
              <w:spacing w:before="126" w:line="240" w:lineRule="auto"/>
              <w:ind w:left="270"/>
              <w:rPr>
                <w:color w:val="auto"/>
                <w:sz w:val="21"/>
                <w:szCs w:val="21"/>
                <w:highlight w:val="none"/>
              </w:rPr>
            </w:pPr>
            <w:r>
              <w:rPr>
                <w:color w:val="auto"/>
                <w:spacing w:val="-2"/>
                <w:sz w:val="21"/>
                <w:szCs w:val="21"/>
                <w:highlight w:val="none"/>
              </w:rPr>
              <w:t>序号</w:t>
            </w:r>
          </w:p>
        </w:tc>
        <w:tc>
          <w:tcPr>
            <w:tcW w:w="2665" w:type="dxa"/>
            <w:tcBorders>
              <w:top w:val="single" w:color="000000" w:sz="6" w:space="0"/>
            </w:tcBorders>
            <w:noWrap w:val="0"/>
            <w:vAlign w:val="top"/>
          </w:tcPr>
          <w:p w14:paraId="5CF898CC">
            <w:pPr>
              <w:pStyle w:val="33"/>
              <w:pageBreakBefore w:val="0"/>
              <w:overflowPunct/>
              <w:topLinePunct w:val="0"/>
              <w:bidi w:val="0"/>
              <w:spacing w:before="125" w:line="240" w:lineRule="auto"/>
              <w:ind w:left="707"/>
              <w:rPr>
                <w:color w:val="auto"/>
                <w:sz w:val="21"/>
                <w:szCs w:val="21"/>
                <w:highlight w:val="none"/>
              </w:rPr>
            </w:pPr>
            <w:r>
              <w:rPr>
                <w:color w:val="auto"/>
                <w:spacing w:val="-2"/>
                <w:sz w:val="21"/>
                <w:szCs w:val="21"/>
                <w:highlight w:val="none"/>
              </w:rPr>
              <w:t>项目及其说明</w:t>
            </w:r>
          </w:p>
        </w:tc>
        <w:tc>
          <w:tcPr>
            <w:tcW w:w="3460" w:type="dxa"/>
            <w:tcBorders>
              <w:top w:val="single" w:color="000000" w:sz="6" w:space="0"/>
            </w:tcBorders>
            <w:noWrap w:val="0"/>
            <w:vAlign w:val="top"/>
          </w:tcPr>
          <w:p w14:paraId="6214391B">
            <w:pPr>
              <w:pStyle w:val="33"/>
              <w:pageBreakBefore w:val="0"/>
              <w:overflowPunct/>
              <w:topLinePunct w:val="0"/>
              <w:bidi w:val="0"/>
              <w:spacing w:before="125" w:line="240" w:lineRule="auto"/>
              <w:ind w:left="613"/>
              <w:rPr>
                <w:color w:val="auto"/>
                <w:sz w:val="21"/>
                <w:szCs w:val="21"/>
                <w:highlight w:val="none"/>
              </w:rPr>
            </w:pPr>
            <w:r>
              <w:rPr>
                <w:color w:val="auto"/>
                <w:spacing w:val="-2"/>
                <w:sz w:val="21"/>
                <w:szCs w:val="21"/>
                <w:highlight w:val="none"/>
              </w:rPr>
              <w:t>要求完工日期</w:t>
            </w:r>
          </w:p>
        </w:tc>
        <w:tc>
          <w:tcPr>
            <w:tcW w:w="1702" w:type="dxa"/>
            <w:tcBorders>
              <w:top w:val="single" w:color="000000" w:sz="6" w:space="0"/>
              <w:right w:val="single" w:color="000000" w:sz="6" w:space="0"/>
            </w:tcBorders>
            <w:noWrap w:val="0"/>
            <w:vAlign w:val="top"/>
          </w:tcPr>
          <w:p w14:paraId="32F8B5B9">
            <w:pPr>
              <w:pStyle w:val="33"/>
              <w:pageBreakBefore w:val="0"/>
              <w:overflowPunct/>
              <w:topLinePunct w:val="0"/>
              <w:bidi w:val="0"/>
              <w:spacing w:before="126" w:line="240" w:lineRule="auto"/>
              <w:rPr>
                <w:color w:val="auto"/>
                <w:sz w:val="21"/>
                <w:szCs w:val="21"/>
                <w:highlight w:val="none"/>
              </w:rPr>
            </w:pPr>
            <w:r>
              <w:rPr>
                <w:color w:val="auto"/>
                <w:spacing w:val="-2"/>
                <w:sz w:val="21"/>
                <w:szCs w:val="21"/>
                <w:highlight w:val="none"/>
              </w:rPr>
              <w:t>违约金（元</w:t>
            </w:r>
            <w:r>
              <w:rPr>
                <w:rFonts w:ascii="Times New Roman" w:hAnsi="Times New Roman" w:eastAsia="Times New Roman" w:cs="Times New Roman"/>
                <w:color w:val="auto"/>
                <w:spacing w:val="-2"/>
                <w:sz w:val="21"/>
                <w:szCs w:val="21"/>
                <w:highlight w:val="none"/>
              </w:rPr>
              <w:t>/</w:t>
            </w:r>
            <w:r>
              <w:rPr>
                <w:color w:val="auto"/>
                <w:spacing w:val="-2"/>
                <w:sz w:val="21"/>
                <w:szCs w:val="21"/>
                <w:highlight w:val="none"/>
              </w:rPr>
              <w:t>天）</w:t>
            </w:r>
          </w:p>
        </w:tc>
      </w:tr>
      <w:tr w14:paraId="23D98C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5" w:hRule="atLeast"/>
        </w:trPr>
        <w:tc>
          <w:tcPr>
            <w:tcW w:w="966" w:type="dxa"/>
            <w:tcBorders>
              <w:left w:val="single" w:color="000000" w:sz="6" w:space="0"/>
            </w:tcBorders>
            <w:noWrap w:val="0"/>
            <w:vAlign w:val="center"/>
          </w:tcPr>
          <w:p w14:paraId="5D813B3E">
            <w:pPr>
              <w:pageBreakBefore w:val="0"/>
              <w:overflowPunct/>
              <w:topLinePunct w:val="0"/>
              <w:bidi w:val="0"/>
              <w:spacing w:line="240" w:lineRule="auto"/>
              <w:jc w:val="center"/>
              <w:rPr>
                <w:rFonts w:hint="eastAsia" w:eastAsia="宋体"/>
                <w:color w:val="auto"/>
                <w:highlight w:val="none"/>
                <w:lang w:eastAsia="zh-CN"/>
              </w:rPr>
            </w:pPr>
            <w:r>
              <w:rPr>
                <w:rFonts w:hint="eastAsia" w:eastAsia="宋体"/>
                <w:color w:val="auto"/>
                <w:highlight w:val="none"/>
                <w:lang w:eastAsia="zh-CN"/>
              </w:rPr>
              <w:t>1</w:t>
            </w:r>
          </w:p>
        </w:tc>
        <w:tc>
          <w:tcPr>
            <w:tcW w:w="2665" w:type="dxa"/>
            <w:noWrap w:val="0"/>
            <w:vAlign w:val="center"/>
          </w:tcPr>
          <w:p w14:paraId="63A20811">
            <w:pPr>
              <w:pageBreakBefore w:val="0"/>
              <w:overflowPunct/>
              <w:topLinePunct w:val="0"/>
              <w:bidi w:val="0"/>
              <w:spacing w:line="240" w:lineRule="auto"/>
              <w:jc w:val="center"/>
              <w:rPr>
                <w:color w:val="auto"/>
                <w:highlight w:val="none"/>
                <w:lang w:eastAsia="zh-CN"/>
              </w:rPr>
            </w:pPr>
            <w:r>
              <w:rPr>
                <w:rFonts w:hint="eastAsia" w:ascii="宋体" w:hAnsi="宋体" w:eastAsia="宋体" w:cs="宋体"/>
                <w:color w:val="auto"/>
                <w:kern w:val="2"/>
                <w:highlight w:val="none"/>
                <w:u w:val="single"/>
                <w:lang w:eastAsia="zh-CN"/>
              </w:rPr>
              <w:t>因承包人原因造成节点工期（总工期）延期1—10天的</w:t>
            </w:r>
          </w:p>
        </w:tc>
        <w:tc>
          <w:tcPr>
            <w:tcW w:w="3460" w:type="dxa"/>
            <w:noWrap w:val="0"/>
            <w:vAlign w:val="center"/>
          </w:tcPr>
          <w:p w14:paraId="3779EF62">
            <w:pPr>
              <w:pageBreakBefore w:val="0"/>
              <w:overflowPunct/>
              <w:topLinePunct w:val="0"/>
              <w:bidi w:val="0"/>
              <w:spacing w:line="240" w:lineRule="auto"/>
              <w:jc w:val="center"/>
              <w:rPr>
                <w:color w:val="auto"/>
                <w:highlight w:val="none"/>
                <w:lang w:eastAsia="zh-CN"/>
              </w:rPr>
            </w:pPr>
            <w:r>
              <w:rPr>
                <w:rFonts w:hint="eastAsia"/>
                <w:color w:val="auto"/>
                <w:highlight w:val="none"/>
                <w:lang w:eastAsia="zh-CN"/>
              </w:rPr>
              <w:t>自监理开工通知发出之日注明的日期起</w:t>
            </w:r>
            <w:r>
              <w:rPr>
                <w:rFonts w:hint="eastAsia" w:eastAsia="宋体"/>
                <w:color w:val="auto"/>
                <w:highlight w:val="none"/>
                <w:lang w:eastAsia="zh-CN"/>
              </w:rPr>
              <w:t>至约定的完成日期止</w:t>
            </w:r>
            <w:r>
              <w:rPr>
                <w:rFonts w:hint="eastAsia"/>
                <w:color w:val="auto"/>
                <w:highlight w:val="none"/>
                <w:lang w:eastAsia="zh-CN"/>
              </w:rPr>
              <w:t>。</w:t>
            </w:r>
          </w:p>
        </w:tc>
        <w:tc>
          <w:tcPr>
            <w:tcW w:w="1702" w:type="dxa"/>
            <w:tcBorders>
              <w:right w:val="single" w:color="000000" w:sz="6" w:space="0"/>
            </w:tcBorders>
            <w:noWrap w:val="0"/>
            <w:vAlign w:val="center"/>
          </w:tcPr>
          <w:p w14:paraId="6F269655">
            <w:pPr>
              <w:pageBreakBefore w:val="0"/>
              <w:overflowPunct/>
              <w:topLinePunct w:val="0"/>
              <w:bidi w:val="0"/>
              <w:spacing w:line="240" w:lineRule="auto"/>
              <w:jc w:val="center"/>
              <w:rPr>
                <w:rFonts w:eastAsia="宋体"/>
                <w:color w:val="auto"/>
                <w:highlight w:val="none"/>
                <w:lang w:eastAsia="zh-CN"/>
              </w:rPr>
            </w:pPr>
            <w:r>
              <w:rPr>
                <w:rFonts w:hint="eastAsia" w:eastAsia="宋体"/>
                <w:color w:val="auto"/>
                <w:highlight w:val="none"/>
                <w:lang w:eastAsia="zh-CN"/>
              </w:rPr>
              <w:t>100</w:t>
            </w:r>
          </w:p>
        </w:tc>
      </w:tr>
      <w:tr w14:paraId="2D11CC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56" w:hRule="atLeast"/>
        </w:trPr>
        <w:tc>
          <w:tcPr>
            <w:tcW w:w="966" w:type="dxa"/>
            <w:tcBorders>
              <w:left w:val="single" w:color="000000" w:sz="6" w:space="0"/>
            </w:tcBorders>
            <w:noWrap w:val="0"/>
            <w:vAlign w:val="center"/>
          </w:tcPr>
          <w:p w14:paraId="63856421">
            <w:pPr>
              <w:pageBreakBefore w:val="0"/>
              <w:overflowPunct/>
              <w:topLinePunct w:val="0"/>
              <w:bidi w:val="0"/>
              <w:spacing w:line="240" w:lineRule="auto"/>
              <w:jc w:val="center"/>
              <w:rPr>
                <w:rFonts w:hint="eastAsia" w:eastAsia="宋体"/>
                <w:color w:val="auto"/>
                <w:highlight w:val="none"/>
                <w:lang w:eastAsia="zh-CN"/>
              </w:rPr>
            </w:pPr>
            <w:r>
              <w:rPr>
                <w:rFonts w:hint="eastAsia" w:eastAsia="宋体"/>
                <w:color w:val="auto"/>
                <w:highlight w:val="none"/>
                <w:lang w:eastAsia="zh-CN"/>
              </w:rPr>
              <w:t>2</w:t>
            </w:r>
          </w:p>
        </w:tc>
        <w:tc>
          <w:tcPr>
            <w:tcW w:w="2665" w:type="dxa"/>
            <w:noWrap w:val="0"/>
            <w:vAlign w:val="center"/>
          </w:tcPr>
          <w:p w14:paraId="2A72FE6F">
            <w:pPr>
              <w:pageBreakBefore w:val="0"/>
              <w:overflowPunct/>
              <w:topLinePunct w:val="0"/>
              <w:bidi w:val="0"/>
              <w:spacing w:line="240" w:lineRule="auto"/>
              <w:jc w:val="center"/>
              <w:rPr>
                <w:color w:val="auto"/>
                <w:highlight w:val="none"/>
                <w:lang w:eastAsia="zh-CN"/>
              </w:rPr>
            </w:pPr>
            <w:r>
              <w:rPr>
                <w:rFonts w:hint="eastAsia" w:ascii="宋体" w:hAnsi="宋体" w:eastAsia="宋体" w:cs="宋体"/>
                <w:color w:val="auto"/>
                <w:kern w:val="2"/>
                <w:highlight w:val="none"/>
                <w:u w:val="single"/>
                <w:lang w:eastAsia="zh-CN"/>
              </w:rPr>
              <w:t>因承包人原因造成节点工期（总工期）延期11—30天的</w:t>
            </w:r>
          </w:p>
        </w:tc>
        <w:tc>
          <w:tcPr>
            <w:tcW w:w="3460" w:type="dxa"/>
            <w:noWrap w:val="0"/>
            <w:vAlign w:val="center"/>
          </w:tcPr>
          <w:p w14:paraId="4060D3B8">
            <w:pPr>
              <w:pageBreakBefore w:val="0"/>
              <w:overflowPunct/>
              <w:topLinePunct w:val="0"/>
              <w:bidi w:val="0"/>
              <w:spacing w:line="240" w:lineRule="auto"/>
              <w:jc w:val="center"/>
              <w:rPr>
                <w:color w:val="auto"/>
                <w:highlight w:val="none"/>
                <w:lang w:eastAsia="zh-CN"/>
              </w:rPr>
            </w:pPr>
            <w:r>
              <w:rPr>
                <w:rFonts w:hint="eastAsia"/>
                <w:color w:val="auto"/>
                <w:highlight w:val="none"/>
                <w:lang w:eastAsia="zh-CN"/>
              </w:rPr>
              <w:t>自监理开工通知发出之日注明的日期起</w:t>
            </w:r>
            <w:r>
              <w:rPr>
                <w:rFonts w:hint="eastAsia" w:eastAsia="宋体"/>
                <w:color w:val="auto"/>
                <w:highlight w:val="none"/>
                <w:lang w:eastAsia="zh-CN"/>
              </w:rPr>
              <w:t>至约定的完成日期止</w:t>
            </w:r>
            <w:r>
              <w:rPr>
                <w:rFonts w:hint="eastAsia"/>
                <w:color w:val="auto"/>
                <w:highlight w:val="none"/>
                <w:lang w:eastAsia="zh-CN"/>
              </w:rPr>
              <w:t>。</w:t>
            </w:r>
          </w:p>
        </w:tc>
        <w:tc>
          <w:tcPr>
            <w:tcW w:w="1702" w:type="dxa"/>
            <w:tcBorders>
              <w:right w:val="single" w:color="000000" w:sz="6" w:space="0"/>
            </w:tcBorders>
            <w:noWrap w:val="0"/>
            <w:vAlign w:val="center"/>
          </w:tcPr>
          <w:p w14:paraId="2884A4B1">
            <w:pPr>
              <w:pageBreakBefore w:val="0"/>
              <w:overflowPunct/>
              <w:topLinePunct w:val="0"/>
              <w:bidi w:val="0"/>
              <w:spacing w:line="240" w:lineRule="auto"/>
              <w:jc w:val="center"/>
              <w:rPr>
                <w:rFonts w:eastAsia="宋体"/>
                <w:color w:val="auto"/>
                <w:highlight w:val="none"/>
                <w:lang w:eastAsia="zh-CN"/>
              </w:rPr>
            </w:pPr>
            <w:r>
              <w:rPr>
                <w:rFonts w:hint="eastAsia" w:eastAsia="宋体"/>
                <w:color w:val="auto"/>
                <w:highlight w:val="none"/>
                <w:lang w:eastAsia="zh-CN"/>
              </w:rPr>
              <w:t>200</w:t>
            </w:r>
          </w:p>
        </w:tc>
      </w:tr>
      <w:tr w14:paraId="090928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PrEx>
        <w:trPr>
          <w:trHeight w:val="469" w:hRule="atLeast"/>
        </w:trPr>
        <w:tc>
          <w:tcPr>
            <w:tcW w:w="966" w:type="dxa"/>
            <w:tcBorders>
              <w:left w:val="single" w:color="000000" w:sz="6" w:space="0"/>
            </w:tcBorders>
            <w:noWrap w:val="0"/>
            <w:vAlign w:val="center"/>
          </w:tcPr>
          <w:p w14:paraId="58FAB1E0">
            <w:pPr>
              <w:pageBreakBefore w:val="0"/>
              <w:overflowPunct/>
              <w:topLinePunct w:val="0"/>
              <w:bidi w:val="0"/>
              <w:spacing w:line="240" w:lineRule="auto"/>
              <w:jc w:val="center"/>
              <w:rPr>
                <w:rFonts w:hint="eastAsia" w:eastAsia="宋体"/>
                <w:color w:val="auto"/>
                <w:highlight w:val="none"/>
                <w:lang w:eastAsia="zh-CN"/>
              </w:rPr>
            </w:pPr>
            <w:r>
              <w:rPr>
                <w:rFonts w:hint="eastAsia" w:eastAsia="宋体"/>
                <w:color w:val="auto"/>
                <w:highlight w:val="none"/>
                <w:lang w:eastAsia="zh-CN"/>
              </w:rPr>
              <w:t>3</w:t>
            </w:r>
          </w:p>
        </w:tc>
        <w:tc>
          <w:tcPr>
            <w:tcW w:w="2665" w:type="dxa"/>
            <w:noWrap w:val="0"/>
            <w:vAlign w:val="center"/>
          </w:tcPr>
          <w:p w14:paraId="6BF57296">
            <w:pPr>
              <w:pageBreakBefore w:val="0"/>
              <w:overflowPunct/>
              <w:topLinePunct w:val="0"/>
              <w:bidi w:val="0"/>
              <w:spacing w:line="240" w:lineRule="auto"/>
              <w:jc w:val="center"/>
              <w:rPr>
                <w:rFonts w:eastAsia="宋体"/>
                <w:color w:val="auto"/>
                <w:highlight w:val="none"/>
                <w:lang w:eastAsia="zh-CN"/>
              </w:rPr>
            </w:pPr>
            <w:r>
              <w:rPr>
                <w:rFonts w:hint="eastAsia" w:ascii="宋体" w:hAnsi="宋体" w:eastAsia="宋体" w:cs="宋体"/>
                <w:color w:val="auto"/>
                <w:kern w:val="2"/>
                <w:highlight w:val="none"/>
                <w:u w:val="single"/>
                <w:lang w:eastAsia="zh-CN"/>
              </w:rPr>
              <w:t>因承包人原因造成节点工期（总工期）延期超过30天的</w:t>
            </w:r>
          </w:p>
        </w:tc>
        <w:tc>
          <w:tcPr>
            <w:tcW w:w="3460" w:type="dxa"/>
            <w:noWrap w:val="0"/>
            <w:vAlign w:val="center"/>
          </w:tcPr>
          <w:p w14:paraId="1D19811E">
            <w:pPr>
              <w:pageBreakBefore w:val="0"/>
              <w:overflowPunct/>
              <w:topLinePunct w:val="0"/>
              <w:bidi w:val="0"/>
              <w:spacing w:line="240" w:lineRule="auto"/>
              <w:jc w:val="center"/>
              <w:rPr>
                <w:color w:val="auto"/>
                <w:highlight w:val="none"/>
                <w:lang w:eastAsia="zh-CN"/>
              </w:rPr>
            </w:pPr>
            <w:r>
              <w:rPr>
                <w:rFonts w:hint="eastAsia"/>
                <w:color w:val="auto"/>
                <w:highlight w:val="none"/>
                <w:lang w:eastAsia="zh-CN"/>
              </w:rPr>
              <w:t>自监理开工通知发出之日注明的日期起</w:t>
            </w:r>
            <w:r>
              <w:rPr>
                <w:rFonts w:hint="eastAsia" w:eastAsia="宋体"/>
                <w:color w:val="auto"/>
                <w:highlight w:val="none"/>
                <w:lang w:eastAsia="zh-CN"/>
              </w:rPr>
              <w:t>至约定的完成日期止</w:t>
            </w:r>
            <w:r>
              <w:rPr>
                <w:rFonts w:hint="eastAsia"/>
                <w:color w:val="auto"/>
                <w:highlight w:val="none"/>
                <w:lang w:eastAsia="zh-CN"/>
              </w:rPr>
              <w:t>。</w:t>
            </w:r>
          </w:p>
        </w:tc>
        <w:tc>
          <w:tcPr>
            <w:tcW w:w="1702" w:type="dxa"/>
            <w:tcBorders>
              <w:right w:val="single" w:color="000000" w:sz="6" w:space="0"/>
            </w:tcBorders>
            <w:noWrap w:val="0"/>
            <w:vAlign w:val="center"/>
          </w:tcPr>
          <w:p w14:paraId="619E4693">
            <w:pPr>
              <w:pageBreakBefore w:val="0"/>
              <w:overflowPunct/>
              <w:topLinePunct w:val="0"/>
              <w:bidi w:val="0"/>
              <w:spacing w:line="240" w:lineRule="auto"/>
              <w:jc w:val="center"/>
              <w:rPr>
                <w:rFonts w:eastAsia="宋体"/>
                <w:color w:val="auto"/>
                <w:highlight w:val="none"/>
                <w:lang w:eastAsia="zh-CN"/>
              </w:rPr>
            </w:pPr>
            <w:r>
              <w:rPr>
                <w:rFonts w:hint="eastAsia" w:eastAsia="宋体"/>
                <w:color w:val="auto"/>
                <w:highlight w:val="none"/>
                <w:lang w:val="en-US" w:eastAsia="zh-CN"/>
              </w:rPr>
              <w:t>5</w:t>
            </w:r>
            <w:r>
              <w:rPr>
                <w:rFonts w:hint="eastAsia" w:eastAsia="宋体"/>
                <w:color w:val="auto"/>
                <w:highlight w:val="none"/>
                <w:lang w:eastAsia="zh-CN"/>
              </w:rPr>
              <w:t>00</w:t>
            </w:r>
          </w:p>
        </w:tc>
      </w:tr>
    </w:tbl>
    <w:p w14:paraId="795CEAD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color w:val="auto"/>
          <w:highlight w:val="none"/>
        </w:rPr>
      </w:pPr>
      <w:r>
        <w:rPr>
          <w:rFonts w:hint="eastAsia" w:ascii="宋体" w:hAnsi="宋体" w:eastAsia="宋体" w:cs="宋体"/>
          <w:snapToGrid/>
          <w:color w:val="auto"/>
          <w:kern w:val="0"/>
          <w:sz w:val="24"/>
          <w:szCs w:val="24"/>
          <w:highlight w:val="none"/>
          <w:lang w:val="en-US" w:eastAsia="zh-CN"/>
        </w:rPr>
        <w:t>（2）全部逾期完工违约金的总限额不超过签约合同价的</w:t>
      </w:r>
      <w:r>
        <w:rPr>
          <w:rFonts w:hint="eastAsia" w:ascii="宋体" w:hAnsi="宋体" w:eastAsia="宋体" w:cs="宋体"/>
          <w:b/>
          <w:bCs/>
          <w:snapToGrid/>
          <w:color w:val="auto"/>
          <w:kern w:val="0"/>
          <w:sz w:val="24"/>
          <w:szCs w:val="24"/>
          <w:highlight w:val="none"/>
          <w:u w:val="single"/>
          <w:lang w:val="en-US" w:eastAsia="zh-CN"/>
        </w:rPr>
        <w:t xml:space="preserve">  3  </w:t>
      </w:r>
      <w:r>
        <w:rPr>
          <w:rFonts w:hint="eastAsia" w:ascii="宋体" w:hAnsi="宋体" w:eastAsia="宋体" w:cs="宋体"/>
          <w:snapToGrid/>
          <w:color w:val="auto"/>
          <w:kern w:val="0"/>
          <w:sz w:val="24"/>
          <w:szCs w:val="24"/>
          <w:highlight w:val="none"/>
          <w:lang w:val="en-US" w:eastAsia="zh-CN"/>
        </w:rPr>
        <w:t>%。</w:t>
      </w:r>
    </w:p>
    <w:p w14:paraId="397F7995">
      <w:pPr>
        <w:spacing w:before="185" w:line="220" w:lineRule="auto"/>
        <w:ind w:left="8"/>
        <w:outlineLvl w:val="1"/>
        <w:rPr>
          <w:rFonts w:ascii="宋体" w:hAnsi="宋体" w:eastAsia="宋体" w:cs="宋体"/>
          <w:color w:val="auto"/>
          <w:sz w:val="24"/>
          <w:szCs w:val="24"/>
          <w:highlight w:val="none"/>
        </w:rPr>
      </w:pPr>
      <w:bookmarkStart w:id="586" w:name="bookmark689"/>
      <w:bookmarkEnd w:id="586"/>
      <w:bookmarkStart w:id="587" w:name="bookmark690"/>
      <w:bookmarkEnd w:id="587"/>
      <w:bookmarkStart w:id="588" w:name="_Toc10388"/>
      <w:bookmarkStart w:id="589" w:name="_Toc21953"/>
      <w:r>
        <w:rPr>
          <w:rFonts w:ascii="Times New Roman" w:hAnsi="Times New Roman" w:eastAsia="Times New Roman" w:cs="Times New Roman"/>
          <w:b/>
          <w:bCs/>
          <w:color w:val="auto"/>
          <w:spacing w:val="-5"/>
          <w:sz w:val="24"/>
          <w:szCs w:val="24"/>
          <w:highlight w:val="none"/>
        </w:rPr>
        <w:t>11.6</w:t>
      </w:r>
      <w:r>
        <w:rPr>
          <w:rFonts w:ascii="Times New Roman" w:hAnsi="Times New Roman" w:eastAsia="Times New Roman" w:cs="Times New Roman"/>
          <w:b/>
          <w:bCs/>
          <w:color w:val="auto"/>
          <w:spacing w:val="8"/>
          <w:sz w:val="24"/>
          <w:szCs w:val="24"/>
          <w:highlight w:val="none"/>
        </w:rPr>
        <w:t xml:space="preserve">  </w:t>
      </w:r>
      <w:r>
        <w:rPr>
          <w:rFonts w:ascii="宋体" w:hAnsi="宋体" w:eastAsia="宋体" w:cs="宋体"/>
          <w:b/>
          <w:bCs/>
          <w:color w:val="auto"/>
          <w:spacing w:val="-5"/>
          <w:sz w:val="24"/>
          <w:szCs w:val="24"/>
          <w:highlight w:val="none"/>
        </w:rPr>
        <w:t>工期提前</w:t>
      </w:r>
      <w:bookmarkEnd w:id="588"/>
      <w:bookmarkEnd w:id="589"/>
    </w:p>
    <w:p w14:paraId="33D4A10B">
      <w:pPr>
        <w:spacing w:before="182" w:line="220" w:lineRule="auto"/>
        <w:ind w:left="48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工期提前的奖金约定：</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hint="eastAsia"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31E25365">
      <w:pPr>
        <w:spacing w:before="309" w:line="220" w:lineRule="auto"/>
        <w:ind w:left="11"/>
        <w:outlineLvl w:val="0"/>
        <w:rPr>
          <w:rFonts w:ascii="宋体" w:hAnsi="宋体" w:eastAsia="宋体" w:cs="宋体"/>
          <w:b/>
          <w:bCs/>
          <w:color w:val="auto"/>
          <w:spacing w:val="-3"/>
          <w:sz w:val="28"/>
          <w:szCs w:val="28"/>
          <w:highlight w:val="none"/>
        </w:rPr>
      </w:pPr>
      <w:bookmarkStart w:id="590" w:name="bookmark692"/>
      <w:bookmarkEnd w:id="590"/>
      <w:bookmarkStart w:id="591" w:name="bookmark694"/>
      <w:bookmarkEnd w:id="591"/>
      <w:bookmarkStart w:id="592" w:name="bookmark691"/>
      <w:bookmarkEnd w:id="592"/>
      <w:bookmarkStart w:id="593" w:name="_Toc17525"/>
      <w:bookmarkStart w:id="594" w:name="_Toc14928"/>
      <w:r>
        <w:rPr>
          <w:rFonts w:ascii="宋体" w:hAnsi="宋体" w:eastAsia="宋体" w:cs="宋体"/>
          <w:b/>
          <w:bCs/>
          <w:color w:val="auto"/>
          <w:spacing w:val="-3"/>
          <w:sz w:val="28"/>
          <w:szCs w:val="28"/>
          <w:highlight w:val="none"/>
        </w:rPr>
        <w:t>12  暂停施工</w:t>
      </w:r>
      <w:bookmarkEnd w:id="593"/>
      <w:bookmarkEnd w:id="594"/>
    </w:p>
    <w:p w14:paraId="477C7626">
      <w:pPr>
        <w:pStyle w:val="3"/>
        <w:spacing w:line="244" w:lineRule="auto"/>
        <w:rPr>
          <w:color w:val="auto"/>
          <w:highlight w:val="none"/>
        </w:rPr>
      </w:pPr>
    </w:p>
    <w:p w14:paraId="310C55AE">
      <w:pPr>
        <w:spacing w:before="78" w:line="220" w:lineRule="auto"/>
        <w:ind w:left="6"/>
        <w:outlineLvl w:val="1"/>
        <w:rPr>
          <w:rFonts w:ascii="宋体" w:hAnsi="宋体" w:eastAsia="宋体" w:cs="宋体"/>
          <w:color w:val="auto"/>
          <w:sz w:val="24"/>
          <w:szCs w:val="24"/>
          <w:highlight w:val="none"/>
        </w:rPr>
      </w:pPr>
      <w:bookmarkStart w:id="595" w:name="bookmark693"/>
      <w:bookmarkEnd w:id="595"/>
      <w:bookmarkStart w:id="596" w:name="_Toc14183"/>
      <w:bookmarkStart w:id="597" w:name="_Toc4666"/>
      <w:r>
        <w:rPr>
          <w:rFonts w:ascii="Times New Roman" w:hAnsi="Times New Roman" w:eastAsia="Times New Roman" w:cs="Times New Roman"/>
          <w:b/>
          <w:bCs/>
          <w:color w:val="auto"/>
          <w:spacing w:val="-2"/>
          <w:sz w:val="24"/>
          <w:szCs w:val="24"/>
          <w:highlight w:val="none"/>
        </w:rPr>
        <w:t xml:space="preserve">12.1  </w:t>
      </w:r>
      <w:r>
        <w:rPr>
          <w:rFonts w:ascii="宋体" w:hAnsi="宋体" w:eastAsia="宋体" w:cs="宋体"/>
          <w:b/>
          <w:bCs/>
          <w:color w:val="auto"/>
          <w:spacing w:val="-2"/>
          <w:sz w:val="24"/>
          <w:szCs w:val="24"/>
          <w:highlight w:val="none"/>
        </w:rPr>
        <w:t>承包人暂停施工的责任</w:t>
      </w:r>
      <w:bookmarkEnd w:id="596"/>
      <w:bookmarkEnd w:id="597"/>
    </w:p>
    <w:p w14:paraId="1DD7B3B4">
      <w:pPr>
        <w:spacing w:before="179" w:line="220" w:lineRule="auto"/>
        <w:ind w:left="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）承包人承担暂停施工责任的其他情形：</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2FB6E6FA">
      <w:pPr>
        <w:spacing w:before="181" w:line="220" w:lineRule="auto"/>
        <w:ind w:left="6"/>
        <w:outlineLvl w:val="1"/>
        <w:rPr>
          <w:rFonts w:ascii="宋体" w:hAnsi="宋体" w:eastAsia="宋体" w:cs="宋体"/>
          <w:color w:val="auto"/>
          <w:sz w:val="24"/>
          <w:szCs w:val="24"/>
          <w:highlight w:val="none"/>
        </w:rPr>
      </w:pPr>
      <w:bookmarkStart w:id="598" w:name="bookmark695"/>
      <w:bookmarkEnd w:id="598"/>
      <w:bookmarkStart w:id="599" w:name="bookmark696"/>
      <w:bookmarkEnd w:id="599"/>
      <w:bookmarkStart w:id="600" w:name="_Toc4203"/>
      <w:bookmarkStart w:id="601" w:name="_Toc13250"/>
      <w:r>
        <w:rPr>
          <w:rFonts w:ascii="Times New Roman" w:hAnsi="Times New Roman" w:eastAsia="Times New Roman" w:cs="Times New Roman"/>
          <w:b/>
          <w:bCs/>
          <w:color w:val="auto"/>
          <w:spacing w:val="-2"/>
          <w:sz w:val="24"/>
          <w:szCs w:val="24"/>
          <w:highlight w:val="none"/>
        </w:rPr>
        <w:t xml:space="preserve">12.2  </w:t>
      </w:r>
      <w:r>
        <w:rPr>
          <w:rFonts w:ascii="宋体" w:hAnsi="宋体" w:eastAsia="宋体" w:cs="宋体"/>
          <w:b/>
          <w:bCs/>
          <w:color w:val="auto"/>
          <w:spacing w:val="-2"/>
          <w:sz w:val="24"/>
          <w:szCs w:val="24"/>
          <w:highlight w:val="none"/>
        </w:rPr>
        <w:t>发包人暂停施工的责任</w:t>
      </w:r>
      <w:bookmarkEnd w:id="600"/>
      <w:bookmarkEnd w:id="601"/>
    </w:p>
    <w:p w14:paraId="6FC71A38">
      <w:pPr>
        <w:spacing w:before="182" w:line="220" w:lineRule="auto"/>
        <w:ind w:left="48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）发包人承担暂停施工责任的其他情形：</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863C162">
      <w:pPr>
        <w:spacing w:before="306" w:line="221" w:lineRule="auto"/>
        <w:ind w:left="9"/>
        <w:outlineLvl w:val="0"/>
        <w:rPr>
          <w:rFonts w:ascii="宋体" w:hAnsi="宋体" w:eastAsia="宋体" w:cs="宋体"/>
          <w:color w:val="auto"/>
          <w:sz w:val="28"/>
          <w:szCs w:val="28"/>
          <w:highlight w:val="none"/>
        </w:rPr>
      </w:pPr>
      <w:bookmarkStart w:id="602" w:name="bookmark697"/>
      <w:bookmarkEnd w:id="602"/>
      <w:bookmarkStart w:id="603" w:name="bookmark700"/>
      <w:bookmarkEnd w:id="603"/>
      <w:bookmarkStart w:id="604" w:name="bookmark698"/>
      <w:bookmarkEnd w:id="604"/>
      <w:bookmarkStart w:id="605" w:name="_Toc32766"/>
      <w:bookmarkStart w:id="606" w:name="_Toc1106"/>
      <w:r>
        <w:rPr>
          <w:rFonts w:ascii="Times New Roman" w:hAnsi="Times New Roman" w:eastAsia="Times New Roman" w:cs="Times New Roman"/>
          <w:b/>
          <w:bCs/>
          <w:color w:val="auto"/>
          <w:spacing w:val="-7"/>
          <w:sz w:val="28"/>
          <w:szCs w:val="28"/>
          <w:highlight w:val="none"/>
        </w:rPr>
        <w:t>13</w:t>
      </w:r>
      <w:r>
        <w:rPr>
          <w:rFonts w:ascii="Times New Roman" w:hAnsi="Times New Roman" w:eastAsia="Times New Roman" w:cs="Times New Roman"/>
          <w:b/>
          <w:bCs/>
          <w:color w:val="auto"/>
          <w:spacing w:val="8"/>
          <w:sz w:val="28"/>
          <w:szCs w:val="28"/>
          <w:highlight w:val="none"/>
        </w:rPr>
        <w:t xml:space="preserve">  </w:t>
      </w:r>
      <w:r>
        <w:rPr>
          <w:rFonts w:ascii="宋体" w:hAnsi="宋体" w:eastAsia="宋体" w:cs="宋体"/>
          <w:b/>
          <w:bCs/>
          <w:color w:val="auto"/>
          <w:spacing w:val="-7"/>
          <w:sz w:val="28"/>
          <w:szCs w:val="28"/>
          <w:highlight w:val="none"/>
        </w:rPr>
        <w:t>工程质量</w:t>
      </w:r>
      <w:bookmarkEnd w:id="605"/>
      <w:bookmarkEnd w:id="606"/>
    </w:p>
    <w:p w14:paraId="26B2BA8A">
      <w:pPr>
        <w:pStyle w:val="3"/>
        <w:spacing w:line="245" w:lineRule="auto"/>
        <w:rPr>
          <w:color w:val="auto"/>
          <w:highlight w:val="none"/>
        </w:rPr>
      </w:pPr>
    </w:p>
    <w:p w14:paraId="22553005">
      <w:pPr>
        <w:spacing w:before="78" w:line="220" w:lineRule="auto"/>
        <w:ind w:left="6"/>
        <w:outlineLvl w:val="1"/>
        <w:rPr>
          <w:rFonts w:ascii="宋体" w:hAnsi="宋体" w:eastAsia="宋体" w:cs="宋体"/>
          <w:color w:val="auto"/>
          <w:sz w:val="24"/>
          <w:szCs w:val="24"/>
          <w:highlight w:val="none"/>
        </w:rPr>
      </w:pPr>
      <w:bookmarkStart w:id="607" w:name="bookmark699"/>
      <w:bookmarkEnd w:id="607"/>
      <w:bookmarkStart w:id="608" w:name="_Toc16133"/>
      <w:bookmarkStart w:id="609" w:name="_Toc12844"/>
      <w:r>
        <w:rPr>
          <w:rFonts w:ascii="Times New Roman" w:hAnsi="Times New Roman" w:eastAsia="Times New Roman" w:cs="Times New Roman"/>
          <w:b/>
          <w:bCs/>
          <w:color w:val="auto"/>
          <w:spacing w:val="-3"/>
          <w:sz w:val="24"/>
          <w:szCs w:val="24"/>
          <w:highlight w:val="none"/>
        </w:rPr>
        <w:t xml:space="preserve">13.7  </w:t>
      </w:r>
      <w:r>
        <w:rPr>
          <w:rFonts w:ascii="宋体" w:hAnsi="宋体" w:eastAsia="宋体" w:cs="宋体"/>
          <w:b/>
          <w:bCs/>
          <w:color w:val="auto"/>
          <w:spacing w:val="-3"/>
          <w:sz w:val="24"/>
          <w:szCs w:val="24"/>
          <w:highlight w:val="none"/>
        </w:rPr>
        <w:t>质量评定</w:t>
      </w:r>
      <w:bookmarkEnd w:id="608"/>
      <w:bookmarkEnd w:id="609"/>
    </w:p>
    <w:p w14:paraId="2F84E6CC">
      <w:pPr>
        <w:spacing w:before="176" w:line="345" w:lineRule="auto"/>
        <w:ind w:left="488"/>
        <w:rPr>
          <w:rFonts w:ascii="Times New Roman" w:hAnsi="Times New Roman" w:eastAsia="宋体" w:cs="Times New Roman"/>
          <w:color w:val="auto"/>
          <w:sz w:val="24"/>
          <w:szCs w:val="24"/>
          <w:highlight w:val="none"/>
          <w:lang w:eastAsia="zh-CN"/>
        </w:rPr>
      </w:pPr>
      <w:bookmarkStart w:id="610" w:name="bookmark702"/>
      <w:bookmarkEnd w:id="610"/>
      <w:bookmarkStart w:id="611" w:name="bookmark701"/>
      <w:bookmarkEnd w:id="611"/>
      <w:bookmarkStart w:id="612" w:name="bookmark704"/>
      <w:bookmarkEnd w:id="612"/>
      <w:bookmarkStart w:id="613" w:name="_Toc14507"/>
      <w:r>
        <w:rPr>
          <w:rFonts w:ascii="Times New Roman" w:hAnsi="Times New Roman" w:eastAsia="Times New Roman" w:cs="Times New Roman"/>
          <w:b/>
          <w:bCs/>
          <w:color w:val="auto"/>
          <w:spacing w:val="8"/>
          <w:sz w:val="24"/>
          <w:szCs w:val="24"/>
          <w:highlight w:val="none"/>
          <w:lang w:eastAsia="zh-CN"/>
        </w:rPr>
        <w:t>13.7.7</w:t>
      </w:r>
      <w:r>
        <w:rPr>
          <w:rFonts w:ascii="Times New Roman" w:hAnsi="Times New Roman" w:eastAsia="宋体" w:cs="Times New Roman"/>
          <w:color w:val="auto"/>
          <w:spacing w:val="8"/>
          <w:sz w:val="24"/>
          <w:szCs w:val="24"/>
          <w:highlight w:val="none"/>
          <w:lang w:eastAsia="zh-CN"/>
        </w:rPr>
        <w:t>工程质量等级标准为</w:t>
      </w:r>
      <w:r>
        <w:rPr>
          <w:rFonts w:ascii="Times New Roman" w:hAnsi="Times New Roman" w:eastAsia="宋体" w:cs="Times New Roman"/>
          <w:color w:val="auto"/>
          <w:spacing w:val="8"/>
          <w:sz w:val="24"/>
          <w:szCs w:val="24"/>
          <w:highlight w:val="none"/>
          <w:u w:val="single"/>
          <w:lang w:eastAsia="zh-CN"/>
        </w:rPr>
        <w:t xml:space="preserve"> </w:t>
      </w:r>
      <w:r>
        <w:rPr>
          <w:rFonts w:hint="eastAsia" w:ascii="Times New Roman" w:hAnsi="Times New Roman" w:eastAsia="宋体" w:cs="Times New Roman"/>
          <w:color w:val="auto"/>
          <w:spacing w:val="8"/>
          <w:sz w:val="24"/>
          <w:szCs w:val="24"/>
          <w:highlight w:val="none"/>
          <w:u w:val="single"/>
          <w:lang w:val="en-US" w:eastAsia="zh-CN"/>
        </w:rPr>
        <w:t xml:space="preserve">  </w:t>
      </w:r>
      <w:r>
        <w:rPr>
          <w:rFonts w:ascii="Times New Roman" w:hAnsi="Times New Roman" w:eastAsia="宋体" w:cs="Times New Roman"/>
          <w:color w:val="auto"/>
          <w:spacing w:val="8"/>
          <w:sz w:val="24"/>
          <w:szCs w:val="24"/>
          <w:highlight w:val="none"/>
          <w:u w:val="single"/>
          <w:lang w:eastAsia="zh-CN"/>
        </w:rPr>
        <w:t>合格</w:t>
      </w:r>
      <w:r>
        <w:rPr>
          <w:rFonts w:hint="eastAsia" w:ascii="Times New Roman" w:hAnsi="Times New Roman" w:eastAsia="宋体" w:cs="Times New Roman"/>
          <w:color w:val="auto"/>
          <w:spacing w:val="8"/>
          <w:sz w:val="24"/>
          <w:szCs w:val="24"/>
          <w:highlight w:val="none"/>
          <w:u w:val="single"/>
          <w:lang w:val="en-US" w:eastAsia="zh-CN"/>
        </w:rPr>
        <w:t xml:space="preserve">  </w:t>
      </w:r>
      <w:r>
        <w:rPr>
          <w:rFonts w:ascii="Times New Roman" w:hAnsi="Times New Roman" w:eastAsia="宋体" w:cs="Times New Roman"/>
          <w:color w:val="auto"/>
          <w:spacing w:val="8"/>
          <w:sz w:val="24"/>
          <w:szCs w:val="24"/>
          <w:highlight w:val="none"/>
          <w:u w:val="single"/>
          <w:lang w:eastAsia="zh-CN"/>
        </w:rPr>
        <w:t xml:space="preserve"> </w:t>
      </w:r>
      <w:r>
        <w:rPr>
          <w:rFonts w:hint="eastAsia" w:ascii="宋体" w:hAnsi="宋体" w:eastAsia="宋体" w:cs="宋体"/>
          <w:snapToGrid/>
          <w:color w:val="auto"/>
          <w:kern w:val="0"/>
          <w:sz w:val="24"/>
          <w:szCs w:val="24"/>
          <w:highlight w:val="none"/>
          <w:lang w:val="en-US" w:eastAsia="zh-CN"/>
        </w:rPr>
        <w:t>（合格或优良）</w:t>
      </w:r>
      <w:r>
        <w:rPr>
          <w:rFonts w:ascii="Times New Roman" w:hAnsi="Times New Roman" w:eastAsia="宋体" w:cs="Times New Roman"/>
          <w:color w:val="auto"/>
          <w:spacing w:val="8"/>
          <w:sz w:val="24"/>
          <w:szCs w:val="24"/>
          <w:highlight w:val="none"/>
          <w:u w:val="none"/>
          <w:lang w:eastAsia="zh-CN"/>
        </w:rPr>
        <w:t>。</w:t>
      </w:r>
      <w:r>
        <w:rPr>
          <w:rFonts w:ascii="Times New Roman" w:hAnsi="Times New Roman" w:eastAsia="宋体" w:cs="Times New Roman"/>
          <w:color w:val="auto"/>
          <w:spacing w:val="8"/>
          <w:sz w:val="24"/>
          <w:szCs w:val="24"/>
          <w:highlight w:val="none"/>
          <w:lang w:eastAsia="zh-CN"/>
        </w:rPr>
        <w:t>达到优良的奖金</w:t>
      </w:r>
      <w:r>
        <w:rPr>
          <w:rFonts w:ascii="Times New Roman" w:hAnsi="Times New Roman" w:eastAsia="宋体" w:cs="Times New Roman"/>
          <w:color w:val="auto"/>
          <w:spacing w:val="-7"/>
          <w:sz w:val="24"/>
          <w:szCs w:val="24"/>
          <w:highlight w:val="none"/>
          <w:lang w:eastAsia="zh-CN"/>
        </w:rPr>
        <w:t>为</w:t>
      </w:r>
      <w:r>
        <w:rPr>
          <w:rFonts w:ascii="Times New Roman" w:hAnsi="Times New Roman" w:eastAsia="宋体" w:cs="Times New Roman"/>
          <w:color w:val="auto"/>
          <w:spacing w:val="-7"/>
          <w:sz w:val="24"/>
          <w:szCs w:val="24"/>
          <w:highlight w:val="none"/>
          <w:u w:val="single"/>
          <w:lang w:eastAsia="zh-CN"/>
        </w:rPr>
        <w:t xml:space="preserve">    </w:t>
      </w:r>
      <w:r>
        <w:rPr>
          <w:rFonts w:hint="eastAsia" w:ascii="Times New Roman" w:hAnsi="Times New Roman" w:eastAsia="宋体" w:cs="Times New Roman"/>
          <w:color w:val="auto"/>
          <w:spacing w:val="-7"/>
          <w:sz w:val="24"/>
          <w:szCs w:val="24"/>
          <w:highlight w:val="none"/>
          <w:u w:val="single"/>
          <w:lang w:val="en-US" w:eastAsia="zh-CN"/>
        </w:rPr>
        <w:t xml:space="preserve">/ </w:t>
      </w:r>
      <w:r>
        <w:rPr>
          <w:rFonts w:ascii="Times New Roman" w:hAnsi="Times New Roman" w:eastAsia="宋体" w:cs="Times New Roman"/>
          <w:color w:val="auto"/>
          <w:spacing w:val="-7"/>
          <w:sz w:val="24"/>
          <w:szCs w:val="24"/>
          <w:highlight w:val="none"/>
          <w:u w:val="single"/>
          <w:lang w:eastAsia="zh-CN"/>
        </w:rPr>
        <w:t xml:space="preserve">  </w:t>
      </w:r>
      <w:r>
        <w:rPr>
          <w:rFonts w:ascii="Times New Roman" w:hAnsi="Times New Roman" w:eastAsia="宋体" w:cs="Times New Roman"/>
          <w:color w:val="auto"/>
          <w:spacing w:val="-7"/>
          <w:sz w:val="24"/>
          <w:szCs w:val="24"/>
          <w:highlight w:val="none"/>
          <w:lang w:eastAsia="zh-CN"/>
        </w:rPr>
        <w:t>。</w:t>
      </w:r>
    </w:p>
    <w:p w14:paraId="71C3258F">
      <w:pPr>
        <w:spacing w:before="161" w:line="220" w:lineRule="auto"/>
        <w:ind w:left="9"/>
        <w:outlineLvl w:val="0"/>
        <w:rPr>
          <w:rFonts w:ascii="宋体" w:hAnsi="宋体" w:eastAsia="宋体" w:cs="宋体"/>
          <w:color w:val="auto"/>
          <w:sz w:val="28"/>
          <w:szCs w:val="28"/>
          <w:highlight w:val="none"/>
        </w:rPr>
      </w:pPr>
      <w:bookmarkStart w:id="614" w:name="_Toc13342"/>
      <w:r>
        <w:rPr>
          <w:rFonts w:ascii="Times New Roman" w:hAnsi="Times New Roman" w:eastAsia="Times New Roman" w:cs="Times New Roman"/>
          <w:b/>
          <w:bCs/>
          <w:color w:val="auto"/>
          <w:spacing w:val="-3"/>
          <w:sz w:val="28"/>
          <w:szCs w:val="28"/>
          <w:highlight w:val="none"/>
        </w:rPr>
        <w:t xml:space="preserve">14  </w:t>
      </w:r>
      <w:r>
        <w:rPr>
          <w:rFonts w:ascii="宋体" w:hAnsi="宋体" w:eastAsia="宋体" w:cs="宋体"/>
          <w:b/>
          <w:bCs/>
          <w:color w:val="auto"/>
          <w:spacing w:val="-3"/>
          <w:sz w:val="28"/>
          <w:szCs w:val="28"/>
          <w:highlight w:val="none"/>
        </w:rPr>
        <w:t>试验和检验</w:t>
      </w:r>
      <w:bookmarkEnd w:id="613"/>
      <w:bookmarkEnd w:id="614"/>
    </w:p>
    <w:p w14:paraId="5D7B6840">
      <w:pPr>
        <w:pStyle w:val="3"/>
        <w:spacing w:line="245" w:lineRule="auto"/>
        <w:rPr>
          <w:color w:val="auto"/>
          <w:highlight w:val="none"/>
        </w:rPr>
      </w:pPr>
    </w:p>
    <w:p w14:paraId="40CF2B3D">
      <w:pPr>
        <w:spacing w:before="79" w:line="219" w:lineRule="auto"/>
        <w:ind w:left="6"/>
        <w:outlineLvl w:val="1"/>
        <w:rPr>
          <w:rFonts w:ascii="宋体" w:hAnsi="宋体" w:eastAsia="宋体" w:cs="宋体"/>
          <w:color w:val="auto"/>
          <w:sz w:val="24"/>
          <w:szCs w:val="24"/>
          <w:highlight w:val="none"/>
        </w:rPr>
      </w:pPr>
      <w:bookmarkStart w:id="615" w:name="bookmark703"/>
      <w:bookmarkEnd w:id="615"/>
      <w:bookmarkStart w:id="616" w:name="_Toc26873"/>
      <w:bookmarkStart w:id="617" w:name="_Toc27636"/>
      <w:r>
        <w:rPr>
          <w:rFonts w:ascii="Times New Roman" w:hAnsi="Times New Roman" w:eastAsia="Times New Roman" w:cs="Times New Roman"/>
          <w:b/>
          <w:bCs/>
          <w:color w:val="auto"/>
          <w:spacing w:val="-2"/>
          <w:sz w:val="24"/>
          <w:szCs w:val="24"/>
          <w:highlight w:val="none"/>
        </w:rPr>
        <w:t xml:space="preserve">14.1  </w:t>
      </w:r>
      <w:r>
        <w:rPr>
          <w:rFonts w:ascii="宋体" w:hAnsi="宋体" w:eastAsia="宋体" w:cs="宋体"/>
          <w:b/>
          <w:bCs/>
          <w:color w:val="auto"/>
          <w:spacing w:val="-2"/>
          <w:sz w:val="24"/>
          <w:szCs w:val="24"/>
          <w:highlight w:val="none"/>
        </w:rPr>
        <w:t>材料、工程设备和工程的试验和检验</w:t>
      </w:r>
      <w:bookmarkEnd w:id="616"/>
      <w:bookmarkEnd w:id="617"/>
    </w:p>
    <w:p w14:paraId="520ECF1D">
      <w:pPr>
        <w:spacing w:before="182" w:line="290" w:lineRule="auto"/>
        <w:ind w:left="8" w:right="182" w:firstLine="480"/>
        <w:rPr>
          <w:rFonts w:ascii="宋体" w:hAnsi="宋体" w:eastAsia="宋体" w:cs="宋体"/>
          <w:color w:val="auto"/>
          <w:sz w:val="24"/>
          <w:szCs w:val="24"/>
          <w:highlight w:val="none"/>
        </w:rPr>
      </w:pPr>
      <w:r>
        <w:rPr>
          <w:rFonts w:ascii="Times New Roman" w:hAnsi="Times New Roman" w:eastAsia="Times New Roman" w:cs="Times New Roman"/>
          <w:b/>
          <w:bCs/>
          <w:color w:val="auto"/>
          <w:spacing w:val="-5"/>
          <w:sz w:val="24"/>
          <w:szCs w:val="24"/>
          <w:highlight w:val="none"/>
        </w:rPr>
        <w:t xml:space="preserve">14.1.5  </w:t>
      </w:r>
      <w:r>
        <w:rPr>
          <w:rFonts w:ascii="宋体" w:hAnsi="宋体" w:eastAsia="宋体" w:cs="宋体"/>
          <w:color w:val="auto"/>
          <w:spacing w:val="-5"/>
          <w:sz w:val="24"/>
          <w:szCs w:val="24"/>
          <w:highlight w:val="none"/>
        </w:rPr>
        <w:t>水工金属结构、启闭机及机电产品进场后的交货检查和验收中，</w:t>
      </w:r>
      <w:r>
        <w:rPr>
          <w:rFonts w:ascii="宋体" w:hAnsi="宋体" w:eastAsia="宋体" w:cs="宋体"/>
          <w:color w:val="auto"/>
          <w:spacing w:val="-33"/>
          <w:sz w:val="24"/>
          <w:szCs w:val="24"/>
          <w:highlight w:val="none"/>
        </w:rPr>
        <w:t xml:space="preserve"> </w:t>
      </w:r>
      <w:r>
        <w:rPr>
          <w:rFonts w:ascii="宋体" w:hAnsi="宋体" w:eastAsia="宋体" w:cs="宋体"/>
          <w:color w:val="auto"/>
          <w:spacing w:val="-5"/>
          <w:sz w:val="24"/>
          <w:szCs w:val="24"/>
          <w:highlight w:val="none"/>
        </w:rPr>
        <w:t>承包人负</w:t>
      </w:r>
      <w:r>
        <w:rPr>
          <w:rFonts w:ascii="宋体" w:hAnsi="宋体" w:eastAsia="宋体" w:cs="宋体"/>
          <w:color w:val="auto"/>
          <w:spacing w:val="-9"/>
          <w:sz w:val="24"/>
          <w:szCs w:val="24"/>
          <w:highlight w:val="none"/>
        </w:rPr>
        <w:t>责</w:t>
      </w:r>
      <w:r>
        <w:rPr>
          <w:rFonts w:ascii="宋体" w:hAnsi="宋体" w:eastAsia="宋体" w:cs="宋体"/>
          <w:color w:val="auto"/>
          <w:sz w:val="24"/>
          <w:szCs w:val="24"/>
          <w:highlight w:val="none"/>
          <w:u w:val="single" w:color="auto"/>
        </w:rPr>
        <w:t xml:space="preserve">          </w:t>
      </w:r>
      <w:r>
        <w:rPr>
          <w:rFonts w:hint="eastAsia" w:ascii="宋体" w:hAnsi="宋体" w:eastAsia="宋体" w:cs="宋体"/>
          <w:color w:val="auto"/>
          <w:sz w:val="24"/>
          <w:szCs w:val="24"/>
          <w:highlight w:val="none"/>
          <w:u w:val="single" w:color="auto"/>
          <w:lang w:val="en-US" w:eastAsia="zh-CN"/>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
          <w:sz w:val="24"/>
          <w:szCs w:val="24"/>
          <w:highlight w:val="none"/>
        </w:rPr>
        <w:t>。</w:t>
      </w:r>
    </w:p>
    <w:p w14:paraId="21DC2B6E">
      <w:pPr>
        <w:spacing w:before="182" w:line="290" w:lineRule="auto"/>
        <w:ind w:left="8" w:right="182" w:firstLine="480"/>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14.1.6  </w:t>
      </w:r>
      <w:r>
        <w:rPr>
          <w:rFonts w:ascii="宋体" w:hAnsi="宋体" w:eastAsia="宋体" w:cs="宋体"/>
          <w:color w:val="auto"/>
          <w:sz w:val="24"/>
          <w:szCs w:val="24"/>
          <w:highlight w:val="none"/>
        </w:rPr>
        <w:t>本工程实行见证取样的试块、试件及有关材料：</w:t>
      </w:r>
      <w:r>
        <w:rPr>
          <w:rFonts w:ascii="宋体" w:hAnsi="宋体" w:eastAsia="宋体" w:cs="宋体"/>
          <w:color w:val="auto"/>
          <w:sz w:val="24"/>
          <w:szCs w:val="24"/>
          <w:highlight w:val="none"/>
          <w:u w:val="single" w:color="auto"/>
        </w:rPr>
        <w:t xml:space="preserve"> </w:t>
      </w:r>
      <w:r>
        <w:rPr>
          <w:rFonts w:hint="eastAsia" w:ascii="Times New Roman" w:hAnsi="Times New Roman" w:eastAsia="宋体" w:cs="Times New Roman"/>
          <w:b/>
          <w:bCs/>
          <w:color w:val="auto"/>
          <w:spacing w:val="-7"/>
          <w:sz w:val="24"/>
          <w:szCs w:val="24"/>
          <w:highlight w:val="none"/>
          <w:u w:val="single"/>
          <w:lang w:eastAsia="zh-CN"/>
        </w:rPr>
        <w:t>具体由监理人按有关规定确定</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5E48D554">
      <w:pPr>
        <w:spacing w:before="310" w:line="221" w:lineRule="auto"/>
        <w:ind w:left="9"/>
        <w:outlineLvl w:val="0"/>
        <w:rPr>
          <w:rFonts w:ascii="宋体" w:hAnsi="宋体" w:eastAsia="宋体" w:cs="宋体"/>
          <w:color w:val="auto"/>
          <w:sz w:val="28"/>
          <w:szCs w:val="28"/>
          <w:highlight w:val="none"/>
        </w:rPr>
      </w:pPr>
      <w:bookmarkStart w:id="618" w:name="bookmark708"/>
      <w:bookmarkEnd w:id="618"/>
      <w:bookmarkStart w:id="619" w:name="bookmark705"/>
      <w:bookmarkEnd w:id="619"/>
      <w:bookmarkStart w:id="620" w:name="bookmark706"/>
      <w:bookmarkEnd w:id="620"/>
      <w:bookmarkStart w:id="621" w:name="_Toc28893"/>
      <w:bookmarkStart w:id="622" w:name="_Toc13823"/>
      <w:r>
        <w:rPr>
          <w:rFonts w:ascii="Times New Roman" w:hAnsi="Times New Roman" w:eastAsia="Times New Roman" w:cs="Times New Roman"/>
          <w:b/>
          <w:bCs/>
          <w:color w:val="auto"/>
          <w:spacing w:val="-7"/>
          <w:sz w:val="28"/>
          <w:szCs w:val="28"/>
          <w:highlight w:val="none"/>
        </w:rPr>
        <w:t>15</w:t>
      </w:r>
      <w:r>
        <w:rPr>
          <w:rFonts w:ascii="Times New Roman" w:hAnsi="Times New Roman" w:eastAsia="Times New Roman" w:cs="Times New Roman"/>
          <w:b/>
          <w:bCs/>
          <w:color w:val="auto"/>
          <w:spacing w:val="5"/>
          <w:sz w:val="28"/>
          <w:szCs w:val="28"/>
          <w:highlight w:val="none"/>
        </w:rPr>
        <w:t xml:space="preserve">  </w:t>
      </w:r>
      <w:r>
        <w:rPr>
          <w:rFonts w:ascii="宋体" w:hAnsi="宋体" w:eastAsia="宋体" w:cs="宋体"/>
          <w:b/>
          <w:bCs/>
          <w:color w:val="auto"/>
          <w:spacing w:val="-7"/>
          <w:sz w:val="28"/>
          <w:szCs w:val="28"/>
          <w:highlight w:val="none"/>
        </w:rPr>
        <w:t>变更</w:t>
      </w:r>
      <w:bookmarkEnd w:id="621"/>
      <w:bookmarkEnd w:id="622"/>
    </w:p>
    <w:p w14:paraId="208052D2">
      <w:pPr>
        <w:pStyle w:val="3"/>
        <w:spacing w:line="242" w:lineRule="auto"/>
        <w:rPr>
          <w:color w:val="auto"/>
          <w:highlight w:val="none"/>
        </w:rPr>
      </w:pPr>
    </w:p>
    <w:p w14:paraId="22E33A00">
      <w:pPr>
        <w:spacing w:before="79" w:line="220" w:lineRule="auto"/>
        <w:ind w:left="6"/>
        <w:outlineLvl w:val="1"/>
        <w:rPr>
          <w:rFonts w:ascii="宋体" w:hAnsi="宋体" w:eastAsia="宋体" w:cs="宋体"/>
          <w:color w:val="auto"/>
          <w:sz w:val="24"/>
          <w:szCs w:val="24"/>
          <w:highlight w:val="none"/>
        </w:rPr>
      </w:pPr>
      <w:bookmarkStart w:id="623" w:name="bookmark707"/>
      <w:bookmarkEnd w:id="623"/>
      <w:bookmarkStart w:id="624" w:name="_Toc8760"/>
      <w:bookmarkStart w:id="625" w:name="_Toc7783"/>
      <w:r>
        <w:rPr>
          <w:rFonts w:ascii="Times New Roman" w:hAnsi="Times New Roman" w:eastAsia="Times New Roman" w:cs="Times New Roman"/>
          <w:b/>
          <w:bCs/>
          <w:color w:val="auto"/>
          <w:spacing w:val="-3"/>
          <w:sz w:val="24"/>
          <w:szCs w:val="24"/>
          <w:highlight w:val="none"/>
        </w:rPr>
        <w:t xml:space="preserve">15.1  </w:t>
      </w:r>
      <w:r>
        <w:rPr>
          <w:rFonts w:ascii="宋体" w:hAnsi="宋体" w:eastAsia="宋体" w:cs="宋体"/>
          <w:b/>
          <w:bCs/>
          <w:color w:val="auto"/>
          <w:spacing w:val="-3"/>
          <w:sz w:val="24"/>
          <w:szCs w:val="24"/>
          <w:highlight w:val="none"/>
        </w:rPr>
        <w:t>变更的范围和内容</w:t>
      </w:r>
      <w:bookmarkEnd w:id="624"/>
      <w:bookmarkEnd w:id="625"/>
    </w:p>
    <w:p w14:paraId="4B850171">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bookmarkStart w:id="626" w:name="bookmark709"/>
      <w:bookmarkEnd w:id="626"/>
      <w:bookmarkStart w:id="627" w:name="bookmark710"/>
      <w:bookmarkEnd w:id="627"/>
      <w:bookmarkStart w:id="628" w:name="_Toc14532"/>
      <w:r>
        <w:rPr>
          <w:rFonts w:hint="eastAsia" w:ascii="宋体" w:hAnsi="宋体" w:eastAsia="宋体" w:cs="宋体"/>
          <w:b w:val="0"/>
          <w:bCs w:val="0"/>
          <w:snapToGrid/>
          <w:color w:val="auto"/>
          <w:kern w:val="0"/>
          <w:sz w:val="24"/>
          <w:szCs w:val="24"/>
          <w:highlight w:val="none"/>
          <w:lang w:val="en-US" w:eastAsia="zh-CN"/>
        </w:rPr>
        <w:t>（6）分类分项清单项目工程量增加的，凡合价金额占签约合同总价2%以上的分类分项清单项目其工程量增加超过本项目工程数量15%以上，或合价金额占签约合同总价不到2%的分类分项清单项目但其工程量增加超过本项目工程数量25%以上，超过上述15%或25%以外增加部分的工程量，由承包人按15.4.3款的原则提出合适的变更单价，并经监理人审核。变更单价与合同单价相比，上下浮动超过</w:t>
      </w:r>
      <w:r>
        <w:rPr>
          <w:rFonts w:hint="eastAsia" w:ascii="宋体" w:hAnsi="宋体" w:eastAsia="宋体" w:cs="宋体"/>
          <w:b/>
          <w:bCs/>
          <w:snapToGrid/>
          <w:color w:val="auto"/>
          <w:kern w:val="0"/>
          <w:sz w:val="24"/>
          <w:szCs w:val="24"/>
          <w:highlight w:val="none"/>
          <w:u w:val="single"/>
          <w:lang w:val="en-US" w:eastAsia="zh-CN"/>
        </w:rPr>
        <w:t xml:space="preserve"> 20  </w:t>
      </w:r>
      <w:r>
        <w:rPr>
          <w:rFonts w:hint="eastAsia" w:ascii="宋体" w:hAnsi="宋体" w:eastAsia="宋体" w:cs="宋体"/>
          <w:b w:val="0"/>
          <w:bCs w:val="0"/>
          <w:snapToGrid/>
          <w:color w:val="auto"/>
          <w:kern w:val="0"/>
          <w:sz w:val="24"/>
          <w:szCs w:val="24"/>
          <w:highlight w:val="none"/>
          <w:lang w:val="en-US" w:eastAsia="zh-CN"/>
        </w:rPr>
        <w:t>%（10%~20%） 时，发包人同意后按变更单价进入工程结算；上述15%或25%以内增加部分的工程量，按合同单价结算。</w:t>
      </w:r>
    </w:p>
    <w:p w14:paraId="7FCBD30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因分类分项清单项目工程量减少的， 采用以下第</w:t>
      </w:r>
      <w:r>
        <w:rPr>
          <w:rFonts w:hint="eastAsia" w:ascii="宋体" w:hAnsi="宋体" w:eastAsia="宋体" w:cs="宋体"/>
          <w:b/>
          <w:bCs/>
          <w:snapToGrid/>
          <w:color w:val="auto"/>
          <w:kern w:val="0"/>
          <w:sz w:val="24"/>
          <w:szCs w:val="24"/>
          <w:highlight w:val="none"/>
          <w:u w:val="single"/>
          <w:lang w:val="en-US" w:eastAsia="zh-CN"/>
        </w:rPr>
        <w:t xml:space="preserve">  1  </w:t>
      </w:r>
      <w:r>
        <w:rPr>
          <w:rFonts w:hint="eastAsia" w:ascii="宋体" w:hAnsi="宋体" w:eastAsia="宋体" w:cs="宋体"/>
          <w:b w:val="0"/>
          <w:bCs w:val="0"/>
          <w:snapToGrid/>
          <w:color w:val="auto"/>
          <w:kern w:val="0"/>
          <w:sz w:val="24"/>
          <w:szCs w:val="24"/>
          <w:highlight w:val="none"/>
          <w:lang w:val="en-US" w:eastAsia="zh-CN"/>
        </w:rPr>
        <w:t>种方式对合同价格进行调整：</w:t>
      </w:r>
    </w:p>
    <w:p w14:paraId="246B762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第1种方式：分类分项清单项目工程量减少的，合同单价不变。</w:t>
      </w:r>
    </w:p>
    <w:p w14:paraId="5AD8DA4F">
      <w:pPr>
        <w:widowControl w:val="0"/>
        <w:kinsoku/>
        <w:autoSpaceDE/>
        <w:autoSpaceDN/>
        <w:snapToGrid/>
        <w:spacing w:line="360" w:lineRule="auto"/>
        <w:ind w:firstLine="480" w:firstLineChars="200"/>
        <w:jc w:val="both"/>
        <w:rPr>
          <w:rFonts w:ascii="宋体" w:hAnsi="宋体" w:eastAsia="宋体" w:cs="宋体"/>
          <w:color w:val="auto"/>
          <w:kern w:val="2"/>
          <w:sz w:val="24"/>
          <w:szCs w:val="24"/>
          <w:highlight w:val="none"/>
          <w:lang w:eastAsia="zh-CN"/>
        </w:rPr>
      </w:pPr>
      <w:r>
        <w:rPr>
          <w:rFonts w:hint="eastAsia" w:ascii="宋体" w:hAnsi="宋体" w:eastAsia="宋体" w:cs="宋体"/>
          <w:b w:val="0"/>
          <w:bCs w:val="0"/>
          <w:snapToGrid/>
          <w:color w:val="auto"/>
          <w:kern w:val="0"/>
          <w:sz w:val="24"/>
          <w:szCs w:val="24"/>
          <w:highlight w:val="none"/>
          <w:lang w:val="en-US" w:eastAsia="zh-CN"/>
        </w:rPr>
        <w:t>第2种方式：分类分项清单项目工程量减少的，凡合价金额占签约合同总价2%以上的分类分项清单项目其工程量减少超过本项目工程数量15%以上，或合价金额占签</w:t>
      </w:r>
      <w:bookmarkStart w:id="629" w:name="bookmark88"/>
      <w:bookmarkEnd w:id="629"/>
      <w:r>
        <w:rPr>
          <w:rFonts w:hint="eastAsia" w:ascii="宋体" w:hAnsi="宋体" w:eastAsia="宋体" w:cs="宋体"/>
          <w:b w:val="0"/>
          <w:bCs w:val="0"/>
          <w:snapToGrid/>
          <w:color w:val="auto"/>
          <w:kern w:val="0"/>
          <w:sz w:val="24"/>
          <w:szCs w:val="24"/>
          <w:highlight w:val="none"/>
          <w:lang w:val="en-US" w:eastAsia="zh-CN"/>
        </w:rPr>
        <w:t>约合同总价不到2%的分类分项清单项目但其工程量减少超过本项目工程数量25%以 上，超过上述15%或25%以外的减少部分工程量，由承包人按15.4.3款的原则提出合 适的变更单价，并经监理人审核。变更单价与合同单价相比，上下浮动超过</w:t>
      </w:r>
      <w:r>
        <w:rPr>
          <w:rFonts w:hint="eastAsia" w:ascii="宋体" w:hAnsi="宋体" w:eastAsia="宋体" w:cs="宋体"/>
          <w:b w:val="0"/>
          <w:bCs w:val="0"/>
          <w:snapToGrid/>
          <w:color w:val="auto"/>
          <w:kern w:val="0"/>
          <w:sz w:val="24"/>
          <w:szCs w:val="24"/>
          <w:highlight w:val="none"/>
          <w:u w:val="single"/>
          <w:lang w:val="en-US" w:eastAsia="zh-CN"/>
        </w:rPr>
        <w:t xml:space="preserve">     </w:t>
      </w:r>
      <w:r>
        <w:rPr>
          <w:rFonts w:hint="eastAsia" w:ascii="宋体" w:hAnsi="宋体" w:eastAsia="宋体" w:cs="宋体"/>
          <w:b w:val="0"/>
          <w:bCs w:val="0"/>
          <w:snapToGrid/>
          <w:color w:val="auto"/>
          <w:kern w:val="0"/>
          <w:sz w:val="24"/>
          <w:szCs w:val="24"/>
          <w:highlight w:val="none"/>
          <w:lang w:val="en-US" w:eastAsia="zh-CN"/>
        </w:rPr>
        <w:t>% （20%~30%）时，发包人同意后按变更单价计算合价后，在该项目合价中扣除；工程量减少在15%或25%以内的减少部分工程量， 按合同单价计算合价后， 在该项目合价中扣除。</w:t>
      </w:r>
    </w:p>
    <w:p w14:paraId="2415B4B8">
      <w:pPr>
        <w:spacing w:before="35" w:line="218" w:lineRule="auto"/>
        <w:ind w:left="16"/>
        <w:outlineLvl w:val="1"/>
        <w:rPr>
          <w:rFonts w:ascii="宋体" w:hAnsi="宋体" w:eastAsia="宋体" w:cs="宋体"/>
          <w:color w:val="auto"/>
          <w:sz w:val="24"/>
          <w:szCs w:val="24"/>
          <w:highlight w:val="none"/>
        </w:rPr>
      </w:pPr>
      <w:bookmarkStart w:id="630" w:name="_Toc5"/>
      <w:r>
        <w:rPr>
          <w:rFonts w:ascii="Times New Roman" w:hAnsi="Times New Roman" w:eastAsia="Times New Roman" w:cs="Times New Roman"/>
          <w:b/>
          <w:bCs/>
          <w:color w:val="auto"/>
          <w:spacing w:val="-3"/>
          <w:sz w:val="24"/>
          <w:szCs w:val="24"/>
          <w:highlight w:val="none"/>
        </w:rPr>
        <w:t xml:space="preserve">15.4  </w:t>
      </w:r>
      <w:r>
        <w:rPr>
          <w:rFonts w:ascii="宋体" w:hAnsi="宋体" w:eastAsia="宋体" w:cs="宋体"/>
          <w:b/>
          <w:bCs/>
          <w:color w:val="auto"/>
          <w:spacing w:val="-3"/>
          <w:sz w:val="24"/>
          <w:szCs w:val="24"/>
          <w:highlight w:val="none"/>
        </w:rPr>
        <w:t>变更的估价原则</w:t>
      </w:r>
      <w:bookmarkEnd w:id="628"/>
      <w:bookmarkEnd w:id="630"/>
    </w:p>
    <w:p w14:paraId="74E67223">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bookmarkStart w:id="631" w:name="bookmark711"/>
      <w:bookmarkEnd w:id="631"/>
      <w:bookmarkStart w:id="632" w:name="bookmark712"/>
      <w:bookmarkEnd w:id="632"/>
      <w:bookmarkStart w:id="633" w:name="_Toc9268"/>
      <w:r>
        <w:rPr>
          <w:rFonts w:hint="eastAsia" w:ascii="宋体" w:hAnsi="宋体" w:eastAsia="宋体" w:cs="宋体"/>
          <w:b/>
          <w:bCs/>
          <w:snapToGrid/>
          <w:color w:val="auto"/>
          <w:kern w:val="0"/>
          <w:sz w:val="24"/>
          <w:szCs w:val="24"/>
          <w:highlight w:val="none"/>
          <w:lang w:val="en-US" w:eastAsia="zh-CN"/>
        </w:rPr>
        <w:t>15.4.3</w:t>
      </w:r>
      <w:r>
        <w:rPr>
          <w:rFonts w:hint="eastAsia" w:ascii="宋体" w:hAnsi="宋体" w:eastAsia="宋体" w:cs="宋体"/>
          <w:b w:val="0"/>
          <w:bCs w:val="0"/>
          <w:snapToGrid/>
          <w:color w:val="auto"/>
          <w:kern w:val="0"/>
          <w:sz w:val="24"/>
          <w:szCs w:val="24"/>
          <w:highlight w:val="none"/>
          <w:lang w:val="en-US" w:eastAsia="zh-CN"/>
        </w:rPr>
        <w:t xml:space="preserve">  细化为：本合同在实施过程中，如遇到设计变更出现新增或变更项目时，则该新增或变更项目的单价由承包人按以下原则提出变更单价，监理人审核，发包人同意后进入工程结算，支付方式执行合同约定的支付条款。</w:t>
      </w:r>
    </w:p>
    <w:p w14:paraId="3C28D90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（1）人工预算单价采用投标期浙江省现行水利行业人工预算单价。</w:t>
      </w:r>
    </w:p>
    <w:p w14:paraId="223E86C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（2）材料预算价格采用投标期基价。投标期的基价是指</w:t>
      </w:r>
      <w:r>
        <w:rPr>
          <w:rFonts w:hint="eastAsia" w:ascii="宋体" w:hAnsi="宋体" w:eastAsia="宋体" w:cs="宋体"/>
          <w:b/>
          <w:bCs/>
          <w:snapToGrid/>
          <w:color w:val="auto"/>
          <w:kern w:val="0"/>
          <w:sz w:val="24"/>
          <w:szCs w:val="24"/>
          <w:highlight w:val="none"/>
          <w:u w:val="single"/>
          <w:lang w:val="en-US" w:eastAsia="zh-CN"/>
        </w:rPr>
        <w:t xml:space="preserve"> 绍兴市造价管理部门</w:t>
      </w:r>
      <w:r>
        <w:rPr>
          <w:rFonts w:hint="eastAsia" w:ascii="宋体" w:hAnsi="宋体" w:eastAsia="宋体" w:cs="宋体"/>
          <w:b w:val="0"/>
          <w:bCs w:val="0"/>
          <w:snapToGrid/>
          <w:color w:val="auto"/>
          <w:kern w:val="0"/>
          <w:sz w:val="24"/>
          <w:szCs w:val="24"/>
          <w:highlight w:val="none"/>
          <w:lang w:val="en-US" w:eastAsia="zh-CN"/>
        </w:rPr>
        <w:t xml:space="preserve"> 发布的</w:t>
      </w:r>
      <w:r>
        <w:rPr>
          <w:rFonts w:hint="eastAsia" w:ascii="宋体" w:hAnsi="宋体" w:eastAsia="宋体" w:cs="宋体"/>
          <w:b/>
          <w:bCs/>
          <w:snapToGrid/>
          <w:color w:val="auto"/>
          <w:kern w:val="0"/>
          <w:sz w:val="24"/>
          <w:szCs w:val="24"/>
          <w:highlight w:val="none"/>
          <w:u w:val="single"/>
          <w:lang w:val="en-US" w:eastAsia="zh-CN"/>
        </w:rPr>
        <w:t xml:space="preserve">《绍兴市建设工程造价管理信息》2026年第2期 </w:t>
      </w:r>
      <w:r>
        <w:rPr>
          <w:rFonts w:ascii="宋体" w:hAnsi="宋体" w:eastAsia="宋体" w:cs="宋体"/>
          <w:i/>
          <w:iCs/>
          <w:spacing w:val="-13"/>
          <w:sz w:val="25"/>
          <w:szCs w:val="25"/>
          <w:highlight w:val="none"/>
          <w:u w:val="single" w:color="auto"/>
        </w:rPr>
        <w:t>（按投标截止时间</w:t>
      </w:r>
      <w:r>
        <w:rPr>
          <w:rFonts w:ascii="宋体" w:hAnsi="宋体" w:eastAsia="宋体" w:cs="宋体"/>
          <w:i/>
          <w:iCs/>
          <w:spacing w:val="-14"/>
          <w:sz w:val="25"/>
          <w:szCs w:val="25"/>
          <w:highlight w:val="none"/>
          <w:u w:val="single" w:color="auto"/>
        </w:rPr>
        <w:t>前</w:t>
      </w:r>
      <w:r>
        <w:rPr>
          <w:rFonts w:ascii="Times New Roman" w:hAnsi="Times New Roman" w:eastAsia="Times New Roman" w:cs="Times New Roman"/>
          <w:i/>
          <w:iCs/>
          <w:spacing w:val="-14"/>
          <w:sz w:val="24"/>
          <w:szCs w:val="24"/>
          <w:highlight w:val="none"/>
          <w:u w:val="single" w:color="auto"/>
        </w:rPr>
        <w:t>1</w:t>
      </w:r>
      <w:r>
        <w:rPr>
          <w:rFonts w:ascii="宋体" w:hAnsi="宋体" w:eastAsia="宋体" w:cs="宋体"/>
          <w:i/>
          <w:iCs/>
          <w:spacing w:val="-14"/>
          <w:sz w:val="25"/>
          <w:szCs w:val="25"/>
          <w:highlight w:val="none"/>
          <w:u w:val="single" w:color="auto"/>
        </w:rPr>
        <w:t>个月的期刊）</w:t>
      </w:r>
      <w:r>
        <w:rPr>
          <w:rFonts w:hint="eastAsia" w:ascii="宋体" w:hAnsi="宋体" w:eastAsia="宋体" w:cs="宋体"/>
          <w:b w:val="0"/>
          <w:bCs w:val="0"/>
          <w:snapToGrid/>
          <w:color w:val="auto"/>
          <w:kern w:val="0"/>
          <w:sz w:val="24"/>
          <w:szCs w:val="24"/>
          <w:highlight w:val="none"/>
          <w:lang w:val="en-US" w:eastAsia="zh-CN"/>
        </w:rPr>
        <w:t>中项目所在地信息价。如无信息价，则根据项目实施时的材料市场价由相关部门组织询价确定材料预算价格。</w:t>
      </w:r>
    </w:p>
    <w:p w14:paraId="56951BA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（3）机械台班单价按投标期浙江省现行水利水电工程施工机械台班定额和有关规定计算。</w:t>
      </w:r>
    </w:p>
    <w:p w14:paraId="072F599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（4）定额采用投标期浙江省现行水利水电工程定额和有关规定，如浙江省水利工程定额不能满足计价，可采用部颁水利定额及其他相关行业定额的定额含量计价。</w:t>
      </w:r>
    </w:p>
    <w:p w14:paraId="69A8C43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（5）取费费率采用投标期浙江省现行水利行业取费标准，按工程类别选取费率，对各项弹性区间费率取中间值。</w:t>
      </w:r>
    </w:p>
    <w:p w14:paraId="2223A0C9">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（6）上述单价按以下计算的综合优惠率进行优惠。</w:t>
      </w:r>
    </w:p>
    <w:p w14:paraId="733FAEE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综合优惠率＝[1－（投标人投标价－预留金－暂估价）÷（本标段最高投标限价-预留金－暂估价）]×100%。</w:t>
      </w:r>
    </w:p>
    <w:p w14:paraId="6CC5A53A">
      <w:pPr>
        <w:numPr>
          <w:ilvl w:val="0"/>
          <w:numId w:val="0"/>
        </w:numPr>
        <w:spacing w:before="179" w:line="220" w:lineRule="auto"/>
        <w:ind w:left="16" w:leftChars="0"/>
        <w:outlineLvl w:val="1"/>
        <w:rPr>
          <w:rFonts w:hint="eastAsia" w:ascii="宋体" w:hAnsi="宋体" w:eastAsia="宋体" w:cs="宋体"/>
          <w:b w:val="0"/>
          <w:bCs w:val="0"/>
          <w:snapToGrid/>
          <w:color w:val="auto"/>
          <w:kern w:val="0"/>
          <w:sz w:val="24"/>
          <w:szCs w:val="24"/>
          <w:highlight w:val="none"/>
          <w:lang w:val="en-US" w:eastAsia="zh-CN"/>
        </w:rPr>
      </w:pPr>
      <w:bookmarkStart w:id="634" w:name="_Toc32604"/>
      <w:r>
        <w:rPr>
          <w:rFonts w:hint="eastAsia" w:ascii="宋体" w:hAnsi="宋体" w:eastAsia="宋体" w:cs="宋体"/>
          <w:b w:val="0"/>
          <w:bCs w:val="0"/>
          <w:snapToGrid/>
          <w:color w:val="auto"/>
          <w:kern w:val="0"/>
          <w:sz w:val="24"/>
          <w:szCs w:val="24"/>
          <w:lang w:val="en-US" w:eastAsia="zh-CN" w:bidi="ar-SA"/>
        </w:rPr>
        <w:t>（7）</w:t>
      </w:r>
      <w:r>
        <w:rPr>
          <w:rFonts w:hint="eastAsia" w:ascii="宋体" w:hAnsi="宋体" w:eastAsia="宋体" w:cs="宋体"/>
          <w:b w:val="0"/>
          <w:bCs w:val="0"/>
          <w:snapToGrid/>
          <w:color w:val="auto"/>
          <w:kern w:val="0"/>
          <w:sz w:val="24"/>
          <w:szCs w:val="24"/>
          <w:highlight w:val="none"/>
          <w:lang w:val="en-US" w:eastAsia="zh-CN"/>
        </w:rPr>
        <w:t>按照上述仍无法组价的，根据市场招标或询价确定。</w:t>
      </w:r>
      <w:bookmarkEnd w:id="634"/>
    </w:p>
    <w:p w14:paraId="522BE2CF">
      <w:pPr>
        <w:numPr>
          <w:ilvl w:val="0"/>
          <w:numId w:val="0"/>
        </w:numPr>
        <w:spacing w:before="179" w:line="220" w:lineRule="auto"/>
        <w:ind w:left="16" w:leftChars="0"/>
        <w:outlineLvl w:val="1"/>
        <w:rPr>
          <w:rFonts w:ascii="宋体" w:hAnsi="宋体" w:eastAsia="宋体" w:cs="宋体"/>
          <w:color w:val="auto"/>
          <w:sz w:val="24"/>
          <w:szCs w:val="24"/>
          <w:highlight w:val="none"/>
        </w:rPr>
      </w:pPr>
      <w:bookmarkStart w:id="635" w:name="_Toc30391"/>
      <w:r>
        <w:rPr>
          <w:rFonts w:ascii="Times New Roman" w:hAnsi="Times New Roman" w:eastAsia="Times New Roman" w:cs="Times New Roman"/>
          <w:b/>
          <w:bCs/>
          <w:color w:val="auto"/>
          <w:spacing w:val="-2"/>
          <w:sz w:val="24"/>
          <w:szCs w:val="24"/>
          <w:highlight w:val="none"/>
        </w:rPr>
        <w:t xml:space="preserve">15.5  </w:t>
      </w:r>
      <w:r>
        <w:rPr>
          <w:rFonts w:ascii="宋体" w:hAnsi="宋体" w:eastAsia="宋体" w:cs="宋体"/>
          <w:b/>
          <w:bCs/>
          <w:color w:val="auto"/>
          <w:spacing w:val="-2"/>
          <w:sz w:val="24"/>
          <w:szCs w:val="24"/>
          <w:highlight w:val="none"/>
        </w:rPr>
        <w:t>承包人的合理化建议</w:t>
      </w:r>
      <w:bookmarkEnd w:id="633"/>
      <w:bookmarkEnd w:id="635"/>
    </w:p>
    <w:p w14:paraId="2142D634">
      <w:pPr>
        <w:spacing w:before="182" w:line="220" w:lineRule="auto"/>
        <w:ind w:left="49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15.5.2  </w:t>
      </w:r>
      <w:r>
        <w:rPr>
          <w:rFonts w:ascii="宋体" w:hAnsi="宋体" w:eastAsia="宋体" w:cs="宋体"/>
          <w:color w:val="auto"/>
          <w:spacing w:val="-1"/>
          <w:sz w:val="24"/>
          <w:szCs w:val="24"/>
          <w:highlight w:val="none"/>
        </w:rPr>
        <w:t>承包人实现合理化建议的奖励金额为：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lang w:val="en-US" w:eastAsia="zh-CN"/>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2613E965">
      <w:pPr>
        <w:spacing w:before="181" w:line="218" w:lineRule="auto"/>
        <w:ind w:left="16"/>
        <w:outlineLvl w:val="1"/>
        <w:rPr>
          <w:rFonts w:ascii="宋体" w:hAnsi="宋体" w:eastAsia="宋体" w:cs="宋体"/>
          <w:color w:val="auto"/>
          <w:sz w:val="24"/>
          <w:szCs w:val="24"/>
          <w:highlight w:val="none"/>
        </w:rPr>
      </w:pPr>
      <w:bookmarkStart w:id="636" w:name="bookmark713"/>
      <w:bookmarkEnd w:id="636"/>
      <w:bookmarkStart w:id="637" w:name="bookmark714"/>
      <w:bookmarkEnd w:id="637"/>
      <w:bookmarkStart w:id="638" w:name="_Toc19124"/>
      <w:bookmarkStart w:id="639" w:name="_Toc2011"/>
      <w:r>
        <w:rPr>
          <w:rFonts w:ascii="Times New Roman" w:hAnsi="Times New Roman" w:eastAsia="Times New Roman" w:cs="Times New Roman"/>
          <w:b/>
          <w:bCs/>
          <w:color w:val="auto"/>
          <w:spacing w:val="-6"/>
          <w:sz w:val="24"/>
          <w:szCs w:val="24"/>
          <w:highlight w:val="none"/>
        </w:rPr>
        <w:t>15.8</w:t>
      </w:r>
      <w:r>
        <w:rPr>
          <w:rFonts w:ascii="Times New Roman" w:hAnsi="Times New Roman" w:eastAsia="Times New Roman" w:cs="Times New Roman"/>
          <w:b/>
          <w:bCs/>
          <w:color w:val="auto"/>
          <w:spacing w:val="9"/>
          <w:sz w:val="24"/>
          <w:szCs w:val="24"/>
          <w:highlight w:val="none"/>
        </w:rPr>
        <w:t xml:space="preserve">  </w:t>
      </w:r>
      <w:r>
        <w:rPr>
          <w:rFonts w:ascii="宋体" w:hAnsi="宋体" w:eastAsia="宋体" w:cs="宋体"/>
          <w:b/>
          <w:bCs/>
          <w:color w:val="auto"/>
          <w:spacing w:val="-6"/>
          <w:sz w:val="24"/>
          <w:szCs w:val="24"/>
          <w:highlight w:val="none"/>
        </w:rPr>
        <w:t>暂估价</w:t>
      </w:r>
      <w:bookmarkEnd w:id="638"/>
      <w:bookmarkEnd w:id="639"/>
    </w:p>
    <w:p w14:paraId="2C86DD65">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15.8.1</w:t>
      </w:r>
      <w:r>
        <w:rPr>
          <w:rFonts w:hint="eastAsia" w:ascii="宋体" w:hAnsi="宋体" w:eastAsia="宋体" w:cs="宋体"/>
          <w:b w:val="0"/>
          <w:bCs w:val="0"/>
          <w:snapToGrid/>
          <w:color w:val="auto"/>
          <w:kern w:val="0"/>
          <w:sz w:val="24"/>
          <w:szCs w:val="24"/>
          <w:highlight w:val="none"/>
          <w:lang w:val="en-US" w:eastAsia="zh-CN"/>
        </w:rPr>
        <w:t>（1）发包人和承包人组织招标的暂估价项目：</w:t>
      </w:r>
      <w:r>
        <w:rPr>
          <w:rFonts w:hint="eastAsia" w:ascii="宋体" w:hAnsi="宋体" w:eastAsia="宋体" w:cs="宋体"/>
          <w:b w:val="0"/>
          <w:bCs w:val="0"/>
          <w:snapToGrid/>
          <w:color w:val="auto"/>
          <w:kern w:val="0"/>
          <w:sz w:val="24"/>
          <w:szCs w:val="24"/>
          <w:highlight w:val="none"/>
          <w:u w:val="single"/>
          <w:lang w:val="en-US" w:eastAsia="zh-CN"/>
        </w:rPr>
        <w:t xml:space="preserve">   （签约后填入）  </w:t>
      </w:r>
      <w:r>
        <w:rPr>
          <w:rFonts w:hint="eastAsia" w:ascii="宋体" w:hAnsi="宋体" w:eastAsia="宋体" w:cs="宋体"/>
          <w:b w:val="0"/>
          <w:bCs w:val="0"/>
          <w:snapToGrid/>
          <w:color w:val="auto"/>
          <w:kern w:val="0"/>
          <w:sz w:val="24"/>
          <w:szCs w:val="24"/>
          <w:highlight w:val="none"/>
          <w:lang w:val="en-US" w:eastAsia="zh-CN"/>
        </w:rPr>
        <w:t xml:space="preserve"> ；发包人组织招标的暂估价项目：</w:t>
      </w:r>
      <w:r>
        <w:rPr>
          <w:rFonts w:hint="eastAsia" w:ascii="宋体" w:hAnsi="宋体" w:eastAsia="宋体" w:cs="宋体"/>
          <w:b w:val="0"/>
          <w:bCs w:val="0"/>
          <w:snapToGrid/>
          <w:color w:val="auto"/>
          <w:kern w:val="0"/>
          <w:sz w:val="24"/>
          <w:szCs w:val="24"/>
          <w:highlight w:val="none"/>
          <w:u w:val="single"/>
          <w:lang w:val="en-US" w:eastAsia="zh-CN"/>
        </w:rPr>
        <w:t xml:space="preserve">   （签约后填入）   </w:t>
      </w:r>
      <w:r>
        <w:rPr>
          <w:rFonts w:hint="eastAsia" w:ascii="宋体" w:hAnsi="宋体" w:eastAsia="宋体" w:cs="宋体"/>
          <w:b w:val="0"/>
          <w:bCs w:val="0"/>
          <w:snapToGrid/>
          <w:color w:val="auto"/>
          <w:kern w:val="0"/>
          <w:sz w:val="24"/>
          <w:szCs w:val="24"/>
          <w:highlight w:val="none"/>
          <w:lang w:val="en-US" w:eastAsia="zh-CN"/>
        </w:rPr>
        <w:t>。</w:t>
      </w:r>
    </w:p>
    <w:p w14:paraId="5CA7E3C0">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ascii="宋体" w:hAnsi="宋体" w:eastAsia="宋体" w:cs="宋体"/>
          <w:color w:val="auto"/>
          <w:kern w:val="2"/>
          <w:sz w:val="24"/>
          <w:szCs w:val="24"/>
          <w:highlight w:val="none"/>
          <w:u w:val="single"/>
          <w:lang w:eastAsia="zh-CN"/>
        </w:rPr>
      </w:pPr>
      <w:r>
        <w:rPr>
          <w:rFonts w:hint="eastAsia" w:ascii="宋体" w:hAnsi="宋体" w:eastAsia="宋体" w:cs="宋体"/>
          <w:b w:val="0"/>
          <w:bCs w:val="0"/>
          <w:snapToGrid/>
          <w:color w:val="auto"/>
          <w:kern w:val="0"/>
          <w:sz w:val="24"/>
          <w:szCs w:val="24"/>
          <w:highlight w:val="none"/>
          <w:lang w:val="en-US" w:eastAsia="zh-CN"/>
        </w:rPr>
        <w:t>（2）发包人和承包人以招标方式选择暂估价项目供应商或分包人时，双方的权利义务关系：</w:t>
      </w:r>
      <w:r>
        <w:rPr>
          <w:rFonts w:hint="eastAsia" w:ascii="宋体" w:hAnsi="宋体" w:eastAsia="宋体" w:cs="宋体"/>
          <w:b w:val="0"/>
          <w:bCs w:val="0"/>
          <w:snapToGrid/>
          <w:color w:val="auto"/>
          <w:kern w:val="0"/>
          <w:sz w:val="24"/>
          <w:szCs w:val="24"/>
          <w:highlight w:val="none"/>
          <w:u w:val="single"/>
          <w:lang w:val="en-US" w:eastAsia="zh-CN"/>
        </w:rPr>
        <w:t xml:space="preserve">    /  </w:t>
      </w:r>
      <w:r>
        <w:rPr>
          <w:rFonts w:hint="eastAsia" w:ascii="宋体" w:hAnsi="宋体" w:eastAsia="宋体" w:cs="宋体"/>
          <w:b w:val="0"/>
          <w:bCs w:val="0"/>
          <w:snapToGrid/>
          <w:color w:val="auto"/>
          <w:kern w:val="0"/>
          <w:sz w:val="24"/>
          <w:szCs w:val="24"/>
          <w:highlight w:val="none"/>
          <w:lang w:val="en-US" w:eastAsia="zh-CN"/>
        </w:rPr>
        <w:t>。</w:t>
      </w:r>
    </w:p>
    <w:p w14:paraId="7CD96940">
      <w:pPr>
        <w:spacing w:before="305" w:line="219" w:lineRule="auto"/>
        <w:ind w:left="20"/>
        <w:outlineLvl w:val="0"/>
        <w:rPr>
          <w:rFonts w:ascii="宋体" w:hAnsi="宋体" w:eastAsia="宋体" w:cs="宋体"/>
          <w:color w:val="auto"/>
          <w:sz w:val="28"/>
          <w:szCs w:val="28"/>
          <w:highlight w:val="none"/>
        </w:rPr>
      </w:pPr>
      <w:bookmarkStart w:id="640" w:name="bookmark716"/>
      <w:bookmarkEnd w:id="640"/>
      <w:bookmarkStart w:id="641" w:name="bookmark718"/>
      <w:bookmarkEnd w:id="641"/>
      <w:bookmarkStart w:id="642" w:name="bookmark715"/>
      <w:bookmarkEnd w:id="642"/>
      <w:bookmarkStart w:id="643" w:name="_Toc4466"/>
      <w:bookmarkStart w:id="644" w:name="_Toc4610"/>
      <w:r>
        <w:rPr>
          <w:rFonts w:ascii="Times New Roman" w:hAnsi="Times New Roman" w:eastAsia="Times New Roman" w:cs="Times New Roman"/>
          <w:b/>
          <w:bCs/>
          <w:color w:val="auto"/>
          <w:spacing w:val="-4"/>
          <w:sz w:val="28"/>
          <w:szCs w:val="28"/>
          <w:highlight w:val="none"/>
        </w:rPr>
        <w:t xml:space="preserve">16  </w:t>
      </w:r>
      <w:r>
        <w:rPr>
          <w:rFonts w:ascii="宋体" w:hAnsi="宋体" w:eastAsia="宋体" w:cs="宋体"/>
          <w:b/>
          <w:bCs/>
          <w:color w:val="auto"/>
          <w:spacing w:val="-4"/>
          <w:sz w:val="28"/>
          <w:szCs w:val="28"/>
          <w:highlight w:val="none"/>
        </w:rPr>
        <w:t>价格调整</w:t>
      </w:r>
      <w:bookmarkEnd w:id="643"/>
      <w:bookmarkEnd w:id="644"/>
    </w:p>
    <w:p w14:paraId="67B987F7">
      <w:pPr>
        <w:pStyle w:val="3"/>
        <w:spacing w:line="248" w:lineRule="auto"/>
        <w:rPr>
          <w:color w:val="auto"/>
          <w:highlight w:val="none"/>
        </w:rPr>
      </w:pPr>
    </w:p>
    <w:p w14:paraId="0C4E63E5">
      <w:pPr>
        <w:spacing w:before="78" w:line="218" w:lineRule="auto"/>
        <w:ind w:left="17"/>
        <w:outlineLvl w:val="2"/>
        <w:rPr>
          <w:rFonts w:ascii="宋体" w:hAnsi="宋体" w:eastAsia="宋体" w:cs="宋体"/>
          <w:color w:val="auto"/>
          <w:sz w:val="24"/>
          <w:szCs w:val="24"/>
          <w:highlight w:val="none"/>
        </w:rPr>
      </w:pPr>
      <w:bookmarkStart w:id="645" w:name="bookmark717"/>
      <w:bookmarkEnd w:id="645"/>
      <w:bookmarkStart w:id="646" w:name="_Toc9148"/>
      <w:bookmarkStart w:id="647" w:name="_Toc24052"/>
      <w:r>
        <w:rPr>
          <w:rFonts w:ascii="Times New Roman" w:hAnsi="Times New Roman" w:eastAsia="Times New Roman" w:cs="Times New Roman"/>
          <w:b/>
          <w:bCs/>
          <w:color w:val="auto"/>
          <w:spacing w:val="-2"/>
          <w:sz w:val="24"/>
          <w:szCs w:val="24"/>
          <w:highlight w:val="none"/>
        </w:rPr>
        <w:t xml:space="preserve">16.1  </w:t>
      </w:r>
      <w:r>
        <w:rPr>
          <w:rFonts w:ascii="宋体" w:hAnsi="宋体" w:eastAsia="宋体" w:cs="宋体"/>
          <w:b/>
          <w:bCs/>
          <w:color w:val="auto"/>
          <w:spacing w:val="-2"/>
          <w:sz w:val="24"/>
          <w:szCs w:val="24"/>
          <w:highlight w:val="none"/>
        </w:rPr>
        <w:t>物价波动引起的价格调整</w:t>
      </w:r>
      <w:bookmarkEnd w:id="646"/>
      <w:bookmarkEnd w:id="647"/>
    </w:p>
    <w:p w14:paraId="08AFF22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bCs/>
          <w:snapToGrid/>
          <w:color w:val="FF0000"/>
          <w:kern w:val="0"/>
          <w:sz w:val="24"/>
          <w:szCs w:val="24"/>
          <w:highlight w:val="none"/>
          <w:u w:val="single"/>
          <w:lang w:val="en-US" w:eastAsia="zh-CN"/>
        </w:rPr>
      </w:pPr>
      <w:bookmarkStart w:id="648" w:name="bookmark719"/>
      <w:bookmarkEnd w:id="648"/>
      <w:bookmarkStart w:id="649" w:name="bookmark720"/>
      <w:bookmarkEnd w:id="649"/>
      <w:bookmarkStart w:id="650" w:name="_Toc14756"/>
      <w:r>
        <w:rPr>
          <w:rFonts w:hint="eastAsia" w:ascii="宋体" w:hAnsi="宋体" w:eastAsia="宋体" w:cs="宋体"/>
          <w:b w:val="0"/>
          <w:bCs w:val="0"/>
          <w:snapToGrid/>
          <w:color w:val="auto"/>
          <w:kern w:val="0"/>
          <w:sz w:val="24"/>
          <w:szCs w:val="24"/>
          <w:highlight w:val="none"/>
          <w:lang w:val="en-US" w:eastAsia="zh-CN"/>
        </w:rPr>
        <w:t>物价波动引起的价格调整方式：</w:t>
      </w:r>
      <w:r>
        <w:rPr>
          <w:rFonts w:hint="eastAsia" w:ascii="宋体" w:hAnsi="宋体" w:eastAsia="宋体" w:cs="宋体"/>
          <w:b/>
          <w:bCs/>
          <w:snapToGrid/>
          <w:color w:val="auto"/>
          <w:kern w:val="0"/>
          <w:sz w:val="24"/>
          <w:szCs w:val="24"/>
          <w:highlight w:val="none"/>
          <w:u w:val="single"/>
          <w:lang w:val="en-US" w:eastAsia="zh-CN"/>
        </w:rPr>
        <w:t>本项目不调整。</w:t>
      </w:r>
    </w:p>
    <w:p w14:paraId="239A2ED3">
      <w:pPr>
        <w:spacing w:before="311" w:line="220" w:lineRule="auto"/>
        <w:ind w:left="20"/>
        <w:outlineLvl w:val="1"/>
        <w:rPr>
          <w:rFonts w:ascii="宋体" w:hAnsi="宋体" w:eastAsia="宋体" w:cs="宋体"/>
          <w:color w:val="auto"/>
          <w:sz w:val="28"/>
          <w:szCs w:val="28"/>
          <w:highlight w:val="none"/>
        </w:rPr>
      </w:pPr>
      <w:bookmarkStart w:id="651" w:name="_Toc4478"/>
      <w:r>
        <w:rPr>
          <w:rFonts w:ascii="Times New Roman" w:hAnsi="Times New Roman" w:eastAsia="Times New Roman" w:cs="Times New Roman"/>
          <w:b/>
          <w:bCs/>
          <w:color w:val="auto"/>
          <w:spacing w:val="-3"/>
          <w:sz w:val="28"/>
          <w:szCs w:val="28"/>
          <w:highlight w:val="none"/>
        </w:rPr>
        <w:t xml:space="preserve">17  </w:t>
      </w:r>
      <w:r>
        <w:rPr>
          <w:rFonts w:ascii="宋体" w:hAnsi="宋体" w:eastAsia="宋体" w:cs="宋体"/>
          <w:b/>
          <w:bCs/>
          <w:color w:val="auto"/>
          <w:spacing w:val="-3"/>
          <w:sz w:val="28"/>
          <w:szCs w:val="28"/>
          <w:highlight w:val="none"/>
        </w:rPr>
        <w:t>计量与支付</w:t>
      </w:r>
      <w:bookmarkEnd w:id="650"/>
      <w:bookmarkEnd w:id="651"/>
    </w:p>
    <w:p w14:paraId="3C01B43A">
      <w:pPr>
        <w:spacing w:before="78" w:line="218" w:lineRule="auto"/>
        <w:ind w:left="17"/>
        <w:outlineLvl w:val="2"/>
        <w:rPr>
          <w:rFonts w:ascii="宋体" w:hAnsi="宋体" w:eastAsia="宋体" w:cs="宋体"/>
          <w:b/>
          <w:bCs/>
          <w:color w:val="auto"/>
          <w:spacing w:val="-2"/>
          <w:sz w:val="24"/>
          <w:szCs w:val="24"/>
          <w:highlight w:val="none"/>
        </w:rPr>
      </w:pPr>
      <w:bookmarkStart w:id="652" w:name="bookmark721"/>
      <w:bookmarkEnd w:id="652"/>
      <w:bookmarkStart w:id="653" w:name="bookmark722"/>
      <w:bookmarkEnd w:id="653"/>
      <w:bookmarkStart w:id="654" w:name="_Toc31216"/>
      <w:bookmarkStart w:id="655" w:name="_Toc17350"/>
      <w:r>
        <w:rPr>
          <w:rFonts w:ascii="宋体" w:hAnsi="宋体" w:eastAsia="宋体" w:cs="宋体"/>
          <w:b/>
          <w:bCs/>
          <w:color w:val="auto"/>
          <w:spacing w:val="-2"/>
          <w:sz w:val="24"/>
          <w:szCs w:val="24"/>
          <w:highlight w:val="none"/>
        </w:rPr>
        <w:t>17.2  预付款</w:t>
      </w:r>
      <w:bookmarkEnd w:id="654"/>
      <w:bookmarkEnd w:id="655"/>
    </w:p>
    <w:p w14:paraId="2C8C6D0B">
      <w:pPr>
        <w:spacing w:before="182" w:line="220" w:lineRule="auto"/>
        <w:ind w:left="499"/>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17.2.1</w:t>
      </w:r>
      <w:r>
        <w:rPr>
          <w:rFonts w:ascii="Times New Roman" w:hAnsi="Times New Roman" w:eastAsia="Times New Roman" w:cs="Times New Roman"/>
          <w:b/>
          <w:bCs/>
          <w:color w:val="auto"/>
          <w:spacing w:val="6"/>
          <w:sz w:val="24"/>
          <w:szCs w:val="24"/>
          <w:highlight w:val="none"/>
        </w:rPr>
        <w:t xml:space="preserve">  </w:t>
      </w:r>
      <w:r>
        <w:rPr>
          <w:rFonts w:ascii="宋体" w:hAnsi="宋体" w:eastAsia="宋体" w:cs="宋体"/>
          <w:color w:val="auto"/>
          <w:spacing w:val="-3"/>
          <w:sz w:val="24"/>
          <w:szCs w:val="24"/>
          <w:highlight w:val="none"/>
        </w:rPr>
        <w:t>预付款</w:t>
      </w:r>
    </w:p>
    <w:p w14:paraId="3B8704E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工程预付款的总金额为签约合同价（扣除预留金后）的</w:t>
      </w:r>
      <w:r>
        <w:rPr>
          <w:rFonts w:hint="eastAsia" w:ascii="宋体" w:hAnsi="宋体" w:eastAsia="宋体" w:cs="宋体"/>
          <w:b/>
          <w:bCs/>
          <w:snapToGrid/>
          <w:color w:val="auto"/>
          <w:kern w:val="0"/>
          <w:sz w:val="24"/>
          <w:szCs w:val="24"/>
          <w:highlight w:val="none"/>
          <w:u w:val="single"/>
          <w:lang w:val="en-US" w:eastAsia="zh-CN"/>
        </w:rPr>
        <w:t xml:space="preserve">  10  </w:t>
      </w:r>
      <w:r>
        <w:rPr>
          <w:rFonts w:hint="eastAsia" w:ascii="宋体" w:hAnsi="宋体" w:eastAsia="宋体" w:cs="宋体"/>
          <w:b w:val="0"/>
          <w:bCs w:val="0"/>
          <w:snapToGrid/>
          <w:color w:val="auto"/>
          <w:kern w:val="0"/>
          <w:sz w:val="24"/>
          <w:szCs w:val="24"/>
          <w:highlight w:val="none"/>
          <w:lang w:val="en-US" w:eastAsia="zh-CN"/>
        </w:rPr>
        <w:t>%。</w:t>
      </w:r>
    </w:p>
    <w:p w14:paraId="2779CA2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default"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预付款的支付额度和付款时间为：</w:t>
      </w:r>
      <w:r>
        <w:rPr>
          <w:rFonts w:hint="eastAsia" w:ascii="宋体" w:hAnsi="宋体" w:eastAsia="宋体" w:cs="宋体"/>
          <w:b/>
          <w:bCs/>
          <w:snapToGrid/>
          <w:color w:val="auto"/>
          <w:kern w:val="0"/>
          <w:sz w:val="24"/>
          <w:szCs w:val="24"/>
          <w:highlight w:val="none"/>
          <w:u w:val="single"/>
          <w:lang w:val="en-US" w:eastAsia="zh-CN"/>
        </w:rPr>
        <w:t>合同签订、承包人递交履约保函、总监理工程师发出开工指令后一个月内支付</w:t>
      </w:r>
      <w:r>
        <w:rPr>
          <w:rFonts w:hint="eastAsia" w:ascii="宋体" w:hAnsi="宋体" w:eastAsia="宋体" w:cs="宋体"/>
          <w:b w:val="0"/>
          <w:bCs w:val="0"/>
          <w:snapToGrid/>
          <w:color w:val="auto"/>
          <w:kern w:val="0"/>
          <w:sz w:val="24"/>
          <w:szCs w:val="24"/>
          <w:highlight w:val="none"/>
          <w:lang w:val="en-US" w:eastAsia="zh-CN"/>
        </w:rPr>
        <w:t>。</w:t>
      </w:r>
    </w:p>
    <w:p w14:paraId="79463FC2">
      <w:pPr>
        <w:numPr>
          <w:ilvl w:val="0"/>
          <w:numId w:val="0"/>
        </w:numPr>
        <w:spacing w:before="183" w:line="220" w:lineRule="auto"/>
        <w:ind w:left="492" w:leftChars="0" w:firstLine="0" w:firstLineChars="0"/>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lang w:val="en-US" w:eastAsia="zh-CN" w:bidi="ar-SA"/>
        </w:rPr>
        <w:t>（2）</w:t>
      </w:r>
      <w:r>
        <w:rPr>
          <w:rFonts w:hint="eastAsia" w:ascii="宋体" w:hAnsi="宋体" w:eastAsia="宋体" w:cs="宋体"/>
          <w:b w:val="0"/>
          <w:bCs w:val="0"/>
          <w:snapToGrid/>
          <w:color w:val="auto"/>
          <w:kern w:val="0"/>
          <w:sz w:val="24"/>
          <w:szCs w:val="24"/>
          <w:highlight w:val="none"/>
          <w:lang w:val="en-US" w:eastAsia="zh-CN"/>
        </w:rPr>
        <w:t>工程材料预付款的额度和预付办法约定为：</w:t>
      </w:r>
      <w:r>
        <w:rPr>
          <w:rFonts w:hint="eastAsia" w:ascii="宋体" w:hAnsi="宋体" w:eastAsia="宋体" w:cs="宋体"/>
          <w:b w:val="0"/>
          <w:bCs w:val="0"/>
          <w:snapToGrid/>
          <w:color w:val="auto"/>
          <w:kern w:val="0"/>
          <w:sz w:val="24"/>
          <w:szCs w:val="24"/>
          <w:highlight w:val="none"/>
          <w:u w:val="single"/>
          <w:lang w:val="en-US" w:eastAsia="zh-CN"/>
        </w:rPr>
        <w:t xml:space="preserve">   /  </w:t>
      </w:r>
      <w:r>
        <w:rPr>
          <w:rFonts w:hint="eastAsia" w:ascii="宋体" w:hAnsi="宋体" w:eastAsia="宋体" w:cs="宋体"/>
          <w:b w:val="0"/>
          <w:bCs w:val="0"/>
          <w:snapToGrid/>
          <w:color w:val="auto"/>
          <w:kern w:val="0"/>
          <w:sz w:val="24"/>
          <w:szCs w:val="24"/>
          <w:highlight w:val="none"/>
          <w:lang w:val="en-US" w:eastAsia="zh-CN"/>
        </w:rPr>
        <w:t xml:space="preserve"> 。</w:t>
      </w:r>
    </w:p>
    <w:p w14:paraId="402BC8D4">
      <w:pPr>
        <w:numPr>
          <w:ilvl w:val="0"/>
          <w:numId w:val="0"/>
        </w:numPr>
        <w:spacing w:before="183" w:line="220" w:lineRule="auto"/>
        <w:ind w:left="492" w:leftChars="0" w:firstLine="0" w:firstLineChars="0"/>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17.2.3  </w:t>
      </w:r>
      <w:r>
        <w:rPr>
          <w:rFonts w:ascii="宋体" w:hAnsi="宋体" w:eastAsia="宋体" w:cs="宋体"/>
          <w:color w:val="auto"/>
          <w:spacing w:val="-1"/>
          <w:sz w:val="24"/>
          <w:szCs w:val="24"/>
          <w:highlight w:val="none"/>
        </w:rPr>
        <w:t>预付款的扣回与还清</w:t>
      </w:r>
    </w:p>
    <w:p w14:paraId="35EA16C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default" w:ascii="宋体" w:hAnsi="宋体" w:eastAsia="宋体" w:cs="宋体"/>
          <w:b w:val="0"/>
          <w:bCs w:val="0"/>
          <w:snapToGrid/>
          <w:color w:val="auto"/>
          <w:kern w:val="0"/>
          <w:sz w:val="24"/>
          <w:szCs w:val="24"/>
          <w:highlight w:val="none"/>
          <w:lang w:val="en-US" w:eastAsia="zh-CN"/>
        </w:rPr>
      </w:pPr>
      <w:bookmarkStart w:id="656" w:name="bookmark723"/>
      <w:bookmarkEnd w:id="656"/>
      <w:bookmarkStart w:id="657" w:name="bookmark724"/>
      <w:bookmarkEnd w:id="657"/>
      <w:bookmarkStart w:id="658" w:name="_Toc27454"/>
      <w:r>
        <w:rPr>
          <w:rFonts w:hint="eastAsia" w:ascii="宋体" w:hAnsi="宋体" w:eastAsia="宋体" w:cs="宋体"/>
          <w:b w:val="0"/>
          <w:bCs w:val="0"/>
          <w:snapToGrid/>
          <w:color w:val="auto"/>
          <w:kern w:val="0"/>
          <w:sz w:val="24"/>
          <w:szCs w:val="24"/>
          <w:highlight w:val="none"/>
          <w:lang w:val="en-US" w:eastAsia="zh-CN"/>
        </w:rPr>
        <w:t>（1）工程预付款在合同累计完成金额达到签约合同价（扣除预留金后）的</w:t>
      </w:r>
      <w:r>
        <w:rPr>
          <w:rFonts w:hint="eastAsia" w:ascii="宋体" w:hAnsi="宋体" w:eastAsia="宋体" w:cs="宋体"/>
          <w:b/>
          <w:bCs/>
          <w:snapToGrid/>
          <w:color w:val="auto"/>
          <w:kern w:val="0"/>
          <w:sz w:val="24"/>
          <w:szCs w:val="24"/>
          <w:highlight w:val="none"/>
          <w:u w:val="single"/>
          <w:lang w:val="en-US" w:eastAsia="zh-CN"/>
        </w:rPr>
        <w:t>10</w:t>
      </w:r>
      <w:r>
        <w:rPr>
          <w:rFonts w:hint="eastAsia" w:ascii="宋体" w:hAnsi="宋体" w:eastAsia="宋体" w:cs="宋体"/>
          <w:b w:val="0"/>
          <w:bCs w:val="0"/>
          <w:snapToGrid/>
          <w:color w:val="auto"/>
          <w:kern w:val="0"/>
          <w:sz w:val="24"/>
          <w:szCs w:val="24"/>
          <w:highlight w:val="none"/>
          <w:lang w:val="en-US" w:eastAsia="zh-CN"/>
        </w:rPr>
        <w:t>%时开始扣款，分2期扣回，每期按预付款金额平均扣回；当月可支付产值不足以抵扣预付款时，当月不支付工程款，未抵扣预付款至下期抵扣；安全文明措施费预付款不扣回。</w:t>
      </w:r>
    </w:p>
    <w:p w14:paraId="63C7E6D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（2）工程材料预付款的扣回与还清约定为：</w:t>
      </w:r>
      <w:r>
        <w:rPr>
          <w:rFonts w:hint="eastAsia" w:ascii="宋体" w:hAnsi="宋体" w:eastAsia="宋体" w:cs="宋体"/>
          <w:b w:val="0"/>
          <w:bCs w:val="0"/>
          <w:snapToGrid/>
          <w:color w:val="auto"/>
          <w:kern w:val="0"/>
          <w:sz w:val="24"/>
          <w:szCs w:val="24"/>
          <w:highlight w:val="none"/>
          <w:u w:val="single"/>
          <w:lang w:val="en-US" w:eastAsia="zh-CN"/>
        </w:rPr>
        <w:t xml:space="preserve">    /   </w:t>
      </w:r>
      <w:r>
        <w:rPr>
          <w:rFonts w:hint="eastAsia" w:ascii="宋体" w:hAnsi="宋体" w:eastAsia="宋体" w:cs="宋体"/>
          <w:b w:val="0"/>
          <w:bCs w:val="0"/>
          <w:snapToGrid/>
          <w:color w:val="auto"/>
          <w:kern w:val="0"/>
          <w:sz w:val="24"/>
          <w:szCs w:val="24"/>
          <w:highlight w:val="none"/>
          <w:lang w:val="en-US" w:eastAsia="zh-CN"/>
        </w:rPr>
        <w:t>。</w:t>
      </w:r>
    </w:p>
    <w:p w14:paraId="1C4646FC">
      <w:pPr>
        <w:spacing w:before="180" w:line="220" w:lineRule="auto"/>
        <w:ind w:left="16"/>
        <w:outlineLvl w:val="2"/>
        <w:rPr>
          <w:rFonts w:ascii="宋体" w:hAnsi="宋体" w:eastAsia="宋体" w:cs="宋体"/>
          <w:color w:val="auto"/>
          <w:sz w:val="24"/>
          <w:szCs w:val="24"/>
          <w:highlight w:val="none"/>
        </w:rPr>
      </w:pPr>
      <w:bookmarkStart w:id="659" w:name="_Toc7134"/>
      <w:r>
        <w:rPr>
          <w:rFonts w:ascii="Times New Roman" w:hAnsi="Times New Roman" w:eastAsia="Times New Roman" w:cs="Times New Roman"/>
          <w:b/>
          <w:bCs/>
          <w:color w:val="auto"/>
          <w:spacing w:val="-2"/>
          <w:sz w:val="24"/>
          <w:szCs w:val="24"/>
          <w:highlight w:val="none"/>
        </w:rPr>
        <w:t xml:space="preserve">17.3  </w:t>
      </w:r>
      <w:r>
        <w:rPr>
          <w:rFonts w:ascii="宋体" w:hAnsi="宋体" w:eastAsia="宋体" w:cs="宋体"/>
          <w:b/>
          <w:bCs/>
          <w:color w:val="auto"/>
          <w:spacing w:val="-2"/>
          <w:sz w:val="24"/>
          <w:szCs w:val="24"/>
          <w:highlight w:val="none"/>
        </w:rPr>
        <w:t>工程进度付款</w:t>
      </w:r>
      <w:bookmarkEnd w:id="658"/>
      <w:bookmarkEnd w:id="659"/>
    </w:p>
    <w:p w14:paraId="5895FCCC">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17.3.2</w:t>
      </w:r>
      <w:r>
        <w:rPr>
          <w:rFonts w:hint="eastAsia" w:ascii="宋体" w:hAnsi="宋体" w:eastAsia="宋体" w:cs="宋体"/>
          <w:b w:val="0"/>
          <w:bCs w:val="0"/>
          <w:snapToGrid/>
          <w:color w:val="auto"/>
          <w:kern w:val="0"/>
          <w:sz w:val="24"/>
          <w:szCs w:val="24"/>
          <w:highlight w:val="none"/>
          <w:lang w:val="en-US" w:eastAsia="zh-CN"/>
        </w:rPr>
        <w:t xml:space="preserve">  承包人在每个付款周期末向监理人提交进度付款申请单的份数：</w:t>
      </w:r>
      <w:r>
        <w:rPr>
          <w:rFonts w:hint="eastAsia" w:ascii="宋体" w:hAnsi="宋体" w:eastAsia="宋体" w:cs="宋体"/>
          <w:b/>
          <w:bCs/>
          <w:snapToGrid/>
          <w:color w:val="auto"/>
          <w:kern w:val="0"/>
          <w:sz w:val="24"/>
          <w:szCs w:val="24"/>
          <w:highlight w:val="none"/>
          <w:u w:val="single"/>
          <w:lang w:val="en-US" w:eastAsia="zh-CN"/>
        </w:rPr>
        <w:t>8</w:t>
      </w:r>
      <w:r>
        <w:rPr>
          <w:rFonts w:hint="eastAsia" w:ascii="宋体" w:hAnsi="宋体" w:eastAsia="宋体" w:cs="宋体"/>
          <w:b w:val="0"/>
          <w:bCs w:val="0"/>
          <w:snapToGrid/>
          <w:color w:val="auto"/>
          <w:kern w:val="0"/>
          <w:sz w:val="24"/>
          <w:szCs w:val="24"/>
          <w:highlight w:val="none"/>
          <w:lang w:val="en-US" w:eastAsia="zh-CN"/>
        </w:rPr>
        <w:t>份。</w:t>
      </w:r>
    </w:p>
    <w:p w14:paraId="190D8272">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17.3.3</w:t>
      </w:r>
      <w:r>
        <w:rPr>
          <w:rFonts w:hint="eastAsia" w:ascii="宋体" w:hAnsi="宋体" w:eastAsia="宋体" w:cs="宋体"/>
          <w:b w:val="0"/>
          <w:bCs w:val="0"/>
          <w:snapToGrid/>
          <w:color w:val="auto"/>
          <w:kern w:val="0"/>
          <w:sz w:val="24"/>
          <w:szCs w:val="24"/>
          <w:highlight w:val="none"/>
          <w:lang w:val="en-US" w:eastAsia="zh-CN"/>
        </w:rPr>
        <w:t xml:space="preserve">  进度付款证书和支付时间 </w:t>
      </w:r>
    </w:p>
    <w:p w14:paraId="05DF705A">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（2）本款中规定的逾期付款违约金为按中国人民银行规定的同期贷款基准利率计算的逾期付款金额的利息。</w:t>
      </w:r>
    </w:p>
    <w:p w14:paraId="43F25CAA">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补充（5）：</w:t>
      </w:r>
    </w:p>
    <w:p w14:paraId="45355E1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关于付款周期的约定：每月产值报表经监理、发包人审核，按审核的产值的85%（不含联系单增加费用）支付进度款；完工验收后并提交结算和施工档案完成归档后付至合同价的90%（扣除预备费合同价，如实际完成的工程量低于合同价，则付至经业主、监理及相关部门核准的实际完成工程量的90%），经结算审计后付至审定价的98.5%，余款作为保修金，在保修期满经发包方组织相关部门验收合格后28天内一次性付清。</w:t>
      </w:r>
    </w:p>
    <w:p w14:paraId="2CFFE6EF">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bCs/>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补充（6）：</w:t>
      </w:r>
    </w:p>
    <w:p w14:paraId="071AD19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Times New Roman" w:hAnsi="Times New Roman" w:eastAsia="宋体" w:cs="Times New Roman"/>
          <w:color w:val="auto"/>
          <w:spacing w:val="-4"/>
          <w:sz w:val="24"/>
          <w:szCs w:val="24"/>
          <w:highlight w:val="none"/>
          <w:u w:val="single"/>
          <w:lang w:val="en-US" w:eastAsia="zh-CN"/>
        </w:rPr>
      </w:pPr>
      <w:r>
        <w:rPr>
          <w:rFonts w:hint="eastAsia" w:ascii="宋体" w:hAnsi="宋体" w:eastAsia="宋体" w:cs="宋体"/>
          <w:b w:val="0"/>
          <w:bCs w:val="0"/>
          <w:snapToGrid/>
          <w:color w:val="auto"/>
          <w:kern w:val="0"/>
          <w:sz w:val="24"/>
          <w:szCs w:val="24"/>
          <w:highlight w:val="none"/>
          <w:lang w:val="en-US" w:eastAsia="zh-CN"/>
        </w:rPr>
        <w:t>工程款按正常流程审批，审批完成后农民工工资正常支付，其余工程款支付前，发包人需要承包人做好以下五项工作：①当月信访投诉及时解决；②需变更的联系单已经报送；③发包人、监理人等提出的整改问题已经回复或整改到位；④提交当月实名制考核表（需扣除人员到岗处罚费用）。如果承包人未在其余工程款支付前做好上述工作，则发包人有权暂不支付该笔工程款。⑤招标人按照支付节点，以现金、银行转账的方式向施工单位支付进度款或通过电子债权凭证、商业承兑汇票、银行承兑汇票等票据方式进行施工进度款支付。电子债权凭证、商业承兑汇票、银行承兑汇票的付款日期为出票后一年内。本项目如采用电子债权凭证的方式支付的，承包人需无条件配合，并按发包人要求在相关金融机构开立账户、办理网银、平台注册等事项，保证本项目落地支付。若承包人不配合导致款项无法顺利支付的，相关责任由承包人承担。</w:t>
      </w:r>
    </w:p>
    <w:p w14:paraId="2229D441">
      <w:pPr>
        <w:spacing w:before="32" w:line="220" w:lineRule="auto"/>
        <w:ind w:left="6"/>
        <w:outlineLvl w:val="2"/>
        <w:rPr>
          <w:rFonts w:ascii="宋体" w:hAnsi="宋体" w:eastAsia="宋体" w:cs="宋体"/>
          <w:color w:val="auto"/>
          <w:sz w:val="24"/>
          <w:szCs w:val="24"/>
          <w:highlight w:val="none"/>
        </w:rPr>
      </w:pPr>
      <w:bookmarkStart w:id="660" w:name="bookmark726"/>
      <w:bookmarkEnd w:id="660"/>
      <w:bookmarkStart w:id="661" w:name="bookmark725"/>
      <w:bookmarkEnd w:id="661"/>
      <w:bookmarkStart w:id="662" w:name="_Toc26350"/>
      <w:bookmarkStart w:id="663" w:name="_Toc14069"/>
      <w:r>
        <w:rPr>
          <w:rFonts w:ascii="Times New Roman" w:hAnsi="Times New Roman" w:eastAsia="Times New Roman" w:cs="Times New Roman"/>
          <w:b/>
          <w:bCs/>
          <w:color w:val="auto"/>
          <w:spacing w:val="-3"/>
          <w:sz w:val="24"/>
          <w:szCs w:val="24"/>
          <w:highlight w:val="none"/>
        </w:rPr>
        <w:t xml:space="preserve">17.4  </w:t>
      </w:r>
      <w:r>
        <w:rPr>
          <w:rFonts w:ascii="宋体" w:hAnsi="宋体" w:eastAsia="宋体" w:cs="宋体"/>
          <w:b/>
          <w:bCs/>
          <w:color w:val="auto"/>
          <w:spacing w:val="-3"/>
          <w:sz w:val="24"/>
          <w:szCs w:val="24"/>
          <w:highlight w:val="none"/>
        </w:rPr>
        <w:t>质量保证金</w:t>
      </w:r>
      <w:bookmarkEnd w:id="662"/>
      <w:bookmarkEnd w:id="663"/>
    </w:p>
    <w:p w14:paraId="2851A46B">
      <w:pPr>
        <w:spacing w:before="179" w:line="352" w:lineRule="auto"/>
        <w:ind w:firstLine="480" w:firstLineChars="200"/>
        <w:jc w:val="both"/>
        <w:rPr>
          <w:rFonts w:ascii="Times New Roman" w:hAnsi="Times New Roman" w:eastAsia="宋体" w:cs="Times New Roman"/>
          <w:color w:val="auto"/>
          <w:sz w:val="24"/>
          <w:szCs w:val="24"/>
          <w:highlight w:val="none"/>
          <w:lang w:eastAsia="zh-CN"/>
        </w:rPr>
      </w:pPr>
      <w:bookmarkStart w:id="664" w:name="bookmark727"/>
      <w:bookmarkEnd w:id="664"/>
      <w:bookmarkStart w:id="665" w:name="bookmark728"/>
      <w:bookmarkEnd w:id="665"/>
      <w:bookmarkStart w:id="666" w:name="_Toc4742"/>
      <w:r>
        <w:rPr>
          <w:rFonts w:ascii="Times New Roman" w:hAnsi="Times New Roman" w:eastAsia="宋体" w:cs="Times New Roman"/>
          <w:color w:val="auto"/>
          <w:sz w:val="24"/>
          <w:szCs w:val="24"/>
          <w:highlight w:val="none"/>
          <w:lang w:eastAsia="zh-CN"/>
        </w:rPr>
        <w:t>17.4.1</w:t>
      </w:r>
      <w:r>
        <w:rPr>
          <w:rFonts w:hint="eastAsia" w:ascii="Times New Roman" w:hAnsi="Times New Roman" w:eastAsia="宋体" w:cs="Times New Roman"/>
          <w:color w:val="auto"/>
          <w:sz w:val="24"/>
          <w:szCs w:val="24"/>
          <w:highlight w:val="none"/>
          <w:lang w:val="en-US" w:eastAsia="zh-CN"/>
        </w:rPr>
        <w:t xml:space="preserve"> </w:t>
      </w:r>
      <w:r>
        <w:rPr>
          <w:rFonts w:ascii="Times New Roman" w:hAnsi="Times New Roman" w:eastAsia="宋体" w:cs="Times New Roman"/>
          <w:color w:val="auto"/>
          <w:sz w:val="24"/>
          <w:szCs w:val="24"/>
          <w:highlight w:val="none"/>
          <w:lang w:eastAsia="zh-CN"/>
        </w:rPr>
        <w:t>质量保证金总额为完工结算价款总额的</w:t>
      </w:r>
      <w:r>
        <w:rPr>
          <w:rFonts w:hint="eastAsia" w:ascii="Times New Roman" w:hAnsi="Times New Roman" w:eastAsia="宋体" w:cs="Times New Roman"/>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u w:val="single"/>
          <w:lang w:eastAsia="zh-CN"/>
        </w:rPr>
        <w:t>1.5</w:t>
      </w:r>
      <w:r>
        <w:rPr>
          <w:rFonts w:hint="eastAsia" w:ascii="Times New Roman" w:hAnsi="Times New Roman" w:eastAsia="宋体" w:cs="Times New Roman"/>
          <w:color w:val="auto"/>
          <w:sz w:val="24"/>
          <w:szCs w:val="24"/>
          <w:highlight w:val="none"/>
          <w:u w:val="single"/>
          <w:lang w:val="en-US" w:eastAsia="zh-CN"/>
        </w:rPr>
        <w:t xml:space="preserve">  </w:t>
      </w:r>
      <w:r>
        <w:rPr>
          <w:rFonts w:ascii="Times New Roman" w:hAnsi="Times New Roman" w:eastAsia="宋体" w:cs="Times New Roman"/>
          <w:color w:val="auto"/>
          <w:sz w:val="24"/>
          <w:szCs w:val="24"/>
          <w:highlight w:val="none"/>
          <w:lang w:eastAsia="zh-CN"/>
        </w:rPr>
        <w:t>%</w:t>
      </w:r>
    </w:p>
    <w:p w14:paraId="1A5BA280">
      <w:pPr>
        <w:spacing w:before="178" w:line="220" w:lineRule="auto"/>
        <w:ind w:left="6"/>
        <w:outlineLvl w:val="2"/>
        <w:rPr>
          <w:rFonts w:ascii="宋体" w:hAnsi="宋体" w:eastAsia="宋体" w:cs="宋体"/>
          <w:color w:val="auto"/>
          <w:sz w:val="24"/>
          <w:szCs w:val="24"/>
          <w:highlight w:val="none"/>
        </w:rPr>
      </w:pPr>
      <w:bookmarkStart w:id="667" w:name="_Toc27387"/>
      <w:r>
        <w:rPr>
          <w:rFonts w:ascii="Times New Roman" w:hAnsi="Times New Roman" w:eastAsia="Times New Roman" w:cs="Times New Roman"/>
          <w:b/>
          <w:bCs/>
          <w:color w:val="auto"/>
          <w:spacing w:val="-3"/>
          <w:sz w:val="24"/>
          <w:szCs w:val="24"/>
          <w:highlight w:val="none"/>
        </w:rPr>
        <w:t xml:space="preserve">17.5  </w:t>
      </w:r>
      <w:r>
        <w:rPr>
          <w:rFonts w:ascii="宋体" w:hAnsi="宋体" w:eastAsia="宋体" w:cs="宋体"/>
          <w:b/>
          <w:bCs/>
          <w:color w:val="auto"/>
          <w:spacing w:val="-3"/>
          <w:sz w:val="24"/>
          <w:szCs w:val="24"/>
          <w:highlight w:val="none"/>
        </w:rPr>
        <w:t>完工结算</w:t>
      </w:r>
      <w:bookmarkEnd w:id="666"/>
      <w:bookmarkEnd w:id="667"/>
    </w:p>
    <w:p w14:paraId="57311C01">
      <w:pPr>
        <w:spacing w:before="182" w:line="220"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17.5.1  </w:t>
      </w:r>
      <w:r>
        <w:rPr>
          <w:rFonts w:ascii="宋体" w:hAnsi="宋体" w:eastAsia="宋体" w:cs="宋体"/>
          <w:color w:val="auto"/>
          <w:spacing w:val="-1"/>
          <w:sz w:val="24"/>
          <w:szCs w:val="24"/>
          <w:highlight w:val="none"/>
        </w:rPr>
        <w:t>完工付款申请单</w:t>
      </w:r>
    </w:p>
    <w:p w14:paraId="28D353C2">
      <w:pPr>
        <w:spacing w:before="179" w:line="220" w:lineRule="auto"/>
        <w:ind w:left="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）承包人应提交完工付款申请单一式</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b/>
          <w:bCs/>
          <w:color w:val="auto"/>
          <w:spacing w:val="-2"/>
          <w:sz w:val="24"/>
          <w:szCs w:val="24"/>
          <w:highlight w:val="none"/>
          <w:u w:val="single" w:color="auto"/>
          <w:lang w:val="en-US" w:eastAsia="zh-CN"/>
        </w:rPr>
        <w:t>8</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2"/>
          <w:sz w:val="24"/>
          <w:szCs w:val="24"/>
          <w:highlight w:val="none"/>
        </w:rPr>
        <w:t xml:space="preserve"> </w:t>
      </w:r>
      <w:r>
        <w:rPr>
          <w:rFonts w:ascii="宋体" w:hAnsi="宋体" w:eastAsia="宋体" w:cs="宋体"/>
          <w:color w:val="auto"/>
          <w:spacing w:val="-2"/>
          <w:sz w:val="24"/>
          <w:szCs w:val="24"/>
          <w:highlight w:val="none"/>
        </w:rPr>
        <w:t>份。</w:t>
      </w:r>
    </w:p>
    <w:p w14:paraId="32EC81C4">
      <w:pPr>
        <w:spacing w:before="178" w:line="220" w:lineRule="auto"/>
        <w:ind w:left="6"/>
        <w:outlineLvl w:val="2"/>
        <w:rPr>
          <w:rFonts w:ascii="宋体" w:hAnsi="宋体" w:eastAsia="宋体" w:cs="宋体"/>
          <w:color w:val="auto"/>
          <w:sz w:val="24"/>
          <w:szCs w:val="24"/>
          <w:highlight w:val="none"/>
        </w:rPr>
      </w:pPr>
      <w:bookmarkStart w:id="668" w:name="bookmark730"/>
      <w:bookmarkEnd w:id="668"/>
      <w:bookmarkStart w:id="669" w:name="bookmark729"/>
      <w:bookmarkEnd w:id="669"/>
      <w:bookmarkStart w:id="670" w:name="_Toc26420"/>
      <w:bookmarkStart w:id="671" w:name="_Toc5370"/>
      <w:r>
        <w:rPr>
          <w:rFonts w:ascii="Times New Roman" w:hAnsi="Times New Roman" w:eastAsia="Times New Roman" w:cs="Times New Roman"/>
          <w:b/>
          <w:bCs/>
          <w:color w:val="auto"/>
          <w:spacing w:val="-5"/>
          <w:sz w:val="24"/>
          <w:szCs w:val="24"/>
          <w:highlight w:val="none"/>
        </w:rPr>
        <w:t>17.6</w:t>
      </w:r>
      <w:r>
        <w:rPr>
          <w:rFonts w:ascii="Times New Roman" w:hAnsi="Times New Roman" w:eastAsia="Times New Roman" w:cs="Times New Roman"/>
          <w:b/>
          <w:bCs/>
          <w:color w:val="auto"/>
          <w:spacing w:val="8"/>
          <w:sz w:val="24"/>
          <w:szCs w:val="24"/>
          <w:highlight w:val="none"/>
        </w:rPr>
        <w:t xml:space="preserve">  </w:t>
      </w:r>
      <w:r>
        <w:rPr>
          <w:rFonts w:ascii="宋体" w:hAnsi="宋体" w:eastAsia="宋体" w:cs="宋体"/>
          <w:b/>
          <w:bCs/>
          <w:color w:val="auto"/>
          <w:spacing w:val="-5"/>
          <w:sz w:val="24"/>
          <w:szCs w:val="24"/>
          <w:highlight w:val="none"/>
        </w:rPr>
        <w:t>最终结清</w:t>
      </w:r>
      <w:bookmarkEnd w:id="670"/>
      <w:bookmarkEnd w:id="671"/>
    </w:p>
    <w:p w14:paraId="6B2F6627">
      <w:pPr>
        <w:spacing w:before="182" w:line="220"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17.6.1  </w:t>
      </w:r>
      <w:r>
        <w:rPr>
          <w:rFonts w:ascii="宋体" w:hAnsi="宋体" w:eastAsia="宋体" w:cs="宋体"/>
          <w:color w:val="auto"/>
          <w:spacing w:val="-1"/>
          <w:sz w:val="24"/>
          <w:szCs w:val="24"/>
          <w:highlight w:val="none"/>
        </w:rPr>
        <w:t>最终结清申请单</w:t>
      </w:r>
    </w:p>
    <w:p w14:paraId="06854426">
      <w:pPr>
        <w:spacing w:before="179" w:line="352" w:lineRule="auto"/>
        <w:ind w:firstLine="472" w:firstLineChars="200"/>
        <w:jc w:val="both"/>
        <w:rPr>
          <w:rFonts w:ascii="Times New Roman" w:hAnsi="Times New Roman" w:eastAsia="宋体" w:cs="Times New Roman"/>
          <w:color w:val="auto"/>
          <w:sz w:val="24"/>
          <w:szCs w:val="24"/>
          <w:highlight w:val="none"/>
          <w:lang w:eastAsia="zh-CN"/>
        </w:rPr>
      </w:pPr>
      <w:bookmarkStart w:id="672" w:name="bookmark731"/>
      <w:bookmarkEnd w:id="672"/>
      <w:bookmarkStart w:id="673" w:name="bookmark732"/>
      <w:bookmarkEnd w:id="673"/>
      <w:bookmarkStart w:id="674" w:name="_Toc6744"/>
      <w:r>
        <w:rPr>
          <w:rFonts w:ascii="Times New Roman" w:hAnsi="Times New Roman" w:eastAsia="宋体" w:cs="Times New Roman"/>
          <w:color w:val="auto"/>
          <w:spacing w:val="-2"/>
          <w:sz w:val="24"/>
          <w:szCs w:val="24"/>
          <w:highlight w:val="none"/>
          <w:lang w:eastAsia="zh-CN"/>
        </w:rPr>
        <w:t>（</w:t>
      </w:r>
      <w:r>
        <w:rPr>
          <w:rFonts w:ascii="Times New Roman" w:hAnsi="Times New Roman" w:eastAsia="Times New Roman" w:cs="Times New Roman"/>
          <w:color w:val="auto"/>
          <w:spacing w:val="-2"/>
          <w:sz w:val="24"/>
          <w:szCs w:val="24"/>
          <w:highlight w:val="none"/>
          <w:lang w:eastAsia="zh-CN"/>
        </w:rPr>
        <w:t>1</w:t>
      </w:r>
      <w:r>
        <w:rPr>
          <w:rFonts w:ascii="Times New Roman" w:hAnsi="Times New Roman" w:eastAsia="宋体" w:cs="Times New Roman"/>
          <w:color w:val="auto"/>
          <w:spacing w:val="-2"/>
          <w:sz w:val="24"/>
          <w:szCs w:val="24"/>
          <w:highlight w:val="none"/>
          <w:lang w:eastAsia="zh-CN"/>
        </w:rPr>
        <w:t>）承包人应提交最终结清申请单一式</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b/>
          <w:bCs/>
          <w:color w:val="auto"/>
          <w:spacing w:val="-2"/>
          <w:sz w:val="24"/>
          <w:szCs w:val="24"/>
          <w:highlight w:val="none"/>
          <w:u w:val="single" w:color="auto"/>
          <w:lang w:val="en-US" w:eastAsia="zh-CN"/>
        </w:rPr>
        <w:t>8</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2"/>
          <w:sz w:val="24"/>
          <w:szCs w:val="24"/>
          <w:highlight w:val="none"/>
        </w:rPr>
        <w:t xml:space="preserve"> </w:t>
      </w:r>
      <w:r>
        <w:rPr>
          <w:rFonts w:ascii="宋体" w:hAnsi="宋体" w:eastAsia="宋体" w:cs="宋体"/>
          <w:color w:val="auto"/>
          <w:spacing w:val="-2"/>
          <w:sz w:val="24"/>
          <w:szCs w:val="24"/>
          <w:highlight w:val="none"/>
        </w:rPr>
        <w:t>份</w:t>
      </w:r>
      <w:r>
        <w:rPr>
          <w:rFonts w:ascii="Times New Roman" w:hAnsi="Times New Roman" w:eastAsia="宋体" w:cs="Times New Roman"/>
          <w:color w:val="auto"/>
          <w:spacing w:val="-2"/>
          <w:sz w:val="24"/>
          <w:szCs w:val="24"/>
          <w:highlight w:val="none"/>
          <w:lang w:eastAsia="zh-CN"/>
        </w:rPr>
        <w:t>。</w:t>
      </w:r>
    </w:p>
    <w:p w14:paraId="7C17DA98">
      <w:pPr>
        <w:spacing w:before="182" w:line="220" w:lineRule="auto"/>
        <w:ind w:left="6"/>
        <w:outlineLvl w:val="2"/>
        <w:rPr>
          <w:rFonts w:ascii="宋体" w:hAnsi="宋体" w:eastAsia="宋体" w:cs="宋体"/>
          <w:color w:val="auto"/>
          <w:sz w:val="24"/>
          <w:szCs w:val="24"/>
          <w:highlight w:val="none"/>
        </w:rPr>
      </w:pPr>
      <w:bookmarkStart w:id="675" w:name="_Toc28952"/>
      <w:r>
        <w:rPr>
          <w:rFonts w:ascii="Times New Roman" w:hAnsi="Times New Roman" w:eastAsia="Times New Roman" w:cs="Times New Roman"/>
          <w:b/>
          <w:bCs/>
          <w:color w:val="auto"/>
          <w:spacing w:val="-2"/>
          <w:sz w:val="24"/>
          <w:szCs w:val="24"/>
          <w:highlight w:val="none"/>
        </w:rPr>
        <w:t xml:space="preserve">17.7  </w:t>
      </w:r>
      <w:r>
        <w:rPr>
          <w:rFonts w:ascii="宋体" w:hAnsi="宋体" w:eastAsia="宋体" w:cs="宋体"/>
          <w:b/>
          <w:bCs/>
          <w:color w:val="auto"/>
          <w:spacing w:val="-2"/>
          <w:sz w:val="24"/>
          <w:szCs w:val="24"/>
          <w:highlight w:val="none"/>
        </w:rPr>
        <w:t>竣工财务决算</w:t>
      </w:r>
      <w:bookmarkEnd w:id="674"/>
      <w:bookmarkEnd w:id="675"/>
    </w:p>
    <w:p w14:paraId="5C643F21">
      <w:pPr>
        <w:spacing w:before="180" w:line="219" w:lineRule="auto"/>
        <w:ind w:left="480"/>
        <w:rPr>
          <w:rFonts w:ascii="宋体" w:hAnsi="宋体" w:eastAsia="宋体" w:cs="宋体"/>
          <w:color w:val="auto"/>
          <w:sz w:val="24"/>
          <w:szCs w:val="24"/>
          <w:highlight w:val="none"/>
        </w:rPr>
      </w:pPr>
      <w:r>
        <w:rPr>
          <w:rFonts w:ascii="宋体" w:hAnsi="宋体" w:eastAsia="宋体" w:cs="宋体"/>
          <w:color w:val="auto"/>
          <w:sz w:val="24"/>
          <w:szCs w:val="24"/>
          <w:highlight w:val="none"/>
        </w:rPr>
        <w:t>承包人应为竣工财务决算编制提供的资料：</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u w:val="single" w:color="auto"/>
        </w:rPr>
        <w:t xml:space="preserve"> </w:t>
      </w:r>
      <w:r>
        <w:rPr>
          <w:rFonts w:ascii="Times New Roman" w:hAnsi="Times New Roman" w:eastAsia="宋体" w:cs="Times New Roman"/>
          <w:color w:val="auto"/>
          <w:sz w:val="24"/>
          <w:szCs w:val="24"/>
          <w:highlight w:val="none"/>
          <w:u w:val="single"/>
          <w:lang w:eastAsia="zh-CN"/>
        </w:rPr>
        <w:t>财务决算所需的一切资料</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0FC7F34A">
      <w:pPr>
        <w:spacing w:before="309" w:line="220" w:lineRule="auto"/>
        <w:ind w:left="9"/>
        <w:outlineLvl w:val="1"/>
        <w:rPr>
          <w:rFonts w:ascii="宋体" w:hAnsi="宋体" w:eastAsia="宋体" w:cs="宋体"/>
          <w:color w:val="auto"/>
          <w:sz w:val="28"/>
          <w:szCs w:val="28"/>
          <w:highlight w:val="none"/>
        </w:rPr>
      </w:pPr>
      <w:bookmarkStart w:id="676" w:name="bookmark734"/>
      <w:bookmarkEnd w:id="676"/>
      <w:bookmarkStart w:id="677" w:name="bookmark736"/>
      <w:bookmarkEnd w:id="677"/>
      <w:bookmarkStart w:id="678" w:name="bookmark733"/>
      <w:bookmarkEnd w:id="678"/>
      <w:bookmarkStart w:id="679" w:name="_Toc20157"/>
      <w:bookmarkStart w:id="680" w:name="_Toc16754"/>
      <w:r>
        <w:rPr>
          <w:rFonts w:ascii="Times New Roman" w:hAnsi="Times New Roman" w:eastAsia="Times New Roman" w:cs="Times New Roman"/>
          <w:b/>
          <w:bCs/>
          <w:color w:val="auto"/>
          <w:spacing w:val="-7"/>
          <w:sz w:val="28"/>
          <w:szCs w:val="28"/>
          <w:highlight w:val="none"/>
        </w:rPr>
        <w:t>18</w:t>
      </w:r>
      <w:r>
        <w:rPr>
          <w:rFonts w:ascii="Times New Roman" w:hAnsi="Times New Roman" w:eastAsia="Times New Roman" w:cs="Times New Roman"/>
          <w:b/>
          <w:bCs/>
          <w:color w:val="auto"/>
          <w:spacing w:val="8"/>
          <w:sz w:val="28"/>
          <w:szCs w:val="28"/>
          <w:highlight w:val="none"/>
        </w:rPr>
        <w:t xml:space="preserve">  </w:t>
      </w:r>
      <w:r>
        <w:rPr>
          <w:rFonts w:ascii="宋体" w:hAnsi="宋体" w:eastAsia="宋体" w:cs="宋体"/>
          <w:b/>
          <w:bCs/>
          <w:color w:val="auto"/>
          <w:spacing w:val="-7"/>
          <w:sz w:val="28"/>
          <w:szCs w:val="28"/>
          <w:highlight w:val="none"/>
        </w:rPr>
        <w:t>工程验收</w:t>
      </w:r>
      <w:bookmarkEnd w:id="679"/>
      <w:bookmarkEnd w:id="680"/>
    </w:p>
    <w:p w14:paraId="36E17E25">
      <w:pPr>
        <w:pStyle w:val="3"/>
        <w:spacing w:line="245" w:lineRule="auto"/>
        <w:rPr>
          <w:color w:val="auto"/>
          <w:highlight w:val="none"/>
        </w:rPr>
      </w:pPr>
    </w:p>
    <w:p w14:paraId="0B545BC0">
      <w:pPr>
        <w:spacing w:before="78" w:line="220" w:lineRule="auto"/>
        <w:ind w:left="6"/>
        <w:outlineLvl w:val="2"/>
        <w:rPr>
          <w:rFonts w:ascii="宋体" w:hAnsi="宋体" w:eastAsia="宋体" w:cs="宋体"/>
          <w:color w:val="auto"/>
          <w:sz w:val="24"/>
          <w:szCs w:val="24"/>
          <w:highlight w:val="none"/>
        </w:rPr>
      </w:pPr>
      <w:bookmarkStart w:id="681" w:name="bookmark735"/>
      <w:bookmarkEnd w:id="681"/>
      <w:bookmarkStart w:id="682" w:name="_Toc2376"/>
      <w:bookmarkStart w:id="683" w:name="_Toc25601"/>
      <w:r>
        <w:rPr>
          <w:rFonts w:ascii="Times New Roman" w:hAnsi="Times New Roman" w:eastAsia="Times New Roman" w:cs="Times New Roman"/>
          <w:b/>
          <w:bCs/>
          <w:color w:val="auto"/>
          <w:spacing w:val="-2"/>
          <w:sz w:val="24"/>
          <w:szCs w:val="24"/>
          <w:highlight w:val="none"/>
        </w:rPr>
        <w:t xml:space="preserve">18.1  </w:t>
      </w:r>
      <w:r>
        <w:rPr>
          <w:rFonts w:ascii="宋体" w:hAnsi="宋体" w:eastAsia="宋体" w:cs="宋体"/>
          <w:b/>
          <w:bCs/>
          <w:color w:val="auto"/>
          <w:spacing w:val="-2"/>
          <w:sz w:val="24"/>
          <w:szCs w:val="24"/>
          <w:highlight w:val="none"/>
        </w:rPr>
        <w:t>验收工作分类</w:t>
      </w:r>
      <w:bookmarkEnd w:id="682"/>
      <w:bookmarkEnd w:id="683"/>
    </w:p>
    <w:p w14:paraId="5A1A7658">
      <w:pPr>
        <w:spacing w:before="180" w:line="347" w:lineRule="auto"/>
        <w:ind w:left="2" w:right="11" w:firstLine="478"/>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本工程法人验收包括</w:t>
      </w:r>
      <w:r>
        <w:rPr>
          <w:rFonts w:ascii="宋体" w:hAnsi="宋体" w:eastAsia="宋体" w:cs="宋体"/>
          <w:color w:val="auto"/>
          <w:spacing w:val="1"/>
          <w:sz w:val="24"/>
          <w:szCs w:val="24"/>
          <w:highlight w:val="none"/>
        </w:rPr>
        <w:t>：</w:t>
      </w:r>
      <w:r>
        <w:rPr>
          <w:rFonts w:ascii="Times New Roman" w:hAnsi="Times New Roman" w:eastAsia="宋体" w:cs="Times New Roman"/>
          <w:color w:val="auto"/>
          <w:spacing w:val="-8"/>
          <w:sz w:val="24"/>
          <w:szCs w:val="24"/>
          <w:highlight w:val="none"/>
          <w:u w:val="single"/>
          <w:lang w:eastAsia="zh-CN"/>
        </w:rPr>
        <w:t>分部工程验收、单位工程验收、完工验收等</w:t>
      </w:r>
      <w:r>
        <w:rPr>
          <w:rFonts w:ascii="Times New Roman" w:hAnsi="Times New Roman" w:eastAsia="宋体" w:cs="Times New Roman"/>
          <w:color w:val="auto"/>
          <w:spacing w:val="-8"/>
          <w:sz w:val="24"/>
          <w:szCs w:val="24"/>
          <w:highlight w:val="none"/>
          <w:lang w:eastAsia="zh-CN"/>
        </w:rPr>
        <w:t>；</w:t>
      </w:r>
      <w:r>
        <w:rPr>
          <w:rFonts w:ascii="Times New Roman" w:hAnsi="Times New Roman" w:eastAsia="宋体" w:cs="Times New Roman"/>
          <w:color w:val="auto"/>
          <w:spacing w:val="-11"/>
          <w:sz w:val="24"/>
          <w:szCs w:val="24"/>
          <w:highlight w:val="none"/>
          <w:lang w:eastAsia="zh-CN"/>
        </w:rPr>
        <w:t>政府验收包括：</w:t>
      </w:r>
      <w:r>
        <w:rPr>
          <w:rFonts w:ascii="Times New Roman" w:hAnsi="Times New Roman" w:eastAsia="宋体" w:cs="Times New Roman"/>
          <w:color w:val="auto"/>
          <w:spacing w:val="-11"/>
          <w:sz w:val="24"/>
          <w:szCs w:val="24"/>
          <w:highlight w:val="none"/>
          <w:u w:val="single"/>
          <w:lang w:eastAsia="zh-CN"/>
        </w:rPr>
        <w:t>竣工验收</w:t>
      </w:r>
      <w:r>
        <w:rPr>
          <w:rFonts w:hint="eastAsia" w:ascii="Times New Roman" w:hAnsi="Times New Roman" w:eastAsia="宋体" w:cs="Times New Roman"/>
          <w:color w:val="auto"/>
          <w:spacing w:val="-11"/>
          <w:sz w:val="24"/>
          <w:szCs w:val="24"/>
          <w:highlight w:val="none"/>
          <w:u w:val="single"/>
          <w:lang w:eastAsia="zh-CN"/>
        </w:rPr>
        <w:t>等</w:t>
      </w:r>
      <w:r>
        <w:rPr>
          <w:rFonts w:ascii="Times New Roman" w:hAnsi="Times New Roman" w:eastAsia="宋体" w:cs="Times New Roman"/>
          <w:color w:val="auto"/>
          <w:spacing w:val="-11"/>
          <w:sz w:val="24"/>
          <w:szCs w:val="24"/>
          <w:highlight w:val="none"/>
          <w:lang w:eastAsia="zh-CN"/>
        </w:rPr>
        <w:t>。验收条件:</w:t>
      </w:r>
      <w:r>
        <w:rPr>
          <w:rFonts w:ascii="Times New Roman" w:hAnsi="Times New Roman" w:eastAsia="宋体" w:cs="Times New Roman"/>
          <w:color w:val="auto"/>
          <w:spacing w:val="-11"/>
          <w:sz w:val="24"/>
          <w:szCs w:val="24"/>
          <w:highlight w:val="none"/>
          <w:u w:val="single"/>
          <w:lang w:eastAsia="zh-CN"/>
        </w:rPr>
        <w:t>按</w:t>
      </w:r>
      <w:r>
        <w:rPr>
          <w:rFonts w:hint="eastAsia" w:ascii="Times New Roman" w:hAnsi="Times New Roman" w:eastAsia="宋体" w:cs="Times New Roman"/>
          <w:color w:val="auto"/>
          <w:spacing w:val="-11"/>
          <w:sz w:val="24"/>
          <w:szCs w:val="24"/>
          <w:highlight w:val="none"/>
          <w:u w:val="single"/>
          <w:lang w:eastAsia="zh-CN"/>
        </w:rPr>
        <w:t>SL/T 223-2025《水利水电建设工程验收规程》</w:t>
      </w:r>
      <w:r>
        <w:rPr>
          <w:rFonts w:ascii="Times New Roman" w:hAnsi="Times New Roman" w:eastAsia="宋体" w:cs="Times New Roman"/>
          <w:color w:val="auto"/>
          <w:spacing w:val="-11"/>
          <w:sz w:val="24"/>
          <w:szCs w:val="24"/>
          <w:highlight w:val="none"/>
          <w:u w:val="single"/>
          <w:lang w:eastAsia="zh-CN"/>
        </w:rPr>
        <w:t>及浙江省现行有关规定执行</w:t>
      </w:r>
      <w:r>
        <w:rPr>
          <w:rFonts w:ascii="Times New Roman" w:hAnsi="Times New Roman" w:eastAsia="宋体" w:cs="Times New Roman"/>
          <w:color w:val="auto"/>
          <w:spacing w:val="-11"/>
          <w:sz w:val="24"/>
          <w:szCs w:val="24"/>
          <w:highlight w:val="none"/>
          <w:lang w:eastAsia="zh-CN"/>
        </w:rPr>
        <w:t>，验收程序为：</w:t>
      </w:r>
      <w:r>
        <w:rPr>
          <w:rFonts w:ascii="Times New Roman" w:hAnsi="Times New Roman" w:eastAsia="宋体" w:cs="Times New Roman"/>
          <w:color w:val="auto"/>
          <w:spacing w:val="-11"/>
          <w:sz w:val="24"/>
          <w:szCs w:val="24"/>
          <w:highlight w:val="none"/>
          <w:u w:val="single"/>
          <w:lang w:eastAsia="zh-CN"/>
        </w:rPr>
        <w:t>按</w:t>
      </w:r>
      <w:r>
        <w:rPr>
          <w:rFonts w:hint="eastAsia" w:ascii="Times New Roman" w:hAnsi="Times New Roman" w:eastAsia="宋体" w:cs="Times New Roman"/>
          <w:color w:val="auto"/>
          <w:spacing w:val="-11"/>
          <w:sz w:val="24"/>
          <w:szCs w:val="24"/>
          <w:highlight w:val="none"/>
          <w:u w:val="single"/>
          <w:lang w:eastAsia="zh-CN"/>
        </w:rPr>
        <w:t>SL/T 223-2025《水利水电建设工程验收规程》</w:t>
      </w:r>
      <w:r>
        <w:rPr>
          <w:rFonts w:ascii="Times New Roman" w:hAnsi="Times New Roman" w:eastAsia="宋体" w:cs="Times New Roman"/>
          <w:color w:val="auto"/>
          <w:spacing w:val="-11"/>
          <w:sz w:val="24"/>
          <w:szCs w:val="24"/>
          <w:highlight w:val="none"/>
          <w:u w:val="single"/>
          <w:lang w:eastAsia="zh-CN"/>
        </w:rPr>
        <w:t>及浙江省现行有关规定执行</w:t>
      </w:r>
      <w:r>
        <w:rPr>
          <w:rFonts w:ascii="宋体" w:hAnsi="宋体" w:eastAsia="宋体" w:cs="宋体"/>
          <w:color w:val="auto"/>
          <w:spacing w:val="-1"/>
          <w:sz w:val="24"/>
          <w:szCs w:val="24"/>
          <w:highlight w:val="none"/>
        </w:rPr>
        <w:t>。</w:t>
      </w:r>
    </w:p>
    <w:p w14:paraId="65263999">
      <w:pPr>
        <w:spacing w:before="34" w:line="220" w:lineRule="auto"/>
        <w:ind w:left="6"/>
        <w:outlineLvl w:val="2"/>
        <w:rPr>
          <w:rFonts w:ascii="宋体" w:hAnsi="宋体" w:eastAsia="宋体" w:cs="宋体"/>
          <w:color w:val="auto"/>
          <w:sz w:val="24"/>
          <w:szCs w:val="24"/>
          <w:highlight w:val="none"/>
        </w:rPr>
      </w:pPr>
      <w:bookmarkStart w:id="684" w:name="bookmark738"/>
      <w:bookmarkEnd w:id="684"/>
      <w:bookmarkStart w:id="685" w:name="bookmark737"/>
      <w:bookmarkEnd w:id="685"/>
      <w:bookmarkStart w:id="686" w:name="_Toc19724"/>
      <w:bookmarkStart w:id="687" w:name="_Toc15945"/>
      <w:r>
        <w:rPr>
          <w:rFonts w:ascii="Times New Roman" w:hAnsi="Times New Roman" w:eastAsia="Times New Roman" w:cs="Times New Roman"/>
          <w:b/>
          <w:bCs/>
          <w:color w:val="auto"/>
          <w:spacing w:val="-2"/>
          <w:sz w:val="24"/>
          <w:szCs w:val="24"/>
          <w:highlight w:val="none"/>
        </w:rPr>
        <w:t xml:space="preserve">18.2  </w:t>
      </w:r>
      <w:r>
        <w:rPr>
          <w:rFonts w:ascii="宋体" w:hAnsi="宋体" w:eastAsia="宋体" w:cs="宋体"/>
          <w:b/>
          <w:bCs/>
          <w:color w:val="auto"/>
          <w:spacing w:val="-2"/>
          <w:sz w:val="24"/>
          <w:szCs w:val="24"/>
          <w:highlight w:val="none"/>
        </w:rPr>
        <w:t>分部工程验收</w:t>
      </w:r>
      <w:bookmarkEnd w:id="686"/>
      <w:bookmarkEnd w:id="687"/>
    </w:p>
    <w:p w14:paraId="3E2136F9">
      <w:pPr>
        <w:spacing w:before="179" w:line="347" w:lineRule="auto"/>
        <w:ind w:left="2" w:right="1" w:firstLine="486"/>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18.2.2  </w:t>
      </w:r>
      <w:r>
        <w:rPr>
          <w:rFonts w:ascii="宋体" w:hAnsi="宋体" w:eastAsia="宋体" w:cs="宋体"/>
          <w:color w:val="auto"/>
          <w:spacing w:val="-3"/>
          <w:sz w:val="24"/>
          <w:szCs w:val="24"/>
          <w:highlight w:val="none"/>
        </w:rPr>
        <w:t>本工程由监理人主持的分部工程验收在监理合同中约定，其余由发包人主</w:t>
      </w:r>
      <w:r>
        <w:rPr>
          <w:rFonts w:ascii="宋体" w:hAnsi="宋体" w:eastAsia="宋体" w:cs="宋体"/>
          <w:color w:val="auto"/>
          <w:spacing w:val="9"/>
          <w:sz w:val="24"/>
          <w:szCs w:val="24"/>
          <w:highlight w:val="none"/>
        </w:rPr>
        <w:t xml:space="preserve"> </w:t>
      </w:r>
      <w:r>
        <w:rPr>
          <w:rFonts w:ascii="宋体" w:hAnsi="宋体" w:eastAsia="宋体" w:cs="宋体"/>
          <w:color w:val="auto"/>
          <w:spacing w:val="-12"/>
          <w:sz w:val="24"/>
          <w:szCs w:val="24"/>
          <w:highlight w:val="none"/>
        </w:rPr>
        <w:t>持。</w:t>
      </w:r>
    </w:p>
    <w:p w14:paraId="6BD44B85">
      <w:pPr>
        <w:spacing w:before="32" w:line="220" w:lineRule="auto"/>
        <w:ind w:left="6"/>
        <w:outlineLvl w:val="2"/>
        <w:rPr>
          <w:rFonts w:ascii="宋体" w:hAnsi="宋体" w:eastAsia="宋体" w:cs="宋体"/>
          <w:color w:val="auto"/>
          <w:sz w:val="24"/>
          <w:szCs w:val="24"/>
          <w:highlight w:val="none"/>
        </w:rPr>
      </w:pPr>
      <w:bookmarkStart w:id="688" w:name="bookmark739"/>
      <w:bookmarkEnd w:id="688"/>
      <w:bookmarkStart w:id="689" w:name="bookmark740"/>
      <w:bookmarkEnd w:id="689"/>
      <w:bookmarkStart w:id="690" w:name="_Toc5162"/>
      <w:bookmarkStart w:id="691" w:name="_Toc5841"/>
      <w:r>
        <w:rPr>
          <w:rFonts w:ascii="Times New Roman" w:hAnsi="Times New Roman" w:eastAsia="Times New Roman" w:cs="Times New Roman"/>
          <w:b/>
          <w:bCs/>
          <w:color w:val="auto"/>
          <w:spacing w:val="-2"/>
          <w:sz w:val="24"/>
          <w:szCs w:val="24"/>
          <w:highlight w:val="none"/>
        </w:rPr>
        <w:t xml:space="preserve">18.3  </w:t>
      </w:r>
      <w:r>
        <w:rPr>
          <w:rFonts w:ascii="宋体" w:hAnsi="宋体" w:eastAsia="宋体" w:cs="宋体"/>
          <w:b/>
          <w:bCs/>
          <w:color w:val="auto"/>
          <w:spacing w:val="-2"/>
          <w:sz w:val="24"/>
          <w:szCs w:val="24"/>
          <w:highlight w:val="none"/>
        </w:rPr>
        <w:t>单位工程验收</w:t>
      </w:r>
      <w:bookmarkEnd w:id="690"/>
      <w:bookmarkEnd w:id="691"/>
    </w:p>
    <w:p w14:paraId="402EB556">
      <w:pPr>
        <w:spacing w:before="182" w:line="220"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18.3.4  </w:t>
      </w:r>
      <w:r>
        <w:rPr>
          <w:rFonts w:ascii="宋体" w:hAnsi="宋体" w:eastAsia="宋体" w:cs="宋体"/>
          <w:color w:val="auto"/>
          <w:spacing w:val="-2"/>
          <w:sz w:val="24"/>
          <w:szCs w:val="24"/>
          <w:highlight w:val="none"/>
        </w:rPr>
        <w:t>提前投入使用的单位工程包括：</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84"/>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3"/>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449D0B0A">
      <w:pPr>
        <w:spacing w:before="179" w:line="220" w:lineRule="auto"/>
        <w:ind w:left="6"/>
        <w:outlineLvl w:val="2"/>
        <w:rPr>
          <w:rFonts w:ascii="宋体" w:hAnsi="宋体" w:eastAsia="宋体" w:cs="宋体"/>
          <w:color w:val="auto"/>
          <w:sz w:val="24"/>
          <w:szCs w:val="24"/>
          <w:highlight w:val="none"/>
        </w:rPr>
      </w:pPr>
      <w:bookmarkStart w:id="692" w:name="bookmark741"/>
      <w:bookmarkEnd w:id="692"/>
      <w:bookmarkStart w:id="693" w:name="bookmark742"/>
      <w:bookmarkEnd w:id="693"/>
      <w:bookmarkStart w:id="694" w:name="_Toc9354"/>
      <w:bookmarkStart w:id="695" w:name="_Toc27781"/>
      <w:r>
        <w:rPr>
          <w:rFonts w:ascii="Times New Roman" w:hAnsi="Times New Roman" w:eastAsia="Times New Roman" w:cs="Times New Roman"/>
          <w:b/>
          <w:bCs/>
          <w:color w:val="auto"/>
          <w:spacing w:val="-6"/>
          <w:sz w:val="24"/>
          <w:szCs w:val="24"/>
          <w:highlight w:val="none"/>
        </w:rPr>
        <w:t>18.5</w:t>
      </w:r>
      <w:r>
        <w:rPr>
          <w:rFonts w:ascii="Times New Roman" w:hAnsi="Times New Roman" w:eastAsia="Times New Roman" w:cs="Times New Roman"/>
          <w:b/>
          <w:bCs/>
          <w:color w:val="auto"/>
          <w:spacing w:val="12"/>
          <w:sz w:val="24"/>
          <w:szCs w:val="24"/>
          <w:highlight w:val="none"/>
        </w:rPr>
        <w:t xml:space="preserve">  </w:t>
      </w:r>
      <w:r>
        <w:rPr>
          <w:rFonts w:ascii="宋体" w:hAnsi="宋体" w:eastAsia="宋体" w:cs="宋体"/>
          <w:b/>
          <w:bCs/>
          <w:color w:val="auto"/>
          <w:spacing w:val="-6"/>
          <w:sz w:val="24"/>
          <w:szCs w:val="24"/>
          <w:highlight w:val="none"/>
        </w:rPr>
        <w:t>阶段验收</w:t>
      </w:r>
      <w:bookmarkEnd w:id="694"/>
      <w:bookmarkEnd w:id="695"/>
    </w:p>
    <w:p w14:paraId="67AC10C1">
      <w:pPr>
        <w:spacing w:before="183" w:line="219"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18.5.1  </w:t>
      </w:r>
      <w:r>
        <w:rPr>
          <w:rFonts w:ascii="宋体" w:hAnsi="宋体" w:eastAsia="宋体" w:cs="宋体"/>
          <w:color w:val="auto"/>
          <w:spacing w:val="-2"/>
          <w:sz w:val="24"/>
          <w:szCs w:val="24"/>
          <w:highlight w:val="none"/>
        </w:rPr>
        <w:t>本合同工程阶段验收类别包括：</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84"/>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3"/>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2F65BA06">
      <w:pPr>
        <w:spacing w:before="180" w:line="220" w:lineRule="auto"/>
        <w:ind w:left="6"/>
        <w:outlineLvl w:val="2"/>
        <w:rPr>
          <w:rFonts w:ascii="宋体" w:hAnsi="宋体" w:eastAsia="宋体" w:cs="宋体"/>
          <w:color w:val="auto"/>
          <w:sz w:val="24"/>
          <w:szCs w:val="24"/>
          <w:highlight w:val="none"/>
        </w:rPr>
      </w:pPr>
      <w:bookmarkStart w:id="696" w:name="bookmark743"/>
      <w:bookmarkEnd w:id="696"/>
      <w:bookmarkStart w:id="697" w:name="bookmark744"/>
      <w:bookmarkEnd w:id="697"/>
      <w:bookmarkStart w:id="698" w:name="_Toc19794"/>
      <w:bookmarkStart w:id="699" w:name="_Toc11089"/>
      <w:r>
        <w:rPr>
          <w:rFonts w:ascii="Times New Roman" w:hAnsi="Times New Roman" w:eastAsia="Times New Roman" w:cs="Times New Roman"/>
          <w:b/>
          <w:bCs/>
          <w:color w:val="auto"/>
          <w:spacing w:val="-3"/>
          <w:sz w:val="24"/>
          <w:szCs w:val="24"/>
          <w:highlight w:val="none"/>
        </w:rPr>
        <w:t xml:space="preserve">18.6  </w:t>
      </w:r>
      <w:r>
        <w:rPr>
          <w:rFonts w:ascii="宋体" w:hAnsi="宋体" w:eastAsia="宋体" w:cs="宋体"/>
          <w:b/>
          <w:bCs/>
          <w:color w:val="auto"/>
          <w:spacing w:val="-3"/>
          <w:sz w:val="24"/>
          <w:szCs w:val="24"/>
          <w:highlight w:val="none"/>
        </w:rPr>
        <w:t>专项验收</w:t>
      </w:r>
      <w:bookmarkEnd w:id="698"/>
      <w:bookmarkEnd w:id="699"/>
    </w:p>
    <w:p w14:paraId="1BC541E3">
      <w:pPr>
        <w:spacing w:before="182" w:line="219"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18.6.2  </w:t>
      </w:r>
      <w:r>
        <w:rPr>
          <w:rFonts w:ascii="宋体" w:hAnsi="宋体" w:eastAsia="宋体" w:cs="宋体"/>
          <w:color w:val="auto"/>
          <w:spacing w:val="-2"/>
          <w:sz w:val="24"/>
          <w:szCs w:val="24"/>
          <w:highlight w:val="none"/>
        </w:rPr>
        <w:t>本合同工程专项验收类别包括：</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84"/>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3"/>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4E2B3A79">
      <w:pPr>
        <w:spacing w:before="181" w:line="220" w:lineRule="auto"/>
        <w:ind w:left="6"/>
        <w:outlineLvl w:val="2"/>
        <w:rPr>
          <w:rFonts w:ascii="宋体" w:hAnsi="宋体" w:eastAsia="宋体" w:cs="宋体"/>
          <w:color w:val="auto"/>
          <w:sz w:val="24"/>
          <w:szCs w:val="24"/>
          <w:highlight w:val="none"/>
        </w:rPr>
      </w:pPr>
      <w:bookmarkStart w:id="700" w:name="bookmark745"/>
      <w:bookmarkEnd w:id="700"/>
      <w:bookmarkStart w:id="701" w:name="bookmark746"/>
      <w:bookmarkEnd w:id="701"/>
      <w:bookmarkStart w:id="702" w:name="_Toc25974"/>
      <w:bookmarkStart w:id="703" w:name="_Toc21598"/>
      <w:r>
        <w:rPr>
          <w:rFonts w:ascii="Times New Roman" w:hAnsi="Times New Roman" w:eastAsia="Times New Roman" w:cs="Times New Roman"/>
          <w:b/>
          <w:bCs/>
          <w:color w:val="auto"/>
          <w:spacing w:val="-3"/>
          <w:sz w:val="24"/>
          <w:szCs w:val="24"/>
          <w:highlight w:val="none"/>
        </w:rPr>
        <w:t xml:space="preserve">18.7  </w:t>
      </w:r>
      <w:r>
        <w:rPr>
          <w:rFonts w:ascii="宋体" w:hAnsi="宋体" w:eastAsia="宋体" w:cs="宋体"/>
          <w:b/>
          <w:bCs/>
          <w:color w:val="auto"/>
          <w:spacing w:val="-3"/>
          <w:sz w:val="24"/>
          <w:szCs w:val="24"/>
          <w:highlight w:val="none"/>
        </w:rPr>
        <w:t>竣工验收</w:t>
      </w:r>
      <w:bookmarkEnd w:id="702"/>
      <w:bookmarkEnd w:id="703"/>
    </w:p>
    <w:p w14:paraId="3A654A0C">
      <w:pPr>
        <w:spacing w:before="182" w:line="219" w:lineRule="auto"/>
        <w:ind w:left="488"/>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18.7.3  </w:t>
      </w:r>
      <w:r>
        <w:rPr>
          <w:rFonts w:ascii="宋体" w:hAnsi="宋体" w:eastAsia="宋体" w:cs="宋体"/>
          <w:color w:val="auto"/>
          <w:spacing w:val="-1"/>
          <w:sz w:val="24"/>
          <w:szCs w:val="24"/>
          <w:highlight w:val="none"/>
        </w:rPr>
        <w:t>本</w:t>
      </w:r>
      <w:r>
        <w:rPr>
          <w:rFonts w:ascii="宋体" w:hAnsi="宋体" w:eastAsia="宋体" w:cs="宋体"/>
          <w:color w:val="auto"/>
          <w:spacing w:val="-2"/>
          <w:sz w:val="24"/>
          <w:szCs w:val="24"/>
          <w:highlight w:val="none"/>
        </w:rPr>
        <w:t>工程</w:t>
      </w:r>
      <w:r>
        <w:rPr>
          <w:rFonts w:ascii="宋体" w:hAnsi="宋体" w:eastAsia="宋体" w:cs="宋体"/>
          <w:color w:val="auto"/>
          <w:spacing w:val="-1"/>
          <w:sz w:val="24"/>
          <w:szCs w:val="24"/>
          <w:highlight w:val="none"/>
          <w:u w:val="single" w:color="auto"/>
        </w:rPr>
        <w:t xml:space="preserve">   </w:t>
      </w:r>
      <w:r>
        <w:rPr>
          <w:rFonts w:ascii="Times New Roman" w:hAnsi="Times New Roman" w:eastAsia="宋体" w:cs="Times New Roman"/>
          <w:b/>
          <w:bCs/>
          <w:color w:val="auto"/>
          <w:spacing w:val="-3"/>
          <w:sz w:val="24"/>
          <w:szCs w:val="24"/>
          <w:highlight w:val="none"/>
          <w:u w:val="single"/>
          <w:lang w:eastAsia="zh-CN"/>
        </w:rPr>
        <w:t>不需要</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竣工验收技术鉴定（蓄水安全鉴定）。</w:t>
      </w:r>
    </w:p>
    <w:p w14:paraId="79B4CD92">
      <w:pPr>
        <w:spacing w:before="183" w:line="220" w:lineRule="auto"/>
        <w:ind w:left="10"/>
        <w:outlineLvl w:val="2"/>
        <w:rPr>
          <w:rFonts w:ascii="宋体" w:hAnsi="宋体" w:eastAsia="宋体" w:cs="宋体"/>
          <w:color w:val="auto"/>
          <w:sz w:val="24"/>
          <w:szCs w:val="24"/>
          <w:highlight w:val="none"/>
        </w:rPr>
      </w:pPr>
      <w:bookmarkStart w:id="704" w:name="bookmark748"/>
      <w:bookmarkEnd w:id="704"/>
      <w:bookmarkStart w:id="705" w:name="bookmark747"/>
      <w:bookmarkEnd w:id="705"/>
      <w:bookmarkStart w:id="706" w:name="_Toc10510"/>
      <w:bookmarkStart w:id="707" w:name="_Toc5460"/>
      <w:r>
        <w:rPr>
          <w:rFonts w:ascii="Times New Roman" w:hAnsi="Times New Roman" w:eastAsia="Times New Roman" w:cs="Times New Roman"/>
          <w:b/>
          <w:bCs/>
          <w:color w:val="auto"/>
          <w:spacing w:val="-3"/>
          <w:sz w:val="24"/>
          <w:szCs w:val="24"/>
          <w:highlight w:val="none"/>
        </w:rPr>
        <w:t xml:space="preserve">18.8  </w:t>
      </w:r>
      <w:r>
        <w:rPr>
          <w:rFonts w:ascii="宋体" w:hAnsi="宋体" w:eastAsia="宋体" w:cs="宋体"/>
          <w:b/>
          <w:bCs/>
          <w:color w:val="auto"/>
          <w:spacing w:val="-3"/>
          <w:sz w:val="24"/>
          <w:szCs w:val="24"/>
          <w:highlight w:val="none"/>
        </w:rPr>
        <w:t>施工期运行</w:t>
      </w:r>
      <w:bookmarkEnd w:id="706"/>
      <w:bookmarkEnd w:id="707"/>
    </w:p>
    <w:p w14:paraId="7BD061B0">
      <w:pPr>
        <w:spacing w:before="179" w:line="220" w:lineRule="auto"/>
        <w:ind w:left="49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18.8.1  </w:t>
      </w:r>
      <w:r>
        <w:rPr>
          <w:rFonts w:ascii="宋体" w:hAnsi="宋体" w:eastAsia="宋体" w:cs="宋体"/>
          <w:color w:val="auto"/>
          <w:spacing w:val="-1"/>
          <w:sz w:val="24"/>
          <w:szCs w:val="24"/>
          <w:highlight w:val="none"/>
        </w:rPr>
        <w:t>需要在施工期运行的单位工程或</w:t>
      </w:r>
      <w:r>
        <w:rPr>
          <w:rFonts w:ascii="宋体" w:hAnsi="宋体" w:eastAsia="宋体" w:cs="宋体"/>
          <w:color w:val="auto"/>
          <w:spacing w:val="-2"/>
          <w:sz w:val="24"/>
          <w:szCs w:val="24"/>
          <w:highlight w:val="none"/>
        </w:rPr>
        <w:t>工程设备为：</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color w:val="auto"/>
          <w:spacing w:val="-2"/>
          <w:sz w:val="24"/>
          <w:szCs w:val="24"/>
          <w:highlight w:val="none"/>
          <w:u w:val="single" w:color="auto"/>
          <w:lang w:val="en-US" w:eastAsia="zh-CN"/>
        </w:rPr>
        <w:t>/</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0E30CE39">
      <w:pPr>
        <w:spacing w:before="182" w:line="220" w:lineRule="auto"/>
        <w:ind w:left="10"/>
        <w:outlineLvl w:val="2"/>
        <w:rPr>
          <w:rFonts w:ascii="宋体" w:hAnsi="宋体" w:eastAsia="宋体" w:cs="宋体"/>
          <w:color w:val="auto"/>
          <w:sz w:val="24"/>
          <w:szCs w:val="24"/>
          <w:highlight w:val="none"/>
        </w:rPr>
      </w:pPr>
      <w:bookmarkStart w:id="708" w:name="bookmark750"/>
      <w:bookmarkEnd w:id="708"/>
      <w:bookmarkStart w:id="709" w:name="bookmark749"/>
      <w:bookmarkEnd w:id="709"/>
      <w:bookmarkStart w:id="710" w:name="_Toc6354"/>
      <w:bookmarkStart w:id="711" w:name="_Toc12258"/>
      <w:r>
        <w:rPr>
          <w:rFonts w:ascii="Times New Roman" w:hAnsi="Times New Roman" w:eastAsia="Times New Roman" w:cs="Times New Roman"/>
          <w:b/>
          <w:bCs/>
          <w:color w:val="auto"/>
          <w:spacing w:val="-5"/>
          <w:sz w:val="24"/>
          <w:szCs w:val="24"/>
          <w:highlight w:val="none"/>
        </w:rPr>
        <w:t>18.9</w:t>
      </w:r>
      <w:r>
        <w:rPr>
          <w:rFonts w:ascii="Times New Roman" w:hAnsi="Times New Roman" w:eastAsia="Times New Roman" w:cs="Times New Roman"/>
          <w:b/>
          <w:bCs/>
          <w:color w:val="auto"/>
          <w:spacing w:val="6"/>
          <w:sz w:val="24"/>
          <w:szCs w:val="24"/>
          <w:highlight w:val="none"/>
        </w:rPr>
        <w:t xml:space="preserve">  </w:t>
      </w:r>
      <w:r>
        <w:rPr>
          <w:rFonts w:ascii="宋体" w:hAnsi="宋体" w:eastAsia="宋体" w:cs="宋体"/>
          <w:b/>
          <w:bCs/>
          <w:color w:val="auto"/>
          <w:spacing w:val="-5"/>
          <w:sz w:val="24"/>
          <w:szCs w:val="24"/>
          <w:highlight w:val="none"/>
        </w:rPr>
        <w:t>试运行</w:t>
      </w:r>
      <w:bookmarkEnd w:id="710"/>
      <w:bookmarkEnd w:id="711"/>
    </w:p>
    <w:p w14:paraId="14B9F18A">
      <w:pPr>
        <w:spacing w:before="178" w:line="220" w:lineRule="auto"/>
        <w:ind w:left="49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18.9.1  </w:t>
      </w:r>
      <w:r>
        <w:rPr>
          <w:rFonts w:ascii="宋体" w:hAnsi="宋体" w:eastAsia="宋体" w:cs="宋体"/>
          <w:color w:val="auto"/>
          <w:spacing w:val="-1"/>
          <w:sz w:val="24"/>
          <w:szCs w:val="24"/>
          <w:highlight w:val="none"/>
        </w:rPr>
        <w:t>试运行的组织</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hint="eastAsia" w:ascii="宋体" w:hAnsi="宋体" w:eastAsia="宋体" w:cs="宋体"/>
          <w:b/>
          <w:bCs/>
          <w:snapToGrid/>
          <w:color w:val="auto"/>
          <w:kern w:val="0"/>
          <w:sz w:val="24"/>
          <w:szCs w:val="24"/>
          <w:highlight w:val="none"/>
          <w:u w:val="single"/>
          <w:lang w:val="en-US" w:eastAsia="zh-CN"/>
        </w:rPr>
        <w:t>承包人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1"/>
          <w:sz w:val="24"/>
          <w:szCs w:val="24"/>
          <w:highlight w:val="none"/>
        </w:rPr>
        <w:t>费用承担：</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b/>
          <w:bCs/>
          <w:snapToGrid/>
          <w:color w:val="auto"/>
          <w:kern w:val="0"/>
          <w:sz w:val="24"/>
          <w:szCs w:val="24"/>
          <w:highlight w:val="none"/>
          <w:u w:val="single"/>
          <w:lang w:val="en-US" w:eastAsia="zh-CN"/>
        </w:rPr>
        <w:t>承包人</w:t>
      </w:r>
      <w:r>
        <w:rPr>
          <w:rFonts w:ascii="宋体" w:hAnsi="宋体" w:eastAsia="宋体" w:cs="宋体"/>
          <w:color w:val="auto"/>
          <w:spacing w:val="-1"/>
          <w:sz w:val="24"/>
          <w:szCs w:val="24"/>
          <w:highlight w:val="none"/>
        </w:rPr>
        <w:t>。</w:t>
      </w:r>
    </w:p>
    <w:p w14:paraId="1BA6050C">
      <w:pPr>
        <w:spacing w:before="309" w:line="220" w:lineRule="auto"/>
        <w:ind w:left="12"/>
        <w:outlineLvl w:val="1"/>
        <w:rPr>
          <w:rFonts w:ascii="宋体" w:hAnsi="宋体" w:eastAsia="宋体" w:cs="宋体"/>
          <w:color w:val="auto"/>
          <w:sz w:val="28"/>
          <w:szCs w:val="28"/>
          <w:highlight w:val="none"/>
        </w:rPr>
      </w:pPr>
      <w:bookmarkStart w:id="712" w:name="bookmark751"/>
      <w:bookmarkEnd w:id="712"/>
      <w:bookmarkStart w:id="713" w:name="bookmark752"/>
      <w:bookmarkEnd w:id="713"/>
      <w:bookmarkStart w:id="714" w:name="bookmark754"/>
      <w:bookmarkEnd w:id="714"/>
      <w:bookmarkStart w:id="715" w:name="_Toc8486"/>
      <w:bookmarkStart w:id="716" w:name="_Toc28541"/>
      <w:r>
        <w:rPr>
          <w:rFonts w:ascii="Times New Roman" w:hAnsi="Times New Roman" w:eastAsia="Times New Roman" w:cs="Times New Roman"/>
          <w:b/>
          <w:bCs/>
          <w:color w:val="auto"/>
          <w:spacing w:val="-3"/>
          <w:sz w:val="28"/>
          <w:szCs w:val="28"/>
          <w:highlight w:val="none"/>
        </w:rPr>
        <w:t xml:space="preserve">19  </w:t>
      </w:r>
      <w:r>
        <w:rPr>
          <w:rFonts w:ascii="宋体" w:hAnsi="宋体" w:eastAsia="宋体" w:cs="宋体"/>
          <w:b/>
          <w:bCs/>
          <w:color w:val="auto"/>
          <w:spacing w:val="-3"/>
          <w:sz w:val="28"/>
          <w:szCs w:val="28"/>
          <w:highlight w:val="none"/>
        </w:rPr>
        <w:t>缺陷责任与保修责任</w:t>
      </w:r>
      <w:bookmarkEnd w:id="715"/>
      <w:bookmarkEnd w:id="716"/>
    </w:p>
    <w:p w14:paraId="5667531D">
      <w:pPr>
        <w:pStyle w:val="3"/>
        <w:spacing w:line="245" w:lineRule="auto"/>
        <w:rPr>
          <w:color w:val="auto"/>
          <w:highlight w:val="none"/>
        </w:rPr>
      </w:pPr>
    </w:p>
    <w:p w14:paraId="3A11887F">
      <w:pPr>
        <w:spacing w:before="78" w:line="220" w:lineRule="auto"/>
        <w:ind w:left="10"/>
        <w:outlineLvl w:val="2"/>
        <w:rPr>
          <w:rFonts w:ascii="宋体" w:hAnsi="宋体" w:eastAsia="宋体" w:cs="宋体"/>
          <w:color w:val="auto"/>
          <w:sz w:val="24"/>
          <w:szCs w:val="24"/>
          <w:highlight w:val="none"/>
        </w:rPr>
      </w:pPr>
      <w:bookmarkStart w:id="717" w:name="bookmark753"/>
      <w:bookmarkEnd w:id="717"/>
      <w:bookmarkStart w:id="718" w:name="_Toc24048"/>
      <w:bookmarkStart w:id="719" w:name="_Toc6549"/>
      <w:r>
        <w:rPr>
          <w:rFonts w:ascii="Times New Roman" w:hAnsi="Times New Roman" w:eastAsia="Times New Roman" w:cs="Times New Roman"/>
          <w:b/>
          <w:bCs/>
          <w:color w:val="auto"/>
          <w:spacing w:val="-2"/>
          <w:sz w:val="24"/>
          <w:szCs w:val="24"/>
          <w:highlight w:val="none"/>
        </w:rPr>
        <w:t xml:space="preserve">19.1  </w:t>
      </w:r>
      <w:r>
        <w:rPr>
          <w:rFonts w:ascii="宋体" w:hAnsi="宋体" w:eastAsia="宋体" w:cs="宋体"/>
          <w:b/>
          <w:bCs/>
          <w:color w:val="auto"/>
          <w:spacing w:val="-2"/>
          <w:sz w:val="24"/>
          <w:szCs w:val="24"/>
          <w:highlight w:val="none"/>
        </w:rPr>
        <w:t>缺陷责任期（工程质量保修期）的起算时间</w:t>
      </w:r>
      <w:bookmarkEnd w:id="718"/>
      <w:bookmarkEnd w:id="719"/>
    </w:p>
    <w:p w14:paraId="0DB853CD">
      <w:pPr>
        <w:spacing w:before="180" w:line="219" w:lineRule="auto"/>
        <w:ind w:left="4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本工程缺陷责任期（工程质量保修期）为</w:t>
      </w:r>
      <w:r>
        <w:rPr>
          <w:rFonts w:ascii="宋体" w:hAnsi="宋体" w:eastAsia="宋体" w:cs="宋体"/>
          <w:color w:val="auto"/>
          <w:spacing w:val="-2"/>
          <w:sz w:val="24"/>
          <w:szCs w:val="24"/>
          <w:highlight w:val="none"/>
          <w:u w:val="single" w:color="auto"/>
        </w:rPr>
        <w:t xml:space="preserve">  </w:t>
      </w:r>
      <w:r>
        <w:rPr>
          <w:rFonts w:hint="eastAsia" w:ascii="Times New Roman" w:hAnsi="Times New Roman" w:eastAsia="宋体" w:cs="Times New Roman"/>
          <w:color w:val="auto"/>
          <w:spacing w:val="-6"/>
          <w:sz w:val="24"/>
          <w:szCs w:val="24"/>
          <w:highlight w:val="none"/>
          <w:u w:val="single"/>
          <w:lang w:eastAsia="zh-CN"/>
        </w:rPr>
        <w:t xml:space="preserve"> 2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96"/>
          <w:sz w:val="24"/>
          <w:szCs w:val="24"/>
          <w:highlight w:val="none"/>
        </w:rPr>
        <w:t xml:space="preserve"> </w:t>
      </w:r>
      <w:r>
        <w:rPr>
          <w:rFonts w:ascii="宋体" w:hAnsi="宋体" w:eastAsia="宋体" w:cs="宋体"/>
          <w:color w:val="auto"/>
          <w:spacing w:val="-2"/>
          <w:sz w:val="24"/>
          <w:szCs w:val="24"/>
          <w:highlight w:val="none"/>
        </w:rPr>
        <w:t>年。</w:t>
      </w:r>
    </w:p>
    <w:p w14:paraId="7486D836">
      <w:pPr>
        <w:spacing w:before="309" w:line="221" w:lineRule="auto"/>
        <w:outlineLvl w:val="1"/>
        <w:rPr>
          <w:rFonts w:ascii="宋体" w:hAnsi="宋体" w:eastAsia="宋体" w:cs="宋体"/>
          <w:color w:val="auto"/>
          <w:sz w:val="28"/>
          <w:szCs w:val="28"/>
          <w:highlight w:val="none"/>
        </w:rPr>
      </w:pPr>
      <w:bookmarkStart w:id="720" w:name="bookmark756"/>
      <w:bookmarkEnd w:id="720"/>
      <w:bookmarkStart w:id="721" w:name="bookmark758"/>
      <w:bookmarkEnd w:id="721"/>
      <w:bookmarkStart w:id="722" w:name="bookmark755"/>
      <w:bookmarkEnd w:id="722"/>
      <w:bookmarkStart w:id="723" w:name="_Toc15278"/>
      <w:bookmarkStart w:id="724" w:name="_Toc28929"/>
      <w:r>
        <w:rPr>
          <w:rFonts w:ascii="Times New Roman" w:hAnsi="Times New Roman" w:eastAsia="Times New Roman" w:cs="Times New Roman"/>
          <w:b/>
          <w:bCs/>
          <w:color w:val="auto"/>
          <w:spacing w:val="-4"/>
          <w:sz w:val="28"/>
          <w:szCs w:val="28"/>
          <w:highlight w:val="none"/>
        </w:rPr>
        <w:t>20</w:t>
      </w:r>
      <w:r>
        <w:rPr>
          <w:rFonts w:ascii="Times New Roman" w:hAnsi="Times New Roman" w:eastAsia="Times New Roman" w:cs="Times New Roman"/>
          <w:b/>
          <w:bCs/>
          <w:color w:val="auto"/>
          <w:spacing w:val="5"/>
          <w:sz w:val="28"/>
          <w:szCs w:val="28"/>
          <w:highlight w:val="none"/>
        </w:rPr>
        <w:t xml:space="preserve">  </w:t>
      </w:r>
      <w:r>
        <w:rPr>
          <w:rFonts w:ascii="宋体" w:hAnsi="宋体" w:eastAsia="宋体" w:cs="宋体"/>
          <w:b/>
          <w:bCs/>
          <w:color w:val="auto"/>
          <w:spacing w:val="-4"/>
          <w:sz w:val="28"/>
          <w:szCs w:val="28"/>
          <w:highlight w:val="none"/>
        </w:rPr>
        <w:t>保险</w:t>
      </w:r>
      <w:bookmarkEnd w:id="723"/>
      <w:bookmarkEnd w:id="724"/>
    </w:p>
    <w:p w14:paraId="218BCE01">
      <w:pPr>
        <w:pStyle w:val="3"/>
        <w:spacing w:line="245" w:lineRule="auto"/>
        <w:rPr>
          <w:color w:val="auto"/>
          <w:highlight w:val="none"/>
        </w:rPr>
      </w:pPr>
    </w:p>
    <w:p w14:paraId="658A7BF1">
      <w:pPr>
        <w:spacing w:before="78" w:line="220" w:lineRule="auto"/>
        <w:outlineLvl w:val="2"/>
        <w:rPr>
          <w:rFonts w:ascii="宋体" w:hAnsi="宋体" w:eastAsia="宋体" w:cs="宋体"/>
          <w:color w:val="auto"/>
          <w:sz w:val="24"/>
          <w:szCs w:val="24"/>
          <w:highlight w:val="none"/>
        </w:rPr>
      </w:pPr>
      <w:bookmarkStart w:id="725" w:name="bookmark757"/>
      <w:bookmarkEnd w:id="725"/>
      <w:bookmarkStart w:id="726" w:name="_Toc26064"/>
      <w:bookmarkStart w:id="727" w:name="_Toc30803"/>
      <w:r>
        <w:rPr>
          <w:rFonts w:ascii="Times New Roman" w:hAnsi="Times New Roman" w:eastAsia="Times New Roman" w:cs="Times New Roman"/>
          <w:b/>
          <w:bCs/>
          <w:color w:val="auto"/>
          <w:spacing w:val="-2"/>
          <w:sz w:val="24"/>
          <w:szCs w:val="24"/>
          <w:highlight w:val="none"/>
        </w:rPr>
        <w:t xml:space="preserve">20.1  </w:t>
      </w:r>
      <w:r>
        <w:rPr>
          <w:rFonts w:ascii="宋体" w:hAnsi="宋体" w:eastAsia="宋体" w:cs="宋体"/>
          <w:b/>
          <w:bCs/>
          <w:color w:val="auto"/>
          <w:spacing w:val="-2"/>
          <w:sz w:val="24"/>
          <w:szCs w:val="24"/>
          <w:highlight w:val="none"/>
        </w:rPr>
        <w:t>建筑安装工程保险</w:t>
      </w:r>
      <w:bookmarkEnd w:id="726"/>
      <w:bookmarkEnd w:id="727"/>
    </w:p>
    <w:p w14:paraId="3D32BAC1">
      <w:pPr>
        <w:widowControl w:val="0"/>
        <w:kinsoku/>
        <w:autoSpaceDE/>
        <w:autoSpaceDN/>
        <w:snapToGrid/>
        <w:spacing w:line="360" w:lineRule="auto"/>
        <w:ind w:firstLine="476" w:firstLineChars="200"/>
        <w:jc w:val="both"/>
        <w:rPr>
          <w:rFonts w:ascii="宋体" w:hAnsi="宋体" w:eastAsia="宋体" w:cs="宋体"/>
          <w:color w:val="auto"/>
          <w:spacing w:val="-2"/>
          <w:sz w:val="24"/>
          <w:szCs w:val="24"/>
          <w:highlight w:val="none"/>
        </w:rPr>
      </w:pPr>
      <w:r>
        <w:rPr>
          <w:rFonts w:ascii="宋体" w:hAnsi="宋体" w:eastAsia="宋体" w:cs="宋体"/>
          <w:color w:val="auto"/>
          <w:spacing w:val="-1"/>
          <w:sz w:val="24"/>
          <w:szCs w:val="24"/>
          <w:highlight w:val="none"/>
        </w:rPr>
        <w:t>建筑工程一切险和（或）安装工程一切险投保人</w:t>
      </w:r>
      <w:r>
        <w:rPr>
          <w:rFonts w:ascii="宋体" w:hAnsi="宋体" w:eastAsia="宋体" w:cs="宋体"/>
          <w:color w:val="auto"/>
          <w:spacing w:val="-2"/>
          <w:sz w:val="24"/>
          <w:szCs w:val="24"/>
          <w:highlight w:val="none"/>
        </w:rPr>
        <w:t>：</w:t>
      </w:r>
      <w:r>
        <w:rPr>
          <w:rFonts w:ascii="宋体" w:hAnsi="宋体" w:eastAsia="宋体" w:cs="宋体"/>
          <w:color w:val="auto"/>
          <w:spacing w:val="-2"/>
          <w:sz w:val="24"/>
          <w:szCs w:val="24"/>
          <w:highlight w:val="none"/>
          <w:u w:val="single" w:color="auto"/>
        </w:rPr>
        <w:t xml:space="preserve">  </w:t>
      </w:r>
      <w:r>
        <w:rPr>
          <w:rFonts w:hint="eastAsia" w:ascii="宋体" w:hAnsi="宋体" w:eastAsia="宋体" w:cs="宋体"/>
          <w:b/>
          <w:bCs/>
          <w:snapToGrid/>
          <w:color w:val="auto"/>
          <w:sz w:val="24"/>
          <w:szCs w:val="24"/>
          <w:highlight w:val="none"/>
          <w:u w:val="single"/>
          <w:lang w:eastAsia="zh-CN"/>
        </w:rPr>
        <w:t>由承包人以发包人和承包人共同的名义投保</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p>
    <w:p w14:paraId="693E8DD1">
      <w:pPr>
        <w:widowControl w:val="0"/>
        <w:kinsoku/>
        <w:autoSpaceDE/>
        <w:autoSpaceDN/>
        <w:snapToGrid/>
        <w:spacing w:line="360" w:lineRule="auto"/>
        <w:ind w:firstLine="480" w:firstLineChars="200"/>
        <w:jc w:val="both"/>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投保内容：</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b/>
          <w:bCs/>
          <w:snapToGrid/>
          <w:color w:val="auto"/>
          <w:sz w:val="24"/>
          <w:szCs w:val="24"/>
          <w:highlight w:val="none"/>
          <w:u w:val="single"/>
          <w:lang w:eastAsia="zh-CN"/>
        </w:rPr>
        <w:t>为本合同工程的永久工程、临时工程和设备及已运至施工工地用于永久工程的材料和设备</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05316538">
      <w:pPr>
        <w:spacing w:before="32" w:line="360" w:lineRule="auto"/>
        <w:ind w:firstLine="480" w:firstLineChars="200"/>
        <w:rPr>
          <w:rFonts w:ascii="宋体" w:hAnsi="宋体" w:eastAsia="宋体" w:cs="宋体"/>
          <w:color w:val="auto"/>
          <w:sz w:val="24"/>
          <w:szCs w:val="24"/>
          <w:highlight w:val="none"/>
        </w:rPr>
      </w:pPr>
      <w:r>
        <w:rPr>
          <w:rFonts w:ascii="宋体" w:hAnsi="宋体" w:eastAsia="宋体" w:cs="宋体"/>
          <w:color w:val="auto"/>
          <w:sz w:val="24"/>
          <w:szCs w:val="24"/>
          <w:highlight w:val="none"/>
        </w:rPr>
        <w:t>保险金额、保险费率和保险期限：</w:t>
      </w:r>
      <w:r>
        <w:rPr>
          <w:rFonts w:hint="eastAsia" w:ascii="宋体" w:hAnsi="宋体" w:eastAsia="宋体" w:cs="宋体"/>
          <w:b/>
          <w:bCs/>
          <w:snapToGrid/>
          <w:color w:val="auto"/>
          <w:kern w:val="0"/>
          <w:sz w:val="24"/>
          <w:szCs w:val="24"/>
          <w:highlight w:val="none"/>
          <w:u w:val="single"/>
          <w:lang w:val="en-US" w:eastAsia="zh-CN"/>
        </w:rPr>
        <w:t>保险金额按投保内容自行考虑报价，保险费率不低于4.5‰，保险期限开工日起直至本合同工程签发缺陷责任终止证书止（即合同工期＋缺陷责任期）</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2179BA05">
      <w:pPr>
        <w:spacing w:before="182" w:line="220" w:lineRule="auto"/>
        <w:outlineLvl w:val="2"/>
        <w:rPr>
          <w:rFonts w:ascii="宋体" w:hAnsi="宋体" w:eastAsia="宋体" w:cs="宋体"/>
          <w:color w:val="auto"/>
          <w:sz w:val="24"/>
          <w:szCs w:val="24"/>
          <w:highlight w:val="none"/>
        </w:rPr>
      </w:pPr>
      <w:bookmarkStart w:id="728" w:name="bookmark760"/>
      <w:bookmarkEnd w:id="728"/>
      <w:bookmarkStart w:id="729" w:name="bookmark759"/>
      <w:bookmarkEnd w:id="729"/>
      <w:bookmarkStart w:id="730" w:name="_Toc24135"/>
      <w:bookmarkStart w:id="731" w:name="_Toc19857"/>
      <w:r>
        <w:rPr>
          <w:rFonts w:ascii="Times New Roman" w:hAnsi="Times New Roman" w:eastAsia="Times New Roman" w:cs="Times New Roman"/>
          <w:b/>
          <w:bCs/>
          <w:color w:val="auto"/>
          <w:spacing w:val="-2"/>
          <w:sz w:val="24"/>
          <w:szCs w:val="24"/>
          <w:highlight w:val="none"/>
        </w:rPr>
        <w:t xml:space="preserve">20.4  </w:t>
      </w:r>
      <w:r>
        <w:rPr>
          <w:rFonts w:ascii="宋体" w:hAnsi="宋体" w:eastAsia="宋体" w:cs="宋体"/>
          <w:b/>
          <w:bCs/>
          <w:color w:val="auto"/>
          <w:spacing w:val="-2"/>
          <w:sz w:val="24"/>
          <w:szCs w:val="24"/>
          <w:highlight w:val="none"/>
        </w:rPr>
        <w:t>安全生产责任保险</w:t>
      </w:r>
      <w:bookmarkEnd w:id="730"/>
      <w:bookmarkEnd w:id="731"/>
    </w:p>
    <w:p w14:paraId="28E5560F">
      <w:pPr>
        <w:spacing w:before="180" w:line="220" w:lineRule="auto"/>
        <w:ind w:left="48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安全生产责任保险投保人：</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color w:val="auto"/>
          <w:spacing w:val="-1"/>
          <w:sz w:val="24"/>
          <w:szCs w:val="24"/>
          <w:highlight w:val="none"/>
          <w:u w:val="single" w:color="auto"/>
        </w:rPr>
        <w:t>由承包人以发包人和承包人共同的名义投保</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034566A8">
      <w:pPr>
        <w:spacing w:before="182" w:line="220" w:lineRule="auto"/>
        <w:ind w:firstLine="476" w:firstLineChars="20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投保内容：</w:t>
      </w:r>
      <w:r>
        <w:rPr>
          <w:rFonts w:hint="eastAsia" w:ascii="宋体" w:hAnsi="宋体" w:eastAsia="宋体" w:cs="宋体"/>
          <w:color w:val="auto"/>
          <w:spacing w:val="-1"/>
          <w:sz w:val="24"/>
          <w:szCs w:val="24"/>
          <w:highlight w:val="none"/>
          <w:u w:val="single" w:color="auto"/>
        </w:rPr>
        <w:t>为本合同工程的永久工程、临时工程和设备及已运至施工工地用于永久工程的材料和设备</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556AB112">
      <w:pPr>
        <w:spacing w:before="179" w:line="220" w:lineRule="auto"/>
        <w:ind w:left="484"/>
        <w:rPr>
          <w:rFonts w:ascii="宋体" w:hAnsi="宋体" w:eastAsia="宋体" w:cs="宋体"/>
          <w:color w:val="auto"/>
          <w:sz w:val="24"/>
          <w:szCs w:val="24"/>
          <w:highlight w:val="none"/>
        </w:rPr>
      </w:pPr>
      <w:r>
        <w:rPr>
          <w:rFonts w:ascii="宋体" w:hAnsi="宋体" w:eastAsia="宋体" w:cs="宋体"/>
          <w:color w:val="auto"/>
          <w:sz w:val="24"/>
          <w:szCs w:val="24"/>
          <w:highlight w:val="none"/>
        </w:rPr>
        <w:t>保险金额、保险费率和保险期限：</w:t>
      </w:r>
      <w:r>
        <w:rPr>
          <w:rFonts w:ascii="宋体" w:hAnsi="宋体" w:eastAsia="宋体" w:cs="宋体"/>
          <w:color w:val="auto"/>
          <w:sz w:val="24"/>
          <w:szCs w:val="24"/>
          <w:highlight w:val="none"/>
          <w:u w:val="single" w:color="auto"/>
        </w:rPr>
        <w:t xml:space="preserve"> </w:t>
      </w:r>
      <w:r>
        <w:rPr>
          <w:rFonts w:hint="eastAsia" w:ascii="宋体" w:hAnsi="宋体" w:eastAsia="宋体" w:cs="宋体"/>
          <w:b/>
          <w:bCs/>
          <w:snapToGrid/>
          <w:color w:val="auto"/>
          <w:kern w:val="0"/>
          <w:sz w:val="24"/>
          <w:szCs w:val="24"/>
          <w:highlight w:val="none"/>
          <w:u w:val="single"/>
          <w:lang w:val="en-US" w:eastAsia="zh-CN"/>
        </w:rPr>
        <w:t>由发包人另行确定</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76909786">
      <w:pPr>
        <w:spacing w:before="182" w:line="220" w:lineRule="auto"/>
        <w:ind w:firstLine="476" w:firstLineChars="20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第三者责任险保险金额：</w:t>
      </w:r>
      <w:r>
        <w:rPr>
          <w:rFonts w:hint="eastAsia" w:ascii="宋体" w:hAnsi="宋体" w:eastAsia="宋体" w:cs="宋体"/>
          <w:b/>
          <w:bCs/>
          <w:color w:val="auto"/>
          <w:spacing w:val="-1"/>
          <w:sz w:val="24"/>
          <w:szCs w:val="24"/>
          <w:highlight w:val="none"/>
          <w:u w:val="single" w:color="auto"/>
        </w:rPr>
        <w:t>不低于</w:t>
      </w:r>
      <w:r>
        <w:rPr>
          <w:rFonts w:hint="eastAsia" w:ascii="宋体" w:hAnsi="宋体" w:eastAsia="宋体" w:cs="宋体"/>
          <w:b/>
          <w:bCs/>
          <w:color w:val="auto"/>
          <w:spacing w:val="-1"/>
          <w:sz w:val="24"/>
          <w:szCs w:val="24"/>
          <w:highlight w:val="none"/>
          <w:u w:val="single" w:color="auto"/>
          <w:lang w:val="en-US" w:eastAsia="zh-CN"/>
        </w:rPr>
        <w:t>300</w:t>
      </w:r>
      <w:r>
        <w:rPr>
          <w:rFonts w:hint="eastAsia" w:ascii="宋体" w:hAnsi="宋体" w:eastAsia="宋体" w:cs="宋体"/>
          <w:b/>
          <w:bCs/>
          <w:snapToGrid/>
          <w:color w:val="auto"/>
          <w:kern w:val="0"/>
          <w:sz w:val="24"/>
          <w:szCs w:val="24"/>
          <w:highlight w:val="none"/>
          <w:u w:val="single"/>
          <w:lang w:val="en-US" w:eastAsia="zh-CN"/>
        </w:rPr>
        <w:t>万元/年，事故次数不限（不计免赔额）</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003CAF21">
      <w:pPr>
        <w:spacing w:before="181" w:line="220" w:lineRule="auto"/>
        <w:outlineLvl w:val="2"/>
        <w:rPr>
          <w:rFonts w:ascii="宋体" w:hAnsi="宋体" w:eastAsia="宋体" w:cs="宋体"/>
          <w:color w:val="auto"/>
          <w:sz w:val="24"/>
          <w:szCs w:val="24"/>
          <w:highlight w:val="none"/>
        </w:rPr>
      </w:pPr>
      <w:bookmarkStart w:id="732" w:name="bookmark762"/>
      <w:bookmarkEnd w:id="732"/>
      <w:bookmarkStart w:id="733" w:name="bookmark761"/>
      <w:bookmarkEnd w:id="733"/>
      <w:bookmarkStart w:id="734" w:name="_Toc4204"/>
      <w:bookmarkStart w:id="735" w:name="_Toc3449"/>
      <w:r>
        <w:rPr>
          <w:rFonts w:ascii="Times New Roman" w:hAnsi="Times New Roman" w:eastAsia="Times New Roman" w:cs="Times New Roman"/>
          <w:b/>
          <w:bCs/>
          <w:color w:val="auto"/>
          <w:spacing w:val="-2"/>
          <w:sz w:val="24"/>
          <w:szCs w:val="24"/>
          <w:highlight w:val="none"/>
        </w:rPr>
        <w:t xml:space="preserve">20.5  </w:t>
      </w:r>
      <w:r>
        <w:rPr>
          <w:rFonts w:ascii="宋体" w:hAnsi="宋体" w:eastAsia="宋体" w:cs="宋体"/>
          <w:b/>
          <w:bCs/>
          <w:color w:val="auto"/>
          <w:spacing w:val="-2"/>
          <w:sz w:val="24"/>
          <w:szCs w:val="24"/>
          <w:highlight w:val="none"/>
        </w:rPr>
        <w:t>其他保险</w:t>
      </w:r>
      <w:bookmarkEnd w:id="734"/>
      <w:bookmarkEnd w:id="735"/>
    </w:p>
    <w:p w14:paraId="06889362">
      <w:pPr>
        <w:spacing w:before="179" w:line="347" w:lineRule="auto"/>
        <w:ind w:left="2" w:right="1" w:firstLine="486"/>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需要投保的其他内容：</w:t>
      </w:r>
      <w:r>
        <w:rPr>
          <w:rFonts w:hint="eastAsia" w:ascii="宋体" w:hAnsi="宋体" w:eastAsia="宋体" w:cs="宋体"/>
          <w:color w:val="auto"/>
          <w:spacing w:val="-2"/>
          <w:sz w:val="24"/>
          <w:szCs w:val="24"/>
          <w:highlight w:val="none"/>
          <w:u w:val="single" w:color="auto"/>
          <w:lang w:val="en-US" w:eastAsia="zh-CN"/>
        </w:rPr>
        <w:t>①按国家和地方规定缴纳；②农民工工伤保险费已包含在规费中，承包人需按绍政办发〔2007〕100号文件规定缴纳，如遇政策性文件调整，需做相应调整；③承包人应当为本合同工程和施工场地内的自有人员、设备及第三方生命财产办理保险并支付保险费用，费用已包含在总价内。因未办理保险所造成发包人、监理人、其他承包人、第三方人员的损失，承包人承担赔偿责任</w:t>
      </w:r>
      <w:r>
        <w:rPr>
          <w:rFonts w:ascii="宋体" w:hAnsi="宋体" w:eastAsia="宋体" w:cs="宋体"/>
          <w:color w:val="auto"/>
          <w:spacing w:val="-2"/>
          <w:sz w:val="24"/>
          <w:szCs w:val="24"/>
          <w:highlight w:val="none"/>
        </w:rPr>
        <w:t>。</w:t>
      </w:r>
    </w:p>
    <w:p w14:paraId="64054537">
      <w:pPr>
        <w:spacing w:before="179" w:line="360" w:lineRule="auto"/>
        <w:ind w:firstLine="476" w:firstLineChars="20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保险金额、保险费率和保险期限：</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b/>
          <w:bCs/>
          <w:snapToGrid/>
          <w:color w:val="auto"/>
          <w:kern w:val="0"/>
          <w:sz w:val="24"/>
          <w:szCs w:val="24"/>
          <w:highlight w:val="none"/>
          <w:u w:val="single"/>
          <w:lang w:val="en-US" w:eastAsia="zh-CN"/>
        </w:rPr>
        <w:t>保险金额按保险人规定，保险费率由承包人与保险人协商确定，保险期限开工日起直至本合同工程签发缺陷责任终止证书止（即合同工期＋缺陷责任期）</w:t>
      </w:r>
      <w:r>
        <w:rPr>
          <w:rFonts w:ascii="宋体" w:hAnsi="宋体" w:eastAsia="宋体" w:cs="宋体"/>
          <w:color w:val="auto"/>
          <w:spacing w:val="-1"/>
          <w:sz w:val="24"/>
          <w:szCs w:val="24"/>
          <w:highlight w:val="none"/>
        </w:rPr>
        <w:t>。</w:t>
      </w:r>
    </w:p>
    <w:p w14:paraId="78E3D45E">
      <w:pPr>
        <w:spacing w:before="183" w:line="220" w:lineRule="auto"/>
        <w:outlineLvl w:val="2"/>
        <w:rPr>
          <w:rFonts w:ascii="宋体" w:hAnsi="宋体" w:eastAsia="宋体" w:cs="宋体"/>
          <w:color w:val="auto"/>
          <w:sz w:val="24"/>
          <w:szCs w:val="24"/>
          <w:highlight w:val="none"/>
        </w:rPr>
      </w:pPr>
      <w:bookmarkStart w:id="736" w:name="bookmark764"/>
      <w:bookmarkEnd w:id="736"/>
      <w:bookmarkStart w:id="737" w:name="bookmark763"/>
      <w:bookmarkEnd w:id="737"/>
      <w:bookmarkStart w:id="738" w:name="_Toc13191"/>
      <w:bookmarkStart w:id="739" w:name="_Toc32397"/>
      <w:r>
        <w:rPr>
          <w:rFonts w:ascii="Times New Roman" w:hAnsi="Times New Roman" w:eastAsia="Times New Roman" w:cs="Times New Roman"/>
          <w:b/>
          <w:bCs/>
          <w:color w:val="auto"/>
          <w:spacing w:val="-2"/>
          <w:sz w:val="24"/>
          <w:szCs w:val="24"/>
          <w:highlight w:val="none"/>
        </w:rPr>
        <w:t xml:space="preserve">20.6  </w:t>
      </w:r>
      <w:r>
        <w:rPr>
          <w:rFonts w:ascii="宋体" w:hAnsi="宋体" w:eastAsia="宋体" w:cs="宋体"/>
          <w:b/>
          <w:bCs/>
          <w:color w:val="auto"/>
          <w:spacing w:val="-2"/>
          <w:sz w:val="24"/>
          <w:szCs w:val="24"/>
          <w:highlight w:val="none"/>
        </w:rPr>
        <w:t>对各项保险的一般要求</w:t>
      </w:r>
      <w:bookmarkEnd w:id="738"/>
      <w:bookmarkEnd w:id="739"/>
    </w:p>
    <w:p w14:paraId="219A82E6">
      <w:pPr>
        <w:spacing w:before="181"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20.6.1  </w:t>
      </w:r>
      <w:r>
        <w:rPr>
          <w:rFonts w:ascii="宋体" w:hAnsi="宋体" w:eastAsia="宋体" w:cs="宋体"/>
          <w:color w:val="auto"/>
          <w:spacing w:val="-1"/>
          <w:sz w:val="24"/>
          <w:szCs w:val="24"/>
          <w:highlight w:val="none"/>
        </w:rPr>
        <w:t>保险凭证</w:t>
      </w:r>
    </w:p>
    <w:p w14:paraId="4A6310C2">
      <w:pPr>
        <w:spacing w:before="180" w:line="347" w:lineRule="auto"/>
        <w:ind w:left="483" w:right="1106"/>
        <w:rPr>
          <w:rFonts w:ascii="宋体" w:hAnsi="宋体" w:eastAsia="宋体" w:cs="宋体"/>
          <w:color w:val="auto"/>
          <w:spacing w:val="-2"/>
          <w:sz w:val="24"/>
          <w:szCs w:val="24"/>
          <w:highlight w:val="none"/>
        </w:rPr>
      </w:pPr>
      <w:r>
        <w:rPr>
          <w:rFonts w:ascii="宋体" w:hAnsi="宋体" w:eastAsia="宋体" w:cs="宋体"/>
          <w:color w:val="auto"/>
          <w:spacing w:val="-2"/>
          <w:sz w:val="24"/>
          <w:szCs w:val="24"/>
          <w:highlight w:val="none"/>
        </w:rPr>
        <w:t>承包人提交保险凭证的期限：</w:t>
      </w:r>
      <w:r>
        <w:rPr>
          <w:rFonts w:hint="eastAsia" w:ascii="宋体" w:hAnsi="宋体" w:eastAsia="宋体" w:cs="宋体"/>
          <w:color w:val="auto"/>
          <w:spacing w:val="-2"/>
          <w:sz w:val="24"/>
          <w:szCs w:val="24"/>
          <w:highlight w:val="none"/>
        </w:rPr>
        <w:t>保险手续办理完毕后</w:t>
      </w:r>
      <w:r>
        <w:rPr>
          <w:rFonts w:hint="eastAsia" w:ascii="宋体" w:hAnsi="宋体" w:eastAsia="宋体" w:cs="宋体"/>
          <w:color w:val="auto"/>
          <w:spacing w:val="-2"/>
          <w:sz w:val="24"/>
          <w:szCs w:val="24"/>
          <w:highlight w:val="none"/>
          <w:u w:val="single"/>
          <w:lang w:val="en-US" w:eastAsia="zh-CN"/>
        </w:rPr>
        <w:t xml:space="preserve"> </w:t>
      </w:r>
      <w:r>
        <w:rPr>
          <w:rFonts w:hint="eastAsia" w:ascii="宋体" w:hAnsi="宋体" w:eastAsia="宋体" w:cs="宋体"/>
          <w:b/>
          <w:bCs/>
          <w:color w:val="auto"/>
          <w:spacing w:val="-2"/>
          <w:sz w:val="24"/>
          <w:szCs w:val="24"/>
          <w:highlight w:val="none"/>
          <w:u w:val="single"/>
        </w:rPr>
        <w:t>14</w:t>
      </w:r>
      <w:r>
        <w:rPr>
          <w:rFonts w:hint="eastAsia" w:ascii="宋体" w:hAnsi="宋体" w:eastAsia="宋体" w:cs="宋体"/>
          <w:b/>
          <w:bCs/>
          <w:color w:val="auto"/>
          <w:spacing w:val="-2"/>
          <w:sz w:val="24"/>
          <w:szCs w:val="24"/>
          <w:highlight w:val="none"/>
          <w:u w:val="single"/>
          <w:lang w:val="en-US" w:eastAsia="zh-CN"/>
        </w:rPr>
        <w:t xml:space="preserve"> </w:t>
      </w:r>
      <w:r>
        <w:rPr>
          <w:rFonts w:hint="eastAsia" w:ascii="宋体" w:hAnsi="宋体" w:eastAsia="宋体" w:cs="宋体"/>
          <w:color w:val="auto"/>
          <w:spacing w:val="-2"/>
          <w:sz w:val="24"/>
          <w:szCs w:val="24"/>
          <w:highlight w:val="none"/>
        </w:rPr>
        <w:t>天内提交</w:t>
      </w:r>
      <w:r>
        <w:rPr>
          <w:rFonts w:ascii="宋体" w:hAnsi="宋体" w:eastAsia="宋体" w:cs="宋体"/>
          <w:color w:val="auto"/>
          <w:spacing w:val="-2"/>
          <w:sz w:val="24"/>
          <w:szCs w:val="24"/>
          <w:highlight w:val="none"/>
        </w:rPr>
        <w:t>。</w:t>
      </w:r>
    </w:p>
    <w:p w14:paraId="532CA976">
      <w:pPr>
        <w:spacing w:before="180" w:line="347" w:lineRule="auto"/>
        <w:ind w:left="483" w:right="110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保险条件：</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b/>
          <w:bCs/>
          <w:snapToGrid/>
          <w:color w:val="auto"/>
          <w:kern w:val="0"/>
          <w:sz w:val="24"/>
          <w:szCs w:val="24"/>
          <w:highlight w:val="none"/>
          <w:u w:val="single"/>
          <w:lang w:val="en-US" w:eastAsia="zh-CN"/>
        </w:rPr>
        <w:t>满足合同条款的规定</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107FA099">
      <w:pPr>
        <w:spacing w:before="32" w:line="220" w:lineRule="auto"/>
        <w:ind w:left="482"/>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20.6.4  </w:t>
      </w:r>
      <w:r>
        <w:rPr>
          <w:rFonts w:ascii="宋体" w:hAnsi="宋体" w:eastAsia="宋体" w:cs="宋体"/>
          <w:color w:val="auto"/>
          <w:spacing w:val="-1"/>
          <w:sz w:val="24"/>
          <w:szCs w:val="24"/>
          <w:highlight w:val="none"/>
        </w:rPr>
        <w:t>保险金不足的补偿</w:t>
      </w:r>
    </w:p>
    <w:p w14:paraId="606A0B4C">
      <w:pPr>
        <w:spacing w:before="179" w:line="347" w:lineRule="auto"/>
        <w:ind w:left="23" w:right="390" w:firstLine="46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承包人负责补偿的范围与金额：</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b/>
          <w:bCs/>
          <w:color w:val="auto"/>
          <w:spacing w:val="-1"/>
          <w:sz w:val="24"/>
          <w:szCs w:val="24"/>
          <w:highlight w:val="none"/>
          <w:u w:val="single" w:color="auto"/>
        </w:rPr>
        <w:t>免赔额部分及保险金不足的补偿均由承包人负责</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color w:val="auto"/>
          <w:sz w:val="24"/>
          <w:szCs w:val="24"/>
          <w:highlight w:val="none"/>
        </w:rPr>
        <w:t xml:space="preserve"> </w:t>
      </w:r>
    </w:p>
    <w:p w14:paraId="36E7DE5C">
      <w:pPr>
        <w:spacing w:before="179" w:line="347" w:lineRule="auto"/>
        <w:ind w:left="23" w:right="390" w:firstLine="46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发包人负责补偿的范围与金额：</w:t>
      </w:r>
      <w:r>
        <w:rPr>
          <w:rFonts w:ascii="宋体" w:hAnsi="宋体" w:eastAsia="宋体" w:cs="宋体"/>
          <w:color w:val="auto"/>
          <w:spacing w:val="-1"/>
          <w:sz w:val="24"/>
          <w:szCs w:val="24"/>
          <w:highlight w:val="none"/>
          <w:u w:val="single" w:color="auto"/>
        </w:rPr>
        <w:t xml:space="preserve">  </w:t>
      </w:r>
      <w:r>
        <w:rPr>
          <w:rFonts w:hint="eastAsia" w:ascii="Times New Roman" w:hAnsi="Times New Roman" w:eastAsia="宋体" w:cs="Times New Roman"/>
          <w:b/>
          <w:bCs/>
          <w:color w:val="auto"/>
          <w:spacing w:val="-13"/>
          <w:sz w:val="24"/>
          <w:szCs w:val="24"/>
          <w:highlight w:val="none"/>
          <w:u w:val="single"/>
          <w:lang w:val="en-US" w:eastAsia="zh-CN"/>
        </w:rPr>
        <w:t>由于本工程一切保险均由承包人负责投保，其费用均列入报价，故招标人不承担保险金不足的补偿</w:t>
      </w:r>
      <w:r>
        <w:rPr>
          <w:rFonts w:ascii="宋体" w:hAnsi="宋体" w:eastAsia="宋体" w:cs="宋体"/>
          <w:color w:val="auto"/>
          <w:spacing w:val="-1"/>
          <w:sz w:val="24"/>
          <w:szCs w:val="24"/>
          <w:highlight w:val="none"/>
        </w:rPr>
        <w:t>。</w:t>
      </w:r>
    </w:p>
    <w:p w14:paraId="264503BB">
      <w:pPr>
        <w:spacing w:before="78" w:line="220" w:lineRule="auto"/>
        <w:outlineLvl w:val="2"/>
        <w:rPr>
          <w:rFonts w:hint="eastAsia" w:ascii="宋体" w:hAnsi="宋体" w:eastAsia="宋体" w:cs="宋体"/>
          <w:b/>
          <w:bCs/>
          <w:color w:val="auto"/>
          <w:spacing w:val="-2"/>
          <w:sz w:val="24"/>
          <w:szCs w:val="24"/>
          <w:highlight w:val="none"/>
          <w:lang w:eastAsia="zh-CN"/>
        </w:rPr>
      </w:pPr>
      <w:bookmarkStart w:id="740" w:name="bookmark768"/>
      <w:bookmarkEnd w:id="740"/>
      <w:bookmarkStart w:id="741" w:name="bookmark766"/>
      <w:bookmarkEnd w:id="741"/>
      <w:bookmarkStart w:id="742" w:name="bookmark765"/>
      <w:bookmarkEnd w:id="742"/>
      <w:bookmarkStart w:id="743" w:name="_Toc11487"/>
      <w:bookmarkStart w:id="744" w:name="_Toc5635"/>
      <w:r>
        <w:rPr>
          <w:rFonts w:hint="eastAsia" w:ascii="宋体" w:hAnsi="宋体" w:eastAsia="宋体" w:cs="宋体"/>
          <w:b/>
          <w:bCs/>
          <w:color w:val="auto"/>
          <w:spacing w:val="-2"/>
          <w:sz w:val="24"/>
          <w:szCs w:val="24"/>
          <w:highlight w:val="none"/>
          <w:lang w:eastAsia="zh-CN"/>
        </w:rPr>
        <w:t>22.1承包人违约</w:t>
      </w:r>
      <w:bookmarkEnd w:id="743"/>
    </w:p>
    <w:p w14:paraId="522F21AE">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22.1.1</w:t>
      </w:r>
      <w:r>
        <w:rPr>
          <w:rFonts w:hint="eastAsia" w:ascii="宋体" w:hAnsi="宋体" w:eastAsia="宋体" w:cs="宋体"/>
          <w:b w:val="0"/>
          <w:bCs w:val="0"/>
          <w:snapToGrid/>
          <w:color w:val="auto"/>
          <w:kern w:val="0"/>
          <w:sz w:val="24"/>
          <w:szCs w:val="24"/>
          <w:highlight w:val="none"/>
          <w:lang w:val="en-US" w:eastAsia="zh-CN"/>
        </w:rPr>
        <w:t xml:space="preserve"> 承包人违约的情形本项增加： </w:t>
      </w:r>
    </w:p>
    <w:p w14:paraId="133F3AD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（8）承包人未按招标文件的要求进行安全、文明施工。 </w:t>
      </w:r>
    </w:p>
    <w:p w14:paraId="2DFCDA5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（9）承包人未按合同约定时间及时在规定期限内上交竣工资料。 </w:t>
      </w:r>
    </w:p>
    <w:p w14:paraId="3B10DB8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（10）连续三个月未完成监理人批准的施工月度计划。 </w:t>
      </w:r>
    </w:p>
    <w:p w14:paraId="1FBC2FF3">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（11）项目负责人和项目技术负责人连续三个月未按要求到岗的。 </w:t>
      </w:r>
    </w:p>
    <w:p w14:paraId="490FBB77">
      <w:pPr>
        <w:keepNext w:val="0"/>
        <w:keepLines w:val="0"/>
        <w:pageBreakBefore w:val="0"/>
        <w:widowControl w:val="0"/>
        <w:kinsoku/>
        <w:wordWrap/>
        <w:overflowPunct/>
        <w:topLinePunct w:val="0"/>
        <w:autoSpaceDE/>
        <w:autoSpaceDN/>
        <w:bidi w:val="0"/>
        <w:adjustRightInd w:val="0"/>
        <w:snapToGrid/>
        <w:spacing w:line="360" w:lineRule="auto"/>
        <w:ind w:firstLine="482"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bCs/>
          <w:snapToGrid/>
          <w:color w:val="auto"/>
          <w:kern w:val="0"/>
          <w:sz w:val="24"/>
          <w:szCs w:val="24"/>
          <w:highlight w:val="none"/>
          <w:lang w:val="en-US" w:eastAsia="zh-CN"/>
        </w:rPr>
        <w:t>22.1.2</w:t>
      </w:r>
      <w:r>
        <w:rPr>
          <w:rFonts w:hint="eastAsia" w:ascii="宋体" w:hAnsi="宋体" w:eastAsia="宋体" w:cs="宋体"/>
          <w:b w:val="0"/>
          <w:bCs w:val="0"/>
          <w:snapToGrid/>
          <w:color w:val="auto"/>
          <w:kern w:val="0"/>
          <w:sz w:val="24"/>
          <w:szCs w:val="24"/>
          <w:highlight w:val="none"/>
          <w:lang w:val="en-US" w:eastAsia="zh-CN"/>
        </w:rPr>
        <w:t xml:space="preserve"> 对承包人违约的处理本项增加： </w:t>
      </w:r>
    </w:p>
    <w:p w14:paraId="60B4A77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（4）承包人发生第 22.1.1(8)目约定的违约情形时，若发现问题且情节较轻，发包人第一次警告，并限期整改；情节较重的，扣除100至500元整的文明施工费，同类问题在同一标段被二次发现的，扣除500元整的文明施工费，若同类问题在同一标段第三次及以上发生的，两倍扣罚。 </w:t>
      </w:r>
    </w:p>
    <w:p w14:paraId="7A68B3B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（5）承包人发生第 22.1.1（9）目约定的违约情形时，上交竣工资料每延迟一天，在应支付工程款内扣罚500元整，累计扣罚总额不超过2000元整。 </w:t>
      </w:r>
    </w:p>
    <w:p w14:paraId="3A4ADA8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（6）承包人发生第 22.1.1 （10）、（11）目约定的情形时，发包人按照不良行为记录上报市、省级行业主管部门。 </w:t>
      </w:r>
    </w:p>
    <w:p w14:paraId="36BE777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 xml:space="preserve">（7）如承包人出现未按设计要求施工、偷工减料、使用不合格设备材料等情况影响施工质量时，若发现问题情节较轻，发包人第一次警告，并限期整改；情节较重的，扣除100至500元整的违约金（具体按发包人制定的相关制度执行），同类问题在同一标段被二次发现的，扣除500元整的违约金，若同类问题在同一标段第三次及以上发生的，两倍扣罚。 </w:t>
      </w:r>
    </w:p>
    <w:p w14:paraId="4879CB5A">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（8）如承包人未按照合同的约定履行义务的，协议有明确约定的按照约定扣除违约金，没有明确约定的扣除违约金100元/次。</w:t>
      </w:r>
    </w:p>
    <w:p w14:paraId="63AE1E30">
      <w:pPr>
        <w:widowControl w:val="0"/>
        <w:kinsoku/>
        <w:autoSpaceDE/>
        <w:autoSpaceDN/>
        <w:snapToGrid/>
        <w:spacing w:line="360" w:lineRule="auto"/>
        <w:ind w:firstLine="480" w:firstLineChars="200"/>
        <w:jc w:val="both"/>
        <w:rPr>
          <w:rFonts w:hint="eastAsia" w:ascii="宋体" w:hAnsi="宋体" w:eastAsia="宋体" w:cs="宋体"/>
          <w:snapToGrid/>
          <w:color w:val="auto"/>
          <w:sz w:val="24"/>
          <w:szCs w:val="24"/>
          <w:highlight w:val="none"/>
          <w:lang w:eastAsia="zh-CN"/>
        </w:rPr>
      </w:pPr>
      <w:r>
        <w:rPr>
          <w:rFonts w:hint="eastAsia" w:ascii="宋体" w:hAnsi="宋体" w:eastAsia="宋体" w:cs="宋体"/>
          <w:b w:val="0"/>
          <w:bCs w:val="0"/>
          <w:snapToGrid/>
          <w:color w:val="auto"/>
          <w:kern w:val="0"/>
          <w:sz w:val="24"/>
          <w:szCs w:val="24"/>
          <w:highlight w:val="none"/>
          <w:lang w:val="en-US" w:eastAsia="zh-CN"/>
        </w:rPr>
        <w:t>（9）施工或竣工验收阶段，因各种原因被公安部门或执法部门处罚的，每发生一次，扣违约金1000元；被政府或行业主管部门通报的，每发生一次，扣违约金500元。</w:t>
      </w:r>
    </w:p>
    <w:p w14:paraId="4C2BA4E1">
      <w:pPr>
        <w:spacing w:before="56" w:line="220" w:lineRule="auto"/>
        <w:outlineLvl w:val="1"/>
        <w:rPr>
          <w:rFonts w:ascii="宋体" w:hAnsi="宋体" w:eastAsia="宋体" w:cs="宋体"/>
          <w:color w:val="auto"/>
          <w:sz w:val="28"/>
          <w:szCs w:val="28"/>
          <w:highlight w:val="none"/>
        </w:rPr>
      </w:pPr>
      <w:bookmarkStart w:id="745" w:name="_Toc26577"/>
      <w:r>
        <w:rPr>
          <w:rFonts w:ascii="Times New Roman" w:hAnsi="Times New Roman" w:eastAsia="Times New Roman" w:cs="Times New Roman"/>
          <w:b/>
          <w:bCs/>
          <w:color w:val="auto"/>
          <w:spacing w:val="-2"/>
          <w:sz w:val="28"/>
          <w:szCs w:val="28"/>
          <w:highlight w:val="none"/>
        </w:rPr>
        <w:t xml:space="preserve">24  </w:t>
      </w:r>
      <w:r>
        <w:rPr>
          <w:rFonts w:ascii="宋体" w:hAnsi="宋体" w:eastAsia="宋体" w:cs="宋体"/>
          <w:b/>
          <w:bCs/>
          <w:color w:val="auto"/>
          <w:spacing w:val="-2"/>
          <w:sz w:val="28"/>
          <w:szCs w:val="28"/>
          <w:highlight w:val="none"/>
        </w:rPr>
        <w:t>争议的解决</w:t>
      </w:r>
      <w:bookmarkEnd w:id="744"/>
      <w:bookmarkEnd w:id="745"/>
    </w:p>
    <w:p w14:paraId="75017AE0">
      <w:pPr>
        <w:pStyle w:val="3"/>
        <w:spacing w:line="245" w:lineRule="auto"/>
        <w:rPr>
          <w:color w:val="auto"/>
          <w:highlight w:val="none"/>
        </w:rPr>
      </w:pPr>
    </w:p>
    <w:p w14:paraId="17365BBF">
      <w:pPr>
        <w:spacing w:before="78" w:line="220" w:lineRule="auto"/>
        <w:outlineLvl w:val="2"/>
        <w:rPr>
          <w:rFonts w:ascii="宋体" w:hAnsi="宋体" w:eastAsia="宋体" w:cs="宋体"/>
          <w:color w:val="auto"/>
          <w:sz w:val="24"/>
          <w:szCs w:val="24"/>
          <w:highlight w:val="none"/>
        </w:rPr>
      </w:pPr>
      <w:bookmarkStart w:id="746" w:name="bookmark767"/>
      <w:bookmarkEnd w:id="746"/>
      <w:bookmarkStart w:id="747" w:name="_Toc5435"/>
      <w:bookmarkStart w:id="748" w:name="_Toc7035"/>
      <w:r>
        <w:rPr>
          <w:rFonts w:ascii="Times New Roman" w:hAnsi="Times New Roman" w:eastAsia="Times New Roman" w:cs="Times New Roman"/>
          <w:b/>
          <w:bCs/>
          <w:color w:val="auto"/>
          <w:spacing w:val="-2"/>
          <w:sz w:val="24"/>
          <w:szCs w:val="24"/>
          <w:highlight w:val="none"/>
        </w:rPr>
        <w:t xml:space="preserve">24.1  </w:t>
      </w:r>
      <w:r>
        <w:rPr>
          <w:rFonts w:ascii="宋体" w:hAnsi="宋体" w:eastAsia="宋体" w:cs="宋体"/>
          <w:b/>
          <w:bCs/>
          <w:color w:val="auto"/>
          <w:spacing w:val="-2"/>
          <w:sz w:val="24"/>
          <w:szCs w:val="24"/>
          <w:highlight w:val="none"/>
        </w:rPr>
        <w:t>争议的解决方式</w:t>
      </w:r>
      <w:bookmarkEnd w:id="747"/>
      <w:bookmarkEnd w:id="748"/>
    </w:p>
    <w:p w14:paraId="022066ED">
      <w:pPr>
        <w:spacing w:before="179" w:line="347" w:lineRule="auto"/>
        <w:ind w:left="23" w:right="390" w:firstLine="461"/>
        <w:rPr>
          <w:rFonts w:ascii="宋体" w:hAnsi="宋体" w:eastAsia="宋体" w:cs="宋体"/>
          <w:color w:val="auto"/>
          <w:sz w:val="24"/>
          <w:szCs w:val="24"/>
          <w:highlight w:val="none"/>
        </w:rPr>
      </w:pPr>
      <w:r>
        <w:rPr>
          <w:rFonts w:ascii="宋体" w:hAnsi="宋体" w:eastAsia="宋体" w:cs="宋体"/>
          <w:color w:val="auto"/>
          <w:sz w:val="24"/>
          <w:szCs w:val="24"/>
          <w:highlight w:val="none"/>
        </w:rPr>
        <w:t>合同当事人友好协商解决不成、不愿提请争议评</w:t>
      </w:r>
      <w:r>
        <w:rPr>
          <w:rFonts w:ascii="宋体" w:hAnsi="宋体" w:eastAsia="宋体" w:cs="宋体"/>
          <w:color w:val="auto"/>
          <w:spacing w:val="-1"/>
          <w:sz w:val="24"/>
          <w:szCs w:val="24"/>
          <w:highlight w:val="none"/>
        </w:rPr>
        <w:t>审或不接受争议评审组意见</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的，约定的合同争议解决方式：</w:t>
      </w:r>
      <w:r>
        <w:rPr>
          <w:rFonts w:ascii="宋体" w:hAnsi="宋体" w:eastAsia="宋体" w:cs="宋体"/>
          <w:color w:val="auto"/>
          <w:spacing w:val="-1"/>
          <w:sz w:val="24"/>
          <w:szCs w:val="24"/>
          <w:highlight w:val="none"/>
          <w:u w:val="single" w:color="auto"/>
        </w:rPr>
        <w:t xml:space="preserve">  </w:t>
      </w:r>
      <w:r>
        <w:rPr>
          <w:rFonts w:hint="eastAsia" w:ascii="宋体" w:hAnsi="宋体" w:eastAsia="宋体" w:cs="宋体"/>
          <w:b/>
          <w:bCs/>
          <w:snapToGrid/>
          <w:color w:val="auto"/>
          <w:kern w:val="0"/>
          <w:sz w:val="24"/>
          <w:szCs w:val="24"/>
          <w:highlight w:val="none"/>
          <w:u w:val="single"/>
          <w:lang w:val="en-US" w:eastAsia="zh-CN"/>
        </w:rPr>
        <w:t>工程所在地人民法院起诉</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658B6631">
      <w:pPr>
        <w:spacing w:before="34" w:line="220" w:lineRule="auto"/>
        <w:outlineLvl w:val="2"/>
        <w:rPr>
          <w:rFonts w:ascii="宋体" w:hAnsi="宋体" w:eastAsia="宋体" w:cs="宋体"/>
          <w:color w:val="auto"/>
          <w:sz w:val="24"/>
          <w:szCs w:val="24"/>
          <w:highlight w:val="none"/>
        </w:rPr>
      </w:pPr>
      <w:bookmarkStart w:id="749" w:name="bookmark770"/>
      <w:bookmarkEnd w:id="749"/>
      <w:bookmarkStart w:id="750" w:name="bookmark769"/>
      <w:bookmarkEnd w:id="750"/>
      <w:bookmarkStart w:id="751" w:name="_Toc17335"/>
      <w:bookmarkStart w:id="752" w:name="_Toc14511"/>
      <w:r>
        <w:rPr>
          <w:rFonts w:ascii="Times New Roman" w:hAnsi="Times New Roman" w:eastAsia="Times New Roman" w:cs="Times New Roman"/>
          <w:b/>
          <w:bCs/>
          <w:color w:val="auto"/>
          <w:spacing w:val="-2"/>
          <w:sz w:val="24"/>
          <w:szCs w:val="24"/>
          <w:highlight w:val="none"/>
        </w:rPr>
        <w:t xml:space="preserve">24.2  </w:t>
      </w:r>
      <w:r>
        <w:rPr>
          <w:rFonts w:ascii="宋体" w:hAnsi="宋体" w:eastAsia="宋体" w:cs="宋体"/>
          <w:b/>
          <w:bCs/>
          <w:color w:val="auto"/>
          <w:spacing w:val="-2"/>
          <w:sz w:val="24"/>
          <w:szCs w:val="24"/>
          <w:highlight w:val="none"/>
        </w:rPr>
        <w:t>友好解决</w:t>
      </w:r>
      <w:bookmarkEnd w:id="751"/>
      <w:bookmarkEnd w:id="752"/>
    </w:p>
    <w:p w14:paraId="588857B3">
      <w:pPr>
        <w:spacing w:before="181" w:line="346" w:lineRule="auto"/>
        <w:ind w:left="4" w:right="150" w:firstLine="479"/>
        <w:rPr>
          <w:rFonts w:ascii="宋体" w:hAnsi="宋体" w:eastAsia="宋体" w:cs="宋体"/>
          <w:color w:val="auto"/>
          <w:sz w:val="24"/>
          <w:szCs w:val="24"/>
          <w:highlight w:val="none"/>
        </w:rPr>
      </w:pPr>
      <w:r>
        <w:rPr>
          <w:rFonts w:ascii="宋体" w:hAnsi="宋体" w:eastAsia="宋体" w:cs="宋体"/>
          <w:color w:val="auto"/>
          <w:sz w:val="24"/>
          <w:szCs w:val="24"/>
          <w:highlight w:val="none"/>
        </w:rPr>
        <w:t>补充：合同当事人可以就争议请第三方进行调解，调</w:t>
      </w:r>
      <w:r>
        <w:rPr>
          <w:rFonts w:ascii="宋体" w:hAnsi="宋体" w:eastAsia="宋体" w:cs="宋体"/>
          <w:color w:val="auto"/>
          <w:spacing w:val="-1"/>
          <w:sz w:val="24"/>
          <w:szCs w:val="24"/>
          <w:highlight w:val="none"/>
        </w:rPr>
        <w:t>解达成协议的，经双方签</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字并盖章后作为合同补充文件，双方均应遵照执行。</w:t>
      </w:r>
    </w:p>
    <w:p w14:paraId="75F2FDEA">
      <w:pPr>
        <w:spacing w:before="32" w:line="220" w:lineRule="auto"/>
        <w:outlineLvl w:val="2"/>
        <w:rPr>
          <w:rFonts w:ascii="宋体" w:hAnsi="宋体" w:eastAsia="宋体" w:cs="宋体"/>
          <w:color w:val="auto"/>
          <w:sz w:val="24"/>
          <w:szCs w:val="24"/>
          <w:highlight w:val="none"/>
        </w:rPr>
      </w:pPr>
      <w:bookmarkStart w:id="753" w:name="bookmark771"/>
      <w:bookmarkEnd w:id="753"/>
      <w:bookmarkStart w:id="754" w:name="bookmark772"/>
      <w:bookmarkEnd w:id="754"/>
      <w:bookmarkStart w:id="755" w:name="_Toc14314"/>
      <w:bookmarkStart w:id="756" w:name="_Toc3208"/>
      <w:r>
        <w:rPr>
          <w:rFonts w:ascii="Times New Roman" w:hAnsi="Times New Roman" w:eastAsia="Times New Roman" w:cs="Times New Roman"/>
          <w:b/>
          <w:bCs/>
          <w:color w:val="auto"/>
          <w:spacing w:val="-4"/>
          <w:sz w:val="24"/>
          <w:szCs w:val="24"/>
          <w:highlight w:val="none"/>
        </w:rPr>
        <w:t>24.3</w:t>
      </w:r>
      <w:r>
        <w:rPr>
          <w:rFonts w:ascii="Times New Roman" w:hAnsi="Times New Roman" w:eastAsia="Times New Roman" w:cs="Times New Roman"/>
          <w:b/>
          <w:bCs/>
          <w:color w:val="auto"/>
          <w:spacing w:val="9"/>
          <w:sz w:val="24"/>
          <w:szCs w:val="24"/>
          <w:highlight w:val="none"/>
        </w:rPr>
        <w:t xml:space="preserve">  </w:t>
      </w:r>
      <w:r>
        <w:rPr>
          <w:rFonts w:ascii="宋体" w:hAnsi="宋体" w:eastAsia="宋体" w:cs="宋体"/>
          <w:b/>
          <w:bCs/>
          <w:color w:val="auto"/>
          <w:spacing w:val="-4"/>
          <w:sz w:val="24"/>
          <w:szCs w:val="24"/>
          <w:highlight w:val="none"/>
        </w:rPr>
        <w:t>争议评审</w:t>
      </w:r>
      <w:bookmarkEnd w:id="755"/>
      <w:bookmarkEnd w:id="756"/>
    </w:p>
    <w:p w14:paraId="62663021">
      <w:pPr>
        <w:spacing w:before="183" w:line="345" w:lineRule="auto"/>
        <w:ind w:left="2" w:right="150" w:firstLine="477"/>
        <w:rPr>
          <w:rFonts w:ascii="宋体" w:hAnsi="宋体" w:eastAsia="宋体" w:cs="宋体"/>
          <w:color w:val="auto"/>
          <w:sz w:val="24"/>
          <w:szCs w:val="24"/>
          <w:highlight w:val="none"/>
        </w:rPr>
      </w:pPr>
      <w:r>
        <w:rPr>
          <w:rFonts w:ascii="Times New Roman" w:hAnsi="Times New Roman" w:eastAsia="Times New Roman" w:cs="Times New Roman"/>
          <w:b/>
          <w:bCs/>
          <w:color w:val="auto"/>
          <w:sz w:val="24"/>
          <w:szCs w:val="24"/>
          <w:highlight w:val="none"/>
        </w:rPr>
        <w:t xml:space="preserve">24.3.7  </w:t>
      </w:r>
      <w:r>
        <w:rPr>
          <w:rFonts w:ascii="宋体" w:hAnsi="宋体" w:eastAsia="宋体" w:cs="宋体"/>
          <w:color w:val="auto"/>
          <w:sz w:val="24"/>
          <w:szCs w:val="24"/>
          <w:highlight w:val="none"/>
        </w:rPr>
        <w:t>补充：发包人或承包人不接受评审意见，可请省水行政</w:t>
      </w:r>
      <w:r>
        <w:rPr>
          <w:rFonts w:ascii="宋体" w:hAnsi="宋体" w:eastAsia="宋体" w:cs="宋体"/>
          <w:color w:val="auto"/>
          <w:spacing w:val="-1"/>
          <w:sz w:val="24"/>
          <w:szCs w:val="24"/>
          <w:highlight w:val="none"/>
        </w:rPr>
        <w:t>主管部门进行调</w:t>
      </w:r>
      <w:r>
        <w:rPr>
          <w:rFonts w:ascii="宋体" w:hAnsi="宋体" w:eastAsia="宋体" w:cs="宋体"/>
          <w:color w:val="auto"/>
          <w:sz w:val="24"/>
          <w:szCs w:val="24"/>
          <w:highlight w:val="none"/>
        </w:rPr>
        <w:t xml:space="preserve"> </w:t>
      </w:r>
      <w:r>
        <w:rPr>
          <w:rFonts w:ascii="宋体" w:hAnsi="宋体" w:eastAsia="宋体" w:cs="宋体"/>
          <w:color w:val="auto"/>
          <w:spacing w:val="-11"/>
          <w:sz w:val="24"/>
          <w:szCs w:val="24"/>
          <w:highlight w:val="none"/>
        </w:rPr>
        <w:t>解。</w:t>
      </w:r>
    </w:p>
    <w:p w14:paraId="3378F8C9">
      <w:pPr>
        <w:keepNext w:val="0"/>
        <w:keepLines w:val="0"/>
        <w:pageBreakBefore w:val="0"/>
        <w:widowControl w:val="0"/>
        <w:kinsoku/>
        <w:wordWrap/>
        <w:overflowPunct/>
        <w:topLinePunct w:val="0"/>
        <w:autoSpaceDE/>
        <w:autoSpaceDN/>
        <w:bidi w:val="0"/>
        <w:adjustRightInd w:val="0"/>
        <w:snapToGrid/>
        <w:spacing w:line="360" w:lineRule="auto"/>
        <w:jc w:val="both"/>
        <w:textAlignment w:val="baseline"/>
        <w:rPr>
          <w:rFonts w:hint="eastAsia" w:ascii="宋体" w:hAnsi="宋体" w:eastAsia="宋体" w:cs="宋体"/>
          <w:b/>
          <w:bCs/>
          <w:snapToGrid/>
          <w:color w:val="auto"/>
          <w:kern w:val="0"/>
          <w:sz w:val="27"/>
          <w:szCs w:val="27"/>
          <w:highlight w:val="none"/>
          <w:lang w:val="en-US" w:eastAsia="zh-CN"/>
        </w:rPr>
      </w:pPr>
      <w:bookmarkStart w:id="757" w:name="bookmark774"/>
      <w:bookmarkEnd w:id="757"/>
      <w:bookmarkStart w:id="758" w:name="bookmark773"/>
      <w:bookmarkEnd w:id="758"/>
      <w:bookmarkStart w:id="759" w:name="_Toc17737"/>
      <w:bookmarkStart w:id="760" w:name="_Toc27448"/>
      <w:r>
        <w:rPr>
          <w:rFonts w:hint="eastAsia" w:ascii="宋体" w:hAnsi="宋体" w:eastAsia="宋体" w:cs="宋体"/>
          <w:b/>
          <w:bCs/>
          <w:snapToGrid/>
          <w:color w:val="auto"/>
          <w:kern w:val="0"/>
          <w:sz w:val="27"/>
          <w:szCs w:val="27"/>
          <w:highlight w:val="none"/>
          <w:lang w:val="en-US" w:eastAsia="zh-CN"/>
        </w:rPr>
        <w:t>25.合同补充条款：</w:t>
      </w:r>
      <w:bookmarkEnd w:id="759"/>
    </w:p>
    <w:p w14:paraId="1E9C15E6">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25.1本工程中标后，承包人不得转让转包或变相转包。一经发现，发包人有权解除合同并由承包人承担由此造成的一切损失。</w:t>
      </w:r>
    </w:p>
    <w:p w14:paraId="04465D2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25.2因人员未到岗到位或在工程质量安全和文明施工等发现问题被监管部门人员查实的，按行业主管部门和绍兴市镜湖开发集团有限公司等的相关文件执行。</w:t>
      </w:r>
    </w:p>
    <w:p w14:paraId="3933B044">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25.3承包人施工应做好环境保护、文明施工，防止噪声、严禁污染环境，并负责处理好因弃土等原因引起的各类投诉。如有不文明施工行为发生，除负责消除影响外，还应扣罚违约金500元/次，情节严重的还并处扣除文明施工保证金，并报相关上级管理部门。</w:t>
      </w:r>
    </w:p>
    <w:p w14:paraId="11E6B60F">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25.4承包人应妥善处理好与周边群众的关系，并负责做好因施工引起的相关纠纷及承担相关费用。承包人在施工时，如造成对周边人身财产安全损失的，须负责处理好善后工作及承担相关费用。</w:t>
      </w:r>
    </w:p>
    <w:p w14:paraId="7929181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25.5承包人须积极按市政府有关扬尘整治文件做好现场防止扬尘工作，如被市级相关部门通报，承包人必须无条件在规定期限内整改完毕并处以每次100元的违约金,如被镜湖开发办通报的，承包人必须无条件在规定期限内整改完毕并处以每次100元的违约金，发生三次（含）以上，发包人有权单方终止合同，并保留索赔的权利。</w:t>
      </w:r>
    </w:p>
    <w:p w14:paraId="0CE39A8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25.6承包人必须遵守发包人相关工程建设管理制度，施工现场需建立实名制考核系统，在监理、发包人、质监中心等见证下完成管理人员实名制输入，并作为上报第一次工程款的先决条件。</w:t>
      </w:r>
    </w:p>
    <w:p w14:paraId="4A771617">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25.7保修金支付条款：保修期满经发包人组织相关部门验收合格后28天内一次性支付，所承包工程任何部位发生质量问题，承包人应及时提供修复，费用由责任方承担。</w:t>
      </w:r>
    </w:p>
    <w:p w14:paraId="004C8E2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25.8发包人有权增加与工程相关的工作，承包人不得拒绝。发包人也可以取消或减少部分工程内容，承包人必须无条件接受，发包人对此调整不进行补偿。</w:t>
      </w:r>
    </w:p>
    <w:p w14:paraId="4AEA839E">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25.9承包人必须按有关文明施工办法规定做好安全施工，特别是交通安全及一切地下设施的安全，在施工过程中发生一切安全事故引起的费用及后果均由承包人承担，与发包人无关。承包人需做好现场安全围护及交通维护工作，施工时配备一定数量专职交管人员管理交通秩序，必要时要外聘专职交管人员，费用已包含在合同内，不单独计取。如发现在施工期间未按要求及时完善和设置交通标牌等安全生产围护情况的，每发现一次处以200元违约金，造成事故的责任由承包人负全责。</w:t>
      </w:r>
    </w:p>
    <w:p w14:paraId="113C2345">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default"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25.10项目施工许可证办理完成后按相关政策要求及时办理渣土准运证、处置证明等相关手续，未按要求办理之前发生的涉及土方运输（包括场内）及外运处置均不计取相关费用。</w:t>
      </w:r>
    </w:p>
    <w:p w14:paraId="2C2DAC4B">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25.11承包人应在工程所在地的国内注册的国有或股份制商业银行一级支行及以上机构设立账户。发包人有权不定时对项目部资金账户进行检查。发包人支付的预付款（如有）、工程进度款应为本工程的专项专用资金，承包人不得转移或挪作他用，否则发包人有权责令其改正并对其扣以违约金，且发包人有权在工程款中直接扣除。</w:t>
      </w:r>
    </w:p>
    <w:p w14:paraId="2CDC24DC">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25.12安全生产责任保险费用已根据绍市建设〔2022〕31 号文件内容计入，请投标单位按相关文件要求办理。</w:t>
      </w:r>
    </w:p>
    <w:p w14:paraId="451BE942">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25.13承包人采购材料设备的约定：未定品牌的材料由发包人、承包人双方共同看样定货定价，其余材料均由承包人采购，材料质量必须达到现行验收标准，并提供相关检测部门出具的检测报告；承包人采购材料、设备接受发包人和监理人监督，实行现场抽检及验收制度，并需符合设计和发包人统一管理的要求；所有材料必须有质保书和合格证，经认证许可，并且符合施工图纸和规范要求；如违约应承担返工损失和工期、质量的违约责任。</w:t>
      </w:r>
    </w:p>
    <w:p w14:paraId="03890238">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25.14承包人在疏拓浚过程中，要做好周边河道水质保护工作，因承包人原因造成水质污染或引起投诉的，承包人需即时整改，做好信访回复工作，并承担所有的责任及经济赔偿工作。</w:t>
      </w:r>
    </w:p>
    <w:p w14:paraId="54A1B95D">
      <w:pPr>
        <w:keepNext w:val="0"/>
        <w:keepLines w:val="0"/>
        <w:pageBreakBefore w:val="0"/>
        <w:widowControl w:val="0"/>
        <w:kinsoku/>
        <w:wordWrap/>
        <w:overflowPunct/>
        <w:topLinePunct w:val="0"/>
        <w:autoSpaceDE/>
        <w:autoSpaceDN/>
        <w:bidi w:val="0"/>
        <w:adjustRightInd w:val="0"/>
        <w:snapToGrid/>
        <w:spacing w:line="360" w:lineRule="auto"/>
        <w:ind w:firstLine="480" w:firstLineChars="200"/>
        <w:jc w:val="both"/>
        <w:textAlignment w:val="baseline"/>
        <w:rPr>
          <w:rFonts w:hint="eastAsia" w:ascii="宋体" w:hAnsi="宋体" w:eastAsia="宋体" w:cs="宋体"/>
          <w:b w:val="0"/>
          <w:bCs w:val="0"/>
          <w:snapToGrid/>
          <w:color w:val="auto"/>
          <w:kern w:val="0"/>
          <w:sz w:val="24"/>
          <w:szCs w:val="24"/>
          <w:highlight w:val="none"/>
          <w:lang w:val="en-US" w:eastAsia="zh-CN"/>
        </w:rPr>
      </w:pPr>
      <w:r>
        <w:rPr>
          <w:rFonts w:hint="eastAsia" w:ascii="宋体" w:hAnsi="宋体" w:eastAsia="宋体" w:cs="宋体"/>
          <w:b w:val="0"/>
          <w:bCs w:val="0"/>
          <w:snapToGrid/>
          <w:color w:val="auto"/>
          <w:kern w:val="0"/>
          <w:sz w:val="24"/>
          <w:szCs w:val="24"/>
          <w:highlight w:val="none"/>
          <w:lang w:val="en-US" w:eastAsia="zh-CN"/>
        </w:rPr>
        <w:t>25.15承包人要严格按照图审后的施工图及标底设计答复进行施工，对标底错、漏项、工程量误差超一定范围的，以及施工过程中有发生变更的，需及时按镜湖开发办出台的工程变更管理办法，完成各项审批工作。工程结算送审后，不再进行各种审批，变更引起的合同工程量减少则按实计量，增加则按原合同工程量计量。</w:t>
      </w:r>
    </w:p>
    <w:p w14:paraId="4968E47C">
      <w:pPr>
        <w:spacing w:before="64" w:line="224" w:lineRule="auto"/>
        <w:ind w:firstLine="480" w:firstLineChars="200"/>
        <w:outlineLvl w:val="1"/>
        <w:rPr>
          <w:rFonts w:hint="eastAsia" w:ascii="宋体" w:hAnsi="宋体" w:eastAsia="宋体" w:cs="宋体"/>
          <w:b w:val="0"/>
          <w:bCs w:val="0"/>
          <w:snapToGrid/>
          <w:color w:val="auto"/>
          <w:kern w:val="0"/>
          <w:sz w:val="24"/>
          <w:szCs w:val="24"/>
          <w:highlight w:val="none"/>
          <w:lang w:val="en-US" w:eastAsia="zh-CN"/>
        </w:rPr>
      </w:pPr>
      <w:bookmarkStart w:id="761" w:name="_Toc30568"/>
      <w:r>
        <w:rPr>
          <w:rFonts w:hint="eastAsia" w:ascii="宋体" w:hAnsi="宋体" w:eastAsia="宋体" w:cs="宋体"/>
          <w:b w:val="0"/>
          <w:bCs w:val="0"/>
          <w:snapToGrid/>
          <w:color w:val="auto"/>
          <w:kern w:val="0"/>
          <w:sz w:val="24"/>
          <w:szCs w:val="24"/>
          <w:highlight w:val="none"/>
          <w:lang w:val="en-US" w:eastAsia="zh-CN"/>
        </w:rPr>
        <w:t>25.16未尽事宜由承包人与发包人另行协商在合同中签订。</w:t>
      </w:r>
      <w:bookmarkEnd w:id="761"/>
    </w:p>
    <w:p w14:paraId="664646C4">
      <w:pPr>
        <w:spacing w:before="64" w:line="224" w:lineRule="auto"/>
        <w:ind w:left="2601"/>
        <w:outlineLvl w:val="1"/>
        <w:rPr>
          <w:rFonts w:hint="eastAsia" w:ascii="宋体" w:hAnsi="宋体" w:eastAsia="宋体" w:cs="宋体"/>
          <w:b w:val="0"/>
          <w:bCs w:val="0"/>
          <w:snapToGrid/>
          <w:color w:val="auto"/>
          <w:kern w:val="0"/>
          <w:sz w:val="24"/>
          <w:szCs w:val="24"/>
          <w:highlight w:val="none"/>
          <w:lang w:val="en-US" w:eastAsia="zh-CN"/>
        </w:rPr>
      </w:pPr>
    </w:p>
    <w:p w14:paraId="7F30D1BE">
      <w:pPr>
        <w:spacing w:before="64" w:line="224" w:lineRule="auto"/>
        <w:ind w:left="2601"/>
        <w:outlineLvl w:val="1"/>
        <w:rPr>
          <w:rFonts w:hint="eastAsia" w:ascii="宋体" w:hAnsi="宋体" w:eastAsia="宋体" w:cs="宋体"/>
          <w:b w:val="0"/>
          <w:bCs w:val="0"/>
          <w:snapToGrid/>
          <w:color w:val="auto"/>
          <w:kern w:val="0"/>
          <w:sz w:val="24"/>
          <w:szCs w:val="24"/>
          <w:highlight w:val="none"/>
          <w:lang w:val="en-US" w:eastAsia="zh-CN"/>
        </w:rPr>
      </w:pPr>
    </w:p>
    <w:p w14:paraId="32AD9D35">
      <w:pPr>
        <w:spacing w:before="64" w:line="224" w:lineRule="auto"/>
        <w:ind w:left="2601"/>
        <w:outlineLvl w:val="1"/>
        <w:rPr>
          <w:rFonts w:ascii="宋体" w:hAnsi="宋体" w:eastAsia="宋体" w:cs="宋体"/>
          <w:b/>
          <w:bCs/>
          <w:color w:val="auto"/>
          <w:spacing w:val="6"/>
          <w:sz w:val="31"/>
          <w:szCs w:val="31"/>
          <w:highlight w:val="none"/>
        </w:rPr>
      </w:pPr>
    </w:p>
    <w:p w14:paraId="24891EF4">
      <w:pPr>
        <w:spacing w:before="64" w:line="224" w:lineRule="auto"/>
        <w:ind w:left="2601"/>
        <w:outlineLvl w:val="1"/>
        <w:rPr>
          <w:rFonts w:ascii="宋体" w:hAnsi="宋体" w:eastAsia="宋体" w:cs="宋体"/>
          <w:b/>
          <w:bCs/>
          <w:color w:val="auto"/>
          <w:spacing w:val="6"/>
          <w:sz w:val="31"/>
          <w:szCs w:val="31"/>
          <w:highlight w:val="none"/>
        </w:rPr>
      </w:pPr>
    </w:p>
    <w:p w14:paraId="2E333922">
      <w:pPr>
        <w:spacing w:before="64" w:line="224" w:lineRule="auto"/>
        <w:ind w:left="2601"/>
        <w:outlineLvl w:val="1"/>
        <w:rPr>
          <w:rFonts w:ascii="宋体" w:hAnsi="宋体" w:eastAsia="宋体" w:cs="宋体"/>
          <w:b/>
          <w:bCs/>
          <w:color w:val="auto"/>
          <w:spacing w:val="6"/>
          <w:sz w:val="31"/>
          <w:szCs w:val="31"/>
          <w:highlight w:val="none"/>
        </w:rPr>
      </w:pPr>
    </w:p>
    <w:p w14:paraId="06ABC958">
      <w:pPr>
        <w:spacing w:before="64" w:line="224" w:lineRule="auto"/>
        <w:ind w:left="2601"/>
        <w:outlineLvl w:val="1"/>
        <w:rPr>
          <w:rFonts w:ascii="宋体" w:hAnsi="宋体" w:eastAsia="宋体" w:cs="宋体"/>
          <w:b/>
          <w:bCs/>
          <w:color w:val="auto"/>
          <w:spacing w:val="6"/>
          <w:sz w:val="31"/>
          <w:szCs w:val="31"/>
          <w:highlight w:val="none"/>
        </w:rPr>
      </w:pPr>
    </w:p>
    <w:p w14:paraId="1CF2DBA3">
      <w:pPr>
        <w:spacing w:before="64" w:line="224" w:lineRule="auto"/>
        <w:ind w:left="2601"/>
        <w:outlineLvl w:val="1"/>
        <w:rPr>
          <w:rFonts w:ascii="宋体" w:hAnsi="宋体" w:eastAsia="宋体" w:cs="宋体"/>
          <w:b/>
          <w:bCs/>
          <w:color w:val="auto"/>
          <w:spacing w:val="6"/>
          <w:sz w:val="31"/>
          <w:szCs w:val="31"/>
          <w:highlight w:val="none"/>
        </w:rPr>
      </w:pPr>
    </w:p>
    <w:p w14:paraId="1CFB3637">
      <w:pPr>
        <w:spacing w:before="64" w:line="224" w:lineRule="auto"/>
        <w:ind w:left="2601"/>
        <w:outlineLvl w:val="1"/>
        <w:rPr>
          <w:rFonts w:ascii="宋体" w:hAnsi="宋体" w:eastAsia="宋体" w:cs="宋体"/>
          <w:b/>
          <w:bCs/>
          <w:color w:val="auto"/>
          <w:spacing w:val="6"/>
          <w:sz w:val="31"/>
          <w:szCs w:val="31"/>
          <w:highlight w:val="none"/>
        </w:rPr>
      </w:pPr>
    </w:p>
    <w:p w14:paraId="2C34ECB9">
      <w:pPr>
        <w:spacing w:before="64" w:line="224" w:lineRule="auto"/>
        <w:ind w:left="2601"/>
        <w:outlineLvl w:val="1"/>
        <w:rPr>
          <w:rFonts w:ascii="宋体" w:hAnsi="宋体" w:eastAsia="宋体" w:cs="宋体"/>
          <w:b/>
          <w:bCs/>
          <w:color w:val="auto"/>
          <w:spacing w:val="6"/>
          <w:sz w:val="31"/>
          <w:szCs w:val="31"/>
          <w:highlight w:val="none"/>
        </w:rPr>
      </w:pPr>
    </w:p>
    <w:p w14:paraId="315DD0BB">
      <w:pPr>
        <w:spacing w:before="64" w:line="224" w:lineRule="auto"/>
        <w:ind w:left="2601"/>
        <w:outlineLvl w:val="1"/>
        <w:rPr>
          <w:rFonts w:ascii="宋体" w:hAnsi="宋体" w:eastAsia="宋体" w:cs="宋体"/>
          <w:b/>
          <w:bCs/>
          <w:color w:val="auto"/>
          <w:spacing w:val="6"/>
          <w:sz w:val="31"/>
          <w:szCs w:val="31"/>
          <w:highlight w:val="none"/>
        </w:rPr>
      </w:pPr>
    </w:p>
    <w:p w14:paraId="7687615B">
      <w:pPr>
        <w:spacing w:before="64" w:line="224" w:lineRule="auto"/>
        <w:ind w:left="2601"/>
        <w:outlineLvl w:val="1"/>
        <w:rPr>
          <w:rFonts w:ascii="宋体" w:hAnsi="宋体" w:eastAsia="宋体" w:cs="宋体"/>
          <w:b/>
          <w:bCs/>
          <w:color w:val="auto"/>
          <w:spacing w:val="6"/>
          <w:sz w:val="31"/>
          <w:szCs w:val="31"/>
          <w:highlight w:val="none"/>
        </w:rPr>
      </w:pPr>
    </w:p>
    <w:p w14:paraId="040BE589">
      <w:pPr>
        <w:spacing w:before="64" w:line="224" w:lineRule="auto"/>
        <w:ind w:left="2601"/>
        <w:outlineLvl w:val="1"/>
        <w:rPr>
          <w:rFonts w:ascii="宋体" w:hAnsi="宋体" w:eastAsia="宋体" w:cs="宋体"/>
          <w:b/>
          <w:bCs/>
          <w:color w:val="auto"/>
          <w:spacing w:val="6"/>
          <w:sz w:val="31"/>
          <w:szCs w:val="31"/>
          <w:highlight w:val="none"/>
        </w:rPr>
      </w:pPr>
    </w:p>
    <w:p w14:paraId="2FC32B9B">
      <w:pPr>
        <w:spacing w:before="64" w:line="224" w:lineRule="auto"/>
        <w:ind w:left="2601"/>
        <w:outlineLvl w:val="1"/>
        <w:rPr>
          <w:rFonts w:ascii="宋体" w:hAnsi="宋体" w:eastAsia="宋体" w:cs="宋体"/>
          <w:b/>
          <w:bCs/>
          <w:color w:val="auto"/>
          <w:spacing w:val="6"/>
          <w:sz w:val="31"/>
          <w:szCs w:val="31"/>
          <w:highlight w:val="none"/>
        </w:rPr>
      </w:pPr>
    </w:p>
    <w:p w14:paraId="442188C0">
      <w:pPr>
        <w:spacing w:before="64" w:line="224" w:lineRule="auto"/>
        <w:ind w:left="2601"/>
        <w:outlineLvl w:val="1"/>
        <w:rPr>
          <w:rFonts w:ascii="宋体" w:hAnsi="宋体" w:eastAsia="宋体" w:cs="宋体"/>
          <w:b/>
          <w:bCs/>
          <w:color w:val="auto"/>
          <w:spacing w:val="6"/>
          <w:sz w:val="31"/>
          <w:szCs w:val="31"/>
          <w:highlight w:val="none"/>
        </w:rPr>
      </w:pPr>
    </w:p>
    <w:p w14:paraId="319CF65F">
      <w:pPr>
        <w:spacing w:before="64" w:line="224" w:lineRule="auto"/>
        <w:ind w:left="2601"/>
        <w:outlineLvl w:val="1"/>
        <w:rPr>
          <w:rFonts w:ascii="宋体" w:hAnsi="宋体" w:eastAsia="宋体" w:cs="宋体"/>
          <w:b/>
          <w:bCs/>
          <w:color w:val="auto"/>
          <w:spacing w:val="6"/>
          <w:sz w:val="31"/>
          <w:szCs w:val="31"/>
          <w:highlight w:val="none"/>
        </w:rPr>
      </w:pPr>
    </w:p>
    <w:p w14:paraId="29B4ADA3">
      <w:pPr>
        <w:spacing w:before="64" w:line="224" w:lineRule="auto"/>
        <w:ind w:left="2601"/>
        <w:outlineLvl w:val="1"/>
        <w:rPr>
          <w:rFonts w:ascii="宋体" w:hAnsi="宋体" w:eastAsia="宋体" w:cs="宋体"/>
          <w:b/>
          <w:bCs/>
          <w:color w:val="auto"/>
          <w:spacing w:val="6"/>
          <w:sz w:val="31"/>
          <w:szCs w:val="31"/>
          <w:highlight w:val="none"/>
        </w:rPr>
      </w:pPr>
    </w:p>
    <w:p w14:paraId="177AEBA9">
      <w:pPr>
        <w:spacing w:before="64" w:line="224" w:lineRule="auto"/>
        <w:ind w:left="2601"/>
        <w:outlineLvl w:val="1"/>
        <w:rPr>
          <w:rFonts w:ascii="宋体" w:hAnsi="宋体" w:eastAsia="宋体" w:cs="宋体"/>
          <w:b/>
          <w:bCs/>
          <w:color w:val="auto"/>
          <w:spacing w:val="6"/>
          <w:sz w:val="31"/>
          <w:szCs w:val="31"/>
          <w:highlight w:val="none"/>
        </w:rPr>
      </w:pPr>
    </w:p>
    <w:p w14:paraId="041582D0">
      <w:pPr>
        <w:spacing w:before="64" w:line="224" w:lineRule="auto"/>
        <w:outlineLvl w:val="1"/>
        <w:rPr>
          <w:rFonts w:ascii="宋体" w:hAnsi="宋体" w:eastAsia="宋体" w:cs="宋体"/>
          <w:b/>
          <w:bCs/>
          <w:color w:val="auto"/>
          <w:spacing w:val="6"/>
          <w:sz w:val="31"/>
          <w:szCs w:val="31"/>
          <w:highlight w:val="none"/>
        </w:rPr>
      </w:pPr>
    </w:p>
    <w:p w14:paraId="5026255A">
      <w:pPr>
        <w:numPr>
          <w:ilvl w:val="0"/>
          <w:numId w:val="0"/>
        </w:numPr>
        <w:spacing w:before="56" w:line="219" w:lineRule="auto"/>
        <w:ind w:left="31" w:leftChars="0"/>
        <w:jc w:val="center"/>
        <w:outlineLvl w:val="1"/>
        <w:rPr>
          <w:rFonts w:ascii="宋体" w:hAnsi="宋体" w:eastAsia="宋体" w:cs="宋体"/>
          <w:b/>
          <w:bCs/>
          <w:color w:val="auto"/>
          <w:spacing w:val="6"/>
          <w:sz w:val="31"/>
          <w:szCs w:val="31"/>
          <w:highlight w:val="none"/>
        </w:rPr>
      </w:pPr>
      <w:bookmarkStart w:id="762" w:name="_Toc21394"/>
      <w:r>
        <w:rPr>
          <w:rFonts w:hint="eastAsia" w:ascii="宋体" w:hAnsi="宋体" w:eastAsia="宋体" w:cs="宋体"/>
          <w:b/>
          <w:bCs/>
          <w:snapToGrid w:val="0"/>
          <w:color w:val="auto"/>
          <w:spacing w:val="6"/>
          <w:kern w:val="0"/>
          <w:sz w:val="31"/>
          <w:szCs w:val="31"/>
          <w:lang w:val="en-US" w:eastAsia="en-US" w:bidi="ar-SA"/>
        </w:rPr>
        <w:t>第三节</w:t>
      </w:r>
      <w:r>
        <w:rPr>
          <w:rFonts w:ascii="宋体" w:hAnsi="宋体" w:eastAsia="宋体" w:cs="宋体"/>
          <w:color w:val="auto"/>
          <w:spacing w:val="6"/>
          <w:sz w:val="31"/>
          <w:szCs w:val="31"/>
          <w:highlight w:val="none"/>
        </w:rPr>
        <w:t xml:space="preserve"> </w:t>
      </w:r>
      <w:r>
        <w:rPr>
          <w:rFonts w:ascii="宋体" w:hAnsi="宋体" w:eastAsia="宋体" w:cs="宋体"/>
          <w:b/>
          <w:bCs/>
          <w:color w:val="auto"/>
          <w:spacing w:val="6"/>
          <w:sz w:val="31"/>
          <w:szCs w:val="31"/>
          <w:highlight w:val="none"/>
        </w:rPr>
        <w:t>合同附件格式</w:t>
      </w:r>
      <w:bookmarkEnd w:id="760"/>
      <w:bookmarkEnd w:id="762"/>
      <w:bookmarkStart w:id="763" w:name="bookmark776"/>
      <w:bookmarkEnd w:id="763"/>
      <w:bookmarkStart w:id="764" w:name="bookmark775"/>
      <w:bookmarkEnd w:id="764"/>
      <w:bookmarkStart w:id="765" w:name="_Toc27306"/>
    </w:p>
    <w:p w14:paraId="2B39F677">
      <w:pPr>
        <w:numPr>
          <w:ilvl w:val="0"/>
          <w:numId w:val="0"/>
        </w:numPr>
        <w:spacing w:before="56" w:line="219" w:lineRule="auto"/>
        <w:ind w:left="31" w:leftChars="0"/>
        <w:outlineLvl w:val="1"/>
        <w:rPr>
          <w:rFonts w:ascii="宋体" w:hAnsi="宋体" w:eastAsia="宋体" w:cs="宋体"/>
          <w:color w:val="auto"/>
          <w:sz w:val="28"/>
          <w:szCs w:val="28"/>
          <w:highlight w:val="none"/>
        </w:rPr>
      </w:pPr>
      <w:bookmarkStart w:id="766" w:name="_Toc14488"/>
      <w:r>
        <w:rPr>
          <w:rFonts w:ascii="宋体" w:hAnsi="宋体" w:eastAsia="宋体" w:cs="宋体"/>
          <w:b/>
          <w:bCs/>
          <w:color w:val="auto"/>
          <w:spacing w:val="-5"/>
          <w:sz w:val="28"/>
          <w:szCs w:val="28"/>
          <w:highlight w:val="none"/>
        </w:rPr>
        <w:t>附件一</w:t>
      </w:r>
      <w:r>
        <w:rPr>
          <w:rFonts w:ascii="宋体" w:hAnsi="宋体" w:eastAsia="宋体" w:cs="宋体"/>
          <w:color w:val="auto"/>
          <w:spacing w:val="-5"/>
          <w:sz w:val="28"/>
          <w:szCs w:val="28"/>
          <w:highlight w:val="none"/>
        </w:rPr>
        <w:t xml:space="preserve">  </w:t>
      </w:r>
      <w:r>
        <w:rPr>
          <w:rFonts w:ascii="宋体" w:hAnsi="宋体" w:eastAsia="宋体" w:cs="宋体"/>
          <w:b/>
          <w:bCs/>
          <w:color w:val="auto"/>
          <w:spacing w:val="-5"/>
          <w:sz w:val="28"/>
          <w:szCs w:val="28"/>
          <w:highlight w:val="none"/>
        </w:rPr>
        <w:t>合同协议书</w:t>
      </w:r>
      <w:bookmarkEnd w:id="765"/>
      <w:bookmarkEnd w:id="766"/>
    </w:p>
    <w:p w14:paraId="2BB8B1B1">
      <w:pPr>
        <w:pStyle w:val="3"/>
        <w:spacing w:line="246" w:lineRule="auto"/>
        <w:rPr>
          <w:color w:val="auto"/>
          <w:highlight w:val="none"/>
        </w:rPr>
      </w:pPr>
    </w:p>
    <w:p w14:paraId="0662FB33">
      <w:pPr>
        <w:spacing w:before="78" w:line="219" w:lineRule="auto"/>
        <w:ind w:left="3801"/>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合同协议书</w:t>
      </w:r>
    </w:p>
    <w:p w14:paraId="625579E8">
      <w:pPr>
        <w:tabs>
          <w:tab w:val="left" w:pos="1798"/>
        </w:tabs>
        <w:spacing w:before="180" w:line="338" w:lineRule="auto"/>
        <w:ind w:firstLine="479"/>
        <w:jc w:val="both"/>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
          <w:sz w:val="24"/>
          <w:szCs w:val="24"/>
          <w:highlight w:val="none"/>
        </w:rPr>
        <w:t>（发包人名称，以下简称“发包人”）为实施</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i/>
          <w:iCs/>
          <w:color w:val="auto"/>
          <w:spacing w:val="-2"/>
          <w:sz w:val="25"/>
          <w:szCs w:val="25"/>
          <w:highlight w:val="none"/>
        </w:rPr>
        <w:t>项目</w:t>
      </w:r>
      <w:r>
        <w:rPr>
          <w:rFonts w:ascii="宋体" w:hAnsi="宋体" w:eastAsia="宋体" w:cs="宋体"/>
          <w:color w:val="auto"/>
          <w:sz w:val="25"/>
          <w:szCs w:val="25"/>
          <w:highlight w:val="none"/>
        </w:rPr>
        <w:t xml:space="preserve"> </w:t>
      </w:r>
      <w:r>
        <w:rPr>
          <w:rFonts w:ascii="宋体" w:hAnsi="宋体" w:eastAsia="宋体" w:cs="宋体"/>
          <w:i/>
          <w:iCs/>
          <w:color w:val="auto"/>
          <w:sz w:val="25"/>
          <w:szCs w:val="25"/>
          <w:highlight w:val="none"/>
        </w:rPr>
        <w:t>名称</w:t>
      </w:r>
      <w:r>
        <w:rPr>
          <w:rFonts w:ascii="宋体" w:hAnsi="宋体" w:eastAsia="宋体" w:cs="宋体"/>
          <w:color w:val="auto"/>
          <w:spacing w:val="-30"/>
          <w:sz w:val="24"/>
          <w:szCs w:val="24"/>
          <w:highlight w:val="none"/>
        </w:rPr>
        <w:t>），</w:t>
      </w:r>
      <w:r>
        <w:rPr>
          <w:rFonts w:ascii="宋体" w:hAnsi="宋体" w:eastAsia="宋体" w:cs="宋体"/>
          <w:color w:val="auto"/>
          <w:sz w:val="24"/>
          <w:szCs w:val="24"/>
          <w:highlight w:val="none"/>
        </w:rPr>
        <w:t>已接受</w:t>
      </w:r>
      <w:r>
        <w:rPr>
          <w:rFonts w:ascii="宋体" w:hAnsi="宋体" w:eastAsia="宋体" w:cs="宋体"/>
          <w:color w:val="auto"/>
          <w:spacing w:val="15"/>
          <w:sz w:val="24"/>
          <w:szCs w:val="24"/>
          <w:highlight w:val="none"/>
          <w:u w:val="single" w:color="auto"/>
        </w:rPr>
        <w:t xml:space="preserve">        </w:t>
      </w:r>
      <w:r>
        <w:rPr>
          <w:rFonts w:ascii="宋体" w:hAnsi="宋体" w:eastAsia="宋体" w:cs="宋体"/>
          <w:color w:val="auto"/>
          <w:sz w:val="24"/>
          <w:szCs w:val="24"/>
          <w:highlight w:val="none"/>
        </w:rPr>
        <w:t>（承包人名称，以下简称“承包人”）对</w:t>
      </w:r>
      <w:r>
        <w:rPr>
          <w:rFonts w:ascii="宋体" w:hAnsi="宋体" w:eastAsia="宋体" w:cs="宋体"/>
          <w:color w:val="auto"/>
          <w:spacing w:val="-117"/>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i/>
          <w:iCs/>
          <w:color w:val="auto"/>
          <w:sz w:val="25"/>
          <w:szCs w:val="25"/>
          <w:highlight w:val="none"/>
        </w:rPr>
        <w:t>项</w:t>
      </w:r>
      <w:r>
        <w:rPr>
          <w:rFonts w:ascii="宋体" w:hAnsi="宋体" w:eastAsia="宋体" w:cs="宋体"/>
          <w:color w:val="auto"/>
          <w:sz w:val="25"/>
          <w:szCs w:val="25"/>
          <w:highlight w:val="none"/>
        </w:rPr>
        <w:t xml:space="preserve"> </w:t>
      </w:r>
      <w:r>
        <w:rPr>
          <w:rFonts w:ascii="宋体" w:hAnsi="宋体" w:eastAsia="宋体" w:cs="宋体"/>
          <w:i/>
          <w:iCs/>
          <w:color w:val="auto"/>
          <w:sz w:val="25"/>
          <w:szCs w:val="25"/>
          <w:highlight w:val="none"/>
        </w:rPr>
        <w:t>目名称</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1"/>
          <w:sz w:val="24"/>
          <w:szCs w:val="24"/>
          <w:highlight w:val="none"/>
        </w:rPr>
        <w:t>（</w:t>
      </w:r>
      <w:r>
        <w:rPr>
          <w:rFonts w:ascii="宋体" w:hAnsi="宋体" w:eastAsia="宋体" w:cs="宋体"/>
          <w:i/>
          <w:iCs/>
          <w:color w:val="auto"/>
          <w:sz w:val="25"/>
          <w:szCs w:val="25"/>
          <w:highlight w:val="none"/>
        </w:rPr>
        <w:t>标段名称</w:t>
      </w:r>
      <w:r>
        <w:rPr>
          <w:rFonts w:ascii="宋体" w:hAnsi="宋体" w:eastAsia="宋体" w:cs="宋体"/>
          <w:color w:val="auto"/>
          <w:sz w:val="24"/>
          <w:szCs w:val="24"/>
          <w:highlight w:val="none"/>
        </w:rPr>
        <w:t>）的投标。发包人和承包人共同达成如下协议。</w:t>
      </w:r>
    </w:p>
    <w:p w14:paraId="5D71C63C">
      <w:pPr>
        <w:spacing w:before="29" w:line="219" w:lineRule="auto"/>
        <w:ind w:left="507"/>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1</w:t>
      </w:r>
      <w:r>
        <w:rPr>
          <w:rFonts w:ascii="Times New Roman" w:hAnsi="Times New Roman" w:eastAsia="Times New Roman" w:cs="Times New Roman"/>
          <w:color w:val="auto"/>
          <w:spacing w:val="-18"/>
          <w:sz w:val="24"/>
          <w:szCs w:val="24"/>
          <w:highlight w:val="none"/>
        </w:rPr>
        <w:t xml:space="preserve"> </w:t>
      </w:r>
      <w:r>
        <w:rPr>
          <w:rFonts w:ascii="宋体" w:hAnsi="宋体" w:eastAsia="宋体" w:cs="宋体"/>
          <w:color w:val="auto"/>
          <w:spacing w:val="-6"/>
          <w:sz w:val="24"/>
          <w:szCs w:val="24"/>
          <w:highlight w:val="none"/>
        </w:rPr>
        <w:t>．本协议书与下列文件一起构成合同文件：</w:t>
      </w:r>
    </w:p>
    <w:p w14:paraId="786C00D9">
      <w:pPr>
        <w:spacing w:before="183" w:line="219" w:lineRule="auto"/>
        <w:ind w:left="494"/>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w:t>
      </w:r>
      <w:r>
        <w:rPr>
          <w:rFonts w:ascii="Times New Roman" w:hAnsi="Times New Roman" w:eastAsia="Times New Roman" w:cs="Times New Roman"/>
          <w:color w:val="auto"/>
          <w:spacing w:val="-8"/>
          <w:sz w:val="24"/>
          <w:szCs w:val="24"/>
          <w:highlight w:val="none"/>
        </w:rPr>
        <w:t>1</w:t>
      </w:r>
      <w:r>
        <w:rPr>
          <w:rFonts w:ascii="宋体" w:hAnsi="宋体" w:eastAsia="宋体" w:cs="宋体"/>
          <w:color w:val="auto"/>
          <w:spacing w:val="-8"/>
          <w:sz w:val="24"/>
          <w:szCs w:val="24"/>
          <w:highlight w:val="none"/>
        </w:rPr>
        <w:t>）</w:t>
      </w:r>
      <w:r>
        <w:rPr>
          <w:rFonts w:ascii="宋体" w:hAnsi="宋体" w:eastAsia="宋体" w:cs="宋体"/>
          <w:color w:val="auto"/>
          <w:spacing w:val="31"/>
          <w:sz w:val="24"/>
          <w:szCs w:val="24"/>
          <w:highlight w:val="none"/>
        </w:rPr>
        <w:t xml:space="preserve"> </w:t>
      </w:r>
      <w:r>
        <w:rPr>
          <w:rFonts w:ascii="宋体" w:hAnsi="宋体" w:eastAsia="宋体" w:cs="宋体"/>
          <w:color w:val="auto"/>
          <w:spacing w:val="-8"/>
          <w:sz w:val="24"/>
          <w:szCs w:val="24"/>
          <w:highlight w:val="none"/>
        </w:rPr>
        <w:t>中标通知书。</w:t>
      </w:r>
    </w:p>
    <w:p w14:paraId="6A02D6BC">
      <w:pPr>
        <w:spacing w:before="180" w:line="219" w:lineRule="auto"/>
        <w:ind w:left="49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2</w:t>
      </w:r>
      <w:r>
        <w:rPr>
          <w:rFonts w:ascii="宋体" w:hAnsi="宋体" w:eastAsia="宋体" w:cs="宋体"/>
          <w:color w:val="auto"/>
          <w:spacing w:val="-4"/>
          <w:sz w:val="24"/>
          <w:szCs w:val="24"/>
          <w:highlight w:val="none"/>
        </w:rPr>
        <w:t>） 投标函及投标函附录。</w:t>
      </w:r>
    </w:p>
    <w:p w14:paraId="327A4A8E">
      <w:pPr>
        <w:spacing w:before="183" w:line="220" w:lineRule="auto"/>
        <w:ind w:left="49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3</w:t>
      </w:r>
      <w:r>
        <w:rPr>
          <w:rFonts w:ascii="宋体" w:hAnsi="宋体" w:eastAsia="宋体" w:cs="宋体"/>
          <w:color w:val="auto"/>
          <w:spacing w:val="-5"/>
          <w:sz w:val="24"/>
          <w:szCs w:val="24"/>
          <w:highlight w:val="none"/>
        </w:rPr>
        <w:t>） 专用合同条款。</w:t>
      </w:r>
    </w:p>
    <w:p w14:paraId="5D55FB57">
      <w:pPr>
        <w:spacing w:before="180" w:line="220" w:lineRule="auto"/>
        <w:ind w:left="49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w:t>
      </w:r>
      <w:r>
        <w:rPr>
          <w:rFonts w:ascii="Times New Roman" w:hAnsi="Times New Roman" w:eastAsia="Times New Roman" w:cs="Times New Roman"/>
          <w:color w:val="auto"/>
          <w:spacing w:val="-5"/>
          <w:sz w:val="24"/>
          <w:szCs w:val="24"/>
          <w:highlight w:val="none"/>
        </w:rPr>
        <w:t>4</w:t>
      </w:r>
      <w:r>
        <w:rPr>
          <w:rFonts w:ascii="宋体" w:hAnsi="宋体" w:eastAsia="宋体" w:cs="宋体"/>
          <w:color w:val="auto"/>
          <w:spacing w:val="-5"/>
          <w:sz w:val="24"/>
          <w:szCs w:val="24"/>
          <w:highlight w:val="none"/>
        </w:rPr>
        <w:t>） 通用合同条款。</w:t>
      </w:r>
    </w:p>
    <w:p w14:paraId="12326B41">
      <w:pPr>
        <w:spacing w:before="182" w:line="220" w:lineRule="auto"/>
        <w:ind w:left="49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5</w:t>
      </w:r>
      <w:r>
        <w:rPr>
          <w:rFonts w:ascii="宋体" w:hAnsi="宋体" w:eastAsia="宋体" w:cs="宋体"/>
          <w:color w:val="auto"/>
          <w:spacing w:val="-3"/>
          <w:sz w:val="24"/>
          <w:szCs w:val="24"/>
          <w:highlight w:val="none"/>
        </w:rPr>
        <w:t>） 技术标准和要求（合同技术条款）。</w:t>
      </w:r>
    </w:p>
    <w:p w14:paraId="1691603F">
      <w:pPr>
        <w:spacing w:before="180" w:line="221" w:lineRule="auto"/>
        <w:ind w:left="494"/>
        <w:rPr>
          <w:rFonts w:ascii="宋体" w:hAnsi="宋体" w:eastAsia="宋体" w:cs="宋体"/>
          <w:color w:val="auto"/>
          <w:sz w:val="24"/>
          <w:szCs w:val="24"/>
          <w:highlight w:val="none"/>
        </w:rPr>
      </w:pPr>
      <w:r>
        <w:rPr>
          <w:rFonts w:ascii="宋体" w:hAnsi="宋体" w:eastAsia="宋体" w:cs="宋体"/>
          <w:color w:val="auto"/>
          <w:spacing w:val="-11"/>
          <w:sz w:val="24"/>
          <w:szCs w:val="24"/>
          <w:highlight w:val="none"/>
        </w:rPr>
        <w:t>（</w:t>
      </w:r>
      <w:r>
        <w:rPr>
          <w:rFonts w:ascii="Times New Roman" w:hAnsi="Times New Roman" w:eastAsia="Times New Roman" w:cs="Times New Roman"/>
          <w:color w:val="auto"/>
          <w:spacing w:val="-11"/>
          <w:sz w:val="24"/>
          <w:szCs w:val="24"/>
          <w:highlight w:val="none"/>
        </w:rPr>
        <w:t>6</w:t>
      </w:r>
      <w:r>
        <w:rPr>
          <w:rFonts w:ascii="宋体" w:hAnsi="宋体" w:eastAsia="宋体" w:cs="宋体"/>
          <w:color w:val="auto"/>
          <w:spacing w:val="-11"/>
          <w:sz w:val="24"/>
          <w:szCs w:val="24"/>
          <w:highlight w:val="none"/>
        </w:rPr>
        <w:t>）</w:t>
      </w:r>
      <w:r>
        <w:rPr>
          <w:rFonts w:ascii="宋体" w:hAnsi="宋体" w:eastAsia="宋体" w:cs="宋体"/>
          <w:color w:val="auto"/>
          <w:spacing w:val="36"/>
          <w:sz w:val="24"/>
          <w:szCs w:val="24"/>
          <w:highlight w:val="none"/>
        </w:rPr>
        <w:t xml:space="preserve"> </w:t>
      </w:r>
      <w:r>
        <w:rPr>
          <w:rFonts w:ascii="宋体" w:hAnsi="宋体" w:eastAsia="宋体" w:cs="宋体"/>
          <w:color w:val="auto"/>
          <w:spacing w:val="-11"/>
          <w:sz w:val="24"/>
          <w:szCs w:val="24"/>
          <w:highlight w:val="none"/>
        </w:rPr>
        <w:t>图纸。</w:t>
      </w:r>
    </w:p>
    <w:p w14:paraId="74E8CF37">
      <w:pPr>
        <w:spacing w:before="181" w:line="218" w:lineRule="auto"/>
        <w:ind w:left="49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w:t>
      </w:r>
      <w:r>
        <w:rPr>
          <w:rFonts w:ascii="Times New Roman" w:hAnsi="Times New Roman" w:eastAsia="Times New Roman" w:cs="Times New Roman"/>
          <w:color w:val="auto"/>
          <w:spacing w:val="-7"/>
          <w:sz w:val="24"/>
          <w:szCs w:val="24"/>
          <w:highlight w:val="none"/>
        </w:rPr>
        <w:t>7</w:t>
      </w:r>
      <w:r>
        <w:rPr>
          <w:rFonts w:ascii="宋体" w:hAnsi="宋体" w:eastAsia="宋体" w:cs="宋体"/>
          <w:color w:val="auto"/>
          <w:spacing w:val="-7"/>
          <w:sz w:val="24"/>
          <w:szCs w:val="24"/>
          <w:highlight w:val="none"/>
        </w:rPr>
        <w:t>）</w:t>
      </w:r>
      <w:r>
        <w:rPr>
          <w:rFonts w:ascii="宋体" w:hAnsi="宋体" w:eastAsia="宋体" w:cs="宋体"/>
          <w:color w:val="auto"/>
          <w:spacing w:val="40"/>
          <w:sz w:val="24"/>
          <w:szCs w:val="24"/>
          <w:highlight w:val="none"/>
        </w:rPr>
        <w:t xml:space="preserve"> </w:t>
      </w:r>
      <w:r>
        <w:rPr>
          <w:rFonts w:ascii="宋体" w:hAnsi="宋体" w:eastAsia="宋体" w:cs="宋体"/>
          <w:color w:val="auto"/>
          <w:spacing w:val="-7"/>
          <w:sz w:val="24"/>
          <w:szCs w:val="24"/>
          <w:highlight w:val="none"/>
        </w:rPr>
        <w:t>已标价工程量清单。</w:t>
      </w:r>
    </w:p>
    <w:p w14:paraId="6A0BC9B1">
      <w:pPr>
        <w:spacing w:before="181" w:line="220" w:lineRule="auto"/>
        <w:ind w:left="494"/>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8</w:t>
      </w:r>
      <w:r>
        <w:rPr>
          <w:rFonts w:ascii="宋体" w:hAnsi="宋体" w:eastAsia="宋体" w:cs="宋体"/>
          <w:color w:val="auto"/>
          <w:spacing w:val="-4"/>
          <w:sz w:val="24"/>
          <w:szCs w:val="24"/>
          <w:highlight w:val="none"/>
        </w:rPr>
        <w:t>） 其他合同文件。</w:t>
      </w:r>
    </w:p>
    <w:p w14:paraId="1F84364F">
      <w:pPr>
        <w:spacing w:before="182" w:line="290" w:lineRule="auto"/>
        <w:ind w:left="10" w:right="68" w:firstLine="473"/>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z w:val="24"/>
          <w:szCs w:val="24"/>
          <w:highlight w:val="none"/>
        </w:rPr>
        <w:t>．上述文件互相补充和解释，如有不明确或不一致之处</w:t>
      </w:r>
      <w:r>
        <w:rPr>
          <w:rFonts w:ascii="宋体" w:hAnsi="宋体" w:eastAsia="宋体" w:cs="宋体"/>
          <w:color w:val="auto"/>
          <w:spacing w:val="-1"/>
          <w:sz w:val="24"/>
          <w:szCs w:val="24"/>
          <w:highlight w:val="none"/>
        </w:rPr>
        <w:t>，以合同约定次序在先</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者为准。</w:t>
      </w:r>
    </w:p>
    <w:p w14:paraId="1FC93C30">
      <w:pPr>
        <w:spacing w:before="181" w:line="218" w:lineRule="auto"/>
        <w:ind w:left="488"/>
        <w:rPr>
          <w:rFonts w:ascii="宋体" w:hAnsi="宋体" w:eastAsia="宋体" w:cs="宋体"/>
          <w:color w:val="auto"/>
          <w:sz w:val="24"/>
          <w:szCs w:val="24"/>
          <w:highlight w:val="none"/>
        </w:rPr>
      </w:pPr>
      <w:r>
        <w:rPr>
          <w:rFonts w:ascii="Times New Roman" w:hAnsi="Times New Roman" w:eastAsia="Times New Roman" w:cs="Times New Roman"/>
          <w:color w:val="auto"/>
          <w:spacing w:val="-10"/>
          <w:sz w:val="24"/>
          <w:szCs w:val="24"/>
          <w:highlight w:val="none"/>
        </w:rPr>
        <w:t>3</w:t>
      </w:r>
      <w:r>
        <w:rPr>
          <w:rFonts w:ascii="宋体" w:hAnsi="宋体" w:eastAsia="宋体" w:cs="宋体"/>
          <w:color w:val="auto"/>
          <w:spacing w:val="-10"/>
          <w:sz w:val="24"/>
          <w:szCs w:val="24"/>
          <w:highlight w:val="none"/>
        </w:rPr>
        <w:t>．签约合同价：人民币（大写）</w:t>
      </w:r>
      <w:r>
        <w:rPr>
          <w:rFonts w:ascii="宋体" w:hAnsi="宋体" w:eastAsia="宋体" w:cs="宋体"/>
          <w:color w:val="auto"/>
          <w:spacing w:val="-10"/>
          <w:sz w:val="24"/>
          <w:szCs w:val="24"/>
          <w:highlight w:val="none"/>
          <w:u w:val="single" w:color="auto"/>
        </w:rPr>
        <w:t xml:space="preserve">    </w:t>
      </w:r>
      <w:r>
        <w:rPr>
          <w:rFonts w:ascii="宋体" w:hAnsi="宋体" w:eastAsia="宋体" w:cs="宋体"/>
          <w:color w:val="auto"/>
          <w:spacing w:val="-11"/>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1"/>
          <w:sz w:val="24"/>
          <w:szCs w:val="24"/>
          <w:highlight w:val="none"/>
        </w:rPr>
        <w:t>元(￥</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11"/>
          <w:sz w:val="24"/>
          <w:szCs w:val="24"/>
          <w:highlight w:val="none"/>
        </w:rPr>
        <w:t>)。</w:t>
      </w:r>
    </w:p>
    <w:p w14:paraId="1B72DE89">
      <w:pPr>
        <w:spacing w:before="181" w:line="290" w:lineRule="auto"/>
        <w:ind w:left="852" w:right="732" w:hanging="370"/>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4</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2"/>
          <w:sz w:val="24"/>
          <w:szCs w:val="24"/>
          <w:highlight w:val="none"/>
        </w:rPr>
        <w:t>．承包人项目负责人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项目技术负责人：</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副项目负责人：</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p>
    <w:p w14:paraId="60F0F0C3">
      <w:pPr>
        <w:spacing w:before="182" w:line="220" w:lineRule="auto"/>
        <w:ind w:left="490"/>
        <w:rPr>
          <w:rFonts w:ascii="宋体" w:hAnsi="宋体" w:eastAsia="宋体" w:cs="宋体"/>
          <w:color w:val="auto"/>
          <w:sz w:val="24"/>
          <w:szCs w:val="24"/>
          <w:highlight w:val="none"/>
        </w:rPr>
      </w:pPr>
      <w:r>
        <w:rPr>
          <w:rFonts w:ascii="Times New Roman" w:hAnsi="Times New Roman" w:eastAsia="Times New Roman" w:cs="Times New Roman"/>
          <w:color w:val="auto"/>
          <w:spacing w:val="-7"/>
          <w:sz w:val="24"/>
          <w:szCs w:val="24"/>
          <w:highlight w:val="none"/>
        </w:rPr>
        <w:t>5</w:t>
      </w:r>
      <w:r>
        <w:rPr>
          <w:rFonts w:ascii="Times New Roman" w:hAnsi="Times New Roman" w:eastAsia="Times New Roman" w:cs="Times New Roman"/>
          <w:color w:val="auto"/>
          <w:spacing w:val="-26"/>
          <w:sz w:val="24"/>
          <w:szCs w:val="24"/>
          <w:highlight w:val="none"/>
        </w:rPr>
        <w:t xml:space="preserve"> </w:t>
      </w:r>
      <w:r>
        <w:rPr>
          <w:rFonts w:ascii="宋体" w:hAnsi="宋体" w:eastAsia="宋体" w:cs="宋体"/>
          <w:color w:val="auto"/>
          <w:spacing w:val="-7"/>
          <w:sz w:val="24"/>
          <w:szCs w:val="24"/>
          <w:highlight w:val="none"/>
        </w:rPr>
        <w:t>．工程质量符合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7"/>
          <w:sz w:val="24"/>
          <w:szCs w:val="24"/>
          <w:highlight w:val="none"/>
        </w:rPr>
        <w:t>标准。</w:t>
      </w:r>
    </w:p>
    <w:p w14:paraId="215E9E62">
      <w:pPr>
        <w:spacing w:before="180" w:line="220" w:lineRule="auto"/>
        <w:ind w:left="489"/>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6</w:t>
      </w:r>
      <w:r>
        <w:rPr>
          <w:rFonts w:ascii="Times New Roman" w:hAnsi="Times New Roman" w:eastAsia="Times New Roman" w:cs="Times New Roman"/>
          <w:color w:val="auto"/>
          <w:spacing w:val="-21"/>
          <w:sz w:val="24"/>
          <w:szCs w:val="24"/>
          <w:highlight w:val="none"/>
        </w:rPr>
        <w:t xml:space="preserve"> </w:t>
      </w:r>
      <w:r>
        <w:rPr>
          <w:rFonts w:ascii="宋体" w:hAnsi="宋体" w:eastAsia="宋体" w:cs="宋体"/>
          <w:color w:val="auto"/>
          <w:spacing w:val="-3"/>
          <w:sz w:val="24"/>
          <w:szCs w:val="24"/>
          <w:highlight w:val="none"/>
        </w:rPr>
        <w:t>．承包人承诺按合同约定承担工程的实施、完成及缺陷修复。</w:t>
      </w:r>
    </w:p>
    <w:p w14:paraId="3445CD36">
      <w:pPr>
        <w:spacing w:before="183" w:line="218" w:lineRule="auto"/>
        <w:ind w:left="487"/>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7</w:t>
      </w:r>
      <w:r>
        <w:rPr>
          <w:rFonts w:ascii="Times New Roman" w:hAnsi="Times New Roman" w:eastAsia="Times New Roman" w:cs="Times New Roman"/>
          <w:color w:val="auto"/>
          <w:spacing w:val="-29"/>
          <w:sz w:val="24"/>
          <w:szCs w:val="24"/>
          <w:highlight w:val="none"/>
        </w:rPr>
        <w:t xml:space="preserve"> </w:t>
      </w:r>
      <w:r>
        <w:rPr>
          <w:rFonts w:ascii="宋体" w:hAnsi="宋体" w:eastAsia="宋体" w:cs="宋体"/>
          <w:color w:val="auto"/>
          <w:spacing w:val="-2"/>
          <w:sz w:val="24"/>
          <w:szCs w:val="24"/>
          <w:highlight w:val="none"/>
        </w:rPr>
        <w:t>．发包人承诺按合同约定的条件、时间和方式</w:t>
      </w:r>
      <w:r>
        <w:rPr>
          <w:rFonts w:ascii="宋体" w:hAnsi="宋体" w:eastAsia="宋体" w:cs="宋体"/>
          <w:color w:val="auto"/>
          <w:spacing w:val="-3"/>
          <w:sz w:val="24"/>
          <w:szCs w:val="24"/>
          <w:highlight w:val="none"/>
        </w:rPr>
        <w:t>向承包人支付合同价款。</w:t>
      </w:r>
    </w:p>
    <w:p w14:paraId="0E8384A2">
      <w:pPr>
        <w:spacing w:before="181" w:line="220" w:lineRule="auto"/>
        <w:ind w:left="493"/>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8</w:t>
      </w:r>
      <w:r>
        <w:rPr>
          <w:rFonts w:ascii="Times New Roman" w:hAnsi="Times New Roman" w:eastAsia="Times New Roman" w:cs="Times New Roman"/>
          <w:color w:val="auto"/>
          <w:spacing w:val="-15"/>
          <w:sz w:val="24"/>
          <w:szCs w:val="24"/>
          <w:highlight w:val="none"/>
        </w:rPr>
        <w:t xml:space="preserve"> </w:t>
      </w:r>
      <w:r>
        <w:rPr>
          <w:rFonts w:ascii="宋体" w:hAnsi="宋体" w:eastAsia="宋体" w:cs="宋体"/>
          <w:color w:val="auto"/>
          <w:spacing w:val="-2"/>
          <w:sz w:val="24"/>
          <w:szCs w:val="24"/>
          <w:highlight w:val="none"/>
        </w:rPr>
        <w:t>．承包人承诺执行监理人开工通知，计划工期为</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11"/>
          <w:sz w:val="24"/>
          <w:szCs w:val="24"/>
          <w:highlight w:val="none"/>
        </w:rPr>
        <w:t xml:space="preserve"> </w:t>
      </w:r>
      <w:r>
        <w:rPr>
          <w:rFonts w:ascii="宋体" w:hAnsi="宋体" w:eastAsia="宋体" w:cs="宋体"/>
          <w:color w:val="auto"/>
          <w:spacing w:val="-2"/>
          <w:sz w:val="24"/>
          <w:szCs w:val="24"/>
          <w:highlight w:val="none"/>
        </w:rPr>
        <w:t>个月</w:t>
      </w:r>
      <w:r>
        <w:rPr>
          <w:rFonts w:ascii="华文隶书" w:hAnsi="华文隶书" w:eastAsia="华文隶书" w:cs="华文隶书"/>
          <w:color w:val="auto"/>
          <w:spacing w:val="-2"/>
          <w:sz w:val="24"/>
          <w:szCs w:val="24"/>
          <w:highlight w:val="none"/>
        </w:rPr>
        <w:t>（日历天）</w:t>
      </w:r>
      <w:r>
        <w:rPr>
          <w:rFonts w:ascii="宋体" w:hAnsi="宋体" w:eastAsia="宋体" w:cs="宋体"/>
          <w:color w:val="auto"/>
          <w:spacing w:val="-2"/>
          <w:sz w:val="24"/>
          <w:szCs w:val="24"/>
          <w:highlight w:val="none"/>
        </w:rPr>
        <w:t>。</w:t>
      </w:r>
    </w:p>
    <w:p w14:paraId="1F5D488A">
      <w:pPr>
        <w:spacing w:before="185" w:line="219" w:lineRule="auto"/>
        <w:ind w:left="488"/>
        <w:rPr>
          <w:rFonts w:ascii="宋体" w:hAnsi="宋体" w:eastAsia="宋体" w:cs="宋体"/>
          <w:color w:val="auto"/>
          <w:sz w:val="24"/>
          <w:szCs w:val="24"/>
          <w:highlight w:val="none"/>
        </w:rPr>
      </w:pPr>
      <w:r>
        <w:rPr>
          <w:rFonts w:ascii="Times New Roman" w:hAnsi="Times New Roman" w:eastAsia="Times New Roman" w:cs="Times New Roman"/>
          <w:color w:val="auto"/>
          <w:spacing w:val="-14"/>
          <w:sz w:val="24"/>
          <w:szCs w:val="24"/>
          <w:highlight w:val="none"/>
        </w:rPr>
        <w:t>9</w:t>
      </w:r>
      <w:r>
        <w:rPr>
          <w:rFonts w:ascii="宋体" w:hAnsi="宋体" w:eastAsia="宋体" w:cs="宋体"/>
          <w:color w:val="auto"/>
          <w:spacing w:val="-14"/>
          <w:sz w:val="24"/>
          <w:szCs w:val="24"/>
          <w:highlight w:val="none"/>
        </w:rPr>
        <w:t>．本协议书正本一式</w:t>
      </w:r>
      <w:r>
        <w:rPr>
          <w:rFonts w:ascii="宋体" w:hAnsi="宋体" w:eastAsia="宋体" w:cs="宋体"/>
          <w:color w:val="auto"/>
          <w:spacing w:val="-14"/>
          <w:sz w:val="24"/>
          <w:szCs w:val="24"/>
          <w:highlight w:val="none"/>
          <w:u w:val="single" w:color="auto"/>
        </w:rPr>
        <w:t xml:space="preserve"> 贰 </w:t>
      </w:r>
      <w:r>
        <w:rPr>
          <w:rFonts w:ascii="宋体" w:hAnsi="宋体" w:eastAsia="宋体" w:cs="宋体"/>
          <w:color w:val="auto"/>
          <w:spacing w:val="-14"/>
          <w:sz w:val="24"/>
          <w:szCs w:val="24"/>
          <w:highlight w:val="none"/>
        </w:rPr>
        <w:t>份，合同双方各执</w:t>
      </w:r>
      <w:r>
        <w:rPr>
          <w:rFonts w:ascii="宋体" w:hAnsi="宋体" w:eastAsia="宋体" w:cs="宋体"/>
          <w:color w:val="auto"/>
          <w:spacing w:val="-14"/>
          <w:sz w:val="24"/>
          <w:szCs w:val="24"/>
          <w:highlight w:val="none"/>
          <w:u w:val="single" w:color="auto"/>
        </w:rPr>
        <w:t xml:space="preserve"> </w:t>
      </w:r>
      <w:r>
        <w:rPr>
          <w:rFonts w:ascii="宋体" w:hAnsi="宋体" w:eastAsia="宋体" w:cs="宋体"/>
          <w:color w:val="auto"/>
          <w:spacing w:val="-15"/>
          <w:sz w:val="24"/>
          <w:szCs w:val="24"/>
          <w:highlight w:val="none"/>
          <w:u w:val="single" w:color="auto"/>
        </w:rPr>
        <w:t>壹</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15"/>
          <w:sz w:val="24"/>
          <w:szCs w:val="24"/>
          <w:highlight w:val="none"/>
        </w:rPr>
        <w:t>份，副本</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5"/>
          <w:sz w:val="24"/>
          <w:szCs w:val="24"/>
          <w:highlight w:val="none"/>
        </w:rPr>
        <w:t>份，双方各执</w:t>
      </w:r>
      <w:r>
        <w:rPr>
          <w:rFonts w:ascii="宋体" w:hAnsi="宋体" w:eastAsia="宋体" w:cs="宋体"/>
          <w:color w:val="auto"/>
          <w:spacing w:val="60"/>
          <w:sz w:val="24"/>
          <w:szCs w:val="24"/>
          <w:highlight w:val="none"/>
          <w:u w:val="single" w:color="auto"/>
        </w:rPr>
        <w:t xml:space="preserve">  </w:t>
      </w:r>
      <w:r>
        <w:rPr>
          <w:rFonts w:ascii="宋体" w:hAnsi="宋体" w:eastAsia="宋体" w:cs="宋体"/>
          <w:color w:val="auto"/>
          <w:spacing w:val="-111"/>
          <w:sz w:val="24"/>
          <w:szCs w:val="24"/>
          <w:highlight w:val="none"/>
        </w:rPr>
        <w:t xml:space="preserve"> </w:t>
      </w:r>
      <w:r>
        <w:rPr>
          <w:rFonts w:ascii="宋体" w:hAnsi="宋体" w:eastAsia="宋体" w:cs="宋体"/>
          <w:color w:val="auto"/>
          <w:spacing w:val="-15"/>
          <w:sz w:val="24"/>
          <w:szCs w:val="24"/>
          <w:highlight w:val="none"/>
        </w:rPr>
        <w:t>份。</w:t>
      </w:r>
    </w:p>
    <w:p w14:paraId="38FEFE90">
      <w:pPr>
        <w:spacing w:before="181" w:line="220" w:lineRule="auto"/>
        <w:ind w:left="507"/>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10</w:t>
      </w:r>
      <w:r>
        <w:rPr>
          <w:rFonts w:ascii="Times New Roman" w:hAnsi="Times New Roman" w:eastAsia="Times New Roman" w:cs="Times New Roman"/>
          <w:color w:val="auto"/>
          <w:spacing w:val="-21"/>
          <w:sz w:val="24"/>
          <w:szCs w:val="24"/>
          <w:highlight w:val="none"/>
        </w:rPr>
        <w:t xml:space="preserve"> </w:t>
      </w:r>
      <w:r>
        <w:rPr>
          <w:rFonts w:ascii="宋体" w:hAnsi="宋体" w:eastAsia="宋体" w:cs="宋体"/>
          <w:color w:val="auto"/>
          <w:spacing w:val="-3"/>
          <w:sz w:val="24"/>
          <w:szCs w:val="24"/>
          <w:highlight w:val="none"/>
        </w:rPr>
        <w:t>．合同未尽事宜，双方另行签订补充协议。补充协议是合同的组成部分。</w:t>
      </w:r>
    </w:p>
    <w:p w14:paraId="6A9D2DF6">
      <w:pPr>
        <w:pStyle w:val="3"/>
        <w:spacing w:line="256" w:lineRule="auto"/>
        <w:rPr>
          <w:color w:val="auto"/>
          <w:highlight w:val="none"/>
        </w:rPr>
      </w:pPr>
    </w:p>
    <w:p w14:paraId="48E8B4FD">
      <w:pPr>
        <w:pStyle w:val="3"/>
        <w:spacing w:line="257" w:lineRule="auto"/>
        <w:rPr>
          <w:color w:val="auto"/>
          <w:highlight w:val="none"/>
        </w:rPr>
      </w:pPr>
    </w:p>
    <w:p w14:paraId="08CA4E2E">
      <w:pPr>
        <w:spacing w:before="79" w:line="219" w:lineRule="auto"/>
        <w:ind w:left="61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发</w:t>
      </w:r>
      <w:r>
        <w:rPr>
          <w:rFonts w:ascii="宋体" w:hAnsi="宋体" w:eastAsia="宋体" w:cs="宋体"/>
          <w:color w:val="auto"/>
          <w:spacing w:val="111"/>
          <w:sz w:val="24"/>
          <w:szCs w:val="24"/>
          <w:highlight w:val="none"/>
        </w:rPr>
        <w:t xml:space="preserve"> </w:t>
      </w:r>
      <w:r>
        <w:rPr>
          <w:rFonts w:ascii="宋体" w:hAnsi="宋体" w:eastAsia="宋体" w:cs="宋体"/>
          <w:color w:val="auto"/>
          <w:spacing w:val="-3"/>
          <w:sz w:val="24"/>
          <w:szCs w:val="24"/>
          <w:highlight w:val="none"/>
        </w:rPr>
        <w:t>包</w:t>
      </w:r>
      <w:r>
        <w:rPr>
          <w:rFonts w:ascii="宋体" w:hAnsi="宋体" w:eastAsia="宋体" w:cs="宋体"/>
          <w:color w:val="auto"/>
          <w:spacing w:val="107"/>
          <w:sz w:val="24"/>
          <w:szCs w:val="24"/>
          <w:highlight w:val="none"/>
        </w:rPr>
        <w:t xml:space="preserve"> </w:t>
      </w:r>
      <w:r>
        <w:rPr>
          <w:rFonts w:ascii="宋体" w:hAnsi="宋体" w:eastAsia="宋体" w:cs="宋体"/>
          <w:color w:val="auto"/>
          <w:spacing w:val="-3"/>
          <w:sz w:val="24"/>
          <w:szCs w:val="24"/>
          <w:highlight w:val="none"/>
        </w:rPr>
        <w:t>人</w:t>
      </w:r>
      <w:r>
        <w:rPr>
          <w:rFonts w:ascii="宋体" w:hAnsi="宋体" w:eastAsia="宋体" w:cs="宋体"/>
          <w:color w:val="auto"/>
          <w:spacing w:val="-8"/>
          <w:sz w:val="24"/>
          <w:szCs w:val="24"/>
          <w:highlight w:val="none"/>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8"/>
          <w:sz w:val="24"/>
          <w:szCs w:val="24"/>
          <w:highlight w:val="none"/>
          <w:u w:val="single" w:color="auto"/>
        </w:rPr>
        <w:t>（</w:t>
      </w:r>
      <w:r>
        <w:rPr>
          <w:rFonts w:ascii="宋体" w:hAnsi="宋体" w:eastAsia="宋体" w:cs="宋体"/>
          <w:color w:val="auto"/>
          <w:spacing w:val="-3"/>
          <w:sz w:val="24"/>
          <w:szCs w:val="24"/>
          <w:highlight w:val="none"/>
          <w:u w:val="single" w:color="auto"/>
        </w:rPr>
        <w:t xml:space="preserve">盖单位章）   </w:t>
      </w:r>
      <w:r>
        <w:rPr>
          <w:rFonts w:ascii="宋体" w:hAnsi="宋体" w:eastAsia="宋体" w:cs="宋体"/>
          <w:color w:val="auto"/>
          <w:spacing w:val="-3"/>
          <w:sz w:val="24"/>
          <w:szCs w:val="24"/>
          <w:highlight w:val="none"/>
        </w:rPr>
        <w:t xml:space="preserve">      承  包  人</w:t>
      </w:r>
      <w:r>
        <w:rPr>
          <w:rFonts w:ascii="宋体" w:hAnsi="宋体" w:eastAsia="宋体" w:cs="宋体"/>
          <w:color w:val="auto"/>
          <w:spacing w:val="-8"/>
          <w:sz w:val="24"/>
          <w:szCs w:val="24"/>
          <w:highlight w:val="none"/>
        </w:rPr>
        <w:t>：</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8"/>
          <w:sz w:val="24"/>
          <w:szCs w:val="24"/>
          <w:highlight w:val="none"/>
          <w:u w:val="single" w:color="auto"/>
        </w:rPr>
        <w:t>（</w:t>
      </w:r>
      <w:r>
        <w:rPr>
          <w:rFonts w:ascii="宋体" w:hAnsi="宋体" w:eastAsia="宋体" w:cs="宋体"/>
          <w:color w:val="auto"/>
          <w:spacing w:val="-3"/>
          <w:sz w:val="24"/>
          <w:szCs w:val="24"/>
          <w:highlight w:val="none"/>
          <w:u w:val="single" w:color="auto"/>
        </w:rPr>
        <w:t>盖单位章）</w:t>
      </w:r>
      <w:r>
        <w:rPr>
          <w:rFonts w:ascii="宋体" w:hAnsi="宋体" w:eastAsia="宋体" w:cs="宋体"/>
          <w:color w:val="auto"/>
          <w:sz w:val="24"/>
          <w:szCs w:val="24"/>
          <w:highlight w:val="none"/>
          <w:u w:val="single" w:color="auto"/>
        </w:rPr>
        <w:t xml:space="preserve">     </w:t>
      </w:r>
    </w:p>
    <w:p w14:paraId="2B16DB8B">
      <w:pPr>
        <w:spacing w:before="183" w:line="220" w:lineRule="auto"/>
        <w:ind w:left="609"/>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法定代表人或其委托代理人</w:t>
      </w:r>
      <w:r>
        <w:rPr>
          <w:rFonts w:ascii="宋体" w:hAnsi="宋体" w:eastAsia="宋体" w:cs="宋体"/>
          <w:color w:val="auto"/>
          <w:spacing w:val="-16"/>
          <w:sz w:val="24"/>
          <w:szCs w:val="24"/>
          <w:highlight w:val="none"/>
        </w:rPr>
        <w:t>：</w:t>
      </w:r>
      <w:r>
        <w:rPr>
          <w:rFonts w:ascii="宋体" w:hAnsi="宋体" w:eastAsia="宋体" w:cs="宋体"/>
          <w:color w:val="auto"/>
          <w:spacing w:val="-16"/>
          <w:sz w:val="24"/>
          <w:szCs w:val="24"/>
          <w:highlight w:val="none"/>
          <w:u w:val="single" w:color="auto"/>
        </w:rPr>
        <w:t>（</w:t>
      </w:r>
      <w:r>
        <w:rPr>
          <w:rFonts w:ascii="宋体" w:hAnsi="宋体" w:eastAsia="宋体" w:cs="宋体"/>
          <w:color w:val="auto"/>
          <w:spacing w:val="-8"/>
          <w:sz w:val="24"/>
          <w:szCs w:val="24"/>
          <w:highlight w:val="none"/>
          <w:u w:val="single" w:color="auto"/>
        </w:rPr>
        <w:t>签字）</w:t>
      </w:r>
      <w:r>
        <w:rPr>
          <w:rFonts w:ascii="宋体" w:hAnsi="宋体" w:eastAsia="宋体" w:cs="宋体"/>
          <w:color w:val="auto"/>
          <w:spacing w:val="-8"/>
          <w:sz w:val="24"/>
          <w:szCs w:val="24"/>
          <w:highlight w:val="none"/>
        </w:rPr>
        <w:t xml:space="preserve">   法定代表人或其委托代理人</w:t>
      </w:r>
      <w:r>
        <w:rPr>
          <w:rFonts w:ascii="宋体" w:hAnsi="宋体" w:eastAsia="宋体" w:cs="宋体"/>
          <w:color w:val="auto"/>
          <w:spacing w:val="-16"/>
          <w:sz w:val="24"/>
          <w:szCs w:val="24"/>
          <w:highlight w:val="none"/>
        </w:rPr>
        <w:t>：</w:t>
      </w:r>
      <w:r>
        <w:rPr>
          <w:rFonts w:ascii="宋体" w:hAnsi="宋体" w:eastAsia="宋体" w:cs="宋体"/>
          <w:color w:val="auto"/>
          <w:spacing w:val="-16"/>
          <w:sz w:val="24"/>
          <w:szCs w:val="24"/>
          <w:highlight w:val="none"/>
          <w:u w:val="single" w:color="auto"/>
        </w:rPr>
        <w:t>（</w:t>
      </w:r>
      <w:r>
        <w:rPr>
          <w:rFonts w:ascii="宋体" w:hAnsi="宋体" w:eastAsia="宋体" w:cs="宋体"/>
          <w:color w:val="auto"/>
          <w:spacing w:val="-8"/>
          <w:sz w:val="24"/>
          <w:szCs w:val="24"/>
          <w:highlight w:val="none"/>
          <w:u w:val="single" w:color="auto"/>
        </w:rPr>
        <w:t>签字）</w:t>
      </w:r>
    </w:p>
    <w:p w14:paraId="2D4D37F3">
      <w:pPr>
        <w:tabs>
          <w:tab w:val="left" w:pos="1438"/>
        </w:tabs>
        <w:spacing w:before="179" w:line="220" w:lineRule="auto"/>
        <w:ind w:left="71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10"/>
          <w:sz w:val="24"/>
          <w:szCs w:val="24"/>
          <w:highlight w:val="none"/>
        </w:rPr>
        <w:t xml:space="preserve"> </w:t>
      </w:r>
      <w:r>
        <w:rPr>
          <w:rFonts w:ascii="宋体" w:hAnsi="宋体" w:eastAsia="宋体" w:cs="宋体"/>
          <w:color w:val="auto"/>
          <w:spacing w:val="-17"/>
          <w:sz w:val="24"/>
          <w:szCs w:val="24"/>
          <w:highlight w:val="none"/>
        </w:rPr>
        <w:t>年</w:t>
      </w:r>
      <w:r>
        <w:rPr>
          <w:rFonts w:ascii="宋体" w:hAnsi="宋体" w:eastAsia="宋体" w:cs="宋体"/>
          <w:color w:val="auto"/>
          <w:spacing w:val="39"/>
          <w:sz w:val="24"/>
          <w:szCs w:val="24"/>
          <w:highlight w:val="none"/>
          <w:u w:val="single" w:color="auto"/>
        </w:rPr>
        <w:t xml:space="preserve">   </w:t>
      </w:r>
      <w:r>
        <w:rPr>
          <w:rFonts w:ascii="宋体" w:hAnsi="宋体" w:eastAsia="宋体" w:cs="宋体"/>
          <w:color w:val="auto"/>
          <w:spacing w:val="-103"/>
          <w:sz w:val="24"/>
          <w:szCs w:val="24"/>
          <w:highlight w:val="none"/>
        </w:rPr>
        <w:t xml:space="preserve"> </w:t>
      </w:r>
      <w:r>
        <w:rPr>
          <w:rFonts w:ascii="宋体" w:hAnsi="宋体" w:eastAsia="宋体" w:cs="宋体"/>
          <w:color w:val="auto"/>
          <w:spacing w:val="-17"/>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17"/>
          <w:sz w:val="24"/>
          <w:szCs w:val="24"/>
          <w:highlight w:val="none"/>
        </w:rPr>
        <w:t>日</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7"/>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7"/>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17"/>
          <w:sz w:val="24"/>
          <w:szCs w:val="24"/>
          <w:highlight w:val="none"/>
        </w:rPr>
        <w:t>日</w:t>
      </w:r>
    </w:p>
    <w:p w14:paraId="5D6580A8">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8001FC5">
      <w:pPr>
        <w:spacing w:before="56" w:line="219" w:lineRule="auto"/>
        <w:ind w:left="35"/>
        <w:outlineLvl w:val="1"/>
        <w:rPr>
          <w:rFonts w:ascii="宋体" w:hAnsi="宋体" w:eastAsia="宋体" w:cs="宋体"/>
          <w:color w:val="auto"/>
          <w:sz w:val="28"/>
          <w:szCs w:val="28"/>
          <w:highlight w:val="none"/>
        </w:rPr>
      </w:pPr>
      <w:bookmarkStart w:id="767" w:name="bookmark777"/>
      <w:bookmarkEnd w:id="767"/>
      <w:bookmarkStart w:id="768" w:name="bookmark778"/>
      <w:bookmarkEnd w:id="768"/>
      <w:bookmarkStart w:id="769" w:name="_Toc1283"/>
      <w:bookmarkStart w:id="770" w:name="_Toc166"/>
      <w:r>
        <w:rPr>
          <w:rFonts w:ascii="宋体" w:hAnsi="宋体" w:eastAsia="宋体" w:cs="宋体"/>
          <w:b/>
          <w:bCs/>
          <w:color w:val="auto"/>
          <w:spacing w:val="-5"/>
          <w:sz w:val="28"/>
          <w:szCs w:val="28"/>
          <w:highlight w:val="none"/>
        </w:rPr>
        <w:t>附件二</w:t>
      </w:r>
      <w:r>
        <w:rPr>
          <w:rFonts w:ascii="宋体" w:hAnsi="宋体" w:eastAsia="宋体" w:cs="宋体"/>
          <w:color w:val="auto"/>
          <w:spacing w:val="-5"/>
          <w:sz w:val="28"/>
          <w:szCs w:val="28"/>
          <w:highlight w:val="none"/>
        </w:rPr>
        <w:t xml:space="preserve">  </w:t>
      </w:r>
      <w:r>
        <w:rPr>
          <w:rFonts w:ascii="宋体" w:hAnsi="宋体" w:eastAsia="宋体" w:cs="宋体"/>
          <w:b/>
          <w:bCs/>
          <w:color w:val="auto"/>
          <w:spacing w:val="-5"/>
          <w:sz w:val="28"/>
          <w:szCs w:val="28"/>
          <w:highlight w:val="none"/>
        </w:rPr>
        <w:t>履约担保（格式）</w:t>
      </w:r>
      <w:bookmarkEnd w:id="769"/>
      <w:bookmarkEnd w:id="770"/>
    </w:p>
    <w:p w14:paraId="4956C170">
      <w:pPr>
        <w:pStyle w:val="3"/>
        <w:spacing w:line="247" w:lineRule="auto"/>
        <w:rPr>
          <w:color w:val="auto"/>
          <w:highlight w:val="none"/>
        </w:rPr>
      </w:pPr>
    </w:p>
    <w:p w14:paraId="1D7763AD">
      <w:pPr>
        <w:spacing w:before="78" w:line="220" w:lineRule="auto"/>
        <w:ind w:left="3928"/>
        <w:rPr>
          <w:rFonts w:ascii="宋体" w:hAnsi="宋体" w:eastAsia="宋体" w:cs="宋体"/>
          <w:color w:val="auto"/>
          <w:sz w:val="24"/>
          <w:szCs w:val="24"/>
          <w:highlight w:val="none"/>
        </w:rPr>
      </w:pPr>
      <w:r>
        <w:rPr>
          <w:rFonts w:ascii="宋体" w:hAnsi="宋体" w:eastAsia="宋体" w:cs="宋体"/>
          <w:b/>
          <w:bCs/>
          <w:color w:val="auto"/>
          <w:spacing w:val="-5"/>
          <w:sz w:val="24"/>
          <w:szCs w:val="24"/>
          <w:highlight w:val="none"/>
        </w:rPr>
        <w:t>履约担保</w:t>
      </w:r>
    </w:p>
    <w:p w14:paraId="5477AF6E">
      <w:pPr>
        <w:pStyle w:val="3"/>
        <w:spacing w:line="254" w:lineRule="auto"/>
        <w:rPr>
          <w:color w:val="auto"/>
          <w:highlight w:val="none"/>
        </w:rPr>
      </w:pPr>
    </w:p>
    <w:p w14:paraId="6F89EE82">
      <w:pPr>
        <w:pStyle w:val="3"/>
        <w:spacing w:line="255" w:lineRule="auto"/>
        <w:rPr>
          <w:color w:val="auto"/>
          <w:highlight w:val="none"/>
        </w:rPr>
      </w:pPr>
    </w:p>
    <w:p w14:paraId="46C68013">
      <w:pPr>
        <w:tabs>
          <w:tab w:val="left" w:pos="2521"/>
        </w:tabs>
        <w:spacing w:before="82" w:line="213" w:lineRule="auto"/>
        <w:ind w:left="2"/>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发包人名称</w:t>
      </w:r>
      <w:r>
        <w:rPr>
          <w:rFonts w:ascii="宋体" w:hAnsi="宋体" w:eastAsia="宋体" w:cs="宋体"/>
          <w:color w:val="auto"/>
          <w:spacing w:val="-31"/>
          <w:sz w:val="24"/>
          <w:szCs w:val="24"/>
          <w:highlight w:val="none"/>
        </w:rPr>
        <w:t>）：</w:t>
      </w:r>
    </w:p>
    <w:p w14:paraId="7DA9AF19">
      <w:pPr>
        <w:spacing w:before="181" w:line="341" w:lineRule="auto"/>
        <w:ind w:firstLine="495"/>
        <w:jc w:val="both"/>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鉴于</w:t>
      </w:r>
      <w:r>
        <w:rPr>
          <w:rFonts w:ascii="宋体" w:hAnsi="宋体" w:eastAsia="宋体" w:cs="宋体"/>
          <w:color w:val="auto"/>
          <w:spacing w:val="-6"/>
          <w:sz w:val="24"/>
          <w:szCs w:val="24"/>
          <w:highlight w:val="none"/>
          <w:u w:val="single" w:color="auto"/>
        </w:rPr>
        <w:t xml:space="preserve">           </w:t>
      </w:r>
      <w:r>
        <w:rPr>
          <w:rFonts w:ascii="宋体" w:hAnsi="宋体" w:eastAsia="宋体" w:cs="宋体"/>
          <w:color w:val="auto"/>
          <w:spacing w:val="-6"/>
          <w:sz w:val="24"/>
          <w:szCs w:val="24"/>
          <w:highlight w:val="none"/>
        </w:rPr>
        <w:t>（</w:t>
      </w:r>
      <w:r>
        <w:rPr>
          <w:rFonts w:ascii="宋体" w:hAnsi="宋体" w:eastAsia="宋体" w:cs="宋体"/>
          <w:i/>
          <w:iCs/>
          <w:color w:val="auto"/>
          <w:spacing w:val="-6"/>
          <w:sz w:val="25"/>
          <w:szCs w:val="25"/>
          <w:highlight w:val="none"/>
        </w:rPr>
        <w:t>发包人名称，以下简称“发包人”</w:t>
      </w:r>
      <w:r>
        <w:rPr>
          <w:rFonts w:ascii="宋体" w:hAnsi="宋体" w:eastAsia="宋体" w:cs="宋体"/>
          <w:color w:val="auto"/>
          <w:spacing w:val="-6"/>
          <w:sz w:val="24"/>
          <w:szCs w:val="24"/>
          <w:highlight w:val="none"/>
        </w:rPr>
        <w:t>）接受</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6"/>
          <w:sz w:val="24"/>
          <w:szCs w:val="24"/>
          <w:highlight w:val="none"/>
        </w:rPr>
        <w:t>（承</w:t>
      </w:r>
      <w:r>
        <w:rPr>
          <w:rFonts w:ascii="宋体" w:hAnsi="宋体" w:eastAsia="宋体" w:cs="宋体"/>
          <w:i/>
          <w:iCs/>
          <w:color w:val="auto"/>
          <w:spacing w:val="-6"/>
          <w:sz w:val="25"/>
          <w:szCs w:val="25"/>
          <w:highlight w:val="none"/>
        </w:rPr>
        <w:t>包</w:t>
      </w:r>
      <w:r>
        <w:rPr>
          <w:rFonts w:ascii="宋体" w:hAnsi="宋体" w:eastAsia="宋体" w:cs="宋体"/>
          <w:color w:val="auto"/>
          <w:spacing w:val="4"/>
          <w:sz w:val="25"/>
          <w:szCs w:val="25"/>
          <w:highlight w:val="none"/>
        </w:rPr>
        <w:t xml:space="preserve"> </w:t>
      </w:r>
      <w:r>
        <w:rPr>
          <w:rFonts w:ascii="宋体" w:hAnsi="宋体" w:eastAsia="宋体" w:cs="宋体"/>
          <w:i/>
          <w:iCs/>
          <w:color w:val="auto"/>
          <w:spacing w:val="-10"/>
          <w:sz w:val="25"/>
          <w:szCs w:val="25"/>
          <w:highlight w:val="none"/>
        </w:rPr>
        <w:t>人名称，以下称“承包人”</w:t>
      </w:r>
      <w:r>
        <w:rPr>
          <w:rFonts w:ascii="宋体" w:hAnsi="宋体" w:eastAsia="宋体" w:cs="宋体"/>
          <w:color w:val="auto"/>
          <w:spacing w:val="-10"/>
          <w:sz w:val="24"/>
          <w:szCs w:val="24"/>
          <w:highlight w:val="none"/>
        </w:rPr>
        <w:t>）于</w:t>
      </w:r>
      <w:r>
        <w:rPr>
          <w:rFonts w:ascii="宋体" w:hAnsi="宋体" w:eastAsia="宋体" w:cs="宋体"/>
          <w:color w:val="auto"/>
          <w:spacing w:val="-90"/>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0"/>
          <w:sz w:val="24"/>
          <w:szCs w:val="24"/>
          <w:highlight w:val="none"/>
        </w:rPr>
        <w:t>年</w:t>
      </w:r>
      <w:r>
        <w:rPr>
          <w:rFonts w:ascii="宋体" w:hAnsi="宋体" w:eastAsia="宋体" w:cs="宋体"/>
          <w:color w:val="auto"/>
          <w:spacing w:val="-1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0"/>
          <w:sz w:val="24"/>
          <w:szCs w:val="24"/>
          <w:highlight w:val="none"/>
        </w:rPr>
        <w:t>月</w:t>
      </w:r>
      <w:r>
        <w:rPr>
          <w:rFonts w:ascii="宋体" w:hAnsi="宋体" w:eastAsia="宋体" w:cs="宋体"/>
          <w:color w:val="auto"/>
          <w:spacing w:val="-118"/>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10"/>
          <w:sz w:val="24"/>
          <w:szCs w:val="24"/>
          <w:highlight w:val="none"/>
        </w:rPr>
        <w:t>日递交的</w:t>
      </w:r>
      <w:r>
        <w:rPr>
          <w:rFonts w:ascii="宋体" w:hAnsi="宋体" w:eastAsia="宋体" w:cs="宋体"/>
          <w:color w:val="auto"/>
          <w:spacing w:val="8"/>
          <w:sz w:val="24"/>
          <w:szCs w:val="24"/>
          <w:highlight w:val="none"/>
          <w:u w:val="single" w:color="auto"/>
        </w:rPr>
        <w:t xml:space="preserve">              </w:t>
      </w:r>
      <w:r>
        <w:rPr>
          <w:rFonts w:ascii="宋体" w:hAnsi="宋体" w:eastAsia="宋体" w:cs="宋体"/>
          <w:color w:val="auto"/>
          <w:spacing w:val="-10"/>
          <w:sz w:val="24"/>
          <w:szCs w:val="24"/>
          <w:highlight w:val="none"/>
        </w:rPr>
        <w:t>（</w:t>
      </w:r>
      <w:r>
        <w:rPr>
          <w:rFonts w:ascii="宋体" w:hAnsi="宋体" w:eastAsia="宋体" w:cs="宋体"/>
          <w:i/>
          <w:iCs/>
          <w:color w:val="auto"/>
          <w:spacing w:val="-10"/>
          <w:sz w:val="25"/>
          <w:szCs w:val="25"/>
          <w:highlight w:val="none"/>
        </w:rPr>
        <w:t>项目名</w:t>
      </w:r>
      <w:r>
        <w:rPr>
          <w:rFonts w:ascii="宋体" w:hAnsi="宋体" w:eastAsia="宋体" w:cs="宋体"/>
          <w:color w:val="auto"/>
          <w:spacing w:val="8"/>
          <w:sz w:val="25"/>
          <w:szCs w:val="25"/>
          <w:highlight w:val="none"/>
        </w:rPr>
        <w:t xml:space="preserve"> </w:t>
      </w:r>
      <w:r>
        <w:rPr>
          <w:rFonts w:ascii="宋体" w:hAnsi="宋体" w:eastAsia="宋体" w:cs="宋体"/>
          <w:i/>
          <w:iCs/>
          <w:color w:val="auto"/>
          <w:spacing w:val="3"/>
          <w:sz w:val="25"/>
          <w:szCs w:val="25"/>
          <w:highlight w:val="none"/>
        </w:rPr>
        <w:t>称</w:t>
      </w:r>
      <w:r>
        <w:rPr>
          <w:rFonts w:ascii="宋体" w:hAnsi="宋体" w:eastAsia="宋体" w:cs="宋体"/>
          <w:color w:val="auto"/>
          <w:spacing w:val="-52"/>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2"/>
          <w:sz w:val="24"/>
          <w:szCs w:val="24"/>
          <w:highlight w:val="none"/>
        </w:rPr>
        <w:t>（</w:t>
      </w:r>
      <w:r>
        <w:rPr>
          <w:rFonts w:ascii="宋体" w:hAnsi="宋体" w:eastAsia="宋体" w:cs="宋体"/>
          <w:i/>
          <w:iCs/>
          <w:color w:val="auto"/>
          <w:spacing w:val="3"/>
          <w:sz w:val="25"/>
          <w:szCs w:val="25"/>
          <w:highlight w:val="none"/>
        </w:rPr>
        <w:t>标段名称</w:t>
      </w:r>
      <w:r>
        <w:rPr>
          <w:rFonts w:ascii="宋体" w:hAnsi="宋体" w:eastAsia="宋体" w:cs="宋体"/>
          <w:color w:val="auto"/>
          <w:spacing w:val="3"/>
          <w:sz w:val="24"/>
          <w:szCs w:val="24"/>
          <w:highlight w:val="none"/>
        </w:rPr>
        <w:t>）的投标文件。我方愿意无条件</w:t>
      </w:r>
      <w:r>
        <w:rPr>
          <w:rFonts w:ascii="宋体" w:hAnsi="宋体" w:eastAsia="宋体" w:cs="宋体"/>
          <w:color w:val="auto"/>
          <w:spacing w:val="2"/>
          <w:sz w:val="24"/>
          <w:szCs w:val="24"/>
          <w:highlight w:val="none"/>
        </w:rPr>
        <w:t>地、不可撤销地就承包人履</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行与你方订立的合同，向你方提供担保。</w:t>
      </w:r>
    </w:p>
    <w:p w14:paraId="368E6A47">
      <w:pPr>
        <w:spacing w:before="36" w:line="219" w:lineRule="auto"/>
        <w:ind w:left="510"/>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4"/>
          <w:sz w:val="24"/>
          <w:szCs w:val="24"/>
          <w:highlight w:val="none"/>
        </w:rPr>
        <w:t>．担保金额人民币（大写）</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4"/>
          <w:sz w:val="24"/>
          <w:szCs w:val="24"/>
          <w:highlight w:val="none"/>
        </w:rPr>
        <w:t>元(￥</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4"/>
          <w:sz w:val="24"/>
          <w:szCs w:val="24"/>
          <w:highlight w:val="none"/>
        </w:rPr>
        <w:t>)。</w:t>
      </w:r>
    </w:p>
    <w:p w14:paraId="5C863E9F">
      <w:pPr>
        <w:spacing w:before="182" w:line="289" w:lineRule="auto"/>
        <w:ind w:left="14" w:right="68" w:firstLine="473"/>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z w:val="24"/>
          <w:szCs w:val="24"/>
          <w:highlight w:val="none"/>
        </w:rPr>
        <w:t>．担保有效期自发包人与承包人签订的合同生效之日起</w:t>
      </w:r>
      <w:r>
        <w:rPr>
          <w:rFonts w:ascii="宋体" w:hAnsi="宋体" w:eastAsia="宋体" w:cs="宋体"/>
          <w:color w:val="auto"/>
          <w:spacing w:val="-1"/>
          <w:sz w:val="24"/>
          <w:szCs w:val="24"/>
          <w:highlight w:val="none"/>
        </w:rPr>
        <w:t>至发包人签发合同工程</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完工证书之日止。</w:t>
      </w:r>
    </w:p>
    <w:p w14:paraId="3AFFD10B">
      <w:pPr>
        <w:spacing w:before="182" w:line="289" w:lineRule="auto"/>
        <w:ind w:left="14" w:right="73" w:firstLine="478"/>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3</w:t>
      </w:r>
      <w:r>
        <w:rPr>
          <w:rFonts w:ascii="Times New Roman" w:hAnsi="Times New Roman" w:eastAsia="Times New Roman" w:cs="Times New Roman"/>
          <w:color w:val="auto"/>
          <w:spacing w:val="-12"/>
          <w:sz w:val="24"/>
          <w:szCs w:val="24"/>
          <w:highlight w:val="none"/>
        </w:rPr>
        <w:t xml:space="preserve"> </w:t>
      </w:r>
      <w:r>
        <w:rPr>
          <w:rFonts w:ascii="宋体" w:hAnsi="宋体" w:eastAsia="宋体" w:cs="宋体"/>
          <w:color w:val="auto"/>
          <w:spacing w:val="-1"/>
          <w:sz w:val="24"/>
          <w:szCs w:val="24"/>
          <w:highlight w:val="none"/>
        </w:rPr>
        <w:t>．在本担保有效期内，因承包人违反合同约定的义务给你方造成经济损失时，</w:t>
      </w:r>
      <w:r>
        <w:rPr>
          <w:rFonts w:ascii="宋体" w:hAnsi="宋体" w:eastAsia="宋体" w:cs="宋体"/>
          <w:color w:val="auto"/>
          <w:sz w:val="24"/>
          <w:szCs w:val="24"/>
          <w:highlight w:val="none"/>
        </w:rPr>
        <w:t xml:space="preserve"> 我方在收到你方以书面形式提出的在担保金额内的赔偿要求后，无条件地在</w:t>
      </w:r>
      <w:r>
        <w:rPr>
          <w:rFonts w:ascii="Times New Roman" w:hAnsi="Times New Roman" w:eastAsia="Times New Roman" w:cs="Times New Roman"/>
          <w:color w:val="auto"/>
          <w:sz w:val="24"/>
          <w:szCs w:val="24"/>
          <w:highlight w:val="none"/>
        </w:rPr>
        <w:t>7</w:t>
      </w:r>
      <w:r>
        <w:rPr>
          <w:rFonts w:ascii="宋体" w:hAnsi="宋体" w:eastAsia="宋体" w:cs="宋体"/>
          <w:color w:val="auto"/>
          <w:sz w:val="24"/>
          <w:szCs w:val="24"/>
          <w:highlight w:val="none"/>
        </w:rPr>
        <w:t>天内予</w:t>
      </w:r>
    </w:p>
    <w:p w14:paraId="4D820651">
      <w:pPr>
        <w:spacing w:before="181" w:line="220" w:lineRule="auto"/>
        <w:ind w:left="39"/>
        <w:rPr>
          <w:rFonts w:ascii="宋体" w:hAnsi="宋体" w:eastAsia="宋体" w:cs="宋体"/>
          <w:color w:val="auto"/>
          <w:sz w:val="24"/>
          <w:szCs w:val="24"/>
          <w:highlight w:val="none"/>
        </w:rPr>
      </w:pPr>
      <w:r>
        <w:rPr>
          <w:rFonts w:ascii="宋体" w:hAnsi="宋体" w:eastAsia="宋体" w:cs="宋体"/>
          <w:color w:val="auto"/>
          <w:spacing w:val="-14"/>
          <w:sz w:val="24"/>
          <w:szCs w:val="24"/>
          <w:highlight w:val="none"/>
        </w:rPr>
        <w:t>以支付。</w:t>
      </w:r>
    </w:p>
    <w:p w14:paraId="7A90E1C4">
      <w:pPr>
        <w:spacing w:before="182" w:line="345" w:lineRule="auto"/>
        <w:ind w:left="17" w:right="68" w:firstLine="468"/>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4</w:t>
      </w:r>
      <w:r>
        <w:rPr>
          <w:rFonts w:ascii="Times New Roman" w:hAnsi="Times New Roman" w:eastAsia="Times New Roman" w:cs="Times New Roman"/>
          <w:color w:val="auto"/>
          <w:spacing w:val="-29"/>
          <w:sz w:val="24"/>
          <w:szCs w:val="24"/>
          <w:highlight w:val="none"/>
        </w:rPr>
        <w:t xml:space="preserve"> </w:t>
      </w:r>
      <w:r>
        <w:rPr>
          <w:rFonts w:ascii="宋体" w:hAnsi="宋体" w:eastAsia="宋体" w:cs="宋体"/>
          <w:color w:val="auto"/>
          <w:sz w:val="24"/>
          <w:szCs w:val="24"/>
          <w:highlight w:val="none"/>
        </w:rPr>
        <w:t>．发包人和承包人按《通用合同条款》第</w:t>
      </w:r>
      <w:r>
        <w:rPr>
          <w:rFonts w:ascii="Times New Roman" w:hAnsi="Times New Roman" w:eastAsia="Times New Roman" w:cs="Times New Roman"/>
          <w:color w:val="auto"/>
          <w:sz w:val="24"/>
          <w:szCs w:val="24"/>
          <w:highlight w:val="none"/>
        </w:rPr>
        <w:t>15</w:t>
      </w:r>
      <w:r>
        <w:rPr>
          <w:rFonts w:ascii="宋体" w:hAnsi="宋体" w:eastAsia="宋体" w:cs="宋体"/>
          <w:color w:val="auto"/>
          <w:sz w:val="24"/>
          <w:szCs w:val="24"/>
          <w:highlight w:val="none"/>
        </w:rPr>
        <w:t>条变更合同时，</w:t>
      </w:r>
      <w:r>
        <w:rPr>
          <w:rFonts w:ascii="宋体" w:hAnsi="宋体" w:eastAsia="宋体" w:cs="宋体"/>
          <w:color w:val="auto"/>
          <w:spacing w:val="-1"/>
          <w:sz w:val="24"/>
          <w:szCs w:val="24"/>
          <w:highlight w:val="none"/>
        </w:rPr>
        <w:t>我方承担本担保规</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定的义务不变。</w:t>
      </w:r>
    </w:p>
    <w:p w14:paraId="6C33DFB9">
      <w:pPr>
        <w:pStyle w:val="3"/>
        <w:spacing w:line="260" w:lineRule="auto"/>
        <w:rPr>
          <w:color w:val="auto"/>
          <w:highlight w:val="none"/>
        </w:rPr>
      </w:pPr>
    </w:p>
    <w:p w14:paraId="24D81540">
      <w:pPr>
        <w:pStyle w:val="3"/>
        <w:spacing w:line="260" w:lineRule="auto"/>
        <w:rPr>
          <w:color w:val="auto"/>
          <w:highlight w:val="none"/>
        </w:rPr>
      </w:pPr>
    </w:p>
    <w:p w14:paraId="56BBC6FC">
      <w:pPr>
        <w:pStyle w:val="3"/>
        <w:spacing w:line="261" w:lineRule="auto"/>
        <w:rPr>
          <w:color w:val="auto"/>
          <w:highlight w:val="none"/>
        </w:rPr>
      </w:pPr>
    </w:p>
    <w:p w14:paraId="299BB832">
      <w:pPr>
        <w:spacing w:before="79" w:line="219" w:lineRule="auto"/>
        <w:ind w:left="349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担保人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3"/>
          <w:sz w:val="24"/>
          <w:szCs w:val="24"/>
          <w:highlight w:val="none"/>
        </w:rPr>
        <w:t>盖单位章）</w:t>
      </w:r>
    </w:p>
    <w:p w14:paraId="6F7362A7">
      <w:pPr>
        <w:pStyle w:val="3"/>
        <w:spacing w:line="257" w:lineRule="auto"/>
        <w:rPr>
          <w:color w:val="auto"/>
          <w:highlight w:val="none"/>
        </w:rPr>
      </w:pPr>
    </w:p>
    <w:p w14:paraId="0ABCC177">
      <w:pPr>
        <w:pStyle w:val="3"/>
        <w:spacing w:line="257" w:lineRule="auto"/>
        <w:rPr>
          <w:color w:val="auto"/>
          <w:highlight w:val="none"/>
        </w:rPr>
      </w:pPr>
    </w:p>
    <w:p w14:paraId="7BB39EF1">
      <w:pPr>
        <w:spacing w:before="78" w:line="220" w:lineRule="auto"/>
        <w:ind w:left="333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法定代表人或其委托代理人</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签字）</w:t>
      </w:r>
    </w:p>
    <w:p w14:paraId="0A031233">
      <w:pPr>
        <w:pStyle w:val="3"/>
        <w:spacing w:line="256" w:lineRule="auto"/>
        <w:rPr>
          <w:color w:val="auto"/>
          <w:highlight w:val="none"/>
        </w:rPr>
      </w:pPr>
    </w:p>
    <w:p w14:paraId="03ACF3DE">
      <w:pPr>
        <w:pStyle w:val="3"/>
        <w:spacing w:line="257" w:lineRule="auto"/>
        <w:rPr>
          <w:color w:val="auto"/>
          <w:highlight w:val="none"/>
        </w:rPr>
      </w:pPr>
    </w:p>
    <w:p w14:paraId="785F42E7">
      <w:pPr>
        <w:tabs>
          <w:tab w:val="left" w:pos="7202"/>
        </w:tabs>
        <w:spacing w:before="79" w:line="352" w:lineRule="auto"/>
        <w:ind w:left="3490" w:right="1657" w:firstLine="1"/>
        <w:jc w:val="both"/>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地</w:t>
      </w:r>
      <w:r>
        <w:rPr>
          <w:rFonts w:ascii="宋体" w:hAnsi="宋体" w:eastAsia="宋体" w:cs="宋体"/>
          <w:color w:val="auto"/>
          <w:spacing w:val="2"/>
          <w:sz w:val="24"/>
          <w:szCs w:val="24"/>
          <w:highlight w:val="none"/>
        </w:rPr>
        <w:t xml:space="preserve">    </w:t>
      </w:r>
      <w:r>
        <w:rPr>
          <w:rFonts w:ascii="宋体" w:hAnsi="宋体" w:eastAsia="宋体" w:cs="宋体"/>
          <w:color w:val="auto"/>
          <w:spacing w:val="-7"/>
          <w:sz w:val="24"/>
          <w:szCs w:val="24"/>
          <w:highlight w:val="none"/>
        </w:rPr>
        <w:t>址：</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邮政编码：</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电</w:t>
      </w:r>
      <w:r>
        <w:rPr>
          <w:rFonts w:ascii="宋体" w:hAnsi="宋体" w:eastAsia="宋体" w:cs="宋体"/>
          <w:color w:val="auto"/>
          <w:spacing w:val="2"/>
          <w:sz w:val="24"/>
          <w:szCs w:val="24"/>
          <w:highlight w:val="none"/>
        </w:rPr>
        <w:t xml:space="preserve">    </w:t>
      </w:r>
      <w:r>
        <w:rPr>
          <w:rFonts w:ascii="宋体" w:hAnsi="宋体" w:eastAsia="宋体" w:cs="宋体"/>
          <w:color w:val="auto"/>
          <w:spacing w:val="-6"/>
          <w:sz w:val="24"/>
          <w:szCs w:val="24"/>
          <w:highlight w:val="none"/>
        </w:rPr>
        <w:t>话：</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传</w:t>
      </w:r>
      <w:r>
        <w:rPr>
          <w:rFonts w:ascii="宋体" w:hAnsi="宋体" w:eastAsia="宋体" w:cs="宋体"/>
          <w:color w:val="auto"/>
          <w:spacing w:val="3"/>
          <w:sz w:val="24"/>
          <w:szCs w:val="24"/>
          <w:highlight w:val="none"/>
        </w:rPr>
        <w:t xml:space="preserve">    </w:t>
      </w:r>
      <w:r>
        <w:rPr>
          <w:rFonts w:ascii="宋体" w:hAnsi="宋体" w:eastAsia="宋体" w:cs="宋体"/>
          <w:color w:val="auto"/>
          <w:spacing w:val="-7"/>
          <w:sz w:val="24"/>
          <w:szCs w:val="24"/>
          <w:highlight w:val="none"/>
        </w:rPr>
        <w:t>真：</w:t>
      </w:r>
      <w:r>
        <w:rPr>
          <w:rFonts w:ascii="宋体" w:hAnsi="宋体" w:eastAsia="宋体" w:cs="宋体"/>
          <w:color w:val="auto"/>
          <w:sz w:val="24"/>
          <w:szCs w:val="24"/>
          <w:highlight w:val="none"/>
          <w:u w:val="single" w:color="auto"/>
        </w:rPr>
        <w:t xml:space="preserve">                     </w:t>
      </w:r>
    </w:p>
    <w:p w14:paraId="360306F4">
      <w:pPr>
        <w:pStyle w:val="3"/>
        <w:spacing w:line="369" w:lineRule="auto"/>
        <w:rPr>
          <w:color w:val="auto"/>
          <w:highlight w:val="none"/>
        </w:rPr>
      </w:pPr>
    </w:p>
    <w:p w14:paraId="4C5AA1AB">
      <w:pPr>
        <w:tabs>
          <w:tab w:val="left" w:pos="5414"/>
        </w:tabs>
        <w:spacing w:before="78" w:line="220" w:lineRule="auto"/>
        <w:ind w:left="4694"/>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37E3588E">
      <w:pPr>
        <w:spacing w:before="176" w:line="220"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注：委托代理人应附授权委托书。</w:t>
      </w:r>
    </w:p>
    <w:p w14:paraId="6DC6CD7A">
      <w:pPr>
        <w:spacing w:line="220" w:lineRule="auto"/>
        <w:rPr>
          <w:rFonts w:ascii="宋体" w:hAnsi="宋体" w:eastAsia="宋体" w:cs="宋体"/>
          <w:color w:val="auto"/>
          <w:sz w:val="21"/>
          <w:szCs w:val="21"/>
          <w:highlight w:val="none"/>
        </w:rPr>
        <w:sectPr>
          <w:pgSz w:w="11905" w:h="16843"/>
          <w:pgMar w:top="1429" w:right="1361" w:bottom="1253" w:left="1621" w:header="0" w:footer="1094" w:gutter="0"/>
          <w:pgNumType w:fmt="decimal"/>
          <w:cols w:space="0" w:num="1"/>
          <w:rtlGutter w:val="0"/>
          <w:docGrid w:linePitch="0" w:charSpace="0"/>
        </w:sectPr>
      </w:pPr>
    </w:p>
    <w:p w14:paraId="69C6A544">
      <w:pPr>
        <w:spacing w:before="56" w:line="219" w:lineRule="auto"/>
        <w:ind w:left="23"/>
        <w:outlineLvl w:val="1"/>
        <w:rPr>
          <w:rFonts w:ascii="宋体" w:hAnsi="宋体" w:eastAsia="宋体" w:cs="宋体"/>
          <w:color w:val="auto"/>
          <w:sz w:val="28"/>
          <w:szCs w:val="28"/>
          <w:highlight w:val="none"/>
        </w:rPr>
      </w:pPr>
      <w:bookmarkStart w:id="771" w:name="bookmark780"/>
      <w:bookmarkEnd w:id="771"/>
      <w:bookmarkStart w:id="772" w:name="bookmark779"/>
      <w:bookmarkEnd w:id="772"/>
      <w:bookmarkStart w:id="773" w:name="_Toc27232"/>
      <w:bookmarkStart w:id="774" w:name="_Toc22537"/>
      <w:r>
        <w:rPr>
          <w:rFonts w:ascii="宋体" w:hAnsi="宋体" w:eastAsia="宋体" w:cs="宋体"/>
          <w:b/>
          <w:bCs/>
          <w:color w:val="auto"/>
          <w:spacing w:val="-5"/>
          <w:sz w:val="28"/>
          <w:szCs w:val="28"/>
          <w:highlight w:val="none"/>
        </w:rPr>
        <w:t>附件三</w:t>
      </w:r>
      <w:r>
        <w:rPr>
          <w:rFonts w:ascii="宋体" w:hAnsi="宋体" w:eastAsia="宋体" w:cs="宋体"/>
          <w:color w:val="auto"/>
          <w:spacing w:val="-5"/>
          <w:sz w:val="28"/>
          <w:szCs w:val="28"/>
          <w:highlight w:val="none"/>
        </w:rPr>
        <w:t xml:space="preserve">  </w:t>
      </w:r>
      <w:r>
        <w:rPr>
          <w:rFonts w:ascii="宋体" w:hAnsi="宋体" w:eastAsia="宋体" w:cs="宋体"/>
          <w:b/>
          <w:bCs/>
          <w:color w:val="auto"/>
          <w:spacing w:val="-5"/>
          <w:sz w:val="28"/>
          <w:szCs w:val="28"/>
          <w:highlight w:val="none"/>
        </w:rPr>
        <w:t>工程廉政责任书（格式）</w:t>
      </w:r>
      <w:bookmarkEnd w:id="773"/>
      <w:bookmarkEnd w:id="774"/>
    </w:p>
    <w:p w14:paraId="2EA3C3A7">
      <w:pPr>
        <w:pStyle w:val="3"/>
        <w:spacing w:line="246" w:lineRule="auto"/>
        <w:rPr>
          <w:color w:val="auto"/>
          <w:highlight w:val="none"/>
        </w:rPr>
      </w:pPr>
    </w:p>
    <w:p w14:paraId="53A2EE77">
      <w:pPr>
        <w:spacing w:before="78" w:line="219" w:lineRule="auto"/>
        <w:ind w:left="3552"/>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工程廉政责任书</w:t>
      </w:r>
    </w:p>
    <w:p w14:paraId="7A9C8BCC">
      <w:pPr>
        <w:spacing w:before="181" w:line="346" w:lineRule="auto"/>
        <w:ind w:right="87" w:firstLine="482"/>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为加强工程建设中的廉政建设，保证工程建设高效优质完成，保证建设资金的安</w:t>
      </w:r>
      <w:r>
        <w:rPr>
          <w:rFonts w:ascii="宋体" w:hAnsi="宋体" w:eastAsia="宋体" w:cs="宋体"/>
          <w:color w:val="auto"/>
          <w:sz w:val="24"/>
          <w:szCs w:val="24"/>
          <w:highlight w:val="none"/>
        </w:rPr>
        <w:t xml:space="preserve"> 全和有效使用</w:t>
      </w:r>
      <w:r>
        <w:rPr>
          <w:rFonts w:ascii="宋体" w:hAnsi="宋体" w:eastAsia="宋体" w:cs="宋体"/>
          <w:color w:val="auto"/>
          <w:spacing w:val="-15"/>
          <w:sz w:val="24"/>
          <w:szCs w:val="24"/>
          <w:highlight w:val="none"/>
        </w:rPr>
        <w:t>，</w:t>
      </w:r>
      <w:r>
        <w:rPr>
          <w:rFonts w:ascii="宋体" w:hAnsi="宋体" w:eastAsia="宋体" w:cs="宋体"/>
          <w:color w:val="auto"/>
          <w:spacing w:val="7"/>
          <w:sz w:val="24"/>
          <w:szCs w:val="24"/>
          <w:highlight w:val="none"/>
          <w:u w:val="single" w:color="auto"/>
        </w:rPr>
        <w:t xml:space="preserve">                </w:t>
      </w:r>
      <w:r>
        <w:rPr>
          <w:rFonts w:ascii="宋体" w:hAnsi="宋体" w:eastAsia="宋体" w:cs="宋体"/>
          <w:color w:val="auto"/>
          <w:spacing w:val="-15"/>
          <w:sz w:val="24"/>
          <w:szCs w:val="24"/>
          <w:highlight w:val="none"/>
        </w:rPr>
        <w:t>（</w:t>
      </w:r>
      <w:r>
        <w:rPr>
          <w:rFonts w:ascii="宋体" w:hAnsi="宋体" w:eastAsia="宋体" w:cs="宋体"/>
          <w:i/>
          <w:iCs/>
          <w:color w:val="auto"/>
          <w:sz w:val="25"/>
          <w:szCs w:val="25"/>
          <w:highlight w:val="none"/>
        </w:rPr>
        <w:t>项目名称</w:t>
      </w:r>
      <w:r>
        <w:rPr>
          <w:rFonts w:ascii="宋体" w:hAnsi="宋体" w:eastAsia="宋体" w:cs="宋体"/>
          <w:color w:val="auto"/>
          <w:sz w:val="24"/>
          <w:szCs w:val="24"/>
          <w:highlight w:val="none"/>
        </w:rPr>
        <w:t>）的发包人</w:t>
      </w:r>
      <w:r>
        <w:rPr>
          <w:rFonts w:ascii="宋体" w:hAnsi="宋体" w:eastAsia="宋体" w:cs="宋体"/>
          <w:color w:val="auto"/>
          <w:spacing w:val="-111"/>
          <w:sz w:val="24"/>
          <w:szCs w:val="24"/>
          <w:highlight w:val="none"/>
        </w:rPr>
        <w:t xml:space="preserve"> </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z w:val="24"/>
          <w:szCs w:val="24"/>
          <w:highlight w:val="none"/>
        </w:rPr>
        <w:t xml:space="preserve">（以下称 </w:t>
      </w:r>
      <w:r>
        <w:rPr>
          <w:rFonts w:ascii="宋体" w:hAnsi="宋体" w:eastAsia="宋体" w:cs="宋体"/>
          <w:color w:val="auto"/>
          <w:spacing w:val="-1"/>
          <w:sz w:val="24"/>
          <w:szCs w:val="24"/>
          <w:highlight w:val="none"/>
        </w:rPr>
        <w:t>甲方）与承包人</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（以下称乙方</w:t>
      </w:r>
      <w:r>
        <w:rPr>
          <w:rFonts w:ascii="宋体" w:hAnsi="宋体" w:eastAsia="宋体" w:cs="宋体"/>
          <w:color w:val="auto"/>
          <w:spacing w:val="-2"/>
          <w:sz w:val="24"/>
          <w:szCs w:val="24"/>
          <w:highlight w:val="none"/>
        </w:rPr>
        <w:t>），</w:t>
      </w:r>
      <w:r>
        <w:rPr>
          <w:rFonts w:ascii="宋体" w:hAnsi="宋体" w:eastAsia="宋体" w:cs="宋体"/>
          <w:color w:val="auto"/>
          <w:spacing w:val="-1"/>
          <w:sz w:val="24"/>
          <w:szCs w:val="24"/>
          <w:highlight w:val="none"/>
        </w:rPr>
        <w:t>特订立如下责任</w:t>
      </w:r>
      <w:r>
        <w:rPr>
          <w:rFonts w:ascii="宋体" w:hAnsi="宋体" w:eastAsia="宋体" w:cs="宋体"/>
          <w:color w:val="auto"/>
          <w:spacing w:val="-2"/>
          <w:sz w:val="24"/>
          <w:szCs w:val="24"/>
          <w:highlight w:val="none"/>
        </w:rPr>
        <w:t>书。</w:t>
      </w:r>
    </w:p>
    <w:p w14:paraId="1F04F772">
      <w:pPr>
        <w:spacing w:before="32" w:line="220" w:lineRule="auto"/>
        <w:ind w:left="48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第一条</w:t>
      </w:r>
      <w:r>
        <w:rPr>
          <w:rFonts w:ascii="宋体" w:hAnsi="宋体" w:eastAsia="宋体" w:cs="宋体"/>
          <w:color w:val="auto"/>
          <w:spacing w:val="22"/>
          <w:sz w:val="24"/>
          <w:szCs w:val="24"/>
          <w:highlight w:val="none"/>
        </w:rPr>
        <w:t xml:space="preserve">  </w:t>
      </w:r>
      <w:r>
        <w:rPr>
          <w:rFonts w:ascii="宋体" w:hAnsi="宋体" w:eastAsia="宋体" w:cs="宋体"/>
          <w:color w:val="auto"/>
          <w:spacing w:val="-4"/>
          <w:sz w:val="24"/>
          <w:szCs w:val="24"/>
          <w:highlight w:val="none"/>
        </w:rPr>
        <w:t>甲乙双方的权利和义务</w:t>
      </w:r>
    </w:p>
    <w:p w14:paraId="335F78E3">
      <w:pPr>
        <w:spacing w:before="182" w:line="220" w:lineRule="auto"/>
        <w:ind w:left="68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（一）严格遵守党和国家工程建设的有关法律法规及水利部门的有关规定。</w:t>
      </w:r>
    </w:p>
    <w:p w14:paraId="15AB3C5C">
      <w:pPr>
        <w:spacing w:before="179" w:line="220" w:lineRule="auto"/>
        <w:ind w:left="486"/>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（二）严格执行</w:t>
      </w:r>
      <w:r>
        <w:rPr>
          <w:rFonts w:ascii="宋体" w:hAnsi="宋体" w:eastAsia="宋体" w:cs="宋体"/>
          <w:color w:val="auto"/>
          <w:spacing w:val="-92"/>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1"/>
          <w:sz w:val="24"/>
          <w:szCs w:val="24"/>
          <w:highlight w:val="none"/>
        </w:rPr>
        <w:t xml:space="preserve"> </w:t>
      </w:r>
      <w:r>
        <w:rPr>
          <w:rFonts w:ascii="宋体" w:hAnsi="宋体" w:eastAsia="宋体" w:cs="宋体"/>
          <w:color w:val="auto"/>
          <w:spacing w:val="-5"/>
          <w:sz w:val="24"/>
          <w:szCs w:val="24"/>
          <w:highlight w:val="none"/>
        </w:rPr>
        <w:t>的合同文件，自觉按合同办事。</w:t>
      </w:r>
    </w:p>
    <w:p w14:paraId="357CC11E">
      <w:pPr>
        <w:spacing w:before="182" w:line="313" w:lineRule="auto"/>
        <w:ind w:left="2" w:right="87" w:firstLine="50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（三）双方的业务活动坚持公开、公平、公正、诚信、透明的</w:t>
      </w:r>
      <w:r>
        <w:rPr>
          <w:rFonts w:ascii="宋体" w:hAnsi="宋体" w:eastAsia="宋体" w:cs="宋体"/>
          <w:color w:val="auto"/>
          <w:spacing w:val="-5"/>
          <w:sz w:val="24"/>
          <w:szCs w:val="24"/>
          <w:highlight w:val="none"/>
        </w:rPr>
        <w:t>原则（除法律认定</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的商业秘密和合同文件另有规定之外</w:t>
      </w:r>
      <w:r>
        <w:rPr>
          <w:rFonts w:ascii="宋体" w:hAnsi="宋体" w:eastAsia="宋体" w:cs="宋体"/>
          <w:color w:val="auto"/>
          <w:spacing w:val="-18"/>
          <w:sz w:val="24"/>
          <w:szCs w:val="24"/>
          <w:highlight w:val="none"/>
        </w:rPr>
        <w:t>），</w:t>
      </w:r>
      <w:r>
        <w:rPr>
          <w:rFonts w:ascii="宋体" w:hAnsi="宋体" w:eastAsia="宋体" w:cs="宋体"/>
          <w:color w:val="auto"/>
          <w:spacing w:val="-2"/>
          <w:sz w:val="24"/>
          <w:szCs w:val="24"/>
          <w:highlight w:val="none"/>
        </w:rPr>
        <w:t>不得损害国家和集体利益，违反工程建设管</w:t>
      </w:r>
      <w:r>
        <w:rPr>
          <w:rFonts w:ascii="宋体" w:hAnsi="宋体" w:eastAsia="宋体" w:cs="宋体"/>
          <w:color w:val="auto"/>
          <w:spacing w:val="1"/>
          <w:sz w:val="24"/>
          <w:szCs w:val="24"/>
          <w:highlight w:val="none"/>
        </w:rPr>
        <w:t xml:space="preserve"> </w:t>
      </w:r>
      <w:r>
        <w:rPr>
          <w:rFonts w:ascii="宋体" w:hAnsi="宋体" w:eastAsia="宋体" w:cs="宋体"/>
          <w:color w:val="auto"/>
          <w:spacing w:val="-9"/>
          <w:sz w:val="24"/>
          <w:szCs w:val="24"/>
          <w:highlight w:val="none"/>
        </w:rPr>
        <w:t>理规定。</w:t>
      </w:r>
    </w:p>
    <w:p w14:paraId="4DD59C2B">
      <w:pPr>
        <w:spacing w:before="181" w:line="289" w:lineRule="auto"/>
        <w:ind w:right="97" w:firstLine="509"/>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（四）建立健全廉政制度、监督制度和处罚制度， 开展</w:t>
      </w:r>
      <w:r>
        <w:rPr>
          <w:rFonts w:ascii="宋体" w:hAnsi="宋体" w:eastAsia="宋体" w:cs="宋体"/>
          <w:color w:val="auto"/>
          <w:spacing w:val="-8"/>
          <w:sz w:val="24"/>
          <w:szCs w:val="24"/>
          <w:highlight w:val="none"/>
        </w:rPr>
        <w:t>廉政教育，设立廉政告示</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牌，公布举报电话。</w:t>
      </w:r>
    </w:p>
    <w:p w14:paraId="3135D262">
      <w:pPr>
        <w:spacing w:before="180" w:line="290" w:lineRule="auto"/>
        <w:ind w:right="96" w:firstLine="50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（五）发现对方在业务活动中有违反廉政规定的行为，有及时提醒对方纠正</w:t>
      </w:r>
      <w:r>
        <w:rPr>
          <w:rFonts w:ascii="宋体" w:hAnsi="宋体" w:eastAsia="宋体" w:cs="宋体"/>
          <w:color w:val="auto"/>
          <w:spacing w:val="-5"/>
          <w:sz w:val="24"/>
          <w:szCs w:val="24"/>
          <w:highlight w:val="none"/>
        </w:rPr>
        <w:t>的权</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利和义务。</w:t>
      </w:r>
    </w:p>
    <w:p w14:paraId="1E3758C0">
      <w:pPr>
        <w:spacing w:before="180" w:line="289" w:lineRule="auto"/>
        <w:ind w:left="2" w:firstLine="50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（六）发现对方严重违反本责任书义务条款的行为，有向</w:t>
      </w:r>
      <w:r>
        <w:rPr>
          <w:rFonts w:ascii="宋体" w:hAnsi="宋体" w:eastAsia="宋体" w:cs="宋体"/>
          <w:color w:val="auto"/>
          <w:spacing w:val="-2"/>
          <w:sz w:val="24"/>
          <w:szCs w:val="24"/>
          <w:highlight w:val="none"/>
        </w:rPr>
        <w:t>其上级有关部门举报、</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建议给予处理并要求告知处理结果的权利。</w:t>
      </w:r>
    </w:p>
    <w:p w14:paraId="26EBDADB">
      <w:pPr>
        <w:spacing w:before="182" w:line="220" w:lineRule="auto"/>
        <w:ind w:left="48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第二条</w:t>
      </w:r>
      <w:r>
        <w:rPr>
          <w:rFonts w:ascii="宋体" w:hAnsi="宋体" w:eastAsia="宋体" w:cs="宋体"/>
          <w:color w:val="auto"/>
          <w:spacing w:val="22"/>
          <w:sz w:val="24"/>
          <w:szCs w:val="24"/>
          <w:highlight w:val="none"/>
        </w:rPr>
        <w:t xml:space="preserve">  </w:t>
      </w:r>
      <w:r>
        <w:rPr>
          <w:rFonts w:ascii="宋体" w:hAnsi="宋体" w:eastAsia="宋体" w:cs="宋体"/>
          <w:color w:val="auto"/>
          <w:spacing w:val="-6"/>
          <w:sz w:val="24"/>
          <w:szCs w:val="24"/>
          <w:highlight w:val="none"/>
        </w:rPr>
        <w:t>甲方的义务</w:t>
      </w:r>
    </w:p>
    <w:p w14:paraId="7D2E1632">
      <w:pPr>
        <w:spacing w:before="182" w:line="290" w:lineRule="auto"/>
        <w:ind w:left="3" w:right="21" w:firstLine="48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（一）甲方及其工作人员不得索要或接受乙方的礼金、礼券、有</w:t>
      </w:r>
      <w:r>
        <w:rPr>
          <w:rFonts w:ascii="宋体" w:hAnsi="宋体" w:eastAsia="宋体" w:cs="宋体"/>
          <w:color w:val="auto"/>
          <w:spacing w:val="-2"/>
          <w:sz w:val="24"/>
          <w:szCs w:val="24"/>
          <w:highlight w:val="none"/>
        </w:rPr>
        <w:t>价证券和物品，</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不得到乙方报销任何由甲方或个人支付的费</w:t>
      </w:r>
      <w:r>
        <w:rPr>
          <w:rFonts w:ascii="宋体" w:hAnsi="宋体" w:eastAsia="宋体" w:cs="宋体"/>
          <w:color w:val="auto"/>
          <w:spacing w:val="-3"/>
          <w:sz w:val="24"/>
          <w:szCs w:val="24"/>
          <w:highlight w:val="none"/>
        </w:rPr>
        <w:t>用等。</w:t>
      </w:r>
    </w:p>
    <w:p w14:paraId="31003814">
      <w:pPr>
        <w:spacing w:before="179" w:line="290" w:lineRule="auto"/>
        <w:ind w:left="1" w:right="119" w:firstLine="484"/>
        <w:rPr>
          <w:rFonts w:ascii="宋体" w:hAnsi="宋体" w:eastAsia="宋体" w:cs="宋体"/>
          <w:color w:val="auto"/>
          <w:sz w:val="24"/>
          <w:szCs w:val="24"/>
          <w:highlight w:val="none"/>
        </w:rPr>
      </w:pPr>
      <w:r>
        <w:rPr>
          <w:rFonts w:ascii="宋体" w:hAnsi="宋体" w:eastAsia="宋体" w:cs="宋体"/>
          <w:color w:val="auto"/>
          <w:spacing w:val="-7"/>
          <w:sz w:val="24"/>
          <w:szCs w:val="24"/>
          <w:highlight w:val="none"/>
        </w:rPr>
        <w:t>（二）甲方不得有意刁难、拖延承包商工程款， 不得违反规定</w:t>
      </w:r>
      <w:r>
        <w:rPr>
          <w:rFonts w:ascii="宋体" w:hAnsi="宋体" w:eastAsia="宋体" w:cs="宋体"/>
          <w:color w:val="auto"/>
          <w:spacing w:val="-8"/>
          <w:sz w:val="24"/>
          <w:szCs w:val="24"/>
          <w:highlight w:val="none"/>
        </w:rPr>
        <w:t>批拨工程建设费用</w:t>
      </w:r>
      <w:r>
        <w:rPr>
          <w:rFonts w:ascii="宋体" w:hAnsi="宋体" w:eastAsia="宋体" w:cs="宋体"/>
          <w:color w:val="auto"/>
          <w:sz w:val="24"/>
          <w:szCs w:val="24"/>
          <w:highlight w:val="none"/>
        </w:rPr>
        <w:t xml:space="preserve"> </w:t>
      </w:r>
      <w:r>
        <w:rPr>
          <w:rFonts w:ascii="宋体" w:hAnsi="宋体" w:eastAsia="宋体" w:cs="宋体"/>
          <w:color w:val="auto"/>
          <w:spacing w:val="-12"/>
          <w:sz w:val="24"/>
          <w:szCs w:val="24"/>
          <w:highlight w:val="none"/>
        </w:rPr>
        <w:t>等。</w:t>
      </w:r>
    </w:p>
    <w:p w14:paraId="550A46F6">
      <w:pPr>
        <w:spacing w:before="180" w:line="290" w:lineRule="auto"/>
        <w:ind w:right="106" w:firstLine="486"/>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（三）甲方工作人员不得参加乙方安排的宴请和娱乐活动；不得接受乙方提供的</w:t>
      </w:r>
      <w:r>
        <w:rPr>
          <w:rFonts w:ascii="宋体" w:hAnsi="宋体" w:eastAsia="宋体" w:cs="宋体"/>
          <w:color w:val="auto"/>
          <w:spacing w:val="13"/>
          <w:sz w:val="24"/>
          <w:szCs w:val="24"/>
          <w:highlight w:val="none"/>
        </w:rPr>
        <w:t xml:space="preserve"> </w:t>
      </w:r>
      <w:r>
        <w:rPr>
          <w:rFonts w:ascii="宋体" w:hAnsi="宋体" w:eastAsia="宋体" w:cs="宋体"/>
          <w:color w:val="auto"/>
          <w:spacing w:val="-3"/>
          <w:sz w:val="24"/>
          <w:szCs w:val="24"/>
          <w:highlight w:val="none"/>
        </w:rPr>
        <w:t>通讯工具、交通工具和高档办公用品等。</w:t>
      </w:r>
    </w:p>
    <w:p w14:paraId="162F1344">
      <w:pPr>
        <w:spacing w:before="181" w:line="289" w:lineRule="auto"/>
        <w:ind w:left="4" w:right="2" w:firstLine="48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（四）甲方及其工作人员不得要求或者接受乙方为其住房装修、操办婚丧嫁娶、</w:t>
      </w:r>
      <w:r>
        <w:rPr>
          <w:rFonts w:ascii="宋体" w:hAnsi="宋体" w:eastAsia="宋体" w:cs="宋体"/>
          <w:color w:val="auto"/>
          <w:spacing w:val="12"/>
          <w:sz w:val="24"/>
          <w:szCs w:val="24"/>
          <w:highlight w:val="none"/>
        </w:rPr>
        <w:t xml:space="preserve"> </w:t>
      </w:r>
      <w:r>
        <w:rPr>
          <w:rFonts w:ascii="宋体" w:hAnsi="宋体" w:eastAsia="宋体" w:cs="宋体"/>
          <w:color w:val="auto"/>
          <w:spacing w:val="-3"/>
          <w:sz w:val="24"/>
          <w:szCs w:val="24"/>
          <w:highlight w:val="none"/>
        </w:rPr>
        <w:t>安排配偶子女的工作以及出国出境、旅游等。</w:t>
      </w:r>
    </w:p>
    <w:p w14:paraId="408FA2B8">
      <w:pPr>
        <w:spacing w:before="183" w:line="289" w:lineRule="auto"/>
        <w:ind w:left="2" w:right="98" w:firstLine="483"/>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（五）甲方工作人员的配偶、子女及下属单位</w:t>
      </w:r>
      <w:r>
        <w:rPr>
          <w:rFonts w:ascii="宋体" w:hAnsi="宋体" w:eastAsia="宋体" w:cs="宋体"/>
          <w:color w:val="auto"/>
          <w:spacing w:val="-4"/>
          <w:sz w:val="24"/>
          <w:szCs w:val="24"/>
          <w:highlight w:val="none"/>
        </w:rPr>
        <w:t>不得从事与甲方工程有关的材料设</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备供应、工程分包、劳务等经济活动。</w:t>
      </w:r>
    </w:p>
    <w:p w14:paraId="3E73362F">
      <w:pPr>
        <w:spacing w:before="180" w:line="219" w:lineRule="auto"/>
        <w:ind w:left="48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（六）甲方及其工作人员不得以任何理由向乙方推荐</w:t>
      </w:r>
      <w:r>
        <w:rPr>
          <w:rFonts w:ascii="宋体" w:hAnsi="宋体" w:eastAsia="宋体" w:cs="宋体"/>
          <w:color w:val="auto"/>
          <w:spacing w:val="-4"/>
          <w:sz w:val="24"/>
          <w:szCs w:val="24"/>
          <w:highlight w:val="none"/>
        </w:rPr>
        <w:t>分包单位，不得要求乙方购</w:t>
      </w:r>
    </w:p>
    <w:p w14:paraId="684CC790">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A22F20D">
      <w:pPr>
        <w:spacing w:before="47" w:line="347" w:lineRule="auto"/>
        <w:ind w:left="480" w:right="5704" w:hanging="470"/>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买合同规定外的材料和设备。</w:t>
      </w:r>
      <w:r>
        <w:rPr>
          <w:rFonts w:ascii="宋体" w:hAnsi="宋体" w:eastAsia="宋体" w:cs="宋体"/>
          <w:color w:val="auto"/>
          <w:spacing w:val="10"/>
          <w:sz w:val="24"/>
          <w:szCs w:val="24"/>
          <w:highlight w:val="none"/>
        </w:rPr>
        <w:t xml:space="preserve"> </w:t>
      </w:r>
      <w:r>
        <w:rPr>
          <w:rFonts w:ascii="宋体" w:hAnsi="宋体" w:eastAsia="宋体" w:cs="宋体"/>
          <w:color w:val="auto"/>
          <w:spacing w:val="-5"/>
          <w:sz w:val="24"/>
          <w:szCs w:val="24"/>
          <w:highlight w:val="none"/>
        </w:rPr>
        <w:t>第三条</w:t>
      </w:r>
      <w:r>
        <w:rPr>
          <w:rFonts w:ascii="宋体" w:hAnsi="宋体" w:eastAsia="宋体" w:cs="宋体"/>
          <w:color w:val="auto"/>
          <w:spacing w:val="16"/>
          <w:sz w:val="24"/>
          <w:szCs w:val="24"/>
          <w:highlight w:val="none"/>
        </w:rPr>
        <w:t xml:space="preserve">  </w:t>
      </w:r>
      <w:r>
        <w:rPr>
          <w:rFonts w:ascii="宋体" w:hAnsi="宋体" w:eastAsia="宋体" w:cs="宋体"/>
          <w:color w:val="auto"/>
          <w:spacing w:val="-5"/>
          <w:sz w:val="24"/>
          <w:szCs w:val="24"/>
          <w:highlight w:val="none"/>
        </w:rPr>
        <w:t>乙方义务</w:t>
      </w:r>
    </w:p>
    <w:p w14:paraId="38EA298C">
      <w:pPr>
        <w:spacing w:before="32" w:line="290" w:lineRule="auto"/>
        <w:ind w:right="14" w:firstLine="487"/>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（一）乙方不得以任何理由向甲方及其工作</w:t>
      </w:r>
      <w:r>
        <w:rPr>
          <w:rFonts w:ascii="宋体" w:hAnsi="宋体" w:eastAsia="宋体" w:cs="宋体"/>
          <w:color w:val="auto"/>
          <w:spacing w:val="-4"/>
          <w:sz w:val="24"/>
          <w:szCs w:val="24"/>
          <w:highlight w:val="none"/>
        </w:rPr>
        <w:t>人员行贿或馈赠礼金、礼券、有价证</w:t>
      </w:r>
      <w:r>
        <w:rPr>
          <w:rFonts w:ascii="宋体" w:hAnsi="宋体" w:eastAsia="宋体" w:cs="宋体"/>
          <w:color w:val="auto"/>
          <w:sz w:val="24"/>
          <w:szCs w:val="24"/>
          <w:highlight w:val="none"/>
        </w:rPr>
        <w:t xml:space="preserve"> </w:t>
      </w:r>
      <w:r>
        <w:rPr>
          <w:rFonts w:ascii="宋体" w:hAnsi="宋体" w:eastAsia="宋体" w:cs="宋体"/>
          <w:color w:val="auto"/>
          <w:spacing w:val="-7"/>
          <w:sz w:val="24"/>
          <w:szCs w:val="24"/>
          <w:highlight w:val="none"/>
        </w:rPr>
        <w:t>券、礼品。</w:t>
      </w:r>
    </w:p>
    <w:p w14:paraId="45A36B00">
      <w:pPr>
        <w:spacing w:before="178" w:line="290" w:lineRule="auto"/>
        <w:ind w:right="20" w:firstLine="48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（二）乙方不得以任何名义为甲方及其工作人员报销应由甲方单位或个人支付的</w:t>
      </w:r>
      <w:r>
        <w:rPr>
          <w:rFonts w:ascii="宋体" w:hAnsi="宋体" w:eastAsia="宋体" w:cs="宋体"/>
          <w:color w:val="auto"/>
          <w:spacing w:val="13"/>
          <w:sz w:val="24"/>
          <w:szCs w:val="24"/>
          <w:highlight w:val="none"/>
        </w:rPr>
        <w:t xml:space="preserve"> </w:t>
      </w:r>
      <w:r>
        <w:rPr>
          <w:rFonts w:ascii="宋体" w:hAnsi="宋体" w:eastAsia="宋体" w:cs="宋体"/>
          <w:color w:val="auto"/>
          <w:spacing w:val="-7"/>
          <w:sz w:val="24"/>
          <w:szCs w:val="24"/>
          <w:highlight w:val="none"/>
        </w:rPr>
        <w:t>任何费用。</w:t>
      </w:r>
    </w:p>
    <w:p w14:paraId="6ACB7C60">
      <w:pPr>
        <w:spacing w:before="179"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（三）乙方不得要求甲方违反规定，批拨、追加工程建设费用等。</w:t>
      </w:r>
    </w:p>
    <w:p w14:paraId="133700E8">
      <w:pPr>
        <w:spacing w:before="182" w:line="220" w:lineRule="auto"/>
        <w:ind w:left="487"/>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（四）乙方不得以任何理由安排甲方工作人员参加宴请及娱乐活动。</w:t>
      </w:r>
    </w:p>
    <w:p w14:paraId="39C9FB0E">
      <w:pPr>
        <w:spacing w:before="179" w:line="290" w:lineRule="auto"/>
        <w:ind w:left="2" w:right="12" w:firstLine="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（五）乙方不得为甲方单位和个人购置或提供</w:t>
      </w:r>
      <w:r>
        <w:rPr>
          <w:rFonts w:ascii="宋体" w:hAnsi="宋体" w:eastAsia="宋体" w:cs="宋体"/>
          <w:color w:val="auto"/>
          <w:spacing w:val="-4"/>
          <w:sz w:val="24"/>
          <w:szCs w:val="24"/>
          <w:highlight w:val="none"/>
        </w:rPr>
        <w:t>通讯工具、交通工具和高档办公室</w:t>
      </w:r>
      <w:r>
        <w:rPr>
          <w:rFonts w:ascii="宋体" w:hAnsi="宋体" w:eastAsia="宋体" w:cs="宋体"/>
          <w:color w:val="auto"/>
          <w:sz w:val="24"/>
          <w:szCs w:val="24"/>
          <w:highlight w:val="none"/>
        </w:rPr>
        <w:t xml:space="preserve"> </w:t>
      </w:r>
      <w:r>
        <w:rPr>
          <w:rFonts w:ascii="宋体" w:hAnsi="宋体" w:eastAsia="宋体" w:cs="宋体"/>
          <w:color w:val="auto"/>
          <w:spacing w:val="-9"/>
          <w:sz w:val="24"/>
          <w:szCs w:val="24"/>
          <w:highlight w:val="none"/>
        </w:rPr>
        <w:t>用品等。</w:t>
      </w:r>
    </w:p>
    <w:p w14:paraId="16FD70A8">
      <w:pPr>
        <w:spacing w:before="180" w:line="220"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第四条  违约责任</w:t>
      </w:r>
    </w:p>
    <w:p w14:paraId="6DB05939">
      <w:pPr>
        <w:spacing w:before="181" w:line="313" w:lineRule="auto"/>
        <w:ind w:right="3" w:firstLine="487"/>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（一）甲方及其工作人员违反本责任书第一、二</w:t>
      </w:r>
      <w:r>
        <w:rPr>
          <w:rFonts w:ascii="宋体" w:hAnsi="宋体" w:eastAsia="宋体" w:cs="宋体"/>
          <w:color w:val="auto"/>
          <w:spacing w:val="-7"/>
          <w:sz w:val="24"/>
          <w:szCs w:val="24"/>
          <w:highlight w:val="none"/>
        </w:rPr>
        <w:t>条， 按管理权限，依据有关规定</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给予党纪、政纪或组织处理； 涉嫌犯罪的，移送司法机关追究刑事责任；给乙方单位</w:t>
      </w:r>
      <w:r>
        <w:rPr>
          <w:rFonts w:ascii="宋体" w:hAnsi="宋体" w:eastAsia="宋体" w:cs="宋体"/>
          <w:color w:val="auto"/>
          <w:spacing w:val="5"/>
          <w:sz w:val="24"/>
          <w:szCs w:val="24"/>
          <w:highlight w:val="none"/>
        </w:rPr>
        <w:t xml:space="preserve"> </w:t>
      </w:r>
      <w:r>
        <w:rPr>
          <w:rFonts w:ascii="宋体" w:hAnsi="宋体" w:eastAsia="宋体" w:cs="宋体"/>
          <w:color w:val="auto"/>
          <w:spacing w:val="-3"/>
          <w:sz w:val="24"/>
          <w:szCs w:val="24"/>
          <w:highlight w:val="none"/>
        </w:rPr>
        <w:t>造成经济损失的，应予以赔偿。</w:t>
      </w:r>
    </w:p>
    <w:p w14:paraId="3440FB3C">
      <w:pPr>
        <w:spacing w:before="178" w:line="325" w:lineRule="auto"/>
        <w:ind w:right="1" w:firstLine="487"/>
        <w:rPr>
          <w:rFonts w:ascii="宋体" w:hAnsi="宋体" w:eastAsia="宋体" w:cs="宋体"/>
          <w:color w:val="auto"/>
          <w:sz w:val="24"/>
          <w:szCs w:val="24"/>
          <w:highlight w:val="none"/>
        </w:rPr>
      </w:pPr>
      <w:r>
        <w:rPr>
          <w:rFonts w:ascii="宋体" w:hAnsi="宋体" w:eastAsia="宋体" w:cs="宋体"/>
          <w:color w:val="auto"/>
          <w:spacing w:val="-10"/>
          <w:sz w:val="24"/>
          <w:szCs w:val="24"/>
          <w:highlight w:val="none"/>
        </w:rPr>
        <w:t>（二）乙方及其工作人员违反本责任书第一、三条，按管理权限，依据有关规定，</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给予党纪、政纪、组织处理或停止承接业务处理；给甲方单位造成经济损失的，应予</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以赔偿；情节严重的，甲方建议有关工程建设主管部门给予乙方</w:t>
      </w: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w:t>
      </w:r>
      <w:r>
        <w:rPr>
          <w:rFonts w:ascii="Times New Roman" w:hAnsi="Times New Roman" w:eastAsia="Times New Roman" w:cs="Times New Roman"/>
          <w:color w:val="auto"/>
          <w:spacing w:val="-3"/>
          <w:sz w:val="24"/>
          <w:szCs w:val="24"/>
          <w:highlight w:val="none"/>
        </w:rPr>
        <w:t>3</w:t>
      </w:r>
      <w:r>
        <w:rPr>
          <w:rFonts w:ascii="宋体" w:hAnsi="宋体" w:eastAsia="宋体" w:cs="宋体"/>
          <w:color w:val="auto"/>
          <w:spacing w:val="-3"/>
          <w:sz w:val="24"/>
          <w:szCs w:val="24"/>
          <w:highlight w:val="none"/>
        </w:rPr>
        <w:t>年内不得参与工</w:t>
      </w:r>
      <w:r>
        <w:rPr>
          <w:rFonts w:ascii="宋体" w:hAnsi="宋体" w:eastAsia="宋体" w:cs="宋体"/>
          <w:color w:val="auto"/>
          <w:spacing w:val="13"/>
          <w:sz w:val="24"/>
          <w:szCs w:val="24"/>
          <w:highlight w:val="none"/>
        </w:rPr>
        <w:t xml:space="preserve"> </w:t>
      </w:r>
      <w:r>
        <w:rPr>
          <w:rFonts w:ascii="宋体" w:hAnsi="宋体" w:eastAsia="宋体" w:cs="宋体"/>
          <w:color w:val="auto"/>
          <w:spacing w:val="-4"/>
          <w:sz w:val="24"/>
          <w:szCs w:val="24"/>
          <w:highlight w:val="none"/>
        </w:rPr>
        <w:t>程建设项目投标的处罚。</w:t>
      </w:r>
    </w:p>
    <w:p w14:paraId="2CECDBE8">
      <w:pPr>
        <w:spacing w:before="181" w:line="220"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第五条  双方约定</w:t>
      </w:r>
    </w:p>
    <w:p w14:paraId="45EE3042">
      <w:pPr>
        <w:spacing w:before="181" w:line="346" w:lineRule="auto"/>
        <w:ind w:right="1" w:firstLine="48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本责任书由纪检监察机关负责监督执行。纪检监察机关对本责任书执行情况进行</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抽查。提出属于本责任书规定范围的处理意见。</w:t>
      </w:r>
    </w:p>
    <w:p w14:paraId="4EE45324">
      <w:pPr>
        <w:spacing w:before="33" w:line="219" w:lineRule="auto"/>
        <w:ind w:left="449"/>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第六条 本责任书有效期同甲乙双方签署之日起至该工程项目工程款支付完结时止。</w:t>
      </w:r>
    </w:p>
    <w:p w14:paraId="16269487">
      <w:pPr>
        <w:spacing w:before="183" w:line="345" w:lineRule="auto"/>
        <w:ind w:right="1" w:firstLine="448"/>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第七条 本责任书作为本工程施工承包合同的附件，与工</w:t>
      </w:r>
      <w:r>
        <w:rPr>
          <w:rFonts w:ascii="宋体" w:hAnsi="宋体" w:eastAsia="宋体" w:cs="宋体"/>
          <w:color w:val="auto"/>
          <w:spacing w:val="-6"/>
          <w:sz w:val="24"/>
          <w:szCs w:val="24"/>
          <w:highlight w:val="none"/>
        </w:rPr>
        <w:t>程施工合同具有同等的法</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律效力，经甲、乙双方签署后生效。</w:t>
      </w:r>
    </w:p>
    <w:p w14:paraId="1FED4AEA">
      <w:pPr>
        <w:spacing w:before="37" w:line="219" w:lineRule="auto"/>
        <w:ind w:left="48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第八条 本责任书甲、乙双方各执一份，送交监督单位一份。</w:t>
      </w:r>
    </w:p>
    <w:p w14:paraId="03499FF5">
      <w:pPr>
        <w:spacing w:before="181" w:line="219" w:lineRule="auto"/>
        <w:ind w:right="42"/>
        <w:jc w:val="right"/>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甲方</w:t>
      </w:r>
      <w:r>
        <w:rPr>
          <w:rFonts w:ascii="宋体" w:hAnsi="宋体" w:eastAsia="宋体" w:cs="宋体"/>
          <w:color w:val="auto"/>
          <w:spacing w:val="-7"/>
          <w:sz w:val="24"/>
          <w:szCs w:val="24"/>
          <w:highlight w:val="none"/>
        </w:rPr>
        <w:t>：</w:t>
      </w:r>
      <w:r>
        <w:rPr>
          <w:rFonts w:ascii="宋体" w:hAnsi="宋体" w:eastAsia="宋体" w:cs="宋体"/>
          <w:color w:val="auto"/>
          <w:spacing w:val="7"/>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6"/>
          <w:sz w:val="24"/>
          <w:szCs w:val="24"/>
          <w:highlight w:val="none"/>
        </w:rPr>
        <w:t>盖章）</w:t>
      </w:r>
      <w:r>
        <w:rPr>
          <w:rFonts w:ascii="宋体" w:hAnsi="宋体" w:eastAsia="宋体" w:cs="宋体"/>
          <w:color w:val="auto"/>
          <w:spacing w:val="3"/>
          <w:sz w:val="24"/>
          <w:szCs w:val="24"/>
          <w:highlight w:val="none"/>
        </w:rPr>
        <w:t xml:space="preserve">          </w:t>
      </w:r>
      <w:r>
        <w:rPr>
          <w:rFonts w:ascii="宋体" w:hAnsi="宋体" w:eastAsia="宋体" w:cs="宋体"/>
          <w:color w:val="auto"/>
          <w:spacing w:val="-6"/>
          <w:sz w:val="24"/>
          <w:szCs w:val="24"/>
          <w:highlight w:val="none"/>
        </w:rPr>
        <w:t>乙方</w:t>
      </w:r>
      <w:r>
        <w:rPr>
          <w:rFonts w:ascii="宋体" w:hAnsi="宋体" w:eastAsia="宋体" w:cs="宋体"/>
          <w:color w:val="auto"/>
          <w:spacing w:val="-7"/>
          <w:sz w:val="24"/>
          <w:szCs w:val="24"/>
          <w:highlight w:val="none"/>
        </w:rPr>
        <w:t>：</w:t>
      </w:r>
      <w:r>
        <w:rPr>
          <w:rFonts w:ascii="宋体" w:hAnsi="宋体" w:eastAsia="宋体" w:cs="宋体"/>
          <w:color w:val="auto"/>
          <w:spacing w:val="10"/>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6"/>
          <w:sz w:val="24"/>
          <w:szCs w:val="24"/>
          <w:highlight w:val="none"/>
        </w:rPr>
        <w:t>盖章）</w:t>
      </w:r>
    </w:p>
    <w:p w14:paraId="3B9C9578">
      <w:pPr>
        <w:spacing w:before="182" w:line="220" w:lineRule="auto"/>
        <w:ind w:left="481"/>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法定代表人：</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法定代表人：</w:t>
      </w:r>
    </w:p>
    <w:p w14:paraId="50505D83">
      <w:pPr>
        <w:spacing w:before="181" w:line="229" w:lineRule="auto"/>
        <w:ind w:left="480"/>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地址：                                     地址：</w:t>
      </w:r>
    </w:p>
    <w:p w14:paraId="6A8B0806">
      <w:pPr>
        <w:spacing w:before="170" w:line="222" w:lineRule="auto"/>
        <w:ind w:left="509"/>
        <w:rPr>
          <w:rFonts w:ascii="宋体" w:hAnsi="宋体" w:eastAsia="宋体" w:cs="宋体"/>
          <w:color w:val="auto"/>
          <w:sz w:val="24"/>
          <w:szCs w:val="24"/>
          <w:highlight w:val="none"/>
        </w:rPr>
      </w:pPr>
      <w:r>
        <w:rPr>
          <w:rFonts w:ascii="宋体" w:hAnsi="宋体" w:eastAsia="宋体" w:cs="宋体"/>
          <w:color w:val="auto"/>
          <w:spacing w:val="-17"/>
          <w:sz w:val="24"/>
          <w:szCs w:val="24"/>
          <w:highlight w:val="none"/>
        </w:rPr>
        <w:t>电话：</w:t>
      </w:r>
      <w:r>
        <w:rPr>
          <w:rFonts w:ascii="宋体" w:hAnsi="宋体" w:eastAsia="宋体" w:cs="宋体"/>
          <w:color w:val="auto"/>
          <w:spacing w:val="1"/>
          <w:sz w:val="24"/>
          <w:szCs w:val="24"/>
          <w:highlight w:val="none"/>
        </w:rPr>
        <w:t xml:space="preserve">                                    </w:t>
      </w:r>
      <w:r>
        <w:rPr>
          <w:rFonts w:ascii="宋体" w:hAnsi="宋体" w:eastAsia="宋体" w:cs="宋体"/>
          <w:color w:val="auto"/>
          <w:spacing w:val="-17"/>
          <w:sz w:val="24"/>
          <w:szCs w:val="24"/>
          <w:highlight w:val="none"/>
        </w:rPr>
        <w:t>电话：</w:t>
      </w:r>
    </w:p>
    <w:p w14:paraId="397E3287">
      <w:pPr>
        <w:spacing w:before="176" w:line="220" w:lineRule="auto"/>
        <w:ind w:left="1561"/>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年</w:t>
      </w:r>
      <w:r>
        <w:rPr>
          <w:rFonts w:ascii="宋体" w:hAnsi="宋体" w:eastAsia="宋体" w:cs="宋体"/>
          <w:color w:val="auto"/>
          <w:spacing w:val="3"/>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13"/>
          <w:sz w:val="24"/>
          <w:szCs w:val="24"/>
          <w:highlight w:val="none"/>
        </w:rPr>
        <w:t xml:space="preserve">    </w:t>
      </w:r>
      <w:r>
        <w:rPr>
          <w:rFonts w:ascii="宋体" w:hAnsi="宋体" w:eastAsia="宋体" w:cs="宋体"/>
          <w:color w:val="auto"/>
          <w:spacing w:val="-9"/>
          <w:sz w:val="24"/>
          <w:szCs w:val="24"/>
          <w:highlight w:val="none"/>
        </w:rPr>
        <w:t xml:space="preserve">日                        </w:t>
      </w:r>
      <w:r>
        <w:rPr>
          <w:rFonts w:ascii="宋体" w:hAnsi="宋体" w:eastAsia="宋体" w:cs="宋体"/>
          <w:color w:val="auto"/>
          <w:spacing w:val="-10"/>
          <w:sz w:val="24"/>
          <w:szCs w:val="24"/>
          <w:highlight w:val="none"/>
        </w:rPr>
        <w:t xml:space="preserve">      年</w:t>
      </w:r>
      <w:r>
        <w:rPr>
          <w:rFonts w:ascii="宋体" w:hAnsi="宋体" w:eastAsia="宋体" w:cs="宋体"/>
          <w:color w:val="auto"/>
          <w:spacing w:val="4"/>
          <w:sz w:val="24"/>
          <w:szCs w:val="24"/>
          <w:highlight w:val="none"/>
        </w:rPr>
        <w:t xml:space="preserve">    </w:t>
      </w:r>
      <w:r>
        <w:rPr>
          <w:rFonts w:ascii="宋体" w:hAnsi="宋体" w:eastAsia="宋体" w:cs="宋体"/>
          <w:color w:val="auto"/>
          <w:spacing w:val="-10"/>
          <w:sz w:val="24"/>
          <w:szCs w:val="24"/>
          <w:highlight w:val="none"/>
        </w:rPr>
        <w:t>月</w:t>
      </w:r>
      <w:r>
        <w:rPr>
          <w:rFonts w:ascii="宋体" w:hAnsi="宋体" w:eastAsia="宋体" w:cs="宋体"/>
          <w:color w:val="auto"/>
          <w:spacing w:val="13"/>
          <w:sz w:val="24"/>
          <w:szCs w:val="24"/>
          <w:highlight w:val="none"/>
        </w:rPr>
        <w:t xml:space="preserve">    </w:t>
      </w:r>
      <w:r>
        <w:rPr>
          <w:rFonts w:ascii="宋体" w:hAnsi="宋体" w:eastAsia="宋体" w:cs="宋体"/>
          <w:color w:val="auto"/>
          <w:spacing w:val="-10"/>
          <w:sz w:val="24"/>
          <w:szCs w:val="24"/>
          <w:highlight w:val="none"/>
        </w:rPr>
        <w:t>日</w:t>
      </w:r>
    </w:p>
    <w:p w14:paraId="3BCB727F">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F2254EC">
      <w:pPr>
        <w:spacing w:before="56" w:line="219" w:lineRule="auto"/>
        <w:ind w:left="24"/>
        <w:outlineLvl w:val="1"/>
        <w:rPr>
          <w:rFonts w:ascii="宋体" w:hAnsi="宋体" w:eastAsia="宋体" w:cs="宋体"/>
          <w:color w:val="auto"/>
          <w:sz w:val="28"/>
          <w:szCs w:val="28"/>
          <w:highlight w:val="none"/>
        </w:rPr>
      </w:pPr>
      <w:bookmarkStart w:id="775" w:name="bookmark782"/>
      <w:bookmarkEnd w:id="775"/>
      <w:bookmarkStart w:id="776" w:name="bookmark781"/>
      <w:bookmarkEnd w:id="776"/>
      <w:bookmarkStart w:id="777" w:name="_Toc25020"/>
      <w:bookmarkStart w:id="778" w:name="_Toc17509"/>
      <w:r>
        <w:rPr>
          <w:rFonts w:ascii="宋体" w:hAnsi="宋体" w:eastAsia="宋体" w:cs="宋体"/>
          <w:b/>
          <w:bCs/>
          <w:color w:val="auto"/>
          <w:spacing w:val="-5"/>
          <w:sz w:val="28"/>
          <w:szCs w:val="28"/>
          <w:highlight w:val="none"/>
        </w:rPr>
        <w:t>附件四</w:t>
      </w:r>
      <w:r>
        <w:rPr>
          <w:rFonts w:ascii="宋体" w:hAnsi="宋体" w:eastAsia="宋体" w:cs="宋体"/>
          <w:color w:val="auto"/>
          <w:spacing w:val="-5"/>
          <w:sz w:val="28"/>
          <w:szCs w:val="28"/>
          <w:highlight w:val="none"/>
        </w:rPr>
        <w:t xml:space="preserve">  </w:t>
      </w:r>
      <w:r>
        <w:rPr>
          <w:rFonts w:ascii="宋体" w:hAnsi="宋体" w:eastAsia="宋体" w:cs="宋体"/>
          <w:b/>
          <w:bCs/>
          <w:color w:val="auto"/>
          <w:spacing w:val="-5"/>
          <w:sz w:val="28"/>
          <w:szCs w:val="28"/>
          <w:highlight w:val="none"/>
        </w:rPr>
        <w:t>安全生产协议书（格式）</w:t>
      </w:r>
      <w:bookmarkEnd w:id="777"/>
      <w:bookmarkEnd w:id="778"/>
    </w:p>
    <w:p w14:paraId="7DA37ADA">
      <w:pPr>
        <w:pStyle w:val="3"/>
        <w:spacing w:line="246" w:lineRule="auto"/>
        <w:rPr>
          <w:color w:val="auto"/>
          <w:highlight w:val="none"/>
        </w:rPr>
      </w:pPr>
    </w:p>
    <w:p w14:paraId="1C3F0909">
      <w:pPr>
        <w:spacing w:before="78" w:line="219" w:lineRule="auto"/>
        <w:ind w:left="3555"/>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安全生产协议书</w:t>
      </w:r>
    </w:p>
    <w:p w14:paraId="06D236B2">
      <w:pPr>
        <w:spacing w:before="180" w:line="219" w:lineRule="auto"/>
        <w:ind w:left="4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发包人</w:t>
      </w:r>
      <w:r>
        <w:rPr>
          <w:rFonts w:ascii="宋体" w:hAnsi="宋体" w:eastAsia="宋体" w:cs="宋体"/>
          <w:color w:val="auto"/>
          <w:spacing w:val="-3"/>
          <w:sz w:val="24"/>
          <w:szCs w:val="24"/>
          <w:highlight w:val="none"/>
        </w:rPr>
        <w:t>：</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3"/>
          <w:sz w:val="24"/>
          <w:szCs w:val="24"/>
          <w:highlight w:val="none"/>
        </w:rPr>
        <w:t>（</w:t>
      </w:r>
      <w:r>
        <w:rPr>
          <w:rFonts w:ascii="宋体" w:hAnsi="宋体" w:eastAsia="宋体" w:cs="宋体"/>
          <w:color w:val="auto"/>
          <w:spacing w:val="-2"/>
          <w:sz w:val="24"/>
          <w:szCs w:val="24"/>
          <w:highlight w:val="none"/>
        </w:rPr>
        <w:t>以下简称“甲方”）</w:t>
      </w:r>
    </w:p>
    <w:p w14:paraId="4627A709">
      <w:pPr>
        <w:pStyle w:val="3"/>
        <w:spacing w:line="258" w:lineRule="auto"/>
        <w:rPr>
          <w:color w:val="auto"/>
          <w:highlight w:val="none"/>
        </w:rPr>
      </w:pPr>
    </w:p>
    <w:p w14:paraId="615BB13F">
      <w:pPr>
        <w:pStyle w:val="3"/>
        <w:spacing w:line="259" w:lineRule="auto"/>
        <w:rPr>
          <w:color w:val="auto"/>
          <w:highlight w:val="none"/>
        </w:rPr>
      </w:pPr>
    </w:p>
    <w:p w14:paraId="71C5F69B">
      <w:pPr>
        <w:spacing w:before="78" w:line="219" w:lineRule="auto"/>
        <w:ind w:left="480"/>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承包人</w:t>
      </w:r>
      <w:r>
        <w:rPr>
          <w:rFonts w:ascii="宋体" w:hAnsi="宋体" w:eastAsia="宋体" w:cs="宋体"/>
          <w:color w:val="auto"/>
          <w:spacing w:val="-1"/>
          <w:sz w:val="24"/>
          <w:szCs w:val="24"/>
          <w:highlight w:val="none"/>
        </w:rPr>
        <w:t>：</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2"/>
          <w:sz w:val="24"/>
          <w:szCs w:val="24"/>
          <w:highlight w:val="none"/>
        </w:rPr>
        <w:t>以下简称“乙方”）</w:t>
      </w:r>
    </w:p>
    <w:p w14:paraId="3F5C53D7">
      <w:pPr>
        <w:pStyle w:val="3"/>
        <w:spacing w:line="257" w:lineRule="auto"/>
        <w:rPr>
          <w:color w:val="auto"/>
          <w:highlight w:val="none"/>
        </w:rPr>
      </w:pPr>
    </w:p>
    <w:p w14:paraId="25D9DF94">
      <w:pPr>
        <w:pStyle w:val="3"/>
        <w:spacing w:line="258" w:lineRule="auto"/>
        <w:rPr>
          <w:color w:val="auto"/>
          <w:highlight w:val="none"/>
        </w:rPr>
      </w:pPr>
    </w:p>
    <w:p w14:paraId="53A9BD0C">
      <w:pPr>
        <w:spacing w:before="79" w:line="345" w:lineRule="auto"/>
        <w:ind w:left="4" w:right="14" w:firstLine="479"/>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为认真贯彻落实“安全第一、预防为主、综合治理”</w:t>
      </w:r>
      <w:r>
        <w:rPr>
          <w:rFonts w:ascii="宋体" w:hAnsi="宋体" w:eastAsia="宋体" w:cs="宋体"/>
          <w:color w:val="auto"/>
          <w:spacing w:val="-4"/>
          <w:sz w:val="24"/>
          <w:szCs w:val="24"/>
          <w:highlight w:val="none"/>
        </w:rPr>
        <w:t>的安全生产方针，切实做好</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i/>
          <w:iCs/>
          <w:color w:val="auto"/>
          <w:spacing w:val="-2"/>
          <w:sz w:val="25"/>
          <w:szCs w:val="25"/>
          <w:highlight w:val="none"/>
        </w:rPr>
        <w:t>项目名称</w:t>
      </w:r>
      <w:r>
        <w:rPr>
          <w:rFonts w:ascii="宋体" w:hAnsi="宋体" w:eastAsia="宋体" w:cs="宋体"/>
          <w:color w:val="auto"/>
          <w:spacing w:val="-69"/>
          <w:w w:val="99"/>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w w:val="99"/>
          <w:sz w:val="24"/>
          <w:szCs w:val="24"/>
          <w:highlight w:val="none"/>
        </w:rPr>
        <w:t>（</w:t>
      </w:r>
      <w:r>
        <w:rPr>
          <w:rFonts w:ascii="宋体" w:hAnsi="宋体" w:eastAsia="宋体" w:cs="宋体"/>
          <w:i/>
          <w:iCs/>
          <w:color w:val="auto"/>
          <w:spacing w:val="-2"/>
          <w:sz w:val="25"/>
          <w:szCs w:val="25"/>
          <w:highlight w:val="none"/>
        </w:rPr>
        <w:t>标段名称</w:t>
      </w:r>
      <w:r>
        <w:rPr>
          <w:rFonts w:ascii="宋体" w:hAnsi="宋体" w:eastAsia="宋体" w:cs="宋体"/>
          <w:color w:val="auto"/>
          <w:spacing w:val="-2"/>
          <w:sz w:val="24"/>
          <w:szCs w:val="24"/>
          <w:highlight w:val="none"/>
        </w:rPr>
        <w:t>）施工合同实施期间的安全管理工作，确保不</w:t>
      </w:r>
      <w:r>
        <w:rPr>
          <w:rFonts w:ascii="宋体" w:hAnsi="宋体" w:eastAsia="宋体" w:cs="宋体"/>
          <w:color w:val="auto"/>
          <w:spacing w:val="3"/>
          <w:sz w:val="24"/>
          <w:szCs w:val="24"/>
          <w:highlight w:val="none"/>
        </w:rPr>
        <w:t xml:space="preserve"> </w:t>
      </w:r>
      <w:r>
        <w:rPr>
          <w:rFonts w:ascii="宋体" w:hAnsi="宋体" w:eastAsia="宋体" w:cs="宋体"/>
          <w:color w:val="auto"/>
          <w:spacing w:val="-3"/>
          <w:sz w:val="24"/>
          <w:szCs w:val="24"/>
          <w:highlight w:val="none"/>
        </w:rPr>
        <w:t>发生安全生产事故，特此签订安全生产协议书。</w:t>
      </w:r>
    </w:p>
    <w:p w14:paraId="2D3D0F67">
      <w:pPr>
        <w:spacing w:before="96" w:line="183" w:lineRule="auto"/>
        <w:ind w:left="475"/>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2"/>
          <w:sz w:val="24"/>
          <w:szCs w:val="24"/>
          <w:highlight w:val="none"/>
        </w:rPr>
        <w:t>一、甲方职责</w:t>
      </w:r>
    </w:p>
    <w:p w14:paraId="28A346BC">
      <w:pPr>
        <w:spacing w:before="240" w:line="220" w:lineRule="auto"/>
        <w:ind w:left="499"/>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严格遵守安全生产法律法规，认真执行工程承包合同中的有关安全要求。</w:t>
      </w:r>
    </w:p>
    <w:p w14:paraId="34D6B37C">
      <w:pPr>
        <w:spacing w:before="184" w:line="344" w:lineRule="auto"/>
        <w:ind w:right="4" w:firstLine="475"/>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项目开工前成立安全生产领导小组，设置安全生产管理机构，配备专</w:t>
      </w:r>
      <w:r>
        <w:rPr>
          <w:rFonts w:ascii="宋体" w:hAnsi="宋体" w:eastAsia="宋体" w:cs="宋体"/>
          <w:color w:val="auto"/>
          <w:spacing w:val="-2"/>
          <w:sz w:val="24"/>
          <w:szCs w:val="24"/>
          <w:highlight w:val="none"/>
        </w:rPr>
        <w:t>职安全生</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产管理人员。明确领导小组、管理机构及专职安全生产管理人员职责。</w:t>
      </w:r>
    </w:p>
    <w:p w14:paraId="4814E66D">
      <w:pPr>
        <w:spacing w:before="39" w:line="346" w:lineRule="auto"/>
        <w:ind w:left="12" w:firstLine="469"/>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坚持“管生产必须管安全”的原则进行安全生产管理，做到生产与安</w:t>
      </w:r>
      <w:r>
        <w:rPr>
          <w:rFonts w:ascii="宋体" w:hAnsi="宋体" w:eastAsia="宋体" w:cs="宋体"/>
          <w:color w:val="auto"/>
          <w:spacing w:val="-2"/>
          <w:sz w:val="24"/>
          <w:szCs w:val="24"/>
          <w:highlight w:val="none"/>
        </w:rPr>
        <w:t>全工作同</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时计划、布置、检查、总结和评比。</w:t>
      </w:r>
    </w:p>
    <w:p w14:paraId="528C3A3C">
      <w:pPr>
        <w:spacing w:before="32" w:line="347" w:lineRule="auto"/>
        <w:ind w:left="24" w:right="58" w:firstLine="450"/>
        <w:rPr>
          <w:rFonts w:ascii="宋体" w:hAnsi="宋体" w:eastAsia="宋体" w:cs="宋体"/>
          <w:color w:val="auto"/>
          <w:sz w:val="24"/>
          <w:szCs w:val="24"/>
          <w:highlight w:val="none"/>
        </w:rPr>
      </w:pPr>
      <w:r>
        <w:rPr>
          <w:rFonts w:ascii="Times New Roman" w:hAnsi="Times New Roman" w:eastAsia="Times New Roman" w:cs="Times New Roman"/>
          <w:color w:val="auto"/>
          <w:spacing w:val="-9"/>
          <w:sz w:val="24"/>
          <w:szCs w:val="24"/>
          <w:highlight w:val="none"/>
        </w:rPr>
        <w:t>4.</w:t>
      </w:r>
      <w:r>
        <w:rPr>
          <w:rFonts w:ascii="宋体" w:hAnsi="宋体" w:eastAsia="宋体" w:cs="宋体"/>
          <w:color w:val="auto"/>
          <w:spacing w:val="-9"/>
          <w:sz w:val="24"/>
          <w:szCs w:val="24"/>
          <w:highlight w:val="none"/>
        </w:rPr>
        <w:t>重要的安全设施必须坚持与主体工程“三同时”的原则，即：同时设计、审批，</w:t>
      </w:r>
      <w:r>
        <w:rPr>
          <w:rFonts w:ascii="宋体" w:hAnsi="宋体" w:eastAsia="宋体" w:cs="宋体"/>
          <w:color w:val="auto"/>
          <w:spacing w:val="1"/>
          <w:sz w:val="24"/>
          <w:szCs w:val="24"/>
          <w:highlight w:val="none"/>
        </w:rPr>
        <w:t xml:space="preserve"> </w:t>
      </w:r>
      <w:r>
        <w:rPr>
          <w:rFonts w:ascii="宋体" w:hAnsi="宋体" w:eastAsia="宋体" w:cs="宋体"/>
          <w:color w:val="auto"/>
          <w:spacing w:val="-5"/>
          <w:sz w:val="24"/>
          <w:szCs w:val="24"/>
          <w:highlight w:val="none"/>
        </w:rPr>
        <w:t>同时施工，同时验收、投入使用。</w:t>
      </w:r>
    </w:p>
    <w:p w14:paraId="240133A8">
      <w:pPr>
        <w:spacing w:before="32" w:line="347" w:lineRule="auto"/>
        <w:ind w:right="4" w:firstLine="482"/>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5.</w:t>
      </w:r>
      <w:r>
        <w:rPr>
          <w:rFonts w:ascii="宋体" w:hAnsi="宋体" w:eastAsia="宋体" w:cs="宋体"/>
          <w:color w:val="auto"/>
          <w:spacing w:val="-1"/>
          <w:sz w:val="24"/>
          <w:szCs w:val="24"/>
          <w:highlight w:val="none"/>
        </w:rPr>
        <w:t>及时传达上级有关安全生产精神和要求，定期听取乙</w:t>
      </w:r>
      <w:r>
        <w:rPr>
          <w:rFonts w:ascii="宋体" w:hAnsi="宋体" w:eastAsia="宋体" w:cs="宋体"/>
          <w:color w:val="auto"/>
          <w:spacing w:val="-2"/>
          <w:sz w:val="24"/>
          <w:szCs w:val="24"/>
          <w:highlight w:val="none"/>
        </w:rPr>
        <w:t>方的意见和要求，加强安</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全生产的指导和协调。</w:t>
      </w:r>
    </w:p>
    <w:p w14:paraId="6454FB74">
      <w:pPr>
        <w:spacing w:before="31" w:line="347" w:lineRule="auto"/>
        <w:ind w:right="2" w:firstLine="481"/>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6.</w:t>
      </w:r>
      <w:r>
        <w:rPr>
          <w:rFonts w:ascii="宋体" w:hAnsi="宋体" w:eastAsia="宋体" w:cs="宋体"/>
          <w:color w:val="auto"/>
          <w:spacing w:val="-1"/>
          <w:sz w:val="24"/>
          <w:szCs w:val="24"/>
          <w:highlight w:val="none"/>
        </w:rPr>
        <w:t>组织制订各项安全生产管理制度和编制保证安全生产的措施方</w:t>
      </w:r>
      <w:r>
        <w:rPr>
          <w:rFonts w:ascii="宋体" w:hAnsi="宋体" w:eastAsia="宋体" w:cs="宋体"/>
          <w:color w:val="auto"/>
          <w:spacing w:val="-2"/>
          <w:sz w:val="24"/>
          <w:szCs w:val="24"/>
          <w:highlight w:val="none"/>
        </w:rPr>
        <w:t>案，并对管理制</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度和措施方案实行动态管理。</w:t>
      </w:r>
    </w:p>
    <w:p w14:paraId="3BF209C8">
      <w:pPr>
        <w:spacing w:before="32" w:line="347" w:lineRule="auto"/>
        <w:ind w:left="24" w:right="4" w:firstLine="456"/>
        <w:rPr>
          <w:rFonts w:ascii="宋体" w:hAnsi="宋体" w:eastAsia="宋体" w:cs="宋体"/>
          <w:color w:val="auto"/>
          <w:sz w:val="24"/>
          <w:szCs w:val="24"/>
          <w:highlight w:val="none"/>
        </w:rPr>
      </w:pPr>
      <w:r>
        <w:rPr>
          <w:rFonts w:ascii="Times New Roman" w:hAnsi="Times New Roman" w:eastAsia="Times New Roman" w:cs="Times New Roman"/>
          <w:color w:val="auto"/>
          <w:spacing w:val="-4"/>
          <w:sz w:val="24"/>
          <w:szCs w:val="24"/>
          <w:highlight w:val="none"/>
        </w:rPr>
        <w:t>7.</w:t>
      </w:r>
      <w:r>
        <w:rPr>
          <w:rFonts w:ascii="宋体" w:hAnsi="宋体" w:eastAsia="宋体" w:cs="宋体"/>
          <w:color w:val="auto"/>
          <w:spacing w:val="-4"/>
          <w:sz w:val="24"/>
          <w:szCs w:val="24"/>
          <w:highlight w:val="none"/>
        </w:rPr>
        <w:t>组织风险源辨识和评价，每月至少组织</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次</w:t>
      </w:r>
      <w:r>
        <w:rPr>
          <w:rFonts w:ascii="宋体" w:hAnsi="宋体" w:eastAsia="宋体" w:cs="宋体"/>
          <w:color w:val="auto"/>
          <w:spacing w:val="-5"/>
          <w:sz w:val="24"/>
          <w:szCs w:val="24"/>
          <w:highlight w:val="none"/>
        </w:rPr>
        <w:t>对乙方施工现场安全生产检查，监督</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乙方及时整改发现的各种安全隐患。</w:t>
      </w:r>
    </w:p>
    <w:p w14:paraId="10065C02">
      <w:pPr>
        <w:spacing w:before="31" w:line="220" w:lineRule="auto"/>
        <w:ind w:left="486"/>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8.</w:t>
      </w:r>
      <w:r>
        <w:rPr>
          <w:rFonts w:ascii="宋体" w:hAnsi="宋体" w:eastAsia="宋体" w:cs="宋体"/>
          <w:color w:val="auto"/>
          <w:spacing w:val="-2"/>
          <w:sz w:val="24"/>
          <w:szCs w:val="24"/>
          <w:highlight w:val="none"/>
        </w:rPr>
        <w:t>制订安全生产培训教育计划，按计划对乙方人员开展培训教育。</w:t>
      </w:r>
    </w:p>
    <w:p w14:paraId="1B8C8218">
      <w:pPr>
        <w:spacing w:before="182" w:line="220" w:lineRule="auto"/>
        <w:ind w:left="481"/>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9.</w:t>
      </w:r>
      <w:r>
        <w:rPr>
          <w:rFonts w:ascii="宋体" w:hAnsi="宋体" w:eastAsia="宋体" w:cs="宋体"/>
          <w:color w:val="auto"/>
          <w:spacing w:val="-1"/>
          <w:sz w:val="24"/>
          <w:szCs w:val="24"/>
          <w:highlight w:val="none"/>
        </w:rPr>
        <w:t>及时向乙方支付安全生产措施费，监督乙方</w:t>
      </w:r>
      <w:r>
        <w:rPr>
          <w:rFonts w:ascii="宋体" w:hAnsi="宋体" w:eastAsia="宋体" w:cs="宋体"/>
          <w:color w:val="auto"/>
          <w:spacing w:val="-2"/>
          <w:sz w:val="24"/>
          <w:szCs w:val="24"/>
          <w:highlight w:val="none"/>
        </w:rPr>
        <w:t>合理使用安全生产措施费。</w:t>
      </w:r>
    </w:p>
    <w:p w14:paraId="415EAF71">
      <w:pPr>
        <w:spacing w:before="243" w:line="183" w:lineRule="auto"/>
        <w:ind w:left="47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二、乙方职责</w:t>
      </w:r>
    </w:p>
    <w:p w14:paraId="10F7FD32">
      <w:pPr>
        <w:spacing w:before="243" w:line="345" w:lineRule="auto"/>
        <w:ind w:left="1" w:right="4" w:firstLine="497"/>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1.</w:t>
      </w:r>
      <w:r>
        <w:rPr>
          <w:rFonts w:ascii="宋体" w:hAnsi="宋体" w:eastAsia="宋体" w:cs="宋体"/>
          <w:color w:val="auto"/>
          <w:spacing w:val="-6"/>
          <w:sz w:val="24"/>
          <w:szCs w:val="24"/>
          <w:highlight w:val="none"/>
        </w:rPr>
        <w:t>严格遵守安全生产法律法规、技术规程有关安全</w:t>
      </w:r>
      <w:r>
        <w:rPr>
          <w:rFonts w:ascii="宋体" w:hAnsi="宋体" w:eastAsia="宋体" w:cs="宋体"/>
          <w:color w:val="auto"/>
          <w:spacing w:val="-7"/>
          <w:sz w:val="24"/>
          <w:szCs w:val="24"/>
          <w:highlight w:val="none"/>
        </w:rPr>
        <w:t>生产规定，</w:t>
      </w:r>
      <w:r>
        <w:rPr>
          <w:rFonts w:ascii="宋体" w:hAnsi="宋体" w:eastAsia="宋体" w:cs="宋体"/>
          <w:color w:val="auto"/>
          <w:spacing w:val="46"/>
          <w:sz w:val="24"/>
          <w:szCs w:val="24"/>
          <w:highlight w:val="none"/>
        </w:rPr>
        <w:t xml:space="preserve"> </w:t>
      </w:r>
      <w:r>
        <w:rPr>
          <w:rFonts w:ascii="宋体" w:hAnsi="宋体" w:eastAsia="宋体" w:cs="宋体"/>
          <w:color w:val="auto"/>
          <w:spacing w:val="-7"/>
          <w:sz w:val="24"/>
          <w:szCs w:val="24"/>
          <w:highlight w:val="none"/>
        </w:rPr>
        <w:t>认真执行工程承包</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合同中的有关安全要求。</w:t>
      </w:r>
    </w:p>
    <w:p w14:paraId="1B989156">
      <w:pPr>
        <w:spacing w:before="36" w:line="219" w:lineRule="auto"/>
        <w:ind w:right="2"/>
        <w:jc w:val="right"/>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项目开工前成立安全生产领导小组，设置安全生产管理机构，按《建筑施</w:t>
      </w:r>
      <w:r>
        <w:rPr>
          <w:rFonts w:ascii="宋体" w:hAnsi="宋体" w:eastAsia="宋体" w:cs="宋体"/>
          <w:color w:val="auto"/>
          <w:spacing w:val="-2"/>
          <w:sz w:val="24"/>
          <w:szCs w:val="24"/>
          <w:highlight w:val="none"/>
        </w:rPr>
        <w:t>工企</w:t>
      </w:r>
    </w:p>
    <w:p w14:paraId="7D0FE276">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2E37728">
      <w:pPr>
        <w:spacing w:before="47" w:line="347" w:lineRule="auto"/>
        <w:ind w:left="6" w:right="85" w:hanging="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业安全生产管理机构设置及专职安全生产管理人员配备办法》规定配备专职安全生产</w:t>
      </w:r>
      <w:r>
        <w:rPr>
          <w:rFonts w:ascii="宋体" w:hAnsi="宋体" w:eastAsia="宋体" w:cs="宋体"/>
          <w:color w:val="auto"/>
          <w:spacing w:val="10"/>
          <w:sz w:val="24"/>
          <w:szCs w:val="24"/>
          <w:highlight w:val="none"/>
        </w:rPr>
        <w:t xml:space="preserve"> </w:t>
      </w:r>
      <w:r>
        <w:rPr>
          <w:rFonts w:ascii="宋体" w:hAnsi="宋体" w:eastAsia="宋体" w:cs="宋体"/>
          <w:color w:val="auto"/>
          <w:spacing w:val="-4"/>
          <w:sz w:val="24"/>
          <w:szCs w:val="24"/>
          <w:highlight w:val="none"/>
        </w:rPr>
        <w:t>管理人员，并报甲方备案。</w:t>
      </w:r>
    </w:p>
    <w:p w14:paraId="6C5C26A1">
      <w:pPr>
        <w:spacing w:before="31" w:line="347" w:lineRule="auto"/>
        <w:ind w:left="14" w:firstLine="467"/>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建立健全全员安全生产责任制，明确所有项目实施人员（包括劳务派遣人员、</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临时雇请的民工等）的安全生产工作职责、考核标准等内容，并公示。</w:t>
      </w:r>
    </w:p>
    <w:p w14:paraId="449C0602">
      <w:pPr>
        <w:spacing w:before="31" w:line="347" w:lineRule="auto"/>
        <w:ind w:left="8" w:right="82" w:firstLine="467"/>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4.</w:t>
      </w:r>
      <w:r>
        <w:rPr>
          <w:rFonts w:ascii="宋体" w:hAnsi="宋体" w:eastAsia="宋体" w:cs="宋体"/>
          <w:color w:val="auto"/>
          <w:spacing w:val="-1"/>
          <w:sz w:val="24"/>
          <w:szCs w:val="24"/>
          <w:highlight w:val="none"/>
        </w:rPr>
        <w:t>建立健全安全风险分级管控、安全隐患排查治理、安全生产教育培训、值班值</w:t>
      </w:r>
      <w:r>
        <w:rPr>
          <w:rFonts w:ascii="宋体" w:hAnsi="宋体" w:eastAsia="宋体" w:cs="宋体"/>
          <w:color w:val="auto"/>
          <w:spacing w:val="2"/>
          <w:sz w:val="24"/>
          <w:szCs w:val="24"/>
          <w:highlight w:val="none"/>
        </w:rPr>
        <w:t xml:space="preserve"> </w:t>
      </w:r>
      <w:r>
        <w:rPr>
          <w:rFonts w:ascii="宋体" w:hAnsi="宋体" w:eastAsia="宋体" w:cs="宋体"/>
          <w:color w:val="auto"/>
          <w:spacing w:val="-5"/>
          <w:sz w:val="24"/>
          <w:szCs w:val="24"/>
          <w:highlight w:val="none"/>
        </w:rPr>
        <w:t>守等制度并严格执行。</w:t>
      </w:r>
    </w:p>
    <w:p w14:paraId="50CC9FCC">
      <w:pPr>
        <w:spacing w:before="31" w:line="219" w:lineRule="auto"/>
        <w:ind w:left="483"/>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5.</w:t>
      </w:r>
      <w:r>
        <w:rPr>
          <w:rFonts w:ascii="宋体" w:hAnsi="宋体" w:eastAsia="宋体" w:cs="宋体"/>
          <w:color w:val="auto"/>
          <w:spacing w:val="-2"/>
          <w:sz w:val="24"/>
          <w:szCs w:val="24"/>
          <w:highlight w:val="none"/>
        </w:rPr>
        <w:t>生产与安全工作同时计划、布置、检查、总结和评比。</w:t>
      </w:r>
    </w:p>
    <w:p w14:paraId="6B614183">
      <w:pPr>
        <w:spacing w:before="184" w:line="350" w:lineRule="auto"/>
        <w:ind w:right="82" w:firstLine="481"/>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6.</w:t>
      </w:r>
      <w:r>
        <w:rPr>
          <w:rFonts w:ascii="宋体" w:hAnsi="宋体" w:eastAsia="宋体" w:cs="宋体"/>
          <w:color w:val="auto"/>
          <w:spacing w:val="-1"/>
          <w:sz w:val="24"/>
          <w:szCs w:val="24"/>
          <w:highlight w:val="none"/>
        </w:rPr>
        <w:t>项目开工前开展危险源辨识和评估，建立重大危险源清单，制订管</w:t>
      </w:r>
      <w:r>
        <w:rPr>
          <w:rFonts w:ascii="宋体" w:hAnsi="宋体" w:eastAsia="宋体" w:cs="宋体"/>
          <w:color w:val="auto"/>
          <w:spacing w:val="-2"/>
          <w:sz w:val="24"/>
          <w:szCs w:val="24"/>
          <w:highlight w:val="none"/>
        </w:rPr>
        <w:t>控措施。根</w:t>
      </w:r>
      <w:r>
        <w:rPr>
          <w:rFonts w:ascii="宋体" w:hAnsi="宋体" w:eastAsia="宋体" w:cs="宋体"/>
          <w:color w:val="auto"/>
          <w:sz w:val="24"/>
          <w:szCs w:val="24"/>
          <w:highlight w:val="none"/>
        </w:rPr>
        <w:t xml:space="preserve"> 据施工进展，对危险源实施动态管理。在危险性较大的单项工程施工前，至少组织</w:t>
      </w:r>
      <w:r>
        <w:rPr>
          <w:rFonts w:ascii="Times New Roman" w:hAnsi="Times New Roman" w:eastAsia="Times New Roman" w:cs="Times New Roman"/>
          <w:color w:val="auto"/>
          <w:sz w:val="24"/>
          <w:szCs w:val="24"/>
          <w:highlight w:val="none"/>
        </w:rPr>
        <w:t>1</w:t>
      </w:r>
      <w:r>
        <w:rPr>
          <w:rFonts w:ascii="Times New Roman" w:hAnsi="Times New Roman" w:eastAsia="Times New Roman" w:cs="Times New Roman"/>
          <w:color w:val="auto"/>
          <w:spacing w:val="14"/>
          <w:sz w:val="24"/>
          <w:szCs w:val="24"/>
          <w:highlight w:val="none"/>
        </w:rPr>
        <w:t xml:space="preserve"> </w:t>
      </w:r>
      <w:r>
        <w:rPr>
          <w:rFonts w:ascii="宋体" w:hAnsi="宋体" w:eastAsia="宋体" w:cs="宋体"/>
          <w:color w:val="auto"/>
          <w:spacing w:val="-2"/>
          <w:sz w:val="24"/>
          <w:szCs w:val="24"/>
          <w:highlight w:val="none"/>
        </w:rPr>
        <w:t>次危险源辨识。危险源辨识和管控情况报甲方和监理单位备案。</w:t>
      </w:r>
    </w:p>
    <w:p w14:paraId="63F78476">
      <w:pPr>
        <w:spacing w:before="33" w:line="346" w:lineRule="auto"/>
        <w:ind w:left="16" w:right="103" w:firstLine="48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乙方负责安全管理的部门每月至少对施工现场开展</w:t>
      </w:r>
      <w:r>
        <w:rPr>
          <w:rFonts w:ascii="Times New Roman" w:hAnsi="Times New Roman" w:eastAsia="Times New Roman" w:cs="Times New Roman"/>
          <w:color w:val="auto"/>
          <w:spacing w:val="-1"/>
          <w:sz w:val="24"/>
          <w:szCs w:val="24"/>
          <w:highlight w:val="none"/>
        </w:rPr>
        <w:t>1</w:t>
      </w:r>
      <w:r>
        <w:rPr>
          <w:rFonts w:ascii="宋体" w:hAnsi="宋体" w:eastAsia="宋体" w:cs="宋体"/>
          <w:color w:val="auto"/>
          <w:spacing w:val="-1"/>
          <w:sz w:val="24"/>
          <w:szCs w:val="24"/>
          <w:highlight w:val="none"/>
        </w:rPr>
        <w:t>次安全生产检查，对发现的</w:t>
      </w:r>
      <w:r>
        <w:rPr>
          <w:rFonts w:ascii="宋体" w:hAnsi="宋体" w:eastAsia="宋体" w:cs="宋体"/>
          <w:color w:val="auto"/>
          <w:spacing w:val="11"/>
          <w:sz w:val="24"/>
          <w:szCs w:val="24"/>
          <w:highlight w:val="none"/>
        </w:rPr>
        <w:t xml:space="preserve"> </w:t>
      </w:r>
      <w:r>
        <w:rPr>
          <w:rFonts w:ascii="宋体" w:hAnsi="宋体" w:eastAsia="宋体" w:cs="宋体"/>
          <w:color w:val="auto"/>
          <w:spacing w:val="-2"/>
          <w:sz w:val="24"/>
          <w:szCs w:val="24"/>
          <w:highlight w:val="none"/>
        </w:rPr>
        <w:t>隐患建档，按计划或甲方要求完成整改，并向甲方报告隐患排查整改情况。</w:t>
      </w:r>
    </w:p>
    <w:p w14:paraId="37E6A3AD">
      <w:pPr>
        <w:spacing w:before="34" w:line="350" w:lineRule="auto"/>
        <w:ind w:left="2" w:right="85" w:firstLine="501"/>
        <w:rPr>
          <w:rFonts w:ascii="宋体" w:hAnsi="宋体" w:eastAsia="宋体" w:cs="宋体"/>
          <w:color w:val="auto"/>
          <w:sz w:val="24"/>
          <w:szCs w:val="24"/>
          <w:highlight w:val="none"/>
        </w:rPr>
      </w:pPr>
      <w:r>
        <w:rPr>
          <w:rFonts w:ascii="宋体" w:hAnsi="宋体" w:eastAsia="宋体" w:cs="宋体"/>
          <w:color w:val="auto"/>
          <w:sz w:val="24"/>
          <w:szCs w:val="24"/>
          <w:highlight w:val="none"/>
        </w:rPr>
        <w:t>乙方专职安全生产管理人员每天至少</w:t>
      </w:r>
      <w:r>
        <w:rPr>
          <w:rFonts w:ascii="Times New Roman" w:hAnsi="Times New Roman" w:eastAsia="Times New Roman" w:cs="Times New Roman"/>
          <w:color w:val="auto"/>
          <w:sz w:val="24"/>
          <w:szCs w:val="24"/>
          <w:highlight w:val="none"/>
        </w:rPr>
        <w:t>2</w:t>
      </w:r>
      <w:r>
        <w:rPr>
          <w:rFonts w:ascii="宋体" w:hAnsi="宋体" w:eastAsia="宋体" w:cs="宋体"/>
          <w:color w:val="auto"/>
          <w:sz w:val="24"/>
          <w:szCs w:val="24"/>
          <w:highlight w:val="none"/>
        </w:rPr>
        <w:t>次对施工现场开展安全巡查</w:t>
      </w:r>
      <w:r>
        <w:rPr>
          <w:rFonts w:ascii="宋体" w:hAnsi="宋体" w:eastAsia="宋体" w:cs="宋体"/>
          <w:color w:val="auto"/>
          <w:spacing w:val="-1"/>
          <w:sz w:val="24"/>
          <w:szCs w:val="24"/>
          <w:highlight w:val="none"/>
        </w:rPr>
        <w:t>，每次检查时</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间不少于</w:t>
      </w:r>
      <w:r>
        <w:rPr>
          <w:rFonts w:ascii="Times New Roman" w:hAnsi="Times New Roman" w:eastAsia="Times New Roman" w:cs="Times New Roman"/>
          <w:color w:val="auto"/>
          <w:spacing w:val="-6"/>
          <w:sz w:val="24"/>
          <w:szCs w:val="24"/>
          <w:highlight w:val="none"/>
        </w:rPr>
        <w:t>45</w:t>
      </w:r>
      <w:r>
        <w:rPr>
          <w:rFonts w:ascii="宋体" w:hAnsi="宋体" w:eastAsia="宋体" w:cs="宋体"/>
          <w:color w:val="auto"/>
          <w:spacing w:val="-6"/>
          <w:sz w:val="24"/>
          <w:szCs w:val="24"/>
          <w:highlight w:val="none"/>
        </w:rPr>
        <w:t>分钟，范围应覆盖所有重大危险源、风险点， 检查内容为危险源管控措施</w:t>
      </w:r>
      <w:r>
        <w:rPr>
          <w:rFonts w:ascii="宋体" w:hAnsi="宋体" w:eastAsia="宋体" w:cs="宋体"/>
          <w:color w:val="auto"/>
          <w:spacing w:val="10"/>
          <w:sz w:val="24"/>
          <w:szCs w:val="24"/>
          <w:highlight w:val="none"/>
        </w:rPr>
        <w:t xml:space="preserve"> </w:t>
      </w:r>
      <w:r>
        <w:rPr>
          <w:rFonts w:ascii="宋体" w:hAnsi="宋体" w:eastAsia="宋体" w:cs="宋体"/>
          <w:color w:val="auto"/>
          <w:spacing w:val="-1"/>
          <w:sz w:val="24"/>
          <w:szCs w:val="24"/>
          <w:highlight w:val="none"/>
        </w:rPr>
        <w:t>落实情况、隐患整改情况，制止和纠正违章指挥、</w:t>
      </w:r>
      <w:r>
        <w:rPr>
          <w:rFonts w:ascii="宋体" w:hAnsi="宋体" w:eastAsia="宋体" w:cs="宋体"/>
          <w:color w:val="auto"/>
          <w:spacing w:val="-2"/>
          <w:sz w:val="24"/>
          <w:szCs w:val="24"/>
          <w:highlight w:val="none"/>
        </w:rPr>
        <w:t>违章作业和违反劳动纪律。</w:t>
      </w:r>
    </w:p>
    <w:p w14:paraId="153BA17C">
      <w:pPr>
        <w:spacing w:before="38" w:line="346" w:lineRule="auto"/>
        <w:ind w:left="1" w:right="85" w:firstLine="478"/>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7.</w:t>
      </w:r>
      <w:r>
        <w:rPr>
          <w:rFonts w:ascii="宋体" w:hAnsi="宋体" w:eastAsia="宋体" w:cs="宋体"/>
          <w:color w:val="auto"/>
          <w:spacing w:val="-1"/>
          <w:sz w:val="24"/>
          <w:szCs w:val="24"/>
          <w:highlight w:val="none"/>
        </w:rPr>
        <w:t>强化安全生产教育培训，对新进场的工人，须进行三级安全教育</w:t>
      </w:r>
      <w:r>
        <w:rPr>
          <w:rFonts w:ascii="宋体" w:hAnsi="宋体" w:eastAsia="宋体" w:cs="宋体"/>
          <w:color w:val="auto"/>
          <w:spacing w:val="-2"/>
          <w:sz w:val="24"/>
          <w:szCs w:val="24"/>
          <w:highlight w:val="none"/>
        </w:rPr>
        <w:t>培训，经考核</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合格后才能上岗；特种作业人员须持证上岗。</w:t>
      </w:r>
    </w:p>
    <w:p w14:paraId="4F4ED156">
      <w:pPr>
        <w:spacing w:before="32" w:line="347" w:lineRule="auto"/>
        <w:ind w:right="85" w:firstLine="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认真做好岗前培训教育，施工负责人或专职安全员在每日上岗前对前一日安全生</w:t>
      </w:r>
      <w:r>
        <w:rPr>
          <w:rFonts w:ascii="宋体" w:hAnsi="宋体" w:eastAsia="宋体" w:cs="宋体"/>
          <w:color w:val="auto"/>
          <w:spacing w:val="3"/>
          <w:sz w:val="24"/>
          <w:szCs w:val="24"/>
          <w:highlight w:val="none"/>
        </w:rPr>
        <w:t xml:space="preserve"> </w:t>
      </w:r>
      <w:r>
        <w:rPr>
          <w:rFonts w:ascii="宋体" w:hAnsi="宋体" w:eastAsia="宋体" w:cs="宋体"/>
          <w:color w:val="auto"/>
          <w:spacing w:val="-2"/>
          <w:sz w:val="24"/>
          <w:szCs w:val="24"/>
          <w:highlight w:val="none"/>
        </w:rPr>
        <w:t>产情况进行回顾，并对当日施工需注意的安全要点进行宣教。</w:t>
      </w:r>
    </w:p>
    <w:p w14:paraId="23E036DD">
      <w:pPr>
        <w:spacing w:before="30" w:line="353" w:lineRule="auto"/>
        <w:ind w:right="85" w:firstLine="485"/>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8.</w:t>
      </w:r>
      <w:r>
        <w:rPr>
          <w:rFonts w:ascii="宋体" w:hAnsi="宋体" w:eastAsia="宋体" w:cs="宋体"/>
          <w:color w:val="auto"/>
          <w:spacing w:val="-1"/>
          <w:sz w:val="24"/>
          <w:szCs w:val="24"/>
          <w:highlight w:val="none"/>
        </w:rPr>
        <w:t>操作人员上岗，必须按规定穿戴防护用品。施</w:t>
      </w:r>
      <w:r>
        <w:rPr>
          <w:rFonts w:ascii="宋体" w:hAnsi="宋体" w:eastAsia="宋体" w:cs="宋体"/>
          <w:color w:val="auto"/>
          <w:spacing w:val="-2"/>
          <w:sz w:val="24"/>
          <w:szCs w:val="24"/>
          <w:highlight w:val="none"/>
        </w:rPr>
        <w:t>工负责人和安全检查员应随时检</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查劳动防护用品的穿戴情况，不按规定穿戴防护用品的人员不得上岗。所有施工机具</w:t>
      </w:r>
      <w:r>
        <w:rPr>
          <w:rFonts w:ascii="宋体" w:hAnsi="宋体" w:eastAsia="宋体" w:cs="宋体"/>
          <w:color w:val="auto"/>
          <w:spacing w:val="9"/>
          <w:sz w:val="24"/>
          <w:szCs w:val="24"/>
          <w:highlight w:val="none"/>
        </w:rPr>
        <w:t xml:space="preserve"> </w:t>
      </w:r>
      <w:r>
        <w:rPr>
          <w:rFonts w:ascii="宋体" w:hAnsi="宋体" w:eastAsia="宋体" w:cs="宋体"/>
          <w:color w:val="auto"/>
          <w:spacing w:val="-3"/>
          <w:sz w:val="24"/>
          <w:szCs w:val="24"/>
          <w:highlight w:val="none"/>
        </w:rPr>
        <w:t>设备和高空作业的设备均应定期检查，并有安全员的签字记录，保证其经常处于完好</w:t>
      </w:r>
      <w:r>
        <w:rPr>
          <w:rFonts w:ascii="宋体" w:hAnsi="宋体" w:eastAsia="宋体" w:cs="宋体"/>
          <w:color w:val="auto"/>
          <w:spacing w:val="9"/>
          <w:sz w:val="24"/>
          <w:szCs w:val="24"/>
          <w:highlight w:val="none"/>
        </w:rPr>
        <w:t xml:space="preserve"> </w:t>
      </w:r>
      <w:r>
        <w:rPr>
          <w:rFonts w:ascii="宋体" w:hAnsi="宋体" w:eastAsia="宋体" w:cs="宋体"/>
          <w:color w:val="auto"/>
          <w:spacing w:val="-2"/>
          <w:sz w:val="24"/>
          <w:szCs w:val="24"/>
          <w:highlight w:val="none"/>
        </w:rPr>
        <w:t>状态；不合格的机具、设备和劳动保护用品严禁使用。</w:t>
      </w:r>
    </w:p>
    <w:p w14:paraId="4AB6A7C8">
      <w:pPr>
        <w:spacing w:before="33" w:line="220" w:lineRule="auto"/>
        <w:ind w:left="481"/>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9.</w:t>
      </w:r>
      <w:r>
        <w:rPr>
          <w:rFonts w:ascii="宋体" w:hAnsi="宋体" w:eastAsia="宋体" w:cs="宋体"/>
          <w:color w:val="auto"/>
          <w:spacing w:val="-1"/>
          <w:sz w:val="24"/>
          <w:szCs w:val="24"/>
          <w:highlight w:val="none"/>
        </w:rPr>
        <w:t>在项目开工前投保安全生产责任保险，所需经费在安</w:t>
      </w:r>
      <w:r>
        <w:rPr>
          <w:rFonts w:ascii="宋体" w:hAnsi="宋体" w:eastAsia="宋体" w:cs="宋体"/>
          <w:color w:val="auto"/>
          <w:spacing w:val="-2"/>
          <w:sz w:val="24"/>
          <w:szCs w:val="24"/>
          <w:highlight w:val="none"/>
        </w:rPr>
        <w:t>全生产措施费中列支。</w:t>
      </w:r>
    </w:p>
    <w:p w14:paraId="64D2ED94">
      <w:pPr>
        <w:spacing w:before="183" w:line="344" w:lineRule="auto"/>
        <w:ind w:left="4" w:right="87" w:firstLine="494"/>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10.</w:t>
      </w:r>
      <w:r>
        <w:rPr>
          <w:rFonts w:ascii="宋体" w:hAnsi="宋体" w:eastAsia="宋体" w:cs="宋体"/>
          <w:color w:val="auto"/>
          <w:spacing w:val="2"/>
          <w:sz w:val="24"/>
          <w:szCs w:val="24"/>
          <w:highlight w:val="none"/>
        </w:rPr>
        <w:t>按照本项目特点，组织制定生产安全事故</w:t>
      </w:r>
      <w:r>
        <w:rPr>
          <w:rFonts w:ascii="宋体" w:hAnsi="宋体" w:eastAsia="宋体" w:cs="宋体"/>
          <w:color w:val="auto"/>
          <w:spacing w:val="1"/>
          <w:sz w:val="24"/>
          <w:szCs w:val="24"/>
          <w:highlight w:val="none"/>
        </w:rPr>
        <w:t>应急救援预案；如发生生产安全事</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故，及时处置、报告。</w:t>
      </w:r>
    </w:p>
    <w:p w14:paraId="2B0B578A">
      <w:pPr>
        <w:spacing w:before="101" w:line="183" w:lineRule="auto"/>
        <w:ind w:left="478"/>
        <w:rPr>
          <w:rFonts w:ascii="微软雅黑" w:hAnsi="微软雅黑" w:eastAsia="微软雅黑" w:cs="微软雅黑"/>
          <w:color w:val="auto"/>
          <w:sz w:val="24"/>
          <w:szCs w:val="24"/>
          <w:highlight w:val="none"/>
        </w:rPr>
      </w:pPr>
      <w:r>
        <w:rPr>
          <w:rFonts w:ascii="微软雅黑" w:hAnsi="微软雅黑" w:eastAsia="微软雅黑" w:cs="微软雅黑"/>
          <w:color w:val="auto"/>
          <w:spacing w:val="-1"/>
          <w:sz w:val="24"/>
          <w:szCs w:val="24"/>
          <w:highlight w:val="none"/>
        </w:rPr>
        <w:t>三、违约责任</w:t>
      </w:r>
    </w:p>
    <w:p w14:paraId="007FA882">
      <w:pPr>
        <w:spacing w:before="242" w:line="346" w:lineRule="auto"/>
        <w:ind w:right="85" w:firstLine="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若一方违约，违约方需承担相应的经济赔偿责任；若造成生产安全事故，将依法</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追究责任，并视事故轻重承担相应的经济赔偿责任。</w:t>
      </w:r>
    </w:p>
    <w:p w14:paraId="04B0D40E">
      <w:pPr>
        <w:spacing w:line="346"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391A923E">
      <w:pPr>
        <w:spacing w:before="48" w:line="346" w:lineRule="auto"/>
        <w:ind w:right="3" w:firstLine="47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本合同正本一式二份，副本八份，合同双方各执正本一份，副本四份。由双方法</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定代表人或其授权的代理人签署与加盖公章后</w:t>
      </w:r>
      <w:r>
        <w:rPr>
          <w:rFonts w:ascii="宋体" w:hAnsi="宋体" w:eastAsia="宋体" w:cs="宋体"/>
          <w:color w:val="auto"/>
          <w:spacing w:val="-2"/>
          <w:sz w:val="24"/>
          <w:szCs w:val="24"/>
          <w:highlight w:val="none"/>
        </w:rPr>
        <w:t>生效，全部工程竣工验收后失效。</w:t>
      </w:r>
    </w:p>
    <w:p w14:paraId="7D0B8C83">
      <w:pPr>
        <w:pStyle w:val="3"/>
        <w:spacing w:line="367" w:lineRule="auto"/>
        <w:rPr>
          <w:color w:val="auto"/>
          <w:highlight w:val="none"/>
        </w:rPr>
      </w:pPr>
    </w:p>
    <w:p w14:paraId="5621CF72">
      <w:pPr>
        <w:spacing w:before="78" w:line="219" w:lineRule="auto"/>
        <w:ind w:left="385"/>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甲方</w:t>
      </w:r>
      <w:r>
        <w:rPr>
          <w:rFonts w:ascii="宋体" w:hAnsi="宋体" w:eastAsia="宋体" w:cs="宋体"/>
          <w:color w:val="auto"/>
          <w:spacing w:val="-5"/>
          <w:sz w:val="24"/>
          <w:szCs w:val="24"/>
          <w:highlight w:val="none"/>
        </w:rPr>
        <w:t>：</w:t>
      </w:r>
      <w:r>
        <w:rPr>
          <w:rFonts w:ascii="宋体" w:hAnsi="宋体" w:eastAsia="宋体" w:cs="宋体"/>
          <w:color w:val="auto"/>
          <w:spacing w:val="20"/>
          <w:sz w:val="24"/>
          <w:szCs w:val="24"/>
          <w:highlight w:val="none"/>
          <w:u w:val="single" w:color="auto"/>
        </w:rPr>
        <w:t xml:space="preserve">      </w:t>
      </w:r>
      <w:r>
        <w:rPr>
          <w:rFonts w:ascii="宋体" w:hAnsi="宋体" w:eastAsia="宋体" w:cs="宋体"/>
          <w:color w:val="auto"/>
          <w:spacing w:val="-5"/>
          <w:sz w:val="24"/>
          <w:szCs w:val="24"/>
          <w:highlight w:val="none"/>
          <w:u w:val="single" w:color="auto"/>
        </w:rPr>
        <w:t>（</w:t>
      </w:r>
      <w:r>
        <w:rPr>
          <w:rFonts w:ascii="宋体" w:hAnsi="宋体" w:eastAsia="宋体" w:cs="宋体"/>
          <w:color w:val="auto"/>
          <w:spacing w:val="-3"/>
          <w:sz w:val="24"/>
          <w:szCs w:val="24"/>
          <w:highlight w:val="none"/>
          <w:u w:val="single" w:color="auto"/>
        </w:rPr>
        <w:t xml:space="preserve">盖单位章）     </w:t>
      </w:r>
      <w:r>
        <w:rPr>
          <w:rFonts w:ascii="宋体" w:hAnsi="宋体" w:eastAsia="宋体" w:cs="宋体"/>
          <w:color w:val="auto"/>
          <w:spacing w:val="5"/>
          <w:sz w:val="24"/>
          <w:szCs w:val="24"/>
          <w:highlight w:val="none"/>
        </w:rPr>
        <w:t xml:space="preserve">      </w:t>
      </w:r>
      <w:r>
        <w:rPr>
          <w:rFonts w:ascii="宋体" w:hAnsi="宋体" w:eastAsia="宋体" w:cs="宋体"/>
          <w:color w:val="auto"/>
          <w:spacing w:val="-3"/>
          <w:sz w:val="24"/>
          <w:szCs w:val="24"/>
          <w:highlight w:val="none"/>
        </w:rPr>
        <w:t>乙方</w:t>
      </w:r>
      <w:r>
        <w:rPr>
          <w:rFonts w:ascii="宋体" w:hAnsi="宋体" w:eastAsia="宋体" w:cs="宋体"/>
          <w:color w:val="auto"/>
          <w:spacing w:val="-5"/>
          <w:sz w:val="24"/>
          <w:szCs w:val="24"/>
          <w:highlight w:val="none"/>
        </w:rPr>
        <w:t>：</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5"/>
          <w:sz w:val="24"/>
          <w:szCs w:val="24"/>
          <w:highlight w:val="none"/>
          <w:u w:val="single" w:color="auto"/>
        </w:rPr>
        <w:t>（</w:t>
      </w:r>
      <w:r>
        <w:rPr>
          <w:rFonts w:ascii="宋体" w:hAnsi="宋体" w:eastAsia="宋体" w:cs="宋体"/>
          <w:color w:val="auto"/>
          <w:spacing w:val="-3"/>
          <w:sz w:val="24"/>
          <w:szCs w:val="24"/>
          <w:highlight w:val="none"/>
          <w:u w:val="single" w:color="auto"/>
        </w:rPr>
        <w:t>盖单位章）</w:t>
      </w:r>
      <w:r>
        <w:rPr>
          <w:rFonts w:ascii="宋体" w:hAnsi="宋体" w:eastAsia="宋体" w:cs="宋体"/>
          <w:color w:val="auto"/>
          <w:sz w:val="24"/>
          <w:szCs w:val="24"/>
          <w:highlight w:val="none"/>
          <w:u w:val="single" w:color="auto"/>
        </w:rPr>
        <w:t xml:space="preserve">       </w:t>
      </w:r>
    </w:p>
    <w:p w14:paraId="6D053870">
      <w:pPr>
        <w:spacing w:before="180" w:line="220" w:lineRule="auto"/>
        <w:ind w:right="30"/>
        <w:jc w:val="right"/>
        <w:rPr>
          <w:rFonts w:ascii="宋体" w:hAnsi="宋体" w:eastAsia="宋体" w:cs="宋体"/>
          <w:color w:val="auto"/>
          <w:sz w:val="24"/>
          <w:szCs w:val="24"/>
          <w:highlight w:val="none"/>
        </w:rPr>
      </w:pPr>
      <w:r>
        <w:rPr>
          <w:rFonts w:ascii="宋体" w:hAnsi="宋体" w:eastAsia="宋体" w:cs="宋体"/>
          <w:color w:val="auto"/>
          <w:sz w:val="24"/>
          <w:szCs w:val="24"/>
          <w:highlight w:val="none"/>
        </w:rPr>
        <w:t>法定代表人或其委托代理人</w:t>
      </w:r>
      <w:r>
        <w:rPr>
          <w:rFonts w:ascii="宋体" w:hAnsi="宋体" w:eastAsia="宋体" w:cs="宋体"/>
          <w:color w:val="auto"/>
          <w:spacing w:val="-1"/>
          <w:sz w:val="24"/>
          <w:szCs w:val="24"/>
          <w:highlight w:val="none"/>
        </w:rPr>
        <w:t>：</w:t>
      </w:r>
      <w:r>
        <w:rPr>
          <w:rFonts w:ascii="宋体" w:hAnsi="宋体" w:eastAsia="宋体" w:cs="宋体"/>
          <w:color w:val="auto"/>
          <w:spacing w:val="-1"/>
          <w:sz w:val="24"/>
          <w:szCs w:val="24"/>
          <w:highlight w:val="none"/>
          <w:u w:val="single" w:color="auto"/>
        </w:rPr>
        <w:t>（</w:t>
      </w:r>
      <w:r>
        <w:rPr>
          <w:rFonts w:ascii="宋体" w:hAnsi="宋体" w:eastAsia="宋体" w:cs="宋体"/>
          <w:color w:val="auto"/>
          <w:sz w:val="24"/>
          <w:szCs w:val="24"/>
          <w:highlight w:val="none"/>
          <w:u w:val="single" w:color="auto"/>
        </w:rPr>
        <w:t>签字）</w:t>
      </w:r>
      <w:r>
        <w:rPr>
          <w:rFonts w:ascii="宋体" w:hAnsi="宋体" w:eastAsia="宋体" w:cs="宋体"/>
          <w:color w:val="auto"/>
          <w:sz w:val="24"/>
          <w:szCs w:val="24"/>
          <w:highlight w:val="none"/>
        </w:rPr>
        <w:t xml:space="preserve">  法定代表人</w:t>
      </w:r>
      <w:r>
        <w:rPr>
          <w:rFonts w:ascii="宋体" w:hAnsi="宋体" w:eastAsia="宋体" w:cs="宋体"/>
          <w:color w:val="auto"/>
          <w:spacing w:val="-1"/>
          <w:sz w:val="24"/>
          <w:szCs w:val="24"/>
          <w:highlight w:val="none"/>
        </w:rPr>
        <w:t>或其委托代理人：</w:t>
      </w:r>
      <w:r>
        <w:rPr>
          <w:rFonts w:ascii="宋体" w:hAnsi="宋体" w:eastAsia="宋体" w:cs="宋体"/>
          <w:color w:val="auto"/>
          <w:spacing w:val="-1"/>
          <w:sz w:val="24"/>
          <w:szCs w:val="24"/>
          <w:highlight w:val="none"/>
          <w:u w:val="single" w:color="auto"/>
        </w:rPr>
        <w:t>（签字）</w:t>
      </w:r>
    </w:p>
    <w:p w14:paraId="2737712D">
      <w:pPr>
        <w:tabs>
          <w:tab w:val="left" w:pos="2720"/>
        </w:tabs>
        <w:spacing w:before="182" w:line="214" w:lineRule="auto"/>
        <w:ind w:left="2000"/>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8"/>
          <w:sz w:val="24"/>
          <w:szCs w:val="24"/>
          <w:highlight w:val="none"/>
        </w:rPr>
        <w:t xml:space="preserve"> </w:t>
      </w:r>
      <w:r>
        <w:rPr>
          <w:rFonts w:ascii="宋体" w:hAnsi="宋体" w:eastAsia="宋体" w:cs="宋体"/>
          <w:color w:val="auto"/>
          <w:spacing w:val="-4"/>
          <w:sz w:val="24"/>
          <w:szCs w:val="24"/>
          <w:highlight w:val="none"/>
        </w:rPr>
        <w:t>年</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4"/>
          <w:sz w:val="24"/>
          <w:szCs w:val="24"/>
          <w:highlight w:val="none"/>
        </w:rPr>
        <w:t>月＿日</w:t>
      </w:r>
      <w:r>
        <w:rPr>
          <w:rFonts w:ascii="宋体" w:hAnsi="宋体" w:eastAsia="宋体" w:cs="宋体"/>
          <w:color w:val="auto"/>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4"/>
          <w:sz w:val="24"/>
          <w:szCs w:val="24"/>
          <w:highlight w:val="none"/>
        </w:rPr>
        <w:t>年</w:t>
      </w:r>
      <w:r>
        <w:rPr>
          <w:rFonts w:ascii="宋体" w:hAnsi="宋体" w:eastAsia="宋体" w:cs="宋体"/>
          <w:color w:val="auto"/>
          <w:spacing w:val="-120"/>
          <w:sz w:val="24"/>
          <w:szCs w:val="24"/>
          <w:highlight w:val="none"/>
        </w:rPr>
        <w:t xml:space="preserve"> </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4"/>
          <w:sz w:val="24"/>
          <w:szCs w:val="24"/>
          <w:highlight w:val="none"/>
        </w:rPr>
        <w:t>月＿日</w:t>
      </w:r>
    </w:p>
    <w:p w14:paraId="130CA871">
      <w:pPr>
        <w:spacing w:line="214"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B69B77D">
      <w:pPr>
        <w:spacing w:before="71" w:line="219" w:lineRule="auto"/>
        <w:ind w:left="2675"/>
        <w:outlineLvl w:val="0"/>
        <w:rPr>
          <w:rFonts w:ascii="宋体" w:hAnsi="宋体" w:eastAsia="宋体" w:cs="宋体"/>
          <w:color w:val="auto"/>
          <w:sz w:val="36"/>
          <w:szCs w:val="36"/>
          <w:highlight w:val="none"/>
        </w:rPr>
      </w:pPr>
      <w:bookmarkStart w:id="779" w:name="bookmark784"/>
      <w:bookmarkEnd w:id="779"/>
      <w:bookmarkStart w:id="780" w:name="bookmark783"/>
      <w:bookmarkEnd w:id="780"/>
      <w:bookmarkStart w:id="781" w:name="_Toc25652"/>
      <w:bookmarkStart w:id="782" w:name="_Toc30526"/>
      <w:r>
        <w:rPr>
          <w:rFonts w:ascii="宋体" w:hAnsi="宋体" w:eastAsia="宋体" w:cs="宋体"/>
          <w:b/>
          <w:bCs/>
          <w:color w:val="auto"/>
          <w:spacing w:val="-4"/>
          <w:sz w:val="36"/>
          <w:szCs w:val="36"/>
          <w:highlight w:val="none"/>
        </w:rPr>
        <w:t>第五章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工程量清单</w:t>
      </w:r>
      <w:bookmarkEnd w:id="781"/>
      <w:bookmarkEnd w:id="782"/>
    </w:p>
    <w:p w14:paraId="2363D898">
      <w:pPr>
        <w:spacing w:line="219" w:lineRule="auto"/>
        <w:rPr>
          <w:rFonts w:ascii="宋体" w:hAnsi="宋体" w:eastAsia="宋体" w:cs="宋体"/>
          <w:color w:val="auto"/>
          <w:sz w:val="36"/>
          <w:szCs w:val="36"/>
          <w:highlight w:val="none"/>
        </w:rPr>
      </w:pPr>
    </w:p>
    <w:p w14:paraId="304653C4">
      <w:pPr>
        <w:spacing w:line="219" w:lineRule="auto"/>
        <w:jc w:val="center"/>
        <w:rPr>
          <w:rFonts w:hint="eastAsia" w:ascii="宋体" w:hAnsi="宋体" w:eastAsia="宋体" w:cs="宋体"/>
          <w:color w:val="auto"/>
          <w:sz w:val="32"/>
          <w:szCs w:val="32"/>
          <w:highlight w:val="none"/>
          <w:lang w:val="en-US" w:eastAsia="zh-CN"/>
        </w:rPr>
        <w:sectPr>
          <w:pgSz w:w="11905" w:h="16843"/>
          <w:pgMar w:top="1429" w:right="1361" w:bottom="1253" w:left="1621" w:header="0" w:footer="1094" w:gutter="0"/>
          <w:pgNumType w:fmt="decimal"/>
          <w:cols w:space="0" w:num="1"/>
          <w:rtlGutter w:val="0"/>
          <w:docGrid w:linePitch="0" w:charSpace="0"/>
        </w:sectPr>
      </w:pPr>
      <w:r>
        <w:rPr>
          <w:rFonts w:hint="eastAsia" w:ascii="宋体" w:hAnsi="宋体" w:eastAsia="宋体" w:cs="宋体"/>
          <w:color w:val="auto"/>
          <w:sz w:val="32"/>
          <w:szCs w:val="32"/>
          <w:highlight w:val="none"/>
          <w:lang w:val="en-US" w:eastAsia="zh-CN"/>
        </w:rPr>
        <w:t>(注：工程量清单在交易系统的其他材料栏目下载）</w:t>
      </w:r>
      <w:bookmarkStart w:id="894" w:name="_GoBack"/>
      <w:bookmarkEnd w:id="894"/>
    </w:p>
    <w:p w14:paraId="5E397C23">
      <w:pPr>
        <w:pStyle w:val="3"/>
        <w:spacing w:line="263" w:lineRule="auto"/>
        <w:rPr>
          <w:color w:val="auto"/>
          <w:highlight w:val="none"/>
        </w:rPr>
      </w:pPr>
    </w:p>
    <w:p w14:paraId="758B32C5">
      <w:pPr>
        <w:pStyle w:val="3"/>
        <w:spacing w:line="263" w:lineRule="auto"/>
        <w:rPr>
          <w:color w:val="auto"/>
          <w:highlight w:val="none"/>
        </w:rPr>
      </w:pPr>
    </w:p>
    <w:p w14:paraId="5C931286">
      <w:pPr>
        <w:pStyle w:val="3"/>
        <w:spacing w:line="264" w:lineRule="auto"/>
        <w:rPr>
          <w:color w:val="auto"/>
          <w:highlight w:val="none"/>
        </w:rPr>
      </w:pPr>
    </w:p>
    <w:p w14:paraId="78741C39">
      <w:pPr>
        <w:tabs>
          <w:tab w:val="left" w:pos="3557"/>
        </w:tabs>
        <w:spacing w:before="78" w:line="220" w:lineRule="auto"/>
        <w:ind w:left="2702"/>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3"/>
          <w:sz w:val="24"/>
          <w:szCs w:val="24"/>
          <w:highlight w:val="none"/>
          <w:u w:val="single" w:color="auto"/>
        </w:rPr>
        <w:t>（项目名称及标段名称）</w:t>
      </w:r>
      <w:r>
        <w:rPr>
          <w:rFonts w:ascii="宋体" w:hAnsi="宋体" w:eastAsia="宋体" w:cs="宋体"/>
          <w:color w:val="auto"/>
          <w:spacing w:val="1"/>
          <w:sz w:val="24"/>
          <w:szCs w:val="24"/>
          <w:highlight w:val="none"/>
          <w:u w:val="single" w:color="auto"/>
        </w:rPr>
        <w:t xml:space="preserve">    </w:t>
      </w:r>
    </w:p>
    <w:p w14:paraId="40B8AAB6">
      <w:pPr>
        <w:pStyle w:val="3"/>
        <w:spacing w:line="260" w:lineRule="auto"/>
        <w:rPr>
          <w:color w:val="auto"/>
          <w:highlight w:val="none"/>
        </w:rPr>
      </w:pPr>
    </w:p>
    <w:p w14:paraId="7ED3CC37">
      <w:pPr>
        <w:pStyle w:val="3"/>
        <w:spacing w:line="261" w:lineRule="auto"/>
        <w:rPr>
          <w:color w:val="auto"/>
          <w:highlight w:val="none"/>
        </w:rPr>
      </w:pPr>
    </w:p>
    <w:p w14:paraId="050457C1">
      <w:pPr>
        <w:pStyle w:val="3"/>
        <w:spacing w:line="261" w:lineRule="auto"/>
        <w:rPr>
          <w:color w:val="auto"/>
          <w:highlight w:val="none"/>
        </w:rPr>
      </w:pPr>
    </w:p>
    <w:p w14:paraId="17BDE796">
      <w:pPr>
        <w:pStyle w:val="3"/>
        <w:spacing w:line="261" w:lineRule="auto"/>
        <w:rPr>
          <w:color w:val="auto"/>
          <w:highlight w:val="none"/>
        </w:rPr>
      </w:pPr>
    </w:p>
    <w:p w14:paraId="39A9AA17">
      <w:pPr>
        <w:pStyle w:val="3"/>
        <w:spacing w:line="261" w:lineRule="auto"/>
        <w:rPr>
          <w:color w:val="auto"/>
          <w:highlight w:val="none"/>
        </w:rPr>
      </w:pPr>
    </w:p>
    <w:p w14:paraId="50E30ACA">
      <w:pPr>
        <w:spacing w:before="139" w:line="226" w:lineRule="auto"/>
        <w:ind w:left="2860"/>
        <w:rPr>
          <w:rFonts w:ascii="黑体" w:hAnsi="黑体" w:eastAsia="黑体" w:cs="黑体"/>
          <w:color w:val="auto"/>
          <w:sz w:val="43"/>
          <w:szCs w:val="43"/>
          <w:highlight w:val="none"/>
        </w:rPr>
      </w:pPr>
      <w:r>
        <w:rPr>
          <w:rFonts w:ascii="黑体" w:hAnsi="黑体" w:eastAsia="黑体" w:cs="黑体"/>
          <w:color w:val="auto"/>
          <w:spacing w:val="-9"/>
          <w:sz w:val="43"/>
          <w:szCs w:val="43"/>
          <w:highlight w:val="none"/>
        </w:rPr>
        <w:t>工</w:t>
      </w:r>
      <w:r>
        <w:rPr>
          <w:rFonts w:ascii="黑体" w:hAnsi="黑体" w:eastAsia="黑体" w:cs="黑体"/>
          <w:color w:val="auto"/>
          <w:spacing w:val="23"/>
          <w:sz w:val="43"/>
          <w:szCs w:val="43"/>
          <w:highlight w:val="none"/>
        </w:rPr>
        <w:t xml:space="preserve"> </w:t>
      </w:r>
      <w:r>
        <w:rPr>
          <w:rFonts w:ascii="黑体" w:hAnsi="黑体" w:eastAsia="黑体" w:cs="黑体"/>
          <w:color w:val="auto"/>
          <w:spacing w:val="-9"/>
          <w:sz w:val="43"/>
          <w:szCs w:val="43"/>
          <w:highlight w:val="none"/>
        </w:rPr>
        <w:t>程</w:t>
      </w:r>
      <w:r>
        <w:rPr>
          <w:rFonts w:ascii="黑体" w:hAnsi="黑体" w:eastAsia="黑体" w:cs="黑体"/>
          <w:color w:val="auto"/>
          <w:spacing w:val="28"/>
          <w:sz w:val="43"/>
          <w:szCs w:val="43"/>
          <w:highlight w:val="none"/>
        </w:rPr>
        <w:t xml:space="preserve"> </w:t>
      </w:r>
      <w:r>
        <w:rPr>
          <w:rFonts w:ascii="黑体" w:hAnsi="黑体" w:eastAsia="黑体" w:cs="黑体"/>
          <w:color w:val="auto"/>
          <w:spacing w:val="-9"/>
          <w:sz w:val="43"/>
          <w:szCs w:val="43"/>
          <w:highlight w:val="none"/>
        </w:rPr>
        <w:t>量</w:t>
      </w:r>
      <w:r>
        <w:rPr>
          <w:rFonts w:ascii="黑体" w:hAnsi="黑体" w:eastAsia="黑体" w:cs="黑体"/>
          <w:color w:val="auto"/>
          <w:spacing w:val="28"/>
          <w:sz w:val="43"/>
          <w:szCs w:val="43"/>
          <w:highlight w:val="none"/>
        </w:rPr>
        <w:t xml:space="preserve"> </w:t>
      </w:r>
      <w:r>
        <w:rPr>
          <w:rFonts w:ascii="黑体" w:hAnsi="黑体" w:eastAsia="黑体" w:cs="黑体"/>
          <w:color w:val="auto"/>
          <w:spacing w:val="-9"/>
          <w:sz w:val="43"/>
          <w:szCs w:val="43"/>
          <w:highlight w:val="none"/>
        </w:rPr>
        <w:t>清</w:t>
      </w:r>
      <w:r>
        <w:rPr>
          <w:rFonts w:ascii="黑体" w:hAnsi="黑体" w:eastAsia="黑体" w:cs="黑体"/>
          <w:color w:val="auto"/>
          <w:spacing w:val="35"/>
          <w:sz w:val="43"/>
          <w:szCs w:val="43"/>
          <w:highlight w:val="none"/>
        </w:rPr>
        <w:t xml:space="preserve"> </w:t>
      </w:r>
      <w:r>
        <w:rPr>
          <w:rFonts w:ascii="黑体" w:hAnsi="黑体" w:eastAsia="黑体" w:cs="黑体"/>
          <w:color w:val="auto"/>
          <w:spacing w:val="-9"/>
          <w:sz w:val="43"/>
          <w:szCs w:val="43"/>
          <w:highlight w:val="none"/>
        </w:rPr>
        <w:t>单</w:t>
      </w:r>
    </w:p>
    <w:p w14:paraId="28FCCB48">
      <w:pPr>
        <w:pStyle w:val="3"/>
        <w:spacing w:line="249" w:lineRule="auto"/>
        <w:rPr>
          <w:color w:val="auto"/>
          <w:highlight w:val="none"/>
        </w:rPr>
      </w:pPr>
    </w:p>
    <w:p w14:paraId="1617B528">
      <w:pPr>
        <w:pStyle w:val="3"/>
        <w:spacing w:line="249" w:lineRule="auto"/>
        <w:rPr>
          <w:color w:val="auto"/>
          <w:highlight w:val="none"/>
        </w:rPr>
      </w:pPr>
    </w:p>
    <w:p w14:paraId="410FEF26">
      <w:pPr>
        <w:pStyle w:val="3"/>
        <w:spacing w:line="249" w:lineRule="auto"/>
        <w:rPr>
          <w:color w:val="auto"/>
          <w:highlight w:val="none"/>
        </w:rPr>
      </w:pPr>
    </w:p>
    <w:p w14:paraId="69145124">
      <w:pPr>
        <w:pStyle w:val="3"/>
        <w:spacing w:line="249" w:lineRule="auto"/>
        <w:rPr>
          <w:color w:val="auto"/>
          <w:highlight w:val="none"/>
        </w:rPr>
      </w:pPr>
    </w:p>
    <w:p w14:paraId="7074A262">
      <w:pPr>
        <w:pStyle w:val="3"/>
        <w:spacing w:line="249" w:lineRule="auto"/>
        <w:rPr>
          <w:color w:val="auto"/>
          <w:highlight w:val="none"/>
        </w:rPr>
      </w:pPr>
    </w:p>
    <w:p w14:paraId="79A816FD">
      <w:pPr>
        <w:pStyle w:val="3"/>
        <w:spacing w:line="249" w:lineRule="auto"/>
        <w:rPr>
          <w:color w:val="auto"/>
          <w:highlight w:val="none"/>
        </w:rPr>
      </w:pPr>
    </w:p>
    <w:p w14:paraId="136189BE">
      <w:pPr>
        <w:pStyle w:val="3"/>
        <w:spacing w:line="249" w:lineRule="auto"/>
        <w:rPr>
          <w:color w:val="auto"/>
          <w:highlight w:val="none"/>
        </w:rPr>
      </w:pPr>
    </w:p>
    <w:p w14:paraId="1A9DF947">
      <w:pPr>
        <w:pStyle w:val="3"/>
        <w:spacing w:line="249" w:lineRule="auto"/>
        <w:rPr>
          <w:color w:val="auto"/>
          <w:highlight w:val="none"/>
        </w:rPr>
      </w:pPr>
    </w:p>
    <w:p w14:paraId="4A21EBF4">
      <w:pPr>
        <w:pStyle w:val="3"/>
        <w:spacing w:line="249" w:lineRule="auto"/>
        <w:rPr>
          <w:color w:val="auto"/>
          <w:highlight w:val="none"/>
        </w:rPr>
      </w:pPr>
    </w:p>
    <w:p w14:paraId="3E800477">
      <w:pPr>
        <w:pStyle w:val="3"/>
        <w:spacing w:line="249" w:lineRule="auto"/>
        <w:rPr>
          <w:color w:val="auto"/>
          <w:highlight w:val="none"/>
        </w:rPr>
      </w:pPr>
    </w:p>
    <w:p w14:paraId="226C2AEA">
      <w:pPr>
        <w:pStyle w:val="3"/>
        <w:spacing w:line="249" w:lineRule="auto"/>
        <w:rPr>
          <w:color w:val="auto"/>
          <w:highlight w:val="none"/>
        </w:rPr>
      </w:pPr>
    </w:p>
    <w:p w14:paraId="240ADFFF">
      <w:pPr>
        <w:pStyle w:val="3"/>
        <w:spacing w:line="249" w:lineRule="auto"/>
        <w:rPr>
          <w:color w:val="auto"/>
          <w:highlight w:val="none"/>
        </w:rPr>
      </w:pPr>
    </w:p>
    <w:p w14:paraId="025422EA">
      <w:pPr>
        <w:pStyle w:val="3"/>
        <w:spacing w:line="249" w:lineRule="auto"/>
        <w:rPr>
          <w:color w:val="auto"/>
          <w:highlight w:val="none"/>
        </w:rPr>
      </w:pPr>
    </w:p>
    <w:p w14:paraId="733B7234">
      <w:pPr>
        <w:pStyle w:val="3"/>
        <w:spacing w:line="249" w:lineRule="auto"/>
        <w:rPr>
          <w:color w:val="auto"/>
          <w:highlight w:val="none"/>
        </w:rPr>
      </w:pPr>
    </w:p>
    <w:p w14:paraId="1350568D">
      <w:pPr>
        <w:pStyle w:val="3"/>
        <w:spacing w:line="250" w:lineRule="auto"/>
        <w:rPr>
          <w:color w:val="auto"/>
          <w:highlight w:val="none"/>
        </w:rPr>
      </w:pPr>
    </w:p>
    <w:p w14:paraId="747CB243">
      <w:pPr>
        <w:pStyle w:val="3"/>
        <w:spacing w:line="250" w:lineRule="auto"/>
        <w:rPr>
          <w:color w:val="auto"/>
          <w:highlight w:val="none"/>
        </w:rPr>
      </w:pPr>
    </w:p>
    <w:p w14:paraId="20F3871B">
      <w:pPr>
        <w:pStyle w:val="3"/>
        <w:spacing w:line="250" w:lineRule="auto"/>
        <w:rPr>
          <w:color w:val="auto"/>
          <w:highlight w:val="none"/>
        </w:rPr>
      </w:pPr>
    </w:p>
    <w:p w14:paraId="394967E1">
      <w:pPr>
        <w:pStyle w:val="3"/>
        <w:spacing w:line="250" w:lineRule="auto"/>
        <w:rPr>
          <w:color w:val="auto"/>
          <w:highlight w:val="none"/>
        </w:rPr>
      </w:pPr>
    </w:p>
    <w:p w14:paraId="5E9EB566">
      <w:pPr>
        <w:pStyle w:val="3"/>
        <w:spacing w:line="250" w:lineRule="auto"/>
        <w:rPr>
          <w:color w:val="auto"/>
          <w:highlight w:val="none"/>
        </w:rPr>
      </w:pPr>
    </w:p>
    <w:p w14:paraId="6345DE0E">
      <w:pPr>
        <w:spacing w:before="91" w:line="213" w:lineRule="auto"/>
        <w:rPr>
          <w:rFonts w:ascii="Times New Roman" w:hAnsi="Times New Roman" w:eastAsia="Times New Roman" w:cs="Times New Roman"/>
          <w:color w:val="auto"/>
          <w:sz w:val="28"/>
          <w:szCs w:val="28"/>
          <w:highlight w:val="none"/>
        </w:rPr>
      </w:pPr>
      <w:r>
        <w:rPr>
          <w:rFonts w:ascii="宋体" w:hAnsi="宋体" w:eastAsia="宋体" w:cs="宋体"/>
          <w:color w:val="auto"/>
          <w:spacing w:val="-1"/>
          <w:sz w:val="28"/>
          <w:szCs w:val="28"/>
          <w:highlight w:val="none"/>
        </w:rPr>
        <w:t>招    标    人：</w:t>
      </w:r>
      <w:r>
        <w:rPr>
          <w:rFonts w:ascii="宋体" w:hAnsi="宋体" w:eastAsia="宋体" w:cs="宋体"/>
          <w:color w:val="auto"/>
          <w:spacing w:val="20"/>
          <w:sz w:val="28"/>
          <w:szCs w:val="28"/>
          <w:highlight w:val="none"/>
          <w:u w:val="single" w:color="auto"/>
        </w:rPr>
        <w:t xml:space="preserve">       </w:t>
      </w:r>
      <w:r>
        <w:rPr>
          <w:rFonts w:ascii="宋体" w:hAnsi="宋体" w:eastAsia="宋体" w:cs="宋体"/>
          <w:color w:val="auto"/>
          <w:spacing w:val="-1"/>
          <w:sz w:val="28"/>
          <w:szCs w:val="28"/>
          <w:highlight w:val="none"/>
          <w:u w:val="single" w:color="auto"/>
        </w:rPr>
        <w:t>（全称）</w:t>
      </w:r>
      <w:r>
        <w:rPr>
          <w:rFonts w:ascii="宋体" w:hAnsi="宋体" w:eastAsia="宋体" w:cs="宋体"/>
          <w:color w:val="auto"/>
          <w:sz w:val="28"/>
          <w:szCs w:val="28"/>
          <w:highlight w:val="none"/>
          <w:u w:val="single" w:color="auto"/>
        </w:rPr>
        <w:t xml:space="preserve">        </w:t>
      </w:r>
      <w:r>
        <w:rPr>
          <w:rFonts w:ascii="宋体" w:hAnsi="宋体" w:eastAsia="宋体" w:cs="宋体"/>
          <w:color w:val="auto"/>
          <w:spacing w:val="-127"/>
          <w:sz w:val="28"/>
          <w:szCs w:val="28"/>
          <w:highlight w:val="none"/>
        </w:rPr>
        <w:t xml:space="preserve"> </w:t>
      </w:r>
      <w:r>
        <w:rPr>
          <w:rFonts w:ascii="Times New Roman" w:hAnsi="Times New Roman" w:eastAsia="Times New Roman" w:cs="Times New Roman"/>
          <w:color w:val="auto"/>
          <w:spacing w:val="-1"/>
          <w:sz w:val="28"/>
          <w:szCs w:val="28"/>
          <w:highlight w:val="none"/>
        </w:rPr>
        <w:t>(</w:t>
      </w:r>
      <w:r>
        <w:rPr>
          <w:rFonts w:ascii="宋体" w:hAnsi="宋体" w:eastAsia="宋体" w:cs="宋体"/>
          <w:color w:val="auto"/>
          <w:spacing w:val="-1"/>
          <w:sz w:val="28"/>
          <w:szCs w:val="28"/>
          <w:highlight w:val="none"/>
        </w:rPr>
        <w:t>单位盖章</w:t>
      </w:r>
      <w:r>
        <w:rPr>
          <w:rFonts w:ascii="Times New Roman" w:hAnsi="Times New Roman" w:eastAsia="Times New Roman" w:cs="Times New Roman"/>
          <w:color w:val="auto"/>
          <w:spacing w:val="-1"/>
          <w:sz w:val="28"/>
          <w:szCs w:val="28"/>
          <w:highlight w:val="none"/>
        </w:rPr>
        <w:t>)</w:t>
      </w:r>
    </w:p>
    <w:p w14:paraId="03CED6AB">
      <w:pPr>
        <w:pStyle w:val="3"/>
        <w:spacing w:line="295" w:lineRule="auto"/>
        <w:rPr>
          <w:color w:val="auto"/>
          <w:highlight w:val="none"/>
        </w:rPr>
      </w:pPr>
    </w:p>
    <w:p w14:paraId="2FE1B050">
      <w:pPr>
        <w:pStyle w:val="3"/>
        <w:spacing w:line="295" w:lineRule="auto"/>
        <w:rPr>
          <w:color w:val="auto"/>
          <w:highlight w:val="none"/>
        </w:rPr>
      </w:pPr>
    </w:p>
    <w:p w14:paraId="48C4D24C">
      <w:pPr>
        <w:spacing w:before="91" w:line="213" w:lineRule="auto"/>
        <w:ind w:left="1"/>
        <w:rPr>
          <w:rFonts w:ascii="Times New Roman" w:hAnsi="Times New Roman" w:eastAsia="Times New Roman" w:cs="Times New Roman"/>
          <w:color w:val="auto"/>
          <w:sz w:val="28"/>
          <w:szCs w:val="28"/>
          <w:highlight w:val="none"/>
        </w:rPr>
      </w:pPr>
      <w:r>
        <w:rPr>
          <w:rFonts w:ascii="宋体" w:hAnsi="宋体" w:eastAsia="宋体" w:cs="宋体"/>
          <w:color w:val="auto"/>
          <w:spacing w:val="-2"/>
          <w:sz w:val="28"/>
          <w:szCs w:val="28"/>
          <w:highlight w:val="none"/>
        </w:rPr>
        <w:t>编  制  单</w:t>
      </w:r>
      <w:r>
        <w:rPr>
          <w:rFonts w:ascii="宋体" w:hAnsi="宋体" w:eastAsia="宋体" w:cs="宋体"/>
          <w:color w:val="auto"/>
          <w:spacing w:val="5"/>
          <w:sz w:val="28"/>
          <w:szCs w:val="28"/>
          <w:highlight w:val="none"/>
        </w:rPr>
        <w:t xml:space="preserve">  </w:t>
      </w:r>
      <w:r>
        <w:rPr>
          <w:rFonts w:ascii="宋体" w:hAnsi="宋体" w:eastAsia="宋体" w:cs="宋体"/>
          <w:color w:val="auto"/>
          <w:spacing w:val="-2"/>
          <w:sz w:val="28"/>
          <w:szCs w:val="28"/>
          <w:highlight w:val="none"/>
        </w:rPr>
        <w:t>位</w:t>
      </w:r>
      <w:r>
        <w:rPr>
          <w:rFonts w:ascii="宋体" w:hAnsi="宋体" w:eastAsia="宋体" w:cs="宋体"/>
          <w:color w:val="auto"/>
          <w:sz w:val="28"/>
          <w:szCs w:val="28"/>
          <w:highlight w:val="none"/>
        </w:rPr>
        <w:t>：</w:t>
      </w:r>
      <w:r>
        <w:rPr>
          <w:rFonts w:ascii="宋体" w:hAnsi="宋体" w:eastAsia="宋体" w:cs="宋体"/>
          <w:color w:val="auto"/>
          <w:spacing w:val="20"/>
          <w:sz w:val="28"/>
          <w:szCs w:val="28"/>
          <w:highlight w:val="none"/>
          <w:u w:val="single" w:color="auto"/>
        </w:rPr>
        <w:t xml:space="preserve">       </w:t>
      </w:r>
      <w:r>
        <w:rPr>
          <w:rFonts w:ascii="宋体" w:hAnsi="宋体" w:eastAsia="宋体" w:cs="宋体"/>
          <w:color w:val="auto"/>
          <w:sz w:val="28"/>
          <w:szCs w:val="28"/>
          <w:highlight w:val="none"/>
          <w:u w:val="single" w:color="auto"/>
        </w:rPr>
        <w:t>（</w:t>
      </w:r>
      <w:r>
        <w:rPr>
          <w:rFonts w:ascii="宋体" w:hAnsi="宋体" w:eastAsia="宋体" w:cs="宋体"/>
          <w:color w:val="auto"/>
          <w:spacing w:val="-2"/>
          <w:sz w:val="28"/>
          <w:szCs w:val="28"/>
          <w:highlight w:val="none"/>
          <w:u w:val="single" w:color="auto"/>
        </w:rPr>
        <w:t>全称）</w:t>
      </w:r>
      <w:r>
        <w:rPr>
          <w:rFonts w:ascii="宋体" w:hAnsi="宋体" w:eastAsia="宋体" w:cs="宋体"/>
          <w:color w:val="auto"/>
          <w:sz w:val="28"/>
          <w:szCs w:val="28"/>
          <w:highlight w:val="none"/>
          <w:u w:val="single" w:color="auto"/>
        </w:rPr>
        <w:t xml:space="preserve">        </w:t>
      </w:r>
      <w:r>
        <w:rPr>
          <w:rFonts w:ascii="宋体" w:hAnsi="宋体" w:eastAsia="宋体" w:cs="宋体"/>
          <w:color w:val="auto"/>
          <w:spacing w:val="-126"/>
          <w:sz w:val="28"/>
          <w:szCs w:val="28"/>
          <w:highlight w:val="none"/>
        </w:rPr>
        <w:t xml:space="preserve"> </w:t>
      </w:r>
      <w:r>
        <w:rPr>
          <w:rFonts w:ascii="Times New Roman" w:hAnsi="Times New Roman" w:eastAsia="Times New Roman" w:cs="Times New Roman"/>
          <w:color w:val="auto"/>
          <w:spacing w:val="-2"/>
          <w:sz w:val="28"/>
          <w:szCs w:val="28"/>
          <w:highlight w:val="none"/>
        </w:rPr>
        <w:t>(</w:t>
      </w:r>
      <w:r>
        <w:rPr>
          <w:rFonts w:ascii="宋体" w:hAnsi="宋体" w:eastAsia="宋体" w:cs="宋体"/>
          <w:color w:val="auto"/>
          <w:spacing w:val="-2"/>
          <w:sz w:val="28"/>
          <w:szCs w:val="28"/>
          <w:highlight w:val="none"/>
        </w:rPr>
        <w:t>单位盖章</w:t>
      </w:r>
      <w:r>
        <w:rPr>
          <w:rFonts w:ascii="Times New Roman" w:hAnsi="Times New Roman" w:eastAsia="Times New Roman" w:cs="Times New Roman"/>
          <w:color w:val="auto"/>
          <w:spacing w:val="-2"/>
          <w:sz w:val="28"/>
          <w:szCs w:val="28"/>
          <w:highlight w:val="none"/>
        </w:rPr>
        <w:t>)</w:t>
      </w:r>
    </w:p>
    <w:p w14:paraId="0F230F19">
      <w:pPr>
        <w:pStyle w:val="3"/>
        <w:spacing w:line="294" w:lineRule="auto"/>
        <w:rPr>
          <w:color w:val="auto"/>
          <w:highlight w:val="none"/>
        </w:rPr>
      </w:pPr>
    </w:p>
    <w:p w14:paraId="0E84540F">
      <w:pPr>
        <w:pStyle w:val="3"/>
        <w:spacing w:line="295" w:lineRule="auto"/>
        <w:rPr>
          <w:color w:val="auto"/>
          <w:highlight w:val="none"/>
        </w:rPr>
      </w:pPr>
    </w:p>
    <w:p w14:paraId="63207DE1">
      <w:pPr>
        <w:spacing w:before="91" w:line="219" w:lineRule="auto"/>
        <w:ind w:left="13"/>
        <w:rPr>
          <w:rFonts w:ascii="宋体" w:hAnsi="宋体" w:eastAsia="宋体" w:cs="宋体"/>
          <w:color w:val="auto"/>
          <w:sz w:val="28"/>
          <w:szCs w:val="28"/>
          <w:highlight w:val="none"/>
        </w:rPr>
      </w:pPr>
      <w:r>
        <w:rPr>
          <w:rFonts w:ascii="宋体" w:hAnsi="宋体" w:eastAsia="宋体" w:cs="宋体"/>
          <w:color w:val="auto"/>
          <w:spacing w:val="-3"/>
          <w:sz w:val="28"/>
          <w:szCs w:val="28"/>
          <w:highlight w:val="none"/>
        </w:rPr>
        <w:t>审    定</w:t>
      </w:r>
      <w:r>
        <w:rPr>
          <w:rFonts w:ascii="宋体" w:hAnsi="宋体" w:eastAsia="宋体" w:cs="宋体"/>
          <w:color w:val="auto"/>
          <w:spacing w:val="3"/>
          <w:sz w:val="28"/>
          <w:szCs w:val="28"/>
          <w:highlight w:val="none"/>
        </w:rPr>
        <w:t xml:space="preserve">    </w:t>
      </w:r>
      <w:r>
        <w:rPr>
          <w:rFonts w:ascii="宋体" w:hAnsi="宋体" w:eastAsia="宋体" w:cs="宋体"/>
          <w:color w:val="auto"/>
          <w:spacing w:val="-3"/>
          <w:sz w:val="28"/>
          <w:szCs w:val="28"/>
          <w:highlight w:val="none"/>
        </w:rPr>
        <w:t>人</w:t>
      </w:r>
      <w:r>
        <w:rPr>
          <w:rFonts w:ascii="宋体" w:hAnsi="宋体" w:eastAsia="宋体" w:cs="宋体"/>
          <w:color w:val="auto"/>
          <w:spacing w:val="1"/>
          <w:sz w:val="28"/>
          <w:szCs w:val="28"/>
          <w:highlight w:val="none"/>
        </w:rPr>
        <w:t>：</w:t>
      </w:r>
      <w:r>
        <w:rPr>
          <w:rFonts w:ascii="宋体" w:hAnsi="宋体" w:eastAsia="宋体" w:cs="宋体"/>
          <w:color w:val="auto"/>
          <w:sz w:val="28"/>
          <w:szCs w:val="28"/>
          <w:highlight w:val="none"/>
          <w:u w:val="single" w:color="auto"/>
        </w:rPr>
        <w:t xml:space="preserve">                     </w:t>
      </w:r>
      <w:r>
        <w:rPr>
          <w:rFonts w:ascii="宋体" w:hAnsi="宋体" w:eastAsia="宋体" w:cs="宋体"/>
          <w:color w:val="auto"/>
          <w:spacing w:val="1"/>
          <w:sz w:val="28"/>
          <w:szCs w:val="28"/>
          <w:highlight w:val="none"/>
        </w:rPr>
        <w:t>（</w:t>
      </w:r>
      <w:r>
        <w:rPr>
          <w:rFonts w:ascii="宋体" w:hAnsi="宋体" w:eastAsia="宋体" w:cs="宋体"/>
          <w:color w:val="auto"/>
          <w:spacing w:val="-3"/>
          <w:sz w:val="28"/>
          <w:szCs w:val="28"/>
          <w:highlight w:val="none"/>
        </w:rPr>
        <w:t>签字并盖执业专用章）</w:t>
      </w:r>
    </w:p>
    <w:p w14:paraId="79937E54">
      <w:pPr>
        <w:pStyle w:val="3"/>
        <w:spacing w:line="261" w:lineRule="auto"/>
        <w:rPr>
          <w:color w:val="auto"/>
          <w:highlight w:val="none"/>
        </w:rPr>
      </w:pPr>
    </w:p>
    <w:p w14:paraId="6F348162">
      <w:pPr>
        <w:spacing w:before="91" w:line="219" w:lineRule="auto"/>
        <w:ind w:left="13"/>
        <w:rPr>
          <w:rFonts w:ascii="宋体" w:hAnsi="宋体" w:eastAsia="宋体" w:cs="宋体"/>
          <w:color w:val="auto"/>
          <w:sz w:val="28"/>
          <w:szCs w:val="28"/>
          <w:highlight w:val="none"/>
        </w:rPr>
      </w:pPr>
      <w:r>
        <w:rPr>
          <w:rFonts w:ascii="宋体" w:hAnsi="宋体" w:eastAsia="宋体" w:cs="宋体"/>
          <w:color w:val="auto"/>
          <w:spacing w:val="-2"/>
          <w:sz w:val="28"/>
          <w:szCs w:val="28"/>
          <w:highlight w:val="none"/>
        </w:rPr>
        <w:t>审    核    人</w:t>
      </w:r>
      <w:r>
        <w:rPr>
          <w:rFonts w:ascii="宋体" w:hAnsi="宋体" w:eastAsia="宋体" w:cs="宋体"/>
          <w:color w:val="auto"/>
          <w:spacing w:val="3"/>
          <w:sz w:val="28"/>
          <w:szCs w:val="28"/>
          <w:highlight w:val="none"/>
        </w:rPr>
        <w:t>：</w:t>
      </w:r>
      <w:r>
        <w:rPr>
          <w:rFonts w:ascii="宋体" w:hAnsi="宋体" w:eastAsia="宋体" w:cs="宋体"/>
          <w:color w:val="auto"/>
          <w:sz w:val="28"/>
          <w:szCs w:val="28"/>
          <w:highlight w:val="none"/>
          <w:u w:val="single" w:color="auto"/>
        </w:rPr>
        <w:t xml:space="preserve">                     </w:t>
      </w:r>
      <w:r>
        <w:rPr>
          <w:rFonts w:ascii="宋体" w:hAnsi="宋体" w:eastAsia="宋体" w:cs="宋体"/>
          <w:color w:val="auto"/>
          <w:spacing w:val="3"/>
          <w:sz w:val="28"/>
          <w:szCs w:val="28"/>
          <w:highlight w:val="none"/>
        </w:rPr>
        <w:t>（</w:t>
      </w:r>
      <w:r>
        <w:rPr>
          <w:rFonts w:ascii="宋体" w:hAnsi="宋体" w:eastAsia="宋体" w:cs="宋体"/>
          <w:color w:val="auto"/>
          <w:spacing w:val="-2"/>
          <w:sz w:val="28"/>
          <w:szCs w:val="28"/>
          <w:highlight w:val="none"/>
        </w:rPr>
        <w:t>签字并盖执业专用章）</w:t>
      </w:r>
    </w:p>
    <w:p w14:paraId="0C931FDF">
      <w:pPr>
        <w:pStyle w:val="3"/>
        <w:spacing w:line="259" w:lineRule="auto"/>
        <w:rPr>
          <w:color w:val="auto"/>
          <w:highlight w:val="none"/>
        </w:rPr>
      </w:pPr>
    </w:p>
    <w:p w14:paraId="2704E103">
      <w:pPr>
        <w:spacing w:before="91" w:line="219" w:lineRule="auto"/>
        <w:ind w:left="1"/>
        <w:rPr>
          <w:rFonts w:ascii="宋体" w:hAnsi="宋体" w:eastAsia="宋体" w:cs="宋体"/>
          <w:color w:val="auto"/>
          <w:sz w:val="28"/>
          <w:szCs w:val="28"/>
          <w:highlight w:val="none"/>
        </w:rPr>
      </w:pPr>
      <w:r>
        <w:rPr>
          <w:rFonts w:ascii="宋体" w:hAnsi="宋体" w:eastAsia="宋体" w:cs="宋体"/>
          <w:color w:val="auto"/>
          <w:spacing w:val="-1"/>
          <w:sz w:val="28"/>
          <w:szCs w:val="28"/>
          <w:highlight w:val="none"/>
        </w:rPr>
        <w:t>编    制    人</w:t>
      </w:r>
      <w:r>
        <w:rPr>
          <w:rFonts w:ascii="宋体" w:hAnsi="宋体" w:eastAsia="宋体" w:cs="宋体"/>
          <w:color w:val="auto"/>
          <w:spacing w:val="-2"/>
          <w:sz w:val="28"/>
          <w:szCs w:val="28"/>
          <w:highlight w:val="none"/>
        </w:rPr>
        <w:t>：</w:t>
      </w:r>
      <w:r>
        <w:rPr>
          <w:rFonts w:ascii="宋体" w:hAnsi="宋体" w:eastAsia="宋体" w:cs="宋体"/>
          <w:color w:val="auto"/>
          <w:sz w:val="28"/>
          <w:szCs w:val="28"/>
          <w:highlight w:val="none"/>
          <w:u w:val="single" w:color="auto"/>
        </w:rPr>
        <w:t xml:space="preserve">                     </w:t>
      </w:r>
      <w:r>
        <w:rPr>
          <w:rFonts w:ascii="宋体" w:hAnsi="宋体" w:eastAsia="宋体" w:cs="宋体"/>
          <w:color w:val="auto"/>
          <w:spacing w:val="-2"/>
          <w:sz w:val="28"/>
          <w:szCs w:val="28"/>
          <w:highlight w:val="none"/>
        </w:rPr>
        <w:t>（</w:t>
      </w:r>
      <w:r>
        <w:rPr>
          <w:rFonts w:ascii="宋体" w:hAnsi="宋体" w:eastAsia="宋体" w:cs="宋体"/>
          <w:color w:val="auto"/>
          <w:spacing w:val="-1"/>
          <w:sz w:val="28"/>
          <w:szCs w:val="28"/>
          <w:highlight w:val="none"/>
        </w:rPr>
        <w:t>签字并盖执业专用章）</w:t>
      </w:r>
    </w:p>
    <w:p w14:paraId="46EF4F19">
      <w:pPr>
        <w:pStyle w:val="3"/>
        <w:spacing w:line="290" w:lineRule="auto"/>
        <w:rPr>
          <w:color w:val="auto"/>
          <w:highlight w:val="none"/>
        </w:rPr>
      </w:pPr>
    </w:p>
    <w:p w14:paraId="2B17213A">
      <w:pPr>
        <w:pStyle w:val="3"/>
        <w:spacing w:line="290" w:lineRule="auto"/>
        <w:rPr>
          <w:color w:val="auto"/>
          <w:highlight w:val="none"/>
        </w:rPr>
      </w:pPr>
    </w:p>
    <w:p w14:paraId="23FF7841">
      <w:pPr>
        <w:spacing w:before="92" w:line="220" w:lineRule="auto"/>
        <w:ind w:left="1"/>
        <w:rPr>
          <w:rFonts w:ascii="宋体" w:hAnsi="宋体" w:eastAsia="宋体" w:cs="宋体"/>
          <w:color w:val="auto"/>
          <w:sz w:val="28"/>
          <w:szCs w:val="28"/>
          <w:highlight w:val="none"/>
        </w:rPr>
      </w:pPr>
      <w:r>
        <w:rPr>
          <w:rFonts w:ascii="宋体" w:hAnsi="宋体" w:eastAsia="宋体" w:cs="宋体"/>
          <w:color w:val="auto"/>
          <w:spacing w:val="-16"/>
          <w:sz w:val="28"/>
          <w:szCs w:val="28"/>
          <w:highlight w:val="none"/>
        </w:rPr>
        <w:t>编</w:t>
      </w:r>
      <w:r>
        <w:rPr>
          <w:rFonts w:ascii="宋体" w:hAnsi="宋体" w:eastAsia="宋体" w:cs="宋体"/>
          <w:color w:val="auto"/>
          <w:spacing w:val="5"/>
          <w:sz w:val="28"/>
          <w:szCs w:val="28"/>
          <w:highlight w:val="none"/>
        </w:rPr>
        <w:t xml:space="preserve">  </w:t>
      </w:r>
      <w:r>
        <w:rPr>
          <w:rFonts w:ascii="宋体" w:hAnsi="宋体" w:eastAsia="宋体" w:cs="宋体"/>
          <w:color w:val="auto"/>
          <w:spacing w:val="-16"/>
          <w:sz w:val="28"/>
          <w:szCs w:val="28"/>
          <w:highlight w:val="none"/>
        </w:rPr>
        <w:t>制</w:t>
      </w:r>
      <w:r>
        <w:rPr>
          <w:rFonts w:ascii="宋体" w:hAnsi="宋体" w:eastAsia="宋体" w:cs="宋体"/>
          <w:color w:val="auto"/>
          <w:spacing w:val="11"/>
          <w:sz w:val="28"/>
          <w:szCs w:val="28"/>
          <w:highlight w:val="none"/>
        </w:rPr>
        <w:t xml:space="preserve">  </w:t>
      </w:r>
      <w:r>
        <w:rPr>
          <w:rFonts w:ascii="宋体" w:hAnsi="宋体" w:eastAsia="宋体" w:cs="宋体"/>
          <w:color w:val="auto"/>
          <w:spacing w:val="-16"/>
          <w:sz w:val="28"/>
          <w:szCs w:val="28"/>
          <w:highlight w:val="none"/>
        </w:rPr>
        <w:t>时</w:t>
      </w:r>
      <w:r>
        <w:rPr>
          <w:rFonts w:ascii="宋体" w:hAnsi="宋体" w:eastAsia="宋体" w:cs="宋体"/>
          <w:color w:val="auto"/>
          <w:spacing w:val="16"/>
          <w:sz w:val="28"/>
          <w:szCs w:val="28"/>
          <w:highlight w:val="none"/>
        </w:rPr>
        <w:t xml:space="preserve">  </w:t>
      </w:r>
      <w:r>
        <w:rPr>
          <w:rFonts w:ascii="宋体" w:hAnsi="宋体" w:eastAsia="宋体" w:cs="宋体"/>
          <w:color w:val="auto"/>
          <w:spacing w:val="-16"/>
          <w:sz w:val="28"/>
          <w:szCs w:val="28"/>
          <w:highlight w:val="none"/>
        </w:rPr>
        <w:t>间：</w:t>
      </w:r>
      <w:r>
        <w:rPr>
          <w:rFonts w:ascii="宋体" w:hAnsi="宋体" w:eastAsia="宋体" w:cs="宋体"/>
          <w:color w:val="auto"/>
          <w:sz w:val="28"/>
          <w:szCs w:val="28"/>
          <w:highlight w:val="none"/>
          <w:u w:val="single" w:color="auto"/>
        </w:rPr>
        <w:t xml:space="preserve">                      </w:t>
      </w:r>
    </w:p>
    <w:p w14:paraId="4CDB35A0">
      <w:pPr>
        <w:spacing w:line="220" w:lineRule="auto"/>
        <w:rPr>
          <w:rFonts w:ascii="宋体" w:hAnsi="宋体" w:eastAsia="宋体" w:cs="宋体"/>
          <w:color w:val="auto"/>
          <w:sz w:val="28"/>
          <w:szCs w:val="28"/>
          <w:highlight w:val="none"/>
        </w:rPr>
        <w:sectPr>
          <w:pgSz w:w="11905" w:h="16843"/>
          <w:pgMar w:top="1429" w:right="1361" w:bottom="1253" w:left="1621" w:header="0" w:footer="1094" w:gutter="0"/>
          <w:pgNumType w:fmt="decimal"/>
          <w:cols w:space="0" w:num="1"/>
          <w:rtlGutter w:val="0"/>
          <w:docGrid w:linePitch="0" w:charSpace="0"/>
        </w:sectPr>
      </w:pPr>
    </w:p>
    <w:p w14:paraId="7B7CE0AD">
      <w:pPr>
        <w:spacing w:before="55" w:line="221" w:lineRule="auto"/>
        <w:ind w:left="3623"/>
        <w:rPr>
          <w:rFonts w:ascii="宋体" w:hAnsi="宋体" w:eastAsia="宋体" w:cs="宋体"/>
          <w:color w:val="auto"/>
          <w:sz w:val="28"/>
          <w:szCs w:val="28"/>
          <w:highlight w:val="none"/>
        </w:rPr>
      </w:pPr>
      <w:r>
        <w:rPr>
          <w:rFonts w:ascii="宋体" w:hAnsi="宋体" w:eastAsia="宋体" w:cs="宋体"/>
          <w:b/>
          <w:bCs/>
          <w:color w:val="auto"/>
          <w:spacing w:val="-12"/>
          <w:sz w:val="28"/>
          <w:szCs w:val="28"/>
          <w:highlight w:val="none"/>
        </w:rPr>
        <w:t>填</w:t>
      </w:r>
      <w:r>
        <w:rPr>
          <w:rFonts w:ascii="宋体" w:hAnsi="宋体" w:eastAsia="宋体" w:cs="宋体"/>
          <w:color w:val="auto"/>
          <w:spacing w:val="11"/>
          <w:sz w:val="28"/>
          <w:szCs w:val="28"/>
          <w:highlight w:val="none"/>
        </w:rPr>
        <w:t xml:space="preserve"> </w:t>
      </w:r>
      <w:r>
        <w:rPr>
          <w:rFonts w:ascii="宋体" w:hAnsi="宋体" w:eastAsia="宋体" w:cs="宋体"/>
          <w:b/>
          <w:bCs/>
          <w:color w:val="auto"/>
          <w:spacing w:val="-12"/>
          <w:sz w:val="28"/>
          <w:szCs w:val="28"/>
          <w:highlight w:val="none"/>
        </w:rPr>
        <w:t>表</w:t>
      </w:r>
      <w:r>
        <w:rPr>
          <w:rFonts w:ascii="宋体" w:hAnsi="宋体" w:eastAsia="宋体" w:cs="宋体"/>
          <w:color w:val="auto"/>
          <w:spacing w:val="17"/>
          <w:sz w:val="28"/>
          <w:szCs w:val="28"/>
          <w:highlight w:val="none"/>
        </w:rPr>
        <w:t xml:space="preserve"> </w:t>
      </w:r>
      <w:r>
        <w:rPr>
          <w:rFonts w:ascii="宋体" w:hAnsi="宋体" w:eastAsia="宋体" w:cs="宋体"/>
          <w:b/>
          <w:bCs/>
          <w:color w:val="auto"/>
          <w:spacing w:val="-12"/>
          <w:sz w:val="28"/>
          <w:szCs w:val="28"/>
          <w:highlight w:val="none"/>
        </w:rPr>
        <w:t>须</w:t>
      </w:r>
      <w:r>
        <w:rPr>
          <w:rFonts w:ascii="宋体" w:hAnsi="宋体" w:eastAsia="宋体" w:cs="宋体"/>
          <w:color w:val="auto"/>
          <w:spacing w:val="15"/>
          <w:sz w:val="28"/>
          <w:szCs w:val="28"/>
          <w:highlight w:val="none"/>
        </w:rPr>
        <w:t xml:space="preserve"> </w:t>
      </w:r>
      <w:r>
        <w:rPr>
          <w:rFonts w:ascii="宋体" w:hAnsi="宋体" w:eastAsia="宋体" w:cs="宋体"/>
          <w:b/>
          <w:bCs/>
          <w:color w:val="auto"/>
          <w:spacing w:val="-12"/>
          <w:sz w:val="28"/>
          <w:szCs w:val="28"/>
          <w:highlight w:val="none"/>
        </w:rPr>
        <w:t>知</w:t>
      </w:r>
    </w:p>
    <w:p w14:paraId="75B876EF">
      <w:pPr>
        <w:pStyle w:val="3"/>
        <w:spacing w:line="268" w:lineRule="auto"/>
        <w:rPr>
          <w:color w:val="auto"/>
          <w:highlight w:val="none"/>
        </w:rPr>
      </w:pPr>
    </w:p>
    <w:p w14:paraId="61BFE94F">
      <w:pPr>
        <w:pStyle w:val="3"/>
        <w:spacing w:line="268" w:lineRule="auto"/>
        <w:rPr>
          <w:color w:val="auto"/>
          <w:highlight w:val="none"/>
        </w:rPr>
      </w:pPr>
    </w:p>
    <w:p w14:paraId="08D8C17C">
      <w:pPr>
        <w:spacing w:before="78" w:line="346" w:lineRule="auto"/>
        <w:ind w:right="87" w:firstLine="496"/>
        <w:rPr>
          <w:rFonts w:ascii="宋体" w:hAnsi="宋体" w:eastAsia="宋体" w:cs="宋体"/>
          <w:color w:val="auto"/>
          <w:sz w:val="24"/>
          <w:szCs w:val="24"/>
          <w:highlight w:val="none"/>
        </w:rPr>
      </w:pPr>
      <w:r>
        <w:rPr>
          <w:rFonts w:ascii="Times New Roman" w:hAnsi="Times New Roman" w:eastAsia="Times New Roman" w:cs="Times New Roman"/>
          <w:color w:val="auto"/>
          <w:spacing w:val="-6"/>
          <w:sz w:val="24"/>
          <w:szCs w:val="24"/>
          <w:highlight w:val="none"/>
        </w:rPr>
        <w:t>1.</w:t>
      </w:r>
      <w:r>
        <w:rPr>
          <w:rFonts w:ascii="宋体" w:hAnsi="宋体" w:eastAsia="宋体" w:cs="宋体"/>
          <w:color w:val="auto"/>
          <w:spacing w:val="-6"/>
          <w:sz w:val="24"/>
          <w:szCs w:val="24"/>
          <w:highlight w:val="none"/>
        </w:rPr>
        <w:t>工程量清单及其计价格式中所有要求盖</w:t>
      </w:r>
      <w:r>
        <w:rPr>
          <w:rFonts w:ascii="宋体" w:hAnsi="宋体" w:eastAsia="宋体" w:cs="宋体"/>
          <w:color w:val="auto"/>
          <w:spacing w:val="-7"/>
          <w:sz w:val="24"/>
          <w:szCs w:val="24"/>
          <w:highlight w:val="none"/>
        </w:rPr>
        <w:t>章、签字的地方，必须由规定的单位和</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人员盖章、签字。</w:t>
      </w:r>
    </w:p>
    <w:p w14:paraId="250F9BA0">
      <w:pPr>
        <w:spacing w:before="35" w:line="344" w:lineRule="auto"/>
        <w:ind w:left="477" w:hanging="4"/>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除另有规定外，工程量清单及其计价格式中的任何内容不得随意删除或涂改。</w:t>
      </w:r>
      <w:r>
        <w:rPr>
          <w:rFonts w:ascii="宋体" w:hAnsi="宋体" w:eastAsia="宋体" w:cs="宋体"/>
          <w:color w:val="auto"/>
          <w:spacing w:val="11"/>
          <w:sz w:val="24"/>
          <w:szCs w:val="24"/>
          <w:highlight w:val="none"/>
        </w:rPr>
        <w:t xml:space="preserve"> </w:t>
      </w:r>
      <w:r>
        <w:rPr>
          <w:rFonts w:ascii="Times New Roman" w:hAnsi="Times New Roman" w:eastAsia="Times New Roman" w:cs="Times New Roman"/>
          <w:color w:val="auto"/>
          <w:spacing w:val="1"/>
          <w:sz w:val="24"/>
          <w:szCs w:val="24"/>
          <w:highlight w:val="none"/>
        </w:rPr>
        <w:t>3.</w:t>
      </w:r>
      <w:r>
        <w:rPr>
          <w:rFonts w:ascii="宋体" w:hAnsi="宋体" w:eastAsia="宋体" w:cs="宋体"/>
          <w:color w:val="auto"/>
          <w:spacing w:val="1"/>
          <w:sz w:val="24"/>
          <w:szCs w:val="24"/>
          <w:highlight w:val="none"/>
        </w:rPr>
        <w:t>工程量清单计价格式中列明的所有需要填报的单价和合价，投标人均应填报。</w:t>
      </w:r>
    </w:p>
    <w:p w14:paraId="21C1500C">
      <w:pPr>
        <w:spacing w:before="39" w:line="344" w:lineRule="auto"/>
        <w:ind w:left="471" w:right="508" w:hanging="47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未填报的单价和合价，视为此项费用已包含在</w:t>
      </w:r>
      <w:r>
        <w:rPr>
          <w:rFonts w:ascii="宋体" w:hAnsi="宋体" w:eastAsia="宋体" w:cs="宋体"/>
          <w:color w:val="auto"/>
          <w:spacing w:val="-2"/>
          <w:sz w:val="24"/>
          <w:szCs w:val="24"/>
          <w:highlight w:val="none"/>
        </w:rPr>
        <w:t>工程量清单的其它单价和合价中。</w:t>
      </w:r>
      <w:r>
        <w:rPr>
          <w:rFonts w:ascii="宋体" w:hAnsi="宋体" w:eastAsia="宋体" w:cs="宋体"/>
          <w:color w:val="auto"/>
          <w:sz w:val="24"/>
          <w:szCs w:val="24"/>
          <w:highlight w:val="none"/>
        </w:rPr>
        <w:t xml:space="preserve"> </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投标金额（价格）均应以人民币表示。</w:t>
      </w:r>
    </w:p>
    <w:p w14:paraId="52EC1B80">
      <w:pPr>
        <w:spacing w:line="344"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02C79262">
      <w:pPr>
        <w:spacing w:before="56" w:line="220" w:lineRule="auto"/>
        <w:ind w:left="3601"/>
        <w:rPr>
          <w:rFonts w:ascii="宋体" w:hAnsi="宋体" w:eastAsia="宋体" w:cs="宋体"/>
          <w:color w:val="auto"/>
          <w:sz w:val="28"/>
          <w:szCs w:val="28"/>
          <w:highlight w:val="none"/>
        </w:rPr>
      </w:pPr>
      <w:r>
        <w:rPr>
          <w:rFonts w:ascii="宋体" w:hAnsi="宋体" w:eastAsia="宋体" w:cs="宋体"/>
          <w:b/>
          <w:bCs/>
          <w:color w:val="auto"/>
          <w:spacing w:val="-14"/>
          <w:sz w:val="28"/>
          <w:szCs w:val="28"/>
          <w:highlight w:val="none"/>
        </w:rPr>
        <w:t>总</w:t>
      </w:r>
      <w:r>
        <w:rPr>
          <w:rFonts w:ascii="宋体" w:hAnsi="宋体" w:eastAsia="宋体" w:cs="宋体"/>
          <w:color w:val="auto"/>
          <w:spacing w:val="8"/>
          <w:sz w:val="28"/>
          <w:szCs w:val="28"/>
          <w:highlight w:val="none"/>
        </w:rPr>
        <w:t xml:space="preserve">  </w:t>
      </w:r>
      <w:r>
        <w:rPr>
          <w:rFonts w:ascii="宋体" w:hAnsi="宋体" w:eastAsia="宋体" w:cs="宋体"/>
          <w:b/>
          <w:bCs/>
          <w:color w:val="auto"/>
          <w:spacing w:val="-14"/>
          <w:sz w:val="28"/>
          <w:szCs w:val="28"/>
          <w:highlight w:val="none"/>
        </w:rPr>
        <w:t>说</w:t>
      </w:r>
      <w:r>
        <w:rPr>
          <w:rFonts w:ascii="宋体" w:hAnsi="宋体" w:eastAsia="宋体" w:cs="宋体"/>
          <w:color w:val="auto"/>
          <w:spacing w:val="19"/>
          <w:sz w:val="28"/>
          <w:szCs w:val="28"/>
          <w:highlight w:val="none"/>
        </w:rPr>
        <w:t xml:space="preserve">  </w:t>
      </w:r>
      <w:r>
        <w:rPr>
          <w:rFonts w:ascii="宋体" w:hAnsi="宋体" w:eastAsia="宋体" w:cs="宋体"/>
          <w:b/>
          <w:bCs/>
          <w:color w:val="auto"/>
          <w:spacing w:val="-14"/>
          <w:sz w:val="28"/>
          <w:szCs w:val="28"/>
          <w:highlight w:val="none"/>
        </w:rPr>
        <w:t>明</w:t>
      </w:r>
    </w:p>
    <w:p w14:paraId="02248A6E">
      <w:pPr>
        <w:spacing w:before="198" w:line="221" w:lineRule="auto"/>
        <w:ind w:left="114"/>
        <w:rPr>
          <w:rFonts w:ascii="宋体" w:hAnsi="宋体" w:eastAsia="宋体" w:cs="宋体"/>
          <w:color w:val="auto"/>
          <w:sz w:val="21"/>
          <w:szCs w:val="21"/>
          <w:highlight w:val="none"/>
        </w:rPr>
      </w:pPr>
      <w:r>
        <w:rPr>
          <w:rFonts w:ascii="宋体" w:hAnsi="宋体" w:eastAsia="宋体" w:cs="宋体"/>
          <w:color w:val="auto"/>
          <w:sz w:val="21"/>
          <w:szCs w:val="21"/>
          <w:highlight w:val="none"/>
        </w:rPr>
        <w:t>项目及标段名称：</w:t>
      </w:r>
      <w:r>
        <w:rPr>
          <w:rFonts w:ascii="宋体" w:hAnsi="宋体" w:eastAsia="宋体" w:cs="宋体"/>
          <w:color w:val="auto"/>
          <w:sz w:val="21"/>
          <w:szCs w:val="21"/>
          <w:highlight w:val="none"/>
          <w:u w:val="single" w:color="auto"/>
        </w:rPr>
        <w:t xml:space="preserve">                             </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页共</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w:t>
      </w:r>
    </w:p>
    <w:p w14:paraId="31CA3506">
      <w:pPr>
        <w:spacing w:line="127" w:lineRule="exact"/>
        <w:rPr>
          <w:color w:val="auto"/>
          <w:highlight w:val="none"/>
        </w:rPr>
      </w:pPr>
    </w:p>
    <w:tbl>
      <w:tblPr>
        <w:tblStyle w:val="32"/>
        <w:tblW w:w="8879" w:type="dxa"/>
        <w:tblInd w:w="2"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8879"/>
      </w:tblGrid>
      <w:tr w14:paraId="3A1DD756">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12971" w:hRule="atLeast"/>
        </w:trPr>
        <w:tc>
          <w:tcPr>
            <w:tcW w:w="8879" w:type="dxa"/>
            <w:vAlign w:val="top"/>
          </w:tcPr>
          <w:p w14:paraId="6C2F22BB">
            <w:pPr>
              <w:spacing w:before="111" w:line="222" w:lineRule="auto"/>
              <w:ind w:left="544"/>
              <w:rPr>
                <w:rFonts w:ascii="黑体" w:hAnsi="黑体" w:eastAsia="黑体" w:cs="黑体"/>
                <w:color w:val="auto"/>
                <w:sz w:val="21"/>
                <w:szCs w:val="21"/>
                <w:highlight w:val="none"/>
              </w:rPr>
            </w:pPr>
            <w:r>
              <w:rPr>
                <w:rFonts w:ascii="Times New Roman" w:hAnsi="Times New Roman" w:eastAsia="Times New Roman" w:cs="Times New Roman"/>
                <w:b/>
                <w:bCs/>
                <w:color w:val="auto"/>
                <w:spacing w:val="-6"/>
                <w:sz w:val="21"/>
                <w:szCs w:val="21"/>
                <w:highlight w:val="none"/>
              </w:rPr>
              <w:t>1</w:t>
            </w:r>
            <w:r>
              <w:rPr>
                <w:rFonts w:ascii="Times New Roman" w:hAnsi="Times New Roman" w:eastAsia="Times New Roman" w:cs="Times New Roman"/>
                <w:b/>
                <w:bCs/>
                <w:color w:val="auto"/>
                <w:spacing w:val="6"/>
                <w:sz w:val="21"/>
                <w:szCs w:val="21"/>
                <w:highlight w:val="none"/>
              </w:rPr>
              <w:t xml:space="preserve">  </w:t>
            </w:r>
            <w:r>
              <w:rPr>
                <w:rFonts w:ascii="黑体" w:hAnsi="黑体" w:eastAsia="黑体" w:cs="黑体"/>
                <w:b/>
                <w:bCs/>
                <w:color w:val="auto"/>
                <w:spacing w:val="-6"/>
                <w:sz w:val="21"/>
                <w:szCs w:val="21"/>
                <w:highlight w:val="none"/>
              </w:rPr>
              <w:t>工程概况</w:t>
            </w:r>
          </w:p>
          <w:p w14:paraId="5FEEE014">
            <w:pPr>
              <w:pStyle w:val="33"/>
              <w:spacing w:before="106" w:line="303" w:lineRule="auto"/>
              <w:ind w:left="139" w:right="115" w:firstLine="402"/>
              <w:rPr>
                <w:color w:val="auto"/>
                <w:sz w:val="21"/>
                <w:szCs w:val="21"/>
                <w:highlight w:val="none"/>
              </w:rPr>
            </w:pPr>
            <w:r>
              <w:rPr>
                <w:color w:val="auto"/>
                <w:spacing w:val="-5"/>
                <w:sz w:val="21"/>
                <w:szCs w:val="21"/>
                <w:highlight w:val="none"/>
              </w:rPr>
              <w:t>（主要叙述招标工程概况。包括工程位置，距离市县城的距离，对外交通情况，供水、供电</w:t>
            </w:r>
            <w:r>
              <w:rPr>
                <w:color w:val="auto"/>
                <w:spacing w:val="15"/>
                <w:sz w:val="21"/>
                <w:szCs w:val="21"/>
                <w:highlight w:val="none"/>
              </w:rPr>
              <w:t xml:space="preserve"> </w:t>
            </w:r>
            <w:r>
              <w:rPr>
                <w:color w:val="auto"/>
                <w:spacing w:val="-1"/>
                <w:sz w:val="21"/>
                <w:szCs w:val="21"/>
                <w:highlight w:val="none"/>
              </w:rPr>
              <w:t>以及通讯等基础设施情况，地材的来源及供应情况，工程的规模、主要建设内容等。）</w:t>
            </w:r>
          </w:p>
          <w:p w14:paraId="00326770">
            <w:pPr>
              <w:spacing w:before="31" w:line="223" w:lineRule="auto"/>
              <w:ind w:left="535"/>
              <w:rPr>
                <w:rFonts w:ascii="黑体" w:hAnsi="黑体" w:eastAsia="黑体" w:cs="黑体"/>
                <w:color w:val="auto"/>
                <w:sz w:val="21"/>
                <w:szCs w:val="21"/>
                <w:highlight w:val="none"/>
              </w:rPr>
            </w:pPr>
            <w:r>
              <w:rPr>
                <w:rFonts w:ascii="Times New Roman" w:hAnsi="Times New Roman" w:eastAsia="Times New Roman" w:cs="Times New Roman"/>
                <w:b/>
                <w:bCs/>
                <w:color w:val="auto"/>
                <w:spacing w:val="-2"/>
                <w:sz w:val="21"/>
                <w:szCs w:val="21"/>
                <w:highlight w:val="none"/>
              </w:rPr>
              <w:t xml:space="preserve">2  </w:t>
            </w:r>
            <w:r>
              <w:rPr>
                <w:rFonts w:ascii="黑体" w:hAnsi="黑体" w:eastAsia="黑体" w:cs="黑体"/>
                <w:b/>
                <w:bCs/>
                <w:color w:val="auto"/>
                <w:spacing w:val="-2"/>
                <w:sz w:val="21"/>
                <w:szCs w:val="21"/>
                <w:highlight w:val="none"/>
              </w:rPr>
              <w:t>工程招标范围</w:t>
            </w:r>
          </w:p>
          <w:p w14:paraId="3528A1F2">
            <w:pPr>
              <w:spacing w:line="395" w:lineRule="auto"/>
              <w:rPr>
                <w:rFonts w:ascii="Arial"/>
                <w:color w:val="auto"/>
                <w:sz w:val="21"/>
                <w:highlight w:val="none"/>
              </w:rPr>
            </w:pPr>
          </w:p>
          <w:p w14:paraId="0F99EFE8">
            <w:pPr>
              <w:spacing w:before="68" w:line="223" w:lineRule="auto"/>
              <w:ind w:left="533"/>
              <w:rPr>
                <w:rFonts w:ascii="黑体" w:hAnsi="黑体" w:eastAsia="黑体" w:cs="黑体"/>
                <w:color w:val="auto"/>
                <w:sz w:val="21"/>
                <w:szCs w:val="21"/>
                <w:highlight w:val="none"/>
              </w:rPr>
            </w:pPr>
            <w:r>
              <w:rPr>
                <w:rFonts w:ascii="Times New Roman" w:hAnsi="Times New Roman" w:eastAsia="Times New Roman" w:cs="Times New Roman"/>
                <w:b/>
                <w:bCs/>
                <w:color w:val="auto"/>
                <w:spacing w:val="-2"/>
                <w:sz w:val="21"/>
                <w:szCs w:val="21"/>
                <w:highlight w:val="none"/>
              </w:rPr>
              <w:t xml:space="preserve">3  </w:t>
            </w:r>
            <w:r>
              <w:rPr>
                <w:rFonts w:ascii="黑体" w:hAnsi="黑体" w:eastAsia="黑体" w:cs="黑体"/>
                <w:b/>
                <w:bCs/>
                <w:color w:val="auto"/>
                <w:spacing w:val="-2"/>
                <w:sz w:val="21"/>
                <w:szCs w:val="21"/>
                <w:highlight w:val="none"/>
              </w:rPr>
              <w:t>招标人供应的材料、提供的施工设施</w:t>
            </w:r>
          </w:p>
          <w:p w14:paraId="6348A71B">
            <w:pPr>
              <w:spacing w:line="395" w:lineRule="auto"/>
              <w:rPr>
                <w:rFonts w:ascii="Arial"/>
                <w:color w:val="auto"/>
                <w:sz w:val="21"/>
                <w:highlight w:val="none"/>
              </w:rPr>
            </w:pPr>
          </w:p>
          <w:p w14:paraId="48310FD6">
            <w:pPr>
              <w:spacing w:before="69" w:line="222" w:lineRule="auto"/>
              <w:ind w:left="535"/>
              <w:rPr>
                <w:rFonts w:ascii="黑体" w:hAnsi="黑体" w:eastAsia="黑体" w:cs="黑体"/>
                <w:color w:val="auto"/>
                <w:sz w:val="21"/>
                <w:szCs w:val="21"/>
                <w:highlight w:val="none"/>
              </w:rPr>
            </w:pPr>
            <w:r>
              <w:rPr>
                <w:rFonts w:ascii="Times New Roman" w:hAnsi="Times New Roman" w:eastAsia="Times New Roman" w:cs="Times New Roman"/>
                <w:b/>
                <w:bCs/>
                <w:color w:val="auto"/>
                <w:spacing w:val="-2"/>
                <w:sz w:val="21"/>
                <w:szCs w:val="21"/>
                <w:highlight w:val="none"/>
              </w:rPr>
              <w:t xml:space="preserve">4  </w:t>
            </w:r>
            <w:r>
              <w:rPr>
                <w:rFonts w:ascii="黑体" w:hAnsi="黑体" w:eastAsia="黑体" w:cs="黑体"/>
                <w:b/>
                <w:bCs/>
                <w:color w:val="auto"/>
                <w:spacing w:val="-2"/>
                <w:sz w:val="21"/>
                <w:szCs w:val="21"/>
                <w:highlight w:val="none"/>
              </w:rPr>
              <w:t>工程量清单计价说明</w:t>
            </w:r>
          </w:p>
          <w:p w14:paraId="518D4ACE">
            <w:pPr>
              <w:pStyle w:val="33"/>
              <w:spacing w:before="106" w:line="285" w:lineRule="auto"/>
              <w:ind w:left="115" w:right="102" w:firstLine="415"/>
              <w:rPr>
                <w:color w:val="auto"/>
                <w:sz w:val="21"/>
                <w:szCs w:val="21"/>
                <w:highlight w:val="none"/>
              </w:rPr>
            </w:pPr>
            <w:r>
              <w:rPr>
                <w:rFonts w:ascii="Times New Roman" w:hAnsi="Times New Roman" w:eastAsia="Times New Roman" w:cs="Times New Roman"/>
                <w:color w:val="auto"/>
                <w:spacing w:val="-2"/>
                <w:sz w:val="21"/>
                <w:szCs w:val="21"/>
                <w:highlight w:val="none"/>
              </w:rPr>
              <w:t xml:space="preserve">4.1  </w:t>
            </w:r>
            <w:r>
              <w:rPr>
                <w:color w:val="auto"/>
                <w:spacing w:val="-2"/>
                <w:sz w:val="21"/>
                <w:szCs w:val="21"/>
                <w:highlight w:val="none"/>
              </w:rPr>
              <w:t>工程量清单应与招标文件中的投标人</w:t>
            </w:r>
            <w:r>
              <w:rPr>
                <w:color w:val="auto"/>
                <w:spacing w:val="-3"/>
                <w:sz w:val="21"/>
                <w:szCs w:val="21"/>
                <w:highlight w:val="none"/>
              </w:rPr>
              <w:t>须知、通用合同条款、专用合同条款、技术标准和</w:t>
            </w:r>
            <w:r>
              <w:rPr>
                <w:color w:val="auto"/>
                <w:sz w:val="21"/>
                <w:szCs w:val="21"/>
                <w:highlight w:val="none"/>
              </w:rPr>
              <w:t xml:space="preserve"> </w:t>
            </w:r>
            <w:r>
              <w:rPr>
                <w:color w:val="auto"/>
                <w:spacing w:val="1"/>
                <w:sz w:val="21"/>
                <w:szCs w:val="21"/>
                <w:highlight w:val="none"/>
              </w:rPr>
              <w:t>要求（合同技术条款）、图纸及《浙江省水利水电工程工程量清单计价办法》等一起阅读和理</w:t>
            </w:r>
            <w:r>
              <w:rPr>
                <w:color w:val="auto"/>
                <w:spacing w:val="2"/>
                <w:sz w:val="21"/>
                <w:szCs w:val="21"/>
                <w:highlight w:val="none"/>
              </w:rPr>
              <w:t xml:space="preserve"> </w:t>
            </w:r>
            <w:r>
              <w:rPr>
                <w:color w:val="auto"/>
                <w:spacing w:val="-10"/>
                <w:sz w:val="21"/>
                <w:szCs w:val="21"/>
                <w:highlight w:val="none"/>
              </w:rPr>
              <w:t>解。</w:t>
            </w:r>
          </w:p>
          <w:p w14:paraId="2B798CB2">
            <w:pPr>
              <w:pStyle w:val="33"/>
              <w:spacing w:before="111" w:line="297" w:lineRule="auto"/>
              <w:ind w:left="116" w:right="102" w:firstLine="414"/>
              <w:rPr>
                <w:color w:val="auto"/>
                <w:sz w:val="21"/>
                <w:szCs w:val="21"/>
                <w:highlight w:val="none"/>
              </w:rPr>
            </w:pPr>
            <w:r>
              <w:rPr>
                <w:rFonts w:ascii="Times New Roman" w:hAnsi="Times New Roman" w:eastAsia="Times New Roman" w:cs="Times New Roman"/>
                <w:color w:val="auto"/>
                <w:spacing w:val="-2"/>
                <w:sz w:val="21"/>
                <w:szCs w:val="21"/>
                <w:highlight w:val="none"/>
              </w:rPr>
              <w:t xml:space="preserve">4.2  </w:t>
            </w:r>
            <w:r>
              <w:rPr>
                <w:color w:val="auto"/>
                <w:spacing w:val="-2"/>
                <w:sz w:val="21"/>
                <w:szCs w:val="21"/>
                <w:highlight w:val="none"/>
              </w:rPr>
              <w:t>工程量清单标明的工程量仅是投标人</w:t>
            </w:r>
            <w:r>
              <w:rPr>
                <w:color w:val="auto"/>
                <w:spacing w:val="-3"/>
                <w:sz w:val="21"/>
                <w:szCs w:val="21"/>
                <w:highlight w:val="none"/>
              </w:rPr>
              <w:t>投标报价的共同基础。除另有约定外，工程量清单</w:t>
            </w:r>
            <w:r>
              <w:rPr>
                <w:color w:val="auto"/>
                <w:sz w:val="21"/>
                <w:szCs w:val="21"/>
                <w:highlight w:val="none"/>
              </w:rPr>
              <w:t xml:space="preserve"> </w:t>
            </w:r>
            <w:r>
              <w:rPr>
                <w:color w:val="auto"/>
                <w:spacing w:val="1"/>
                <w:sz w:val="21"/>
                <w:szCs w:val="21"/>
                <w:highlight w:val="none"/>
              </w:rPr>
              <w:t>中的工程量是根据招标设计图纸按《浙江省水利水电工程工程量清单计价办法》计算规则计算</w:t>
            </w:r>
            <w:r>
              <w:rPr>
                <w:color w:val="auto"/>
                <w:sz w:val="21"/>
                <w:szCs w:val="21"/>
                <w:highlight w:val="none"/>
              </w:rPr>
              <w:t xml:space="preserve"> </w:t>
            </w:r>
            <w:r>
              <w:rPr>
                <w:color w:val="auto"/>
                <w:spacing w:val="1"/>
                <w:sz w:val="21"/>
                <w:szCs w:val="21"/>
                <w:highlight w:val="none"/>
              </w:rPr>
              <w:t>的用于投标报价的估算工程量，不作为最终结算工程量。最终结算的工程量是承包人实际完成</w:t>
            </w:r>
            <w:r>
              <w:rPr>
                <w:color w:val="auto"/>
                <w:sz w:val="21"/>
                <w:szCs w:val="21"/>
                <w:highlight w:val="none"/>
              </w:rPr>
              <w:t xml:space="preserve"> </w:t>
            </w:r>
            <w:r>
              <w:rPr>
                <w:color w:val="auto"/>
                <w:spacing w:val="1"/>
                <w:sz w:val="21"/>
                <w:szCs w:val="21"/>
                <w:highlight w:val="none"/>
              </w:rPr>
              <w:t>并符合技术标准和要求（合同技术条款）和《浙江省水利水电工程工程量清单计价办法》计算</w:t>
            </w:r>
            <w:r>
              <w:rPr>
                <w:color w:val="auto"/>
                <w:sz w:val="21"/>
                <w:szCs w:val="21"/>
                <w:highlight w:val="none"/>
              </w:rPr>
              <w:t xml:space="preserve"> </w:t>
            </w:r>
            <w:r>
              <w:rPr>
                <w:color w:val="auto"/>
                <w:spacing w:val="-1"/>
                <w:sz w:val="21"/>
                <w:szCs w:val="21"/>
                <w:highlight w:val="none"/>
              </w:rPr>
              <w:t>规则等规定、按合同约定予以计量的有效工程量。</w:t>
            </w:r>
          </w:p>
          <w:p w14:paraId="75C775BC">
            <w:pPr>
              <w:pStyle w:val="33"/>
              <w:spacing w:before="108" w:line="268" w:lineRule="auto"/>
              <w:ind w:left="115" w:right="102" w:firstLine="415"/>
              <w:rPr>
                <w:color w:val="auto"/>
                <w:sz w:val="21"/>
                <w:szCs w:val="21"/>
                <w:highlight w:val="none"/>
              </w:rPr>
            </w:pPr>
            <w:r>
              <w:rPr>
                <w:rFonts w:ascii="Times New Roman" w:hAnsi="Times New Roman" w:eastAsia="Times New Roman" w:cs="Times New Roman"/>
                <w:color w:val="auto"/>
                <w:spacing w:val="-2"/>
                <w:sz w:val="21"/>
                <w:szCs w:val="21"/>
                <w:highlight w:val="none"/>
              </w:rPr>
              <w:t xml:space="preserve">4.3  </w:t>
            </w:r>
            <w:r>
              <w:rPr>
                <w:color w:val="auto"/>
                <w:spacing w:val="-2"/>
                <w:sz w:val="21"/>
                <w:szCs w:val="21"/>
                <w:highlight w:val="none"/>
              </w:rPr>
              <w:t>工程量清单中各项目的工作内容和要</w:t>
            </w:r>
            <w:r>
              <w:rPr>
                <w:color w:val="auto"/>
                <w:spacing w:val="-3"/>
                <w:sz w:val="21"/>
                <w:szCs w:val="21"/>
                <w:highlight w:val="none"/>
              </w:rPr>
              <w:t>求应符合相关技术标准和要求（合同技术条款）以</w:t>
            </w:r>
            <w:r>
              <w:rPr>
                <w:color w:val="auto"/>
                <w:sz w:val="21"/>
                <w:szCs w:val="21"/>
                <w:highlight w:val="none"/>
              </w:rPr>
              <w:t xml:space="preserve"> </w:t>
            </w:r>
            <w:r>
              <w:rPr>
                <w:color w:val="auto"/>
                <w:spacing w:val="-1"/>
                <w:sz w:val="21"/>
                <w:szCs w:val="21"/>
                <w:highlight w:val="none"/>
              </w:rPr>
              <w:t>及《浙江省水利水电工程工程量清单计价办法</w:t>
            </w:r>
            <w:r>
              <w:rPr>
                <w:color w:val="auto"/>
                <w:spacing w:val="-2"/>
                <w:sz w:val="21"/>
                <w:szCs w:val="21"/>
                <w:highlight w:val="none"/>
              </w:rPr>
              <w:t>》的规定。</w:t>
            </w:r>
          </w:p>
          <w:p w14:paraId="4BF7E045">
            <w:pPr>
              <w:pStyle w:val="33"/>
              <w:spacing w:before="110" w:line="269" w:lineRule="auto"/>
              <w:ind w:left="116" w:right="108" w:firstLine="415"/>
              <w:rPr>
                <w:color w:val="auto"/>
                <w:sz w:val="21"/>
                <w:szCs w:val="21"/>
                <w:highlight w:val="none"/>
              </w:rPr>
            </w:pPr>
            <w:r>
              <w:rPr>
                <w:rFonts w:ascii="Times New Roman" w:hAnsi="Times New Roman" w:eastAsia="Times New Roman" w:cs="Times New Roman"/>
                <w:color w:val="auto"/>
                <w:spacing w:val="2"/>
                <w:sz w:val="21"/>
                <w:szCs w:val="21"/>
                <w:highlight w:val="none"/>
              </w:rPr>
              <w:t xml:space="preserve">4.4  </w:t>
            </w:r>
            <w:r>
              <w:rPr>
                <w:color w:val="auto"/>
                <w:spacing w:val="2"/>
                <w:sz w:val="21"/>
                <w:szCs w:val="21"/>
                <w:highlight w:val="none"/>
              </w:rPr>
              <w:t>工程量清单计价应包括按招标文件规定完成工程量清单所列项目的全部费用，包括分</w:t>
            </w:r>
            <w:r>
              <w:rPr>
                <w:color w:val="auto"/>
                <w:spacing w:val="11"/>
                <w:sz w:val="21"/>
                <w:szCs w:val="21"/>
                <w:highlight w:val="none"/>
              </w:rPr>
              <w:t xml:space="preserve"> </w:t>
            </w:r>
            <w:r>
              <w:rPr>
                <w:color w:val="auto"/>
                <w:spacing w:val="-1"/>
                <w:sz w:val="21"/>
                <w:szCs w:val="21"/>
                <w:highlight w:val="none"/>
              </w:rPr>
              <w:t>类分项工程费、施工临时工程费和其他项目费。</w:t>
            </w:r>
          </w:p>
          <w:p w14:paraId="3A05B244">
            <w:pPr>
              <w:pStyle w:val="33"/>
              <w:spacing w:before="109" w:line="219" w:lineRule="auto"/>
              <w:ind w:left="531"/>
              <w:rPr>
                <w:color w:val="auto"/>
                <w:sz w:val="21"/>
                <w:szCs w:val="21"/>
                <w:highlight w:val="none"/>
              </w:rPr>
            </w:pPr>
            <w:r>
              <w:rPr>
                <w:rFonts w:ascii="Times New Roman" w:hAnsi="Times New Roman" w:eastAsia="Times New Roman" w:cs="Times New Roman"/>
                <w:color w:val="auto"/>
                <w:sz w:val="21"/>
                <w:szCs w:val="21"/>
                <w:highlight w:val="none"/>
              </w:rPr>
              <w:t xml:space="preserve">4.5  </w:t>
            </w:r>
            <w:r>
              <w:rPr>
                <w:color w:val="auto"/>
                <w:sz w:val="21"/>
                <w:szCs w:val="21"/>
                <w:highlight w:val="none"/>
              </w:rPr>
              <w:t>除另有规定外，分类分项工程量清单计价应采用工程单价计价。</w:t>
            </w:r>
          </w:p>
          <w:p w14:paraId="11716098">
            <w:pPr>
              <w:pStyle w:val="33"/>
              <w:spacing w:before="112" w:line="284" w:lineRule="auto"/>
              <w:ind w:left="121" w:right="44" w:firstLine="409"/>
              <w:rPr>
                <w:color w:val="auto"/>
                <w:sz w:val="21"/>
                <w:szCs w:val="21"/>
                <w:highlight w:val="none"/>
              </w:rPr>
            </w:pPr>
            <w:r>
              <w:rPr>
                <w:rFonts w:ascii="Times New Roman" w:hAnsi="Times New Roman" w:eastAsia="Times New Roman" w:cs="Times New Roman"/>
                <w:color w:val="auto"/>
                <w:spacing w:val="2"/>
                <w:sz w:val="21"/>
                <w:szCs w:val="21"/>
                <w:highlight w:val="none"/>
              </w:rPr>
              <w:t xml:space="preserve">4.6  </w:t>
            </w:r>
            <w:r>
              <w:rPr>
                <w:color w:val="auto"/>
                <w:spacing w:val="2"/>
                <w:sz w:val="21"/>
                <w:szCs w:val="21"/>
                <w:highlight w:val="none"/>
              </w:rPr>
              <w:t>工程量清单中的综合单价是完成工程量清单中一个质量合格的规定计量单位项目所需</w:t>
            </w:r>
            <w:r>
              <w:rPr>
                <w:color w:val="auto"/>
                <w:spacing w:val="11"/>
                <w:sz w:val="21"/>
                <w:szCs w:val="21"/>
                <w:highlight w:val="none"/>
              </w:rPr>
              <w:t xml:space="preserve"> </w:t>
            </w:r>
            <w:r>
              <w:rPr>
                <w:color w:val="auto"/>
                <w:spacing w:val="-3"/>
                <w:sz w:val="21"/>
                <w:szCs w:val="21"/>
                <w:highlight w:val="none"/>
              </w:rPr>
              <w:t>的直接费（包括人工费、材料费、施工机械使用费、措施费）、间接费、利润、补差和税金等，</w:t>
            </w:r>
            <w:r>
              <w:rPr>
                <w:color w:val="auto"/>
                <w:spacing w:val="13"/>
                <w:sz w:val="21"/>
                <w:szCs w:val="21"/>
                <w:highlight w:val="none"/>
              </w:rPr>
              <w:t xml:space="preserve"> </w:t>
            </w:r>
            <w:r>
              <w:rPr>
                <w:color w:val="auto"/>
                <w:spacing w:val="-3"/>
                <w:sz w:val="21"/>
                <w:szCs w:val="21"/>
                <w:highlight w:val="none"/>
              </w:rPr>
              <w:t>并考虑一定范围内的风险费用。</w:t>
            </w:r>
          </w:p>
          <w:p w14:paraId="3679A3B3">
            <w:pPr>
              <w:pStyle w:val="33"/>
              <w:spacing w:before="109" w:line="268" w:lineRule="auto"/>
              <w:ind w:left="117" w:right="108" w:firstLine="413"/>
              <w:rPr>
                <w:color w:val="auto"/>
                <w:sz w:val="21"/>
                <w:szCs w:val="21"/>
                <w:highlight w:val="none"/>
              </w:rPr>
            </w:pPr>
            <w:r>
              <w:rPr>
                <w:rFonts w:ascii="Times New Roman" w:hAnsi="Times New Roman" w:eastAsia="Times New Roman" w:cs="Times New Roman"/>
                <w:color w:val="auto"/>
                <w:spacing w:val="2"/>
                <w:sz w:val="21"/>
                <w:szCs w:val="21"/>
                <w:highlight w:val="none"/>
              </w:rPr>
              <w:t xml:space="preserve">4.7  </w:t>
            </w:r>
            <w:r>
              <w:rPr>
                <w:color w:val="auto"/>
                <w:spacing w:val="2"/>
                <w:sz w:val="21"/>
                <w:szCs w:val="21"/>
                <w:highlight w:val="none"/>
              </w:rPr>
              <w:t>施工临时工程分类分项工程量清单的金额，应根据招标文件的要求以及工程的施工方</w:t>
            </w:r>
            <w:r>
              <w:rPr>
                <w:color w:val="auto"/>
                <w:spacing w:val="11"/>
                <w:sz w:val="21"/>
                <w:szCs w:val="21"/>
                <w:highlight w:val="none"/>
              </w:rPr>
              <w:t xml:space="preserve"> </w:t>
            </w:r>
            <w:r>
              <w:rPr>
                <w:color w:val="auto"/>
                <w:spacing w:val="-1"/>
                <w:sz w:val="21"/>
                <w:szCs w:val="21"/>
                <w:highlight w:val="none"/>
              </w:rPr>
              <w:t>案，按清单中所列项目计量单位计价。</w:t>
            </w:r>
          </w:p>
          <w:p w14:paraId="67CAB85F">
            <w:pPr>
              <w:pStyle w:val="33"/>
              <w:spacing w:before="108" w:line="301" w:lineRule="auto"/>
              <w:ind w:left="115" w:right="102" w:firstLine="416"/>
              <w:rPr>
                <w:color w:val="auto"/>
                <w:sz w:val="21"/>
                <w:szCs w:val="21"/>
                <w:highlight w:val="none"/>
              </w:rPr>
            </w:pPr>
            <w:r>
              <w:rPr>
                <w:rFonts w:ascii="Times New Roman" w:hAnsi="Times New Roman" w:eastAsia="Times New Roman" w:cs="Times New Roman"/>
                <w:color w:val="auto"/>
                <w:sz w:val="21"/>
                <w:szCs w:val="21"/>
                <w:highlight w:val="none"/>
              </w:rPr>
              <w:t xml:space="preserve">4.8  </w:t>
            </w:r>
            <w:r>
              <w:rPr>
                <w:color w:val="auto"/>
                <w:sz w:val="21"/>
                <w:szCs w:val="21"/>
                <w:highlight w:val="none"/>
              </w:rPr>
              <w:t>安全生产措施费不得低于人民币</w:t>
            </w:r>
            <w:r>
              <w:rPr>
                <w:color w:val="auto"/>
                <w:sz w:val="21"/>
                <w:szCs w:val="21"/>
                <w:highlight w:val="none"/>
                <w:u w:val="single" w:color="auto"/>
              </w:rPr>
              <w:t xml:space="preserve">       </w:t>
            </w:r>
            <w:r>
              <w:rPr>
                <w:color w:val="auto"/>
                <w:spacing w:val="-96"/>
                <w:sz w:val="21"/>
                <w:szCs w:val="21"/>
                <w:highlight w:val="none"/>
              </w:rPr>
              <w:t xml:space="preserve"> </w:t>
            </w:r>
            <w:r>
              <w:rPr>
                <w:color w:val="auto"/>
                <w:sz w:val="21"/>
                <w:szCs w:val="21"/>
                <w:highlight w:val="none"/>
              </w:rPr>
              <w:t>元，安全生产措</w:t>
            </w:r>
            <w:r>
              <w:rPr>
                <w:color w:val="auto"/>
                <w:spacing w:val="-1"/>
                <w:sz w:val="21"/>
                <w:szCs w:val="21"/>
                <w:highlight w:val="none"/>
              </w:rPr>
              <w:t>施费不得作为竞争性费用，且</w:t>
            </w:r>
            <w:r>
              <w:rPr>
                <w:color w:val="auto"/>
                <w:sz w:val="21"/>
                <w:szCs w:val="21"/>
                <w:highlight w:val="none"/>
              </w:rPr>
              <w:t xml:space="preserve"> </w:t>
            </w:r>
            <w:r>
              <w:rPr>
                <w:color w:val="auto"/>
                <w:spacing w:val="1"/>
                <w:sz w:val="21"/>
                <w:szCs w:val="21"/>
                <w:highlight w:val="none"/>
              </w:rPr>
              <w:t>实行标外管理。安全生产措施费的使用管理应严格按国家和省有关规定执行，具体由承包人按</w:t>
            </w:r>
            <w:r>
              <w:rPr>
                <w:color w:val="auto"/>
                <w:spacing w:val="2"/>
                <w:sz w:val="21"/>
                <w:szCs w:val="21"/>
                <w:highlight w:val="none"/>
              </w:rPr>
              <w:t xml:space="preserve"> </w:t>
            </w:r>
            <w:r>
              <w:rPr>
                <w:color w:val="auto"/>
                <w:spacing w:val="-2"/>
                <w:sz w:val="21"/>
                <w:szCs w:val="21"/>
                <w:highlight w:val="none"/>
              </w:rPr>
              <w:t>照《安全生产措施费使用范围表》的内容以及《水利水电</w:t>
            </w:r>
            <w:r>
              <w:rPr>
                <w:color w:val="auto"/>
                <w:spacing w:val="-3"/>
                <w:sz w:val="21"/>
                <w:szCs w:val="21"/>
                <w:highlight w:val="none"/>
              </w:rPr>
              <w:t>工程施工安全管理导则》（</w:t>
            </w:r>
            <w:r>
              <w:rPr>
                <w:rFonts w:ascii="Times New Roman" w:hAnsi="Times New Roman" w:eastAsia="Times New Roman" w:cs="Times New Roman"/>
                <w:color w:val="auto"/>
                <w:spacing w:val="-3"/>
                <w:sz w:val="21"/>
                <w:szCs w:val="21"/>
                <w:highlight w:val="none"/>
              </w:rPr>
              <w:t>SL721</w:t>
            </w:r>
            <w:r>
              <w:rPr>
                <w:color w:val="auto"/>
                <w:spacing w:val="-3"/>
                <w:sz w:val="21"/>
                <w:szCs w:val="21"/>
                <w:highlight w:val="none"/>
              </w:rPr>
              <w:t>）等</w:t>
            </w:r>
            <w:r>
              <w:rPr>
                <w:color w:val="auto"/>
                <w:sz w:val="21"/>
                <w:szCs w:val="21"/>
                <w:highlight w:val="none"/>
              </w:rPr>
              <w:t xml:space="preserve"> </w:t>
            </w:r>
            <w:r>
              <w:rPr>
                <w:color w:val="auto"/>
                <w:spacing w:val="1"/>
                <w:sz w:val="21"/>
                <w:szCs w:val="21"/>
                <w:highlight w:val="none"/>
              </w:rPr>
              <w:t>相关规范提出方案和预算，经监理审核，由建设单位组织专家对可行性、经济性论证后批准实</w:t>
            </w:r>
            <w:r>
              <w:rPr>
                <w:color w:val="auto"/>
                <w:spacing w:val="2"/>
                <w:sz w:val="21"/>
                <w:szCs w:val="21"/>
                <w:highlight w:val="none"/>
              </w:rPr>
              <w:t xml:space="preserve"> </w:t>
            </w:r>
            <w:r>
              <w:rPr>
                <w:color w:val="auto"/>
                <w:spacing w:val="1"/>
                <w:sz w:val="21"/>
                <w:szCs w:val="21"/>
                <w:highlight w:val="none"/>
              </w:rPr>
              <w:t>施。建设单位应按工程进度付款周期，逐期审核安全生产措施费的使用情况及支出。工程完工</w:t>
            </w:r>
            <w:r>
              <w:rPr>
                <w:color w:val="auto"/>
                <w:spacing w:val="2"/>
                <w:sz w:val="21"/>
                <w:szCs w:val="21"/>
                <w:highlight w:val="none"/>
              </w:rPr>
              <w:t xml:space="preserve"> </w:t>
            </w:r>
            <w:r>
              <w:rPr>
                <w:color w:val="auto"/>
                <w:sz w:val="21"/>
                <w:szCs w:val="21"/>
                <w:highlight w:val="none"/>
              </w:rPr>
              <w:t>结算时结余的安全生产措施费，不得支付，应当退回建设</w:t>
            </w:r>
            <w:r>
              <w:rPr>
                <w:color w:val="auto"/>
                <w:spacing w:val="-1"/>
                <w:sz w:val="21"/>
                <w:szCs w:val="21"/>
                <w:highlight w:val="none"/>
              </w:rPr>
              <w:t>单位。</w:t>
            </w:r>
          </w:p>
          <w:p w14:paraId="7F5463E8">
            <w:pPr>
              <w:pStyle w:val="33"/>
              <w:spacing w:before="109" w:line="219" w:lineRule="auto"/>
              <w:ind w:left="531"/>
              <w:rPr>
                <w:color w:val="auto"/>
                <w:sz w:val="21"/>
                <w:szCs w:val="21"/>
                <w:highlight w:val="none"/>
              </w:rPr>
            </w:pPr>
            <w:r>
              <w:rPr>
                <w:rFonts w:ascii="Times New Roman" w:hAnsi="Times New Roman" w:eastAsia="Times New Roman" w:cs="Times New Roman"/>
                <w:color w:val="auto"/>
                <w:spacing w:val="-1"/>
                <w:sz w:val="21"/>
                <w:szCs w:val="21"/>
                <w:highlight w:val="none"/>
              </w:rPr>
              <w:t xml:space="preserve">4.9  </w:t>
            </w:r>
            <w:r>
              <w:rPr>
                <w:color w:val="auto"/>
                <w:spacing w:val="-1"/>
                <w:sz w:val="21"/>
                <w:szCs w:val="21"/>
                <w:highlight w:val="none"/>
              </w:rPr>
              <w:t>投标报价参考依据：</w:t>
            </w:r>
          </w:p>
          <w:p w14:paraId="189CE67D">
            <w:pPr>
              <w:spacing w:line="399" w:lineRule="auto"/>
              <w:rPr>
                <w:rFonts w:ascii="Arial"/>
                <w:color w:val="auto"/>
                <w:sz w:val="21"/>
                <w:highlight w:val="none"/>
              </w:rPr>
            </w:pPr>
          </w:p>
          <w:p w14:paraId="08EB64E1">
            <w:pPr>
              <w:spacing w:before="69" w:line="223" w:lineRule="auto"/>
              <w:ind w:left="537"/>
              <w:rPr>
                <w:rFonts w:ascii="黑体" w:hAnsi="黑体" w:eastAsia="黑体" w:cs="黑体"/>
                <w:color w:val="auto"/>
                <w:sz w:val="21"/>
                <w:szCs w:val="21"/>
                <w:highlight w:val="none"/>
              </w:rPr>
            </w:pPr>
            <w:r>
              <w:rPr>
                <w:rFonts w:ascii="Times New Roman" w:hAnsi="Times New Roman" w:eastAsia="Times New Roman" w:cs="Times New Roman"/>
                <w:b/>
                <w:bCs/>
                <w:color w:val="auto"/>
                <w:spacing w:val="-7"/>
                <w:sz w:val="21"/>
                <w:szCs w:val="21"/>
                <w:highlight w:val="none"/>
              </w:rPr>
              <w:t>5</w:t>
            </w:r>
            <w:r>
              <w:rPr>
                <w:rFonts w:ascii="Times New Roman" w:hAnsi="Times New Roman" w:eastAsia="Times New Roman" w:cs="Times New Roman"/>
                <w:b/>
                <w:bCs/>
                <w:color w:val="auto"/>
                <w:spacing w:val="6"/>
                <w:sz w:val="21"/>
                <w:szCs w:val="21"/>
                <w:highlight w:val="none"/>
              </w:rPr>
              <w:t xml:space="preserve">  </w:t>
            </w:r>
            <w:r>
              <w:rPr>
                <w:rFonts w:ascii="黑体" w:hAnsi="黑体" w:eastAsia="黑体" w:cs="黑体"/>
                <w:b/>
                <w:bCs/>
                <w:color w:val="auto"/>
                <w:spacing w:val="-7"/>
                <w:sz w:val="21"/>
                <w:szCs w:val="21"/>
                <w:highlight w:val="none"/>
              </w:rPr>
              <w:t>其他</w:t>
            </w:r>
          </w:p>
          <w:p w14:paraId="6B0CCD91">
            <w:pPr>
              <w:pStyle w:val="33"/>
              <w:spacing w:before="106" w:line="220" w:lineRule="auto"/>
              <w:ind w:left="542"/>
              <w:rPr>
                <w:color w:val="auto"/>
                <w:sz w:val="21"/>
                <w:szCs w:val="21"/>
                <w:highlight w:val="none"/>
              </w:rPr>
            </w:pPr>
            <w:r>
              <w:rPr>
                <w:color w:val="auto"/>
                <w:spacing w:val="-1"/>
                <w:sz w:val="21"/>
                <w:szCs w:val="21"/>
                <w:highlight w:val="none"/>
              </w:rPr>
              <w:t>（主要叙述除以上四点以外，还需要说明的</w:t>
            </w:r>
            <w:r>
              <w:rPr>
                <w:color w:val="auto"/>
                <w:spacing w:val="-2"/>
                <w:sz w:val="21"/>
                <w:szCs w:val="21"/>
                <w:highlight w:val="none"/>
              </w:rPr>
              <w:t>问题。）</w:t>
            </w:r>
          </w:p>
        </w:tc>
      </w:tr>
    </w:tbl>
    <w:p w14:paraId="693454BB">
      <w:pPr>
        <w:pStyle w:val="3"/>
        <w:spacing w:line="201" w:lineRule="exact"/>
        <w:rPr>
          <w:color w:val="auto"/>
          <w:sz w:val="17"/>
          <w:highlight w:val="none"/>
        </w:rPr>
      </w:pPr>
    </w:p>
    <w:p w14:paraId="0796B43E">
      <w:pPr>
        <w:spacing w:line="201" w:lineRule="exact"/>
        <w:rPr>
          <w:color w:val="auto"/>
          <w:sz w:val="17"/>
          <w:szCs w:val="17"/>
          <w:highlight w:val="none"/>
        </w:rPr>
        <w:sectPr>
          <w:pgSz w:w="11905" w:h="16843"/>
          <w:pgMar w:top="1429" w:right="1361" w:bottom="1253" w:left="1621" w:header="0" w:footer="1094" w:gutter="0"/>
          <w:pgNumType w:fmt="decimal"/>
          <w:cols w:space="0" w:num="1"/>
          <w:rtlGutter w:val="0"/>
          <w:docGrid w:linePitch="0" w:charSpace="0"/>
        </w:sectPr>
      </w:pPr>
    </w:p>
    <w:p w14:paraId="5A216043">
      <w:pPr>
        <w:spacing w:before="48" w:line="220" w:lineRule="auto"/>
        <w:ind w:left="3430"/>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工程量清单汇总表</w:t>
      </w:r>
    </w:p>
    <w:p w14:paraId="44EDB724">
      <w:pPr>
        <w:spacing w:before="174" w:line="221" w:lineRule="auto"/>
        <w:rPr>
          <w:rFonts w:ascii="宋体" w:hAnsi="宋体" w:eastAsia="宋体" w:cs="宋体"/>
          <w:color w:val="auto"/>
          <w:sz w:val="21"/>
          <w:szCs w:val="21"/>
          <w:highlight w:val="none"/>
        </w:rPr>
      </w:pPr>
      <w:r>
        <w:rPr>
          <w:rFonts w:ascii="宋体" w:hAnsi="宋体" w:eastAsia="宋体" w:cs="宋体"/>
          <w:color w:val="auto"/>
          <w:sz w:val="21"/>
          <w:szCs w:val="21"/>
          <w:highlight w:val="none"/>
        </w:rPr>
        <w:t>项目及标段名称：</w:t>
      </w:r>
      <w:r>
        <w:rPr>
          <w:rFonts w:ascii="宋体" w:hAnsi="宋体" w:eastAsia="宋体" w:cs="宋体"/>
          <w:color w:val="auto"/>
          <w:sz w:val="21"/>
          <w:szCs w:val="21"/>
          <w:highlight w:val="none"/>
          <w:u w:val="single" w:color="auto"/>
        </w:rPr>
        <w:t xml:space="preserve">                                </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页共</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w:t>
      </w:r>
    </w:p>
    <w:p w14:paraId="154798CF">
      <w:pPr>
        <w:spacing w:line="127" w:lineRule="exact"/>
        <w:rPr>
          <w:color w:val="auto"/>
          <w:highlight w:val="none"/>
        </w:rPr>
      </w:pPr>
    </w:p>
    <w:tbl>
      <w:tblPr>
        <w:tblStyle w:val="32"/>
        <w:tblW w:w="8807" w:type="dxa"/>
        <w:tblInd w:w="8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28"/>
        <w:gridCol w:w="5506"/>
        <w:gridCol w:w="2273"/>
      </w:tblGrid>
      <w:tr w14:paraId="0743D7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028" w:type="dxa"/>
            <w:tcBorders>
              <w:top w:val="single" w:color="000000" w:sz="6" w:space="0"/>
              <w:left w:val="single" w:color="000000" w:sz="6" w:space="0"/>
            </w:tcBorders>
            <w:vAlign w:val="top"/>
          </w:tcPr>
          <w:p w14:paraId="238B7012">
            <w:pPr>
              <w:pStyle w:val="33"/>
              <w:spacing w:before="197" w:line="222" w:lineRule="auto"/>
              <w:ind w:left="301"/>
              <w:rPr>
                <w:color w:val="auto"/>
                <w:sz w:val="21"/>
                <w:szCs w:val="21"/>
                <w:highlight w:val="none"/>
              </w:rPr>
            </w:pPr>
            <w:r>
              <w:rPr>
                <w:color w:val="auto"/>
                <w:spacing w:val="-2"/>
                <w:sz w:val="21"/>
                <w:szCs w:val="21"/>
                <w:highlight w:val="none"/>
              </w:rPr>
              <w:t>序号</w:t>
            </w:r>
          </w:p>
        </w:tc>
        <w:tc>
          <w:tcPr>
            <w:tcW w:w="5506" w:type="dxa"/>
            <w:tcBorders>
              <w:top w:val="single" w:color="000000" w:sz="6" w:space="0"/>
            </w:tcBorders>
            <w:vAlign w:val="top"/>
          </w:tcPr>
          <w:p w14:paraId="2F023550">
            <w:pPr>
              <w:pStyle w:val="33"/>
              <w:spacing w:before="197" w:line="221" w:lineRule="auto"/>
              <w:ind w:left="2128"/>
              <w:rPr>
                <w:color w:val="auto"/>
                <w:sz w:val="21"/>
                <w:szCs w:val="21"/>
                <w:highlight w:val="none"/>
              </w:rPr>
            </w:pPr>
            <w:r>
              <w:rPr>
                <w:color w:val="auto"/>
                <w:spacing w:val="-2"/>
                <w:sz w:val="21"/>
                <w:szCs w:val="21"/>
                <w:highlight w:val="none"/>
              </w:rPr>
              <w:t>工程项目名称</w:t>
            </w:r>
          </w:p>
        </w:tc>
        <w:tc>
          <w:tcPr>
            <w:tcW w:w="2273" w:type="dxa"/>
            <w:tcBorders>
              <w:top w:val="single" w:color="000000" w:sz="6" w:space="0"/>
              <w:right w:val="single" w:color="000000" w:sz="6" w:space="0"/>
            </w:tcBorders>
            <w:vAlign w:val="top"/>
          </w:tcPr>
          <w:p w14:paraId="3D3AFA07">
            <w:pPr>
              <w:pStyle w:val="33"/>
              <w:spacing w:before="196" w:line="221" w:lineRule="auto"/>
              <w:ind w:left="618"/>
              <w:rPr>
                <w:color w:val="auto"/>
                <w:sz w:val="21"/>
                <w:szCs w:val="21"/>
                <w:highlight w:val="none"/>
              </w:rPr>
            </w:pPr>
            <w:r>
              <w:rPr>
                <w:color w:val="auto"/>
                <w:spacing w:val="-5"/>
                <w:sz w:val="21"/>
                <w:szCs w:val="21"/>
                <w:highlight w:val="none"/>
              </w:rPr>
              <w:t>金额（元）</w:t>
            </w:r>
          </w:p>
        </w:tc>
      </w:tr>
      <w:tr w14:paraId="40C7C3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028" w:type="dxa"/>
            <w:tcBorders>
              <w:left w:val="single" w:color="000000" w:sz="6" w:space="0"/>
            </w:tcBorders>
            <w:vAlign w:val="top"/>
          </w:tcPr>
          <w:p w14:paraId="6DF9F2B7">
            <w:pPr>
              <w:rPr>
                <w:rFonts w:ascii="Arial"/>
                <w:color w:val="auto"/>
                <w:sz w:val="21"/>
                <w:highlight w:val="none"/>
              </w:rPr>
            </w:pPr>
          </w:p>
        </w:tc>
        <w:tc>
          <w:tcPr>
            <w:tcW w:w="5506" w:type="dxa"/>
            <w:vAlign w:val="top"/>
          </w:tcPr>
          <w:p w14:paraId="66BC9728">
            <w:pPr>
              <w:rPr>
                <w:rFonts w:ascii="Arial"/>
                <w:color w:val="auto"/>
                <w:sz w:val="21"/>
                <w:highlight w:val="none"/>
              </w:rPr>
            </w:pPr>
          </w:p>
        </w:tc>
        <w:tc>
          <w:tcPr>
            <w:tcW w:w="2273" w:type="dxa"/>
            <w:tcBorders>
              <w:right w:val="single" w:color="000000" w:sz="6" w:space="0"/>
            </w:tcBorders>
            <w:vAlign w:val="top"/>
          </w:tcPr>
          <w:p w14:paraId="6E01B191">
            <w:pPr>
              <w:rPr>
                <w:rFonts w:ascii="Arial"/>
                <w:color w:val="auto"/>
                <w:sz w:val="21"/>
                <w:highlight w:val="none"/>
              </w:rPr>
            </w:pPr>
          </w:p>
        </w:tc>
      </w:tr>
      <w:tr w14:paraId="6BA3F6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58E0AD96">
            <w:pPr>
              <w:rPr>
                <w:rFonts w:ascii="Arial"/>
                <w:color w:val="auto"/>
                <w:sz w:val="21"/>
                <w:highlight w:val="none"/>
              </w:rPr>
            </w:pPr>
          </w:p>
        </w:tc>
        <w:tc>
          <w:tcPr>
            <w:tcW w:w="5506" w:type="dxa"/>
            <w:vAlign w:val="top"/>
          </w:tcPr>
          <w:p w14:paraId="6D0E0D77">
            <w:pPr>
              <w:rPr>
                <w:rFonts w:ascii="Arial"/>
                <w:color w:val="auto"/>
                <w:sz w:val="21"/>
                <w:highlight w:val="none"/>
              </w:rPr>
            </w:pPr>
          </w:p>
        </w:tc>
        <w:tc>
          <w:tcPr>
            <w:tcW w:w="2273" w:type="dxa"/>
            <w:tcBorders>
              <w:right w:val="single" w:color="000000" w:sz="6" w:space="0"/>
            </w:tcBorders>
            <w:vAlign w:val="top"/>
          </w:tcPr>
          <w:p w14:paraId="54347AC3">
            <w:pPr>
              <w:rPr>
                <w:rFonts w:ascii="Arial"/>
                <w:color w:val="auto"/>
                <w:sz w:val="21"/>
                <w:highlight w:val="none"/>
              </w:rPr>
            </w:pPr>
          </w:p>
        </w:tc>
      </w:tr>
      <w:tr w14:paraId="45809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28" w:type="dxa"/>
            <w:tcBorders>
              <w:left w:val="single" w:color="000000" w:sz="6" w:space="0"/>
            </w:tcBorders>
            <w:vAlign w:val="top"/>
          </w:tcPr>
          <w:p w14:paraId="0284A6E7">
            <w:pPr>
              <w:rPr>
                <w:rFonts w:ascii="Arial"/>
                <w:color w:val="auto"/>
                <w:sz w:val="21"/>
                <w:highlight w:val="none"/>
              </w:rPr>
            </w:pPr>
          </w:p>
        </w:tc>
        <w:tc>
          <w:tcPr>
            <w:tcW w:w="5506" w:type="dxa"/>
            <w:vAlign w:val="top"/>
          </w:tcPr>
          <w:p w14:paraId="62C3E5B2">
            <w:pPr>
              <w:rPr>
                <w:rFonts w:ascii="Arial"/>
                <w:color w:val="auto"/>
                <w:sz w:val="21"/>
                <w:highlight w:val="none"/>
              </w:rPr>
            </w:pPr>
          </w:p>
        </w:tc>
        <w:tc>
          <w:tcPr>
            <w:tcW w:w="2273" w:type="dxa"/>
            <w:tcBorders>
              <w:right w:val="single" w:color="000000" w:sz="6" w:space="0"/>
            </w:tcBorders>
            <w:vAlign w:val="top"/>
          </w:tcPr>
          <w:p w14:paraId="60D06162">
            <w:pPr>
              <w:rPr>
                <w:rFonts w:ascii="Arial"/>
                <w:color w:val="auto"/>
                <w:sz w:val="21"/>
                <w:highlight w:val="none"/>
              </w:rPr>
            </w:pPr>
          </w:p>
        </w:tc>
      </w:tr>
      <w:tr w14:paraId="7768BB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31C27F39">
            <w:pPr>
              <w:rPr>
                <w:rFonts w:ascii="Arial"/>
                <w:color w:val="auto"/>
                <w:sz w:val="21"/>
                <w:highlight w:val="none"/>
              </w:rPr>
            </w:pPr>
          </w:p>
        </w:tc>
        <w:tc>
          <w:tcPr>
            <w:tcW w:w="5506" w:type="dxa"/>
            <w:vAlign w:val="top"/>
          </w:tcPr>
          <w:p w14:paraId="59C0BA9E">
            <w:pPr>
              <w:rPr>
                <w:rFonts w:ascii="Arial"/>
                <w:color w:val="auto"/>
                <w:sz w:val="21"/>
                <w:highlight w:val="none"/>
              </w:rPr>
            </w:pPr>
          </w:p>
        </w:tc>
        <w:tc>
          <w:tcPr>
            <w:tcW w:w="2273" w:type="dxa"/>
            <w:tcBorders>
              <w:right w:val="single" w:color="000000" w:sz="6" w:space="0"/>
            </w:tcBorders>
            <w:vAlign w:val="top"/>
          </w:tcPr>
          <w:p w14:paraId="450106B5">
            <w:pPr>
              <w:rPr>
                <w:rFonts w:ascii="Arial"/>
                <w:color w:val="auto"/>
                <w:sz w:val="21"/>
                <w:highlight w:val="none"/>
              </w:rPr>
            </w:pPr>
          </w:p>
        </w:tc>
      </w:tr>
      <w:tr w14:paraId="68075F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34E05012">
            <w:pPr>
              <w:rPr>
                <w:rFonts w:ascii="Arial"/>
                <w:color w:val="auto"/>
                <w:sz w:val="21"/>
                <w:highlight w:val="none"/>
              </w:rPr>
            </w:pPr>
          </w:p>
        </w:tc>
        <w:tc>
          <w:tcPr>
            <w:tcW w:w="5506" w:type="dxa"/>
            <w:vAlign w:val="top"/>
          </w:tcPr>
          <w:p w14:paraId="270A4729">
            <w:pPr>
              <w:rPr>
                <w:rFonts w:ascii="Arial"/>
                <w:color w:val="auto"/>
                <w:sz w:val="21"/>
                <w:highlight w:val="none"/>
              </w:rPr>
            </w:pPr>
          </w:p>
        </w:tc>
        <w:tc>
          <w:tcPr>
            <w:tcW w:w="2273" w:type="dxa"/>
            <w:tcBorders>
              <w:right w:val="single" w:color="000000" w:sz="6" w:space="0"/>
            </w:tcBorders>
            <w:vAlign w:val="top"/>
          </w:tcPr>
          <w:p w14:paraId="452AEAE6">
            <w:pPr>
              <w:rPr>
                <w:rFonts w:ascii="Arial"/>
                <w:color w:val="auto"/>
                <w:sz w:val="21"/>
                <w:highlight w:val="none"/>
              </w:rPr>
            </w:pPr>
          </w:p>
        </w:tc>
      </w:tr>
      <w:tr w14:paraId="5A7419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524FD45B">
            <w:pPr>
              <w:rPr>
                <w:rFonts w:ascii="Arial"/>
                <w:color w:val="auto"/>
                <w:sz w:val="21"/>
                <w:highlight w:val="none"/>
              </w:rPr>
            </w:pPr>
          </w:p>
        </w:tc>
        <w:tc>
          <w:tcPr>
            <w:tcW w:w="5506" w:type="dxa"/>
            <w:vAlign w:val="top"/>
          </w:tcPr>
          <w:p w14:paraId="04ED1435">
            <w:pPr>
              <w:rPr>
                <w:rFonts w:ascii="Arial"/>
                <w:color w:val="auto"/>
                <w:sz w:val="21"/>
                <w:highlight w:val="none"/>
              </w:rPr>
            </w:pPr>
          </w:p>
        </w:tc>
        <w:tc>
          <w:tcPr>
            <w:tcW w:w="2273" w:type="dxa"/>
            <w:tcBorders>
              <w:right w:val="single" w:color="000000" w:sz="6" w:space="0"/>
            </w:tcBorders>
            <w:vAlign w:val="top"/>
          </w:tcPr>
          <w:p w14:paraId="6F8B9909">
            <w:pPr>
              <w:rPr>
                <w:rFonts w:ascii="Arial"/>
                <w:color w:val="auto"/>
                <w:sz w:val="21"/>
                <w:highlight w:val="none"/>
              </w:rPr>
            </w:pPr>
          </w:p>
        </w:tc>
      </w:tr>
      <w:tr w14:paraId="358369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14A1E2C1">
            <w:pPr>
              <w:rPr>
                <w:rFonts w:ascii="Arial"/>
                <w:color w:val="auto"/>
                <w:sz w:val="21"/>
                <w:highlight w:val="none"/>
              </w:rPr>
            </w:pPr>
          </w:p>
        </w:tc>
        <w:tc>
          <w:tcPr>
            <w:tcW w:w="5506" w:type="dxa"/>
            <w:vAlign w:val="top"/>
          </w:tcPr>
          <w:p w14:paraId="69CA2318">
            <w:pPr>
              <w:rPr>
                <w:rFonts w:ascii="Arial"/>
                <w:color w:val="auto"/>
                <w:sz w:val="21"/>
                <w:highlight w:val="none"/>
              </w:rPr>
            </w:pPr>
          </w:p>
        </w:tc>
        <w:tc>
          <w:tcPr>
            <w:tcW w:w="2273" w:type="dxa"/>
            <w:tcBorders>
              <w:right w:val="single" w:color="000000" w:sz="6" w:space="0"/>
            </w:tcBorders>
            <w:vAlign w:val="top"/>
          </w:tcPr>
          <w:p w14:paraId="1F74B5C2">
            <w:pPr>
              <w:rPr>
                <w:rFonts w:ascii="Arial"/>
                <w:color w:val="auto"/>
                <w:sz w:val="21"/>
                <w:highlight w:val="none"/>
              </w:rPr>
            </w:pPr>
          </w:p>
        </w:tc>
      </w:tr>
      <w:tr w14:paraId="1AA2E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27B2EF77">
            <w:pPr>
              <w:rPr>
                <w:rFonts w:ascii="Arial"/>
                <w:color w:val="auto"/>
                <w:sz w:val="21"/>
                <w:highlight w:val="none"/>
              </w:rPr>
            </w:pPr>
          </w:p>
        </w:tc>
        <w:tc>
          <w:tcPr>
            <w:tcW w:w="5506" w:type="dxa"/>
            <w:vAlign w:val="top"/>
          </w:tcPr>
          <w:p w14:paraId="4EEA25A2">
            <w:pPr>
              <w:rPr>
                <w:rFonts w:ascii="Arial"/>
                <w:color w:val="auto"/>
                <w:sz w:val="21"/>
                <w:highlight w:val="none"/>
              </w:rPr>
            </w:pPr>
          </w:p>
        </w:tc>
        <w:tc>
          <w:tcPr>
            <w:tcW w:w="2273" w:type="dxa"/>
            <w:tcBorders>
              <w:right w:val="single" w:color="000000" w:sz="6" w:space="0"/>
            </w:tcBorders>
            <w:vAlign w:val="top"/>
          </w:tcPr>
          <w:p w14:paraId="79C6621F">
            <w:pPr>
              <w:rPr>
                <w:rFonts w:ascii="Arial"/>
                <w:color w:val="auto"/>
                <w:sz w:val="21"/>
                <w:highlight w:val="none"/>
              </w:rPr>
            </w:pPr>
          </w:p>
        </w:tc>
      </w:tr>
      <w:tr w14:paraId="60D667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28" w:type="dxa"/>
            <w:tcBorders>
              <w:left w:val="single" w:color="000000" w:sz="6" w:space="0"/>
            </w:tcBorders>
            <w:vAlign w:val="top"/>
          </w:tcPr>
          <w:p w14:paraId="005D008E">
            <w:pPr>
              <w:rPr>
                <w:rFonts w:ascii="Arial"/>
                <w:color w:val="auto"/>
                <w:sz w:val="21"/>
                <w:highlight w:val="none"/>
              </w:rPr>
            </w:pPr>
          </w:p>
        </w:tc>
        <w:tc>
          <w:tcPr>
            <w:tcW w:w="5506" w:type="dxa"/>
            <w:vAlign w:val="top"/>
          </w:tcPr>
          <w:p w14:paraId="6195C5A7">
            <w:pPr>
              <w:rPr>
                <w:rFonts w:ascii="Arial"/>
                <w:color w:val="auto"/>
                <w:sz w:val="21"/>
                <w:highlight w:val="none"/>
              </w:rPr>
            </w:pPr>
          </w:p>
        </w:tc>
        <w:tc>
          <w:tcPr>
            <w:tcW w:w="2273" w:type="dxa"/>
            <w:tcBorders>
              <w:right w:val="single" w:color="000000" w:sz="6" w:space="0"/>
            </w:tcBorders>
            <w:vAlign w:val="top"/>
          </w:tcPr>
          <w:p w14:paraId="412CD5A6">
            <w:pPr>
              <w:rPr>
                <w:rFonts w:ascii="Arial"/>
                <w:color w:val="auto"/>
                <w:sz w:val="21"/>
                <w:highlight w:val="none"/>
              </w:rPr>
            </w:pPr>
          </w:p>
        </w:tc>
      </w:tr>
      <w:tr w14:paraId="697CF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78227B51">
            <w:pPr>
              <w:rPr>
                <w:rFonts w:ascii="Arial"/>
                <w:color w:val="auto"/>
                <w:sz w:val="21"/>
                <w:highlight w:val="none"/>
              </w:rPr>
            </w:pPr>
          </w:p>
        </w:tc>
        <w:tc>
          <w:tcPr>
            <w:tcW w:w="5506" w:type="dxa"/>
            <w:vAlign w:val="top"/>
          </w:tcPr>
          <w:p w14:paraId="643F7150">
            <w:pPr>
              <w:rPr>
                <w:rFonts w:ascii="Arial"/>
                <w:color w:val="auto"/>
                <w:sz w:val="21"/>
                <w:highlight w:val="none"/>
              </w:rPr>
            </w:pPr>
          </w:p>
        </w:tc>
        <w:tc>
          <w:tcPr>
            <w:tcW w:w="2273" w:type="dxa"/>
            <w:tcBorders>
              <w:right w:val="single" w:color="000000" w:sz="6" w:space="0"/>
            </w:tcBorders>
            <w:vAlign w:val="top"/>
          </w:tcPr>
          <w:p w14:paraId="24E243EE">
            <w:pPr>
              <w:rPr>
                <w:rFonts w:ascii="Arial"/>
                <w:color w:val="auto"/>
                <w:sz w:val="21"/>
                <w:highlight w:val="none"/>
              </w:rPr>
            </w:pPr>
          </w:p>
        </w:tc>
      </w:tr>
      <w:tr w14:paraId="7524080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7176960F">
            <w:pPr>
              <w:rPr>
                <w:rFonts w:ascii="Arial"/>
                <w:color w:val="auto"/>
                <w:sz w:val="21"/>
                <w:highlight w:val="none"/>
              </w:rPr>
            </w:pPr>
          </w:p>
        </w:tc>
        <w:tc>
          <w:tcPr>
            <w:tcW w:w="5506" w:type="dxa"/>
            <w:vAlign w:val="top"/>
          </w:tcPr>
          <w:p w14:paraId="5667A5BB">
            <w:pPr>
              <w:rPr>
                <w:rFonts w:ascii="Arial"/>
                <w:color w:val="auto"/>
                <w:sz w:val="21"/>
                <w:highlight w:val="none"/>
              </w:rPr>
            </w:pPr>
          </w:p>
        </w:tc>
        <w:tc>
          <w:tcPr>
            <w:tcW w:w="2273" w:type="dxa"/>
            <w:tcBorders>
              <w:right w:val="single" w:color="000000" w:sz="6" w:space="0"/>
            </w:tcBorders>
            <w:vAlign w:val="top"/>
          </w:tcPr>
          <w:p w14:paraId="773AA1F0">
            <w:pPr>
              <w:rPr>
                <w:rFonts w:ascii="Arial"/>
                <w:color w:val="auto"/>
                <w:sz w:val="21"/>
                <w:highlight w:val="none"/>
              </w:rPr>
            </w:pPr>
          </w:p>
        </w:tc>
      </w:tr>
      <w:tr w14:paraId="3C5532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5983F5E7">
            <w:pPr>
              <w:rPr>
                <w:rFonts w:ascii="Arial"/>
                <w:color w:val="auto"/>
                <w:sz w:val="21"/>
                <w:highlight w:val="none"/>
              </w:rPr>
            </w:pPr>
          </w:p>
        </w:tc>
        <w:tc>
          <w:tcPr>
            <w:tcW w:w="5506" w:type="dxa"/>
            <w:vAlign w:val="top"/>
          </w:tcPr>
          <w:p w14:paraId="66360920">
            <w:pPr>
              <w:rPr>
                <w:rFonts w:ascii="Arial"/>
                <w:color w:val="auto"/>
                <w:sz w:val="21"/>
                <w:highlight w:val="none"/>
              </w:rPr>
            </w:pPr>
          </w:p>
        </w:tc>
        <w:tc>
          <w:tcPr>
            <w:tcW w:w="2273" w:type="dxa"/>
            <w:tcBorders>
              <w:right w:val="single" w:color="000000" w:sz="6" w:space="0"/>
            </w:tcBorders>
            <w:vAlign w:val="top"/>
          </w:tcPr>
          <w:p w14:paraId="2839B54B">
            <w:pPr>
              <w:rPr>
                <w:rFonts w:ascii="Arial"/>
                <w:color w:val="auto"/>
                <w:sz w:val="21"/>
                <w:highlight w:val="none"/>
              </w:rPr>
            </w:pPr>
          </w:p>
        </w:tc>
      </w:tr>
      <w:tr w14:paraId="55F6BD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5958BA16">
            <w:pPr>
              <w:rPr>
                <w:rFonts w:ascii="Arial"/>
                <w:color w:val="auto"/>
                <w:sz w:val="21"/>
                <w:highlight w:val="none"/>
              </w:rPr>
            </w:pPr>
          </w:p>
        </w:tc>
        <w:tc>
          <w:tcPr>
            <w:tcW w:w="5506" w:type="dxa"/>
            <w:vAlign w:val="top"/>
          </w:tcPr>
          <w:p w14:paraId="7770668F">
            <w:pPr>
              <w:rPr>
                <w:rFonts w:ascii="Arial"/>
                <w:color w:val="auto"/>
                <w:sz w:val="21"/>
                <w:highlight w:val="none"/>
              </w:rPr>
            </w:pPr>
          </w:p>
        </w:tc>
        <w:tc>
          <w:tcPr>
            <w:tcW w:w="2273" w:type="dxa"/>
            <w:tcBorders>
              <w:right w:val="single" w:color="000000" w:sz="6" w:space="0"/>
            </w:tcBorders>
            <w:vAlign w:val="top"/>
          </w:tcPr>
          <w:p w14:paraId="5D6C5D31">
            <w:pPr>
              <w:rPr>
                <w:rFonts w:ascii="Arial"/>
                <w:color w:val="auto"/>
                <w:sz w:val="21"/>
                <w:highlight w:val="none"/>
              </w:rPr>
            </w:pPr>
          </w:p>
        </w:tc>
      </w:tr>
      <w:tr w14:paraId="76021A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0E3BCFF5">
            <w:pPr>
              <w:rPr>
                <w:rFonts w:ascii="Arial"/>
                <w:color w:val="auto"/>
                <w:sz w:val="21"/>
                <w:highlight w:val="none"/>
              </w:rPr>
            </w:pPr>
          </w:p>
        </w:tc>
        <w:tc>
          <w:tcPr>
            <w:tcW w:w="5506" w:type="dxa"/>
            <w:vAlign w:val="top"/>
          </w:tcPr>
          <w:p w14:paraId="22B42A2C">
            <w:pPr>
              <w:rPr>
                <w:rFonts w:ascii="Arial"/>
                <w:color w:val="auto"/>
                <w:sz w:val="21"/>
                <w:highlight w:val="none"/>
              </w:rPr>
            </w:pPr>
          </w:p>
        </w:tc>
        <w:tc>
          <w:tcPr>
            <w:tcW w:w="2273" w:type="dxa"/>
            <w:tcBorders>
              <w:right w:val="single" w:color="000000" w:sz="6" w:space="0"/>
            </w:tcBorders>
            <w:vAlign w:val="top"/>
          </w:tcPr>
          <w:p w14:paraId="5E75F1CD">
            <w:pPr>
              <w:rPr>
                <w:rFonts w:ascii="Arial"/>
                <w:color w:val="auto"/>
                <w:sz w:val="21"/>
                <w:highlight w:val="none"/>
              </w:rPr>
            </w:pPr>
          </w:p>
        </w:tc>
      </w:tr>
      <w:tr w14:paraId="25BC12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028" w:type="dxa"/>
            <w:tcBorders>
              <w:left w:val="single" w:color="000000" w:sz="6" w:space="0"/>
            </w:tcBorders>
            <w:vAlign w:val="top"/>
          </w:tcPr>
          <w:p w14:paraId="6C3D53F9">
            <w:pPr>
              <w:rPr>
                <w:rFonts w:ascii="Arial"/>
                <w:color w:val="auto"/>
                <w:sz w:val="21"/>
                <w:highlight w:val="none"/>
              </w:rPr>
            </w:pPr>
          </w:p>
        </w:tc>
        <w:tc>
          <w:tcPr>
            <w:tcW w:w="5506" w:type="dxa"/>
            <w:vAlign w:val="top"/>
          </w:tcPr>
          <w:p w14:paraId="7D41358A">
            <w:pPr>
              <w:rPr>
                <w:rFonts w:ascii="Arial"/>
                <w:color w:val="auto"/>
                <w:sz w:val="21"/>
                <w:highlight w:val="none"/>
              </w:rPr>
            </w:pPr>
          </w:p>
        </w:tc>
        <w:tc>
          <w:tcPr>
            <w:tcW w:w="2273" w:type="dxa"/>
            <w:tcBorders>
              <w:right w:val="single" w:color="000000" w:sz="6" w:space="0"/>
            </w:tcBorders>
            <w:vAlign w:val="top"/>
          </w:tcPr>
          <w:p w14:paraId="6E364D57">
            <w:pPr>
              <w:rPr>
                <w:rFonts w:ascii="Arial"/>
                <w:color w:val="auto"/>
                <w:sz w:val="21"/>
                <w:highlight w:val="none"/>
              </w:rPr>
            </w:pPr>
          </w:p>
        </w:tc>
      </w:tr>
      <w:tr w14:paraId="13D6AC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1870F5C1">
            <w:pPr>
              <w:rPr>
                <w:rFonts w:ascii="Arial"/>
                <w:color w:val="auto"/>
                <w:sz w:val="21"/>
                <w:highlight w:val="none"/>
              </w:rPr>
            </w:pPr>
          </w:p>
        </w:tc>
        <w:tc>
          <w:tcPr>
            <w:tcW w:w="5506" w:type="dxa"/>
            <w:vAlign w:val="top"/>
          </w:tcPr>
          <w:p w14:paraId="01E25720">
            <w:pPr>
              <w:rPr>
                <w:rFonts w:ascii="Arial"/>
                <w:color w:val="auto"/>
                <w:sz w:val="21"/>
                <w:highlight w:val="none"/>
              </w:rPr>
            </w:pPr>
          </w:p>
        </w:tc>
        <w:tc>
          <w:tcPr>
            <w:tcW w:w="2273" w:type="dxa"/>
            <w:tcBorders>
              <w:right w:val="single" w:color="000000" w:sz="6" w:space="0"/>
            </w:tcBorders>
            <w:vAlign w:val="top"/>
          </w:tcPr>
          <w:p w14:paraId="4BF54409">
            <w:pPr>
              <w:rPr>
                <w:rFonts w:ascii="Arial"/>
                <w:color w:val="auto"/>
                <w:sz w:val="21"/>
                <w:highlight w:val="none"/>
              </w:rPr>
            </w:pPr>
          </w:p>
        </w:tc>
      </w:tr>
      <w:tr w14:paraId="5D2BE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14891C5D">
            <w:pPr>
              <w:rPr>
                <w:rFonts w:ascii="Arial"/>
                <w:color w:val="auto"/>
                <w:sz w:val="21"/>
                <w:highlight w:val="none"/>
              </w:rPr>
            </w:pPr>
          </w:p>
        </w:tc>
        <w:tc>
          <w:tcPr>
            <w:tcW w:w="5506" w:type="dxa"/>
            <w:vAlign w:val="top"/>
          </w:tcPr>
          <w:p w14:paraId="2B321A8D">
            <w:pPr>
              <w:rPr>
                <w:rFonts w:ascii="Arial"/>
                <w:color w:val="auto"/>
                <w:sz w:val="21"/>
                <w:highlight w:val="none"/>
              </w:rPr>
            </w:pPr>
          </w:p>
        </w:tc>
        <w:tc>
          <w:tcPr>
            <w:tcW w:w="2273" w:type="dxa"/>
            <w:tcBorders>
              <w:right w:val="single" w:color="000000" w:sz="6" w:space="0"/>
            </w:tcBorders>
            <w:vAlign w:val="top"/>
          </w:tcPr>
          <w:p w14:paraId="367AF9EE">
            <w:pPr>
              <w:rPr>
                <w:rFonts w:ascii="Arial"/>
                <w:color w:val="auto"/>
                <w:sz w:val="21"/>
                <w:highlight w:val="none"/>
              </w:rPr>
            </w:pPr>
          </w:p>
        </w:tc>
      </w:tr>
      <w:tr w14:paraId="300B41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469B91F5">
            <w:pPr>
              <w:rPr>
                <w:rFonts w:ascii="Arial"/>
                <w:color w:val="auto"/>
                <w:sz w:val="21"/>
                <w:highlight w:val="none"/>
              </w:rPr>
            </w:pPr>
          </w:p>
        </w:tc>
        <w:tc>
          <w:tcPr>
            <w:tcW w:w="5506" w:type="dxa"/>
            <w:vAlign w:val="top"/>
          </w:tcPr>
          <w:p w14:paraId="65AD8EA2">
            <w:pPr>
              <w:rPr>
                <w:rFonts w:ascii="Arial"/>
                <w:color w:val="auto"/>
                <w:sz w:val="21"/>
                <w:highlight w:val="none"/>
              </w:rPr>
            </w:pPr>
          </w:p>
        </w:tc>
        <w:tc>
          <w:tcPr>
            <w:tcW w:w="2273" w:type="dxa"/>
            <w:tcBorders>
              <w:right w:val="single" w:color="000000" w:sz="6" w:space="0"/>
            </w:tcBorders>
            <w:vAlign w:val="top"/>
          </w:tcPr>
          <w:p w14:paraId="559D8937">
            <w:pPr>
              <w:rPr>
                <w:rFonts w:ascii="Arial"/>
                <w:color w:val="auto"/>
                <w:sz w:val="21"/>
                <w:highlight w:val="none"/>
              </w:rPr>
            </w:pPr>
          </w:p>
        </w:tc>
      </w:tr>
      <w:tr w14:paraId="381D72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028" w:type="dxa"/>
            <w:tcBorders>
              <w:left w:val="single" w:color="000000" w:sz="6" w:space="0"/>
            </w:tcBorders>
            <w:vAlign w:val="top"/>
          </w:tcPr>
          <w:p w14:paraId="344E5FF7">
            <w:pPr>
              <w:rPr>
                <w:rFonts w:ascii="Arial"/>
                <w:color w:val="auto"/>
                <w:sz w:val="21"/>
                <w:highlight w:val="none"/>
              </w:rPr>
            </w:pPr>
          </w:p>
        </w:tc>
        <w:tc>
          <w:tcPr>
            <w:tcW w:w="5506" w:type="dxa"/>
            <w:vAlign w:val="top"/>
          </w:tcPr>
          <w:p w14:paraId="4C7D5A2A">
            <w:pPr>
              <w:rPr>
                <w:rFonts w:ascii="Arial"/>
                <w:color w:val="auto"/>
                <w:sz w:val="21"/>
                <w:highlight w:val="none"/>
              </w:rPr>
            </w:pPr>
          </w:p>
        </w:tc>
        <w:tc>
          <w:tcPr>
            <w:tcW w:w="2273" w:type="dxa"/>
            <w:tcBorders>
              <w:right w:val="single" w:color="000000" w:sz="6" w:space="0"/>
            </w:tcBorders>
            <w:vAlign w:val="top"/>
          </w:tcPr>
          <w:p w14:paraId="3C45F971">
            <w:pPr>
              <w:rPr>
                <w:rFonts w:ascii="Arial"/>
                <w:color w:val="auto"/>
                <w:sz w:val="21"/>
                <w:highlight w:val="none"/>
              </w:rPr>
            </w:pPr>
          </w:p>
        </w:tc>
      </w:tr>
      <w:tr w14:paraId="0EF98E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534" w:type="dxa"/>
            <w:gridSpan w:val="2"/>
            <w:tcBorders>
              <w:left w:val="single" w:color="000000" w:sz="6" w:space="0"/>
              <w:bottom w:val="single" w:color="000000" w:sz="6" w:space="0"/>
            </w:tcBorders>
            <w:vAlign w:val="top"/>
          </w:tcPr>
          <w:p w14:paraId="6BAC159D">
            <w:pPr>
              <w:pStyle w:val="33"/>
              <w:spacing w:before="209" w:line="222" w:lineRule="auto"/>
              <w:ind w:left="2953"/>
              <w:rPr>
                <w:color w:val="auto"/>
                <w:sz w:val="21"/>
                <w:szCs w:val="21"/>
                <w:highlight w:val="none"/>
              </w:rPr>
            </w:pPr>
            <w:r>
              <w:rPr>
                <w:b/>
                <w:bCs/>
                <w:color w:val="auto"/>
                <w:spacing w:val="-7"/>
                <w:sz w:val="21"/>
                <w:szCs w:val="21"/>
                <w:highlight w:val="none"/>
              </w:rPr>
              <w:t>合</w:t>
            </w:r>
            <w:r>
              <w:rPr>
                <w:color w:val="auto"/>
                <w:spacing w:val="5"/>
                <w:sz w:val="21"/>
                <w:szCs w:val="21"/>
                <w:highlight w:val="none"/>
              </w:rPr>
              <w:t xml:space="preserve">  </w:t>
            </w:r>
            <w:r>
              <w:rPr>
                <w:b/>
                <w:bCs/>
                <w:color w:val="auto"/>
                <w:spacing w:val="-7"/>
                <w:sz w:val="21"/>
                <w:szCs w:val="21"/>
                <w:highlight w:val="none"/>
              </w:rPr>
              <w:t>计</w:t>
            </w:r>
          </w:p>
        </w:tc>
        <w:tc>
          <w:tcPr>
            <w:tcW w:w="2273" w:type="dxa"/>
            <w:tcBorders>
              <w:bottom w:val="single" w:color="000000" w:sz="6" w:space="0"/>
              <w:right w:val="single" w:color="000000" w:sz="6" w:space="0"/>
            </w:tcBorders>
            <w:vAlign w:val="top"/>
          </w:tcPr>
          <w:p w14:paraId="50FDD893">
            <w:pPr>
              <w:rPr>
                <w:rFonts w:ascii="Arial"/>
                <w:color w:val="auto"/>
                <w:sz w:val="21"/>
                <w:highlight w:val="none"/>
              </w:rPr>
            </w:pPr>
          </w:p>
        </w:tc>
      </w:tr>
    </w:tbl>
    <w:p w14:paraId="6FAA44DF">
      <w:pPr>
        <w:pStyle w:val="3"/>
        <w:rPr>
          <w:color w:val="auto"/>
          <w:highlight w:val="none"/>
        </w:rPr>
      </w:pPr>
    </w:p>
    <w:p w14:paraId="5A6C1B81">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430C7B23">
      <w:pPr>
        <w:pStyle w:val="3"/>
        <w:spacing w:line="266" w:lineRule="auto"/>
        <w:rPr>
          <w:color w:val="auto"/>
          <w:highlight w:val="none"/>
        </w:rPr>
      </w:pPr>
    </w:p>
    <w:p w14:paraId="5079AB07">
      <w:pPr>
        <w:spacing w:before="78" w:line="220" w:lineRule="auto"/>
        <w:ind w:left="5426"/>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建筑工程分类分项工程量清单</w:t>
      </w:r>
    </w:p>
    <w:p w14:paraId="18163EA6">
      <w:pPr>
        <w:spacing w:before="173" w:line="221"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项目及标段名称：</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   页共   页</w:t>
      </w:r>
    </w:p>
    <w:p w14:paraId="6ABAD912">
      <w:pPr>
        <w:spacing w:line="127" w:lineRule="exact"/>
        <w:rPr>
          <w:color w:val="auto"/>
          <w:highlight w:val="none"/>
        </w:rPr>
      </w:pPr>
    </w:p>
    <w:tbl>
      <w:tblPr>
        <w:tblStyle w:val="32"/>
        <w:tblW w:w="1414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2"/>
        <w:gridCol w:w="1987"/>
        <w:gridCol w:w="2831"/>
        <w:gridCol w:w="2266"/>
        <w:gridCol w:w="990"/>
        <w:gridCol w:w="993"/>
        <w:gridCol w:w="990"/>
        <w:gridCol w:w="993"/>
        <w:gridCol w:w="1273"/>
        <w:gridCol w:w="1002"/>
      </w:tblGrid>
      <w:tr w14:paraId="6C907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4" w:hRule="atLeast"/>
        </w:trPr>
        <w:tc>
          <w:tcPr>
            <w:tcW w:w="822" w:type="dxa"/>
            <w:tcBorders>
              <w:top w:val="single" w:color="000000" w:sz="6" w:space="0"/>
              <w:left w:val="single" w:color="000000" w:sz="6" w:space="0"/>
            </w:tcBorders>
            <w:vAlign w:val="top"/>
          </w:tcPr>
          <w:p w14:paraId="3CC022FB">
            <w:pPr>
              <w:pStyle w:val="33"/>
              <w:spacing w:before="211" w:line="222" w:lineRule="auto"/>
              <w:ind w:left="196"/>
              <w:rPr>
                <w:color w:val="auto"/>
                <w:sz w:val="21"/>
                <w:szCs w:val="21"/>
                <w:highlight w:val="none"/>
              </w:rPr>
            </w:pPr>
            <w:r>
              <w:rPr>
                <w:color w:val="auto"/>
                <w:spacing w:val="-2"/>
                <w:sz w:val="21"/>
                <w:szCs w:val="21"/>
                <w:highlight w:val="none"/>
              </w:rPr>
              <w:t>序号</w:t>
            </w:r>
          </w:p>
        </w:tc>
        <w:tc>
          <w:tcPr>
            <w:tcW w:w="1987" w:type="dxa"/>
            <w:tcBorders>
              <w:top w:val="single" w:color="000000" w:sz="6" w:space="0"/>
            </w:tcBorders>
            <w:vAlign w:val="top"/>
          </w:tcPr>
          <w:p w14:paraId="44F61314">
            <w:pPr>
              <w:pStyle w:val="33"/>
              <w:spacing w:before="211" w:line="221" w:lineRule="auto"/>
              <w:ind w:left="576"/>
              <w:rPr>
                <w:color w:val="auto"/>
                <w:sz w:val="21"/>
                <w:szCs w:val="21"/>
                <w:highlight w:val="none"/>
              </w:rPr>
            </w:pPr>
            <w:r>
              <w:rPr>
                <w:color w:val="auto"/>
                <w:spacing w:val="-3"/>
                <w:sz w:val="21"/>
                <w:szCs w:val="21"/>
                <w:highlight w:val="none"/>
              </w:rPr>
              <w:t>项目编码</w:t>
            </w:r>
          </w:p>
        </w:tc>
        <w:tc>
          <w:tcPr>
            <w:tcW w:w="2831" w:type="dxa"/>
            <w:tcBorders>
              <w:top w:val="single" w:color="000000" w:sz="6" w:space="0"/>
            </w:tcBorders>
            <w:vAlign w:val="top"/>
          </w:tcPr>
          <w:p w14:paraId="584AF1AF">
            <w:pPr>
              <w:pStyle w:val="33"/>
              <w:spacing w:before="211" w:line="221" w:lineRule="auto"/>
              <w:ind w:left="1001"/>
              <w:rPr>
                <w:color w:val="auto"/>
                <w:sz w:val="21"/>
                <w:szCs w:val="21"/>
                <w:highlight w:val="none"/>
              </w:rPr>
            </w:pPr>
            <w:r>
              <w:rPr>
                <w:color w:val="auto"/>
                <w:spacing w:val="-3"/>
                <w:sz w:val="21"/>
                <w:szCs w:val="21"/>
                <w:highlight w:val="none"/>
              </w:rPr>
              <w:t>项目名称</w:t>
            </w:r>
          </w:p>
        </w:tc>
        <w:tc>
          <w:tcPr>
            <w:tcW w:w="2266" w:type="dxa"/>
            <w:tcBorders>
              <w:top w:val="single" w:color="000000" w:sz="6" w:space="0"/>
            </w:tcBorders>
            <w:vAlign w:val="top"/>
          </w:tcPr>
          <w:p w14:paraId="78F9AFFB">
            <w:pPr>
              <w:pStyle w:val="33"/>
              <w:spacing w:before="211" w:line="221" w:lineRule="auto"/>
              <w:ind w:left="512"/>
              <w:rPr>
                <w:color w:val="auto"/>
                <w:sz w:val="21"/>
                <w:szCs w:val="21"/>
                <w:highlight w:val="none"/>
              </w:rPr>
            </w:pPr>
            <w:r>
              <w:rPr>
                <w:color w:val="auto"/>
                <w:spacing w:val="-2"/>
                <w:sz w:val="21"/>
                <w:szCs w:val="21"/>
                <w:highlight w:val="none"/>
              </w:rPr>
              <w:t>项目主要特征</w:t>
            </w:r>
          </w:p>
        </w:tc>
        <w:tc>
          <w:tcPr>
            <w:tcW w:w="990" w:type="dxa"/>
            <w:tcBorders>
              <w:top w:val="single" w:color="000000" w:sz="6" w:space="0"/>
            </w:tcBorders>
            <w:vAlign w:val="top"/>
          </w:tcPr>
          <w:p w14:paraId="5F5FD783">
            <w:pPr>
              <w:pStyle w:val="33"/>
              <w:spacing w:before="74" w:line="231" w:lineRule="auto"/>
              <w:ind w:left="294" w:right="277" w:hanging="1"/>
              <w:rPr>
                <w:color w:val="auto"/>
                <w:sz w:val="21"/>
                <w:szCs w:val="21"/>
                <w:highlight w:val="none"/>
              </w:rPr>
            </w:pPr>
            <w:r>
              <w:rPr>
                <w:color w:val="auto"/>
                <w:spacing w:val="-3"/>
                <w:sz w:val="21"/>
                <w:szCs w:val="21"/>
                <w:highlight w:val="none"/>
              </w:rPr>
              <w:t>计量</w:t>
            </w:r>
            <w:r>
              <w:rPr>
                <w:color w:val="auto"/>
                <w:sz w:val="21"/>
                <w:szCs w:val="21"/>
                <w:highlight w:val="none"/>
              </w:rPr>
              <w:t xml:space="preserve"> </w:t>
            </w:r>
            <w:r>
              <w:rPr>
                <w:color w:val="auto"/>
                <w:spacing w:val="-4"/>
                <w:sz w:val="21"/>
                <w:szCs w:val="21"/>
                <w:highlight w:val="none"/>
              </w:rPr>
              <w:t>单位</w:t>
            </w:r>
          </w:p>
        </w:tc>
        <w:tc>
          <w:tcPr>
            <w:tcW w:w="993" w:type="dxa"/>
            <w:tcBorders>
              <w:top w:val="single" w:color="000000" w:sz="6" w:space="0"/>
            </w:tcBorders>
            <w:vAlign w:val="top"/>
          </w:tcPr>
          <w:p w14:paraId="1EDCC8D3">
            <w:pPr>
              <w:pStyle w:val="33"/>
              <w:spacing w:before="73" w:line="231" w:lineRule="auto"/>
              <w:ind w:left="296" w:right="279"/>
              <w:rPr>
                <w:color w:val="auto"/>
                <w:sz w:val="21"/>
                <w:szCs w:val="21"/>
                <w:highlight w:val="none"/>
              </w:rPr>
            </w:pPr>
            <w:r>
              <w:rPr>
                <w:color w:val="auto"/>
                <w:spacing w:val="-5"/>
                <w:sz w:val="21"/>
                <w:szCs w:val="21"/>
                <w:highlight w:val="none"/>
              </w:rPr>
              <w:t>工程</w:t>
            </w:r>
            <w:r>
              <w:rPr>
                <w:color w:val="auto"/>
                <w:sz w:val="21"/>
                <w:szCs w:val="21"/>
                <w:highlight w:val="none"/>
              </w:rPr>
              <w:t xml:space="preserve"> </w:t>
            </w:r>
            <w:r>
              <w:rPr>
                <w:color w:val="auto"/>
                <w:spacing w:val="-4"/>
                <w:sz w:val="21"/>
                <w:szCs w:val="21"/>
                <w:highlight w:val="none"/>
              </w:rPr>
              <w:t>数量</w:t>
            </w:r>
          </w:p>
        </w:tc>
        <w:tc>
          <w:tcPr>
            <w:tcW w:w="990" w:type="dxa"/>
            <w:tcBorders>
              <w:top w:val="single" w:color="000000" w:sz="6" w:space="0"/>
            </w:tcBorders>
            <w:vAlign w:val="top"/>
          </w:tcPr>
          <w:p w14:paraId="5F9CD4F8">
            <w:pPr>
              <w:pStyle w:val="33"/>
              <w:spacing w:before="74" w:line="231" w:lineRule="auto"/>
              <w:ind w:left="195" w:right="184" w:firstLine="100"/>
              <w:rPr>
                <w:color w:val="auto"/>
                <w:sz w:val="21"/>
                <w:szCs w:val="21"/>
                <w:highlight w:val="none"/>
              </w:rPr>
            </w:pPr>
            <w:r>
              <w:rPr>
                <w:color w:val="auto"/>
                <w:spacing w:val="-4"/>
                <w:sz w:val="21"/>
                <w:szCs w:val="21"/>
                <w:highlight w:val="none"/>
              </w:rPr>
              <w:t>单价</w:t>
            </w:r>
            <w:r>
              <w:rPr>
                <w:color w:val="auto"/>
                <w:sz w:val="21"/>
                <w:szCs w:val="21"/>
                <w:highlight w:val="none"/>
              </w:rPr>
              <w:t xml:space="preserve">  </w:t>
            </w:r>
            <w:r>
              <w:rPr>
                <w:color w:val="auto"/>
                <w:spacing w:val="-9"/>
                <w:sz w:val="21"/>
                <w:szCs w:val="21"/>
                <w:highlight w:val="none"/>
              </w:rPr>
              <w:t>（元）</w:t>
            </w:r>
          </w:p>
        </w:tc>
        <w:tc>
          <w:tcPr>
            <w:tcW w:w="993" w:type="dxa"/>
            <w:tcBorders>
              <w:top w:val="single" w:color="000000" w:sz="6" w:space="0"/>
            </w:tcBorders>
            <w:vAlign w:val="top"/>
          </w:tcPr>
          <w:p w14:paraId="00F9B66D">
            <w:pPr>
              <w:pStyle w:val="33"/>
              <w:spacing w:before="74" w:line="231" w:lineRule="auto"/>
              <w:ind w:left="197" w:right="186" w:firstLine="100"/>
              <w:rPr>
                <w:color w:val="auto"/>
                <w:sz w:val="21"/>
                <w:szCs w:val="21"/>
                <w:highlight w:val="none"/>
              </w:rPr>
            </w:pPr>
            <w:r>
              <w:rPr>
                <w:color w:val="auto"/>
                <w:spacing w:val="-4"/>
                <w:sz w:val="21"/>
                <w:szCs w:val="21"/>
                <w:highlight w:val="none"/>
              </w:rPr>
              <w:t>合价</w:t>
            </w:r>
            <w:r>
              <w:rPr>
                <w:color w:val="auto"/>
                <w:sz w:val="21"/>
                <w:szCs w:val="21"/>
                <w:highlight w:val="none"/>
              </w:rPr>
              <w:t xml:space="preserve">  </w:t>
            </w:r>
            <w:r>
              <w:rPr>
                <w:color w:val="auto"/>
                <w:spacing w:val="-9"/>
                <w:sz w:val="21"/>
                <w:szCs w:val="21"/>
                <w:highlight w:val="none"/>
              </w:rPr>
              <w:t>（元）</w:t>
            </w:r>
          </w:p>
        </w:tc>
        <w:tc>
          <w:tcPr>
            <w:tcW w:w="1273" w:type="dxa"/>
            <w:tcBorders>
              <w:top w:val="single" w:color="000000" w:sz="6" w:space="0"/>
            </w:tcBorders>
            <w:vAlign w:val="top"/>
          </w:tcPr>
          <w:p w14:paraId="0357165F">
            <w:pPr>
              <w:pStyle w:val="33"/>
              <w:spacing w:before="73" w:line="231" w:lineRule="auto"/>
              <w:ind w:left="229" w:right="206"/>
              <w:rPr>
                <w:color w:val="auto"/>
                <w:sz w:val="21"/>
                <w:szCs w:val="21"/>
                <w:highlight w:val="none"/>
              </w:rPr>
            </w:pPr>
            <w:r>
              <w:rPr>
                <w:color w:val="auto"/>
                <w:spacing w:val="-2"/>
                <w:sz w:val="21"/>
                <w:szCs w:val="21"/>
                <w:highlight w:val="none"/>
              </w:rPr>
              <w:t>主要技术</w:t>
            </w:r>
            <w:r>
              <w:rPr>
                <w:color w:val="auto"/>
                <w:sz w:val="21"/>
                <w:szCs w:val="21"/>
                <w:highlight w:val="none"/>
              </w:rPr>
              <w:t xml:space="preserve"> </w:t>
            </w:r>
            <w:r>
              <w:rPr>
                <w:color w:val="auto"/>
                <w:spacing w:val="-2"/>
                <w:sz w:val="21"/>
                <w:szCs w:val="21"/>
                <w:highlight w:val="none"/>
              </w:rPr>
              <w:t>条款编码</w:t>
            </w:r>
          </w:p>
        </w:tc>
        <w:tc>
          <w:tcPr>
            <w:tcW w:w="1002" w:type="dxa"/>
            <w:tcBorders>
              <w:top w:val="single" w:color="000000" w:sz="6" w:space="0"/>
              <w:right w:val="single" w:color="000000" w:sz="6" w:space="0"/>
            </w:tcBorders>
            <w:vAlign w:val="top"/>
          </w:tcPr>
          <w:p w14:paraId="3916F126">
            <w:pPr>
              <w:pStyle w:val="33"/>
              <w:spacing w:before="211" w:line="222" w:lineRule="auto"/>
              <w:ind w:left="300"/>
              <w:rPr>
                <w:color w:val="auto"/>
                <w:sz w:val="21"/>
                <w:szCs w:val="21"/>
                <w:highlight w:val="none"/>
              </w:rPr>
            </w:pPr>
            <w:r>
              <w:rPr>
                <w:color w:val="auto"/>
                <w:spacing w:val="-3"/>
                <w:sz w:val="21"/>
                <w:szCs w:val="21"/>
                <w:highlight w:val="none"/>
              </w:rPr>
              <w:t>备注</w:t>
            </w:r>
          </w:p>
        </w:tc>
      </w:tr>
      <w:tr w14:paraId="1B5ADE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top"/>
          </w:tcPr>
          <w:p w14:paraId="2780D488">
            <w:pPr>
              <w:rPr>
                <w:rFonts w:ascii="Arial"/>
                <w:color w:val="auto"/>
                <w:sz w:val="21"/>
                <w:highlight w:val="none"/>
              </w:rPr>
            </w:pPr>
          </w:p>
        </w:tc>
        <w:tc>
          <w:tcPr>
            <w:tcW w:w="1987" w:type="dxa"/>
            <w:vAlign w:val="top"/>
          </w:tcPr>
          <w:p w14:paraId="1A109993">
            <w:pPr>
              <w:rPr>
                <w:rFonts w:ascii="Arial"/>
                <w:color w:val="auto"/>
                <w:sz w:val="21"/>
                <w:highlight w:val="none"/>
              </w:rPr>
            </w:pPr>
          </w:p>
        </w:tc>
        <w:tc>
          <w:tcPr>
            <w:tcW w:w="2831" w:type="dxa"/>
            <w:vAlign w:val="top"/>
          </w:tcPr>
          <w:p w14:paraId="4F9F9FC9">
            <w:pPr>
              <w:rPr>
                <w:rFonts w:ascii="Arial"/>
                <w:color w:val="auto"/>
                <w:sz w:val="21"/>
                <w:highlight w:val="none"/>
              </w:rPr>
            </w:pPr>
          </w:p>
        </w:tc>
        <w:tc>
          <w:tcPr>
            <w:tcW w:w="2266" w:type="dxa"/>
            <w:vAlign w:val="top"/>
          </w:tcPr>
          <w:p w14:paraId="4A5F4E4B">
            <w:pPr>
              <w:rPr>
                <w:rFonts w:ascii="Arial"/>
                <w:color w:val="auto"/>
                <w:sz w:val="21"/>
                <w:highlight w:val="none"/>
              </w:rPr>
            </w:pPr>
          </w:p>
        </w:tc>
        <w:tc>
          <w:tcPr>
            <w:tcW w:w="990" w:type="dxa"/>
            <w:vAlign w:val="top"/>
          </w:tcPr>
          <w:p w14:paraId="27EFAED2">
            <w:pPr>
              <w:rPr>
                <w:rFonts w:ascii="Arial"/>
                <w:color w:val="auto"/>
                <w:sz w:val="21"/>
                <w:highlight w:val="none"/>
              </w:rPr>
            </w:pPr>
          </w:p>
        </w:tc>
        <w:tc>
          <w:tcPr>
            <w:tcW w:w="993" w:type="dxa"/>
            <w:vAlign w:val="top"/>
          </w:tcPr>
          <w:p w14:paraId="78751D35">
            <w:pPr>
              <w:rPr>
                <w:rFonts w:ascii="Arial"/>
                <w:color w:val="auto"/>
                <w:sz w:val="21"/>
                <w:highlight w:val="none"/>
              </w:rPr>
            </w:pPr>
          </w:p>
        </w:tc>
        <w:tc>
          <w:tcPr>
            <w:tcW w:w="990" w:type="dxa"/>
            <w:vAlign w:val="top"/>
          </w:tcPr>
          <w:p w14:paraId="0728CDBD">
            <w:pPr>
              <w:rPr>
                <w:rFonts w:ascii="Arial"/>
                <w:color w:val="auto"/>
                <w:sz w:val="21"/>
                <w:highlight w:val="none"/>
              </w:rPr>
            </w:pPr>
          </w:p>
        </w:tc>
        <w:tc>
          <w:tcPr>
            <w:tcW w:w="993" w:type="dxa"/>
            <w:vAlign w:val="top"/>
          </w:tcPr>
          <w:p w14:paraId="26E53EFE">
            <w:pPr>
              <w:rPr>
                <w:rFonts w:ascii="Arial"/>
                <w:color w:val="auto"/>
                <w:sz w:val="21"/>
                <w:highlight w:val="none"/>
              </w:rPr>
            </w:pPr>
          </w:p>
        </w:tc>
        <w:tc>
          <w:tcPr>
            <w:tcW w:w="1273" w:type="dxa"/>
            <w:vAlign w:val="top"/>
          </w:tcPr>
          <w:p w14:paraId="3BB2896F">
            <w:pPr>
              <w:rPr>
                <w:rFonts w:ascii="Arial"/>
                <w:color w:val="auto"/>
                <w:sz w:val="21"/>
                <w:highlight w:val="none"/>
              </w:rPr>
            </w:pPr>
          </w:p>
        </w:tc>
        <w:tc>
          <w:tcPr>
            <w:tcW w:w="1002" w:type="dxa"/>
            <w:tcBorders>
              <w:right w:val="single" w:color="000000" w:sz="6" w:space="0"/>
            </w:tcBorders>
            <w:vAlign w:val="top"/>
          </w:tcPr>
          <w:p w14:paraId="7BD9A8EA">
            <w:pPr>
              <w:rPr>
                <w:rFonts w:ascii="Arial"/>
                <w:color w:val="auto"/>
                <w:sz w:val="21"/>
                <w:highlight w:val="none"/>
              </w:rPr>
            </w:pPr>
          </w:p>
        </w:tc>
      </w:tr>
      <w:tr w14:paraId="422689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top"/>
          </w:tcPr>
          <w:p w14:paraId="32B9885F">
            <w:pPr>
              <w:rPr>
                <w:rFonts w:ascii="Arial"/>
                <w:color w:val="auto"/>
                <w:sz w:val="21"/>
                <w:highlight w:val="none"/>
              </w:rPr>
            </w:pPr>
          </w:p>
        </w:tc>
        <w:tc>
          <w:tcPr>
            <w:tcW w:w="1987" w:type="dxa"/>
            <w:vAlign w:val="top"/>
          </w:tcPr>
          <w:p w14:paraId="2740BE2E">
            <w:pPr>
              <w:rPr>
                <w:rFonts w:ascii="Arial"/>
                <w:color w:val="auto"/>
                <w:sz w:val="21"/>
                <w:highlight w:val="none"/>
              </w:rPr>
            </w:pPr>
          </w:p>
        </w:tc>
        <w:tc>
          <w:tcPr>
            <w:tcW w:w="2831" w:type="dxa"/>
            <w:vAlign w:val="top"/>
          </w:tcPr>
          <w:p w14:paraId="6B2711F4">
            <w:pPr>
              <w:rPr>
                <w:rFonts w:ascii="Arial"/>
                <w:color w:val="auto"/>
                <w:sz w:val="21"/>
                <w:highlight w:val="none"/>
              </w:rPr>
            </w:pPr>
          </w:p>
        </w:tc>
        <w:tc>
          <w:tcPr>
            <w:tcW w:w="2266" w:type="dxa"/>
            <w:vAlign w:val="top"/>
          </w:tcPr>
          <w:p w14:paraId="25742B5F">
            <w:pPr>
              <w:rPr>
                <w:rFonts w:ascii="Arial"/>
                <w:color w:val="auto"/>
                <w:sz w:val="21"/>
                <w:highlight w:val="none"/>
              </w:rPr>
            </w:pPr>
          </w:p>
        </w:tc>
        <w:tc>
          <w:tcPr>
            <w:tcW w:w="990" w:type="dxa"/>
            <w:vAlign w:val="top"/>
          </w:tcPr>
          <w:p w14:paraId="58646BF9">
            <w:pPr>
              <w:rPr>
                <w:rFonts w:ascii="Arial"/>
                <w:color w:val="auto"/>
                <w:sz w:val="21"/>
                <w:highlight w:val="none"/>
              </w:rPr>
            </w:pPr>
          </w:p>
        </w:tc>
        <w:tc>
          <w:tcPr>
            <w:tcW w:w="993" w:type="dxa"/>
            <w:vAlign w:val="top"/>
          </w:tcPr>
          <w:p w14:paraId="6562CDB5">
            <w:pPr>
              <w:rPr>
                <w:rFonts w:ascii="Arial"/>
                <w:color w:val="auto"/>
                <w:sz w:val="21"/>
                <w:highlight w:val="none"/>
              </w:rPr>
            </w:pPr>
          </w:p>
        </w:tc>
        <w:tc>
          <w:tcPr>
            <w:tcW w:w="990" w:type="dxa"/>
            <w:vAlign w:val="top"/>
          </w:tcPr>
          <w:p w14:paraId="0D9A4F65">
            <w:pPr>
              <w:rPr>
                <w:rFonts w:ascii="Arial"/>
                <w:color w:val="auto"/>
                <w:sz w:val="21"/>
                <w:highlight w:val="none"/>
              </w:rPr>
            </w:pPr>
          </w:p>
        </w:tc>
        <w:tc>
          <w:tcPr>
            <w:tcW w:w="993" w:type="dxa"/>
            <w:vAlign w:val="top"/>
          </w:tcPr>
          <w:p w14:paraId="788F8743">
            <w:pPr>
              <w:rPr>
                <w:rFonts w:ascii="Arial"/>
                <w:color w:val="auto"/>
                <w:sz w:val="21"/>
                <w:highlight w:val="none"/>
              </w:rPr>
            </w:pPr>
          </w:p>
        </w:tc>
        <w:tc>
          <w:tcPr>
            <w:tcW w:w="1273" w:type="dxa"/>
            <w:vAlign w:val="top"/>
          </w:tcPr>
          <w:p w14:paraId="34EFCFE4">
            <w:pPr>
              <w:rPr>
                <w:rFonts w:ascii="Arial"/>
                <w:color w:val="auto"/>
                <w:sz w:val="21"/>
                <w:highlight w:val="none"/>
              </w:rPr>
            </w:pPr>
          </w:p>
        </w:tc>
        <w:tc>
          <w:tcPr>
            <w:tcW w:w="1002" w:type="dxa"/>
            <w:tcBorders>
              <w:right w:val="single" w:color="000000" w:sz="6" w:space="0"/>
            </w:tcBorders>
            <w:vAlign w:val="top"/>
          </w:tcPr>
          <w:p w14:paraId="1ACAF40C">
            <w:pPr>
              <w:rPr>
                <w:rFonts w:ascii="Arial"/>
                <w:color w:val="auto"/>
                <w:sz w:val="21"/>
                <w:highlight w:val="none"/>
              </w:rPr>
            </w:pPr>
          </w:p>
        </w:tc>
      </w:tr>
      <w:tr w14:paraId="107FE5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top"/>
          </w:tcPr>
          <w:p w14:paraId="289607FD">
            <w:pPr>
              <w:rPr>
                <w:rFonts w:ascii="Arial"/>
                <w:color w:val="auto"/>
                <w:sz w:val="21"/>
                <w:highlight w:val="none"/>
              </w:rPr>
            </w:pPr>
          </w:p>
        </w:tc>
        <w:tc>
          <w:tcPr>
            <w:tcW w:w="1987" w:type="dxa"/>
            <w:vAlign w:val="top"/>
          </w:tcPr>
          <w:p w14:paraId="36843C24">
            <w:pPr>
              <w:rPr>
                <w:rFonts w:ascii="Arial"/>
                <w:color w:val="auto"/>
                <w:sz w:val="21"/>
                <w:highlight w:val="none"/>
              </w:rPr>
            </w:pPr>
          </w:p>
        </w:tc>
        <w:tc>
          <w:tcPr>
            <w:tcW w:w="2831" w:type="dxa"/>
            <w:vAlign w:val="top"/>
          </w:tcPr>
          <w:p w14:paraId="72B44AE9">
            <w:pPr>
              <w:rPr>
                <w:rFonts w:ascii="Arial"/>
                <w:color w:val="auto"/>
                <w:sz w:val="21"/>
                <w:highlight w:val="none"/>
              </w:rPr>
            </w:pPr>
          </w:p>
        </w:tc>
        <w:tc>
          <w:tcPr>
            <w:tcW w:w="2266" w:type="dxa"/>
            <w:vAlign w:val="top"/>
          </w:tcPr>
          <w:p w14:paraId="27F15B5A">
            <w:pPr>
              <w:rPr>
                <w:rFonts w:ascii="Arial"/>
                <w:color w:val="auto"/>
                <w:sz w:val="21"/>
                <w:highlight w:val="none"/>
              </w:rPr>
            </w:pPr>
          </w:p>
        </w:tc>
        <w:tc>
          <w:tcPr>
            <w:tcW w:w="990" w:type="dxa"/>
            <w:vAlign w:val="top"/>
          </w:tcPr>
          <w:p w14:paraId="0AFBE80D">
            <w:pPr>
              <w:rPr>
                <w:rFonts w:ascii="Arial"/>
                <w:color w:val="auto"/>
                <w:sz w:val="21"/>
                <w:highlight w:val="none"/>
              </w:rPr>
            </w:pPr>
          </w:p>
        </w:tc>
        <w:tc>
          <w:tcPr>
            <w:tcW w:w="993" w:type="dxa"/>
            <w:vAlign w:val="top"/>
          </w:tcPr>
          <w:p w14:paraId="7D34D943">
            <w:pPr>
              <w:rPr>
                <w:rFonts w:ascii="Arial"/>
                <w:color w:val="auto"/>
                <w:sz w:val="21"/>
                <w:highlight w:val="none"/>
              </w:rPr>
            </w:pPr>
          </w:p>
        </w:tc>
        <w:tc>
          <w:tcPr>
            <w:tcW w:w="990" w:type="dxa"/>
            <w:vAlign w:val="top"/>
          </w:tcPr>
          <w:p w14:paraId="58AFA5E4">
            <w:pPr>
              <w:rPr>
                <w:rFonts w:ascii="Arial"/>
                <w:color w:val="auto"/>
                <w:sz w:val="21"/>
                <w:highlight w:val="none"/>
              </w:rPr>
            </w:pPr>
          </w:p>
        </w:tc>
        <w:tc>
          <w:tcPr>
            <w:tcW w:w="993" w:type="dxa"/>
            <w:vAlign w:val="top"/>
          </w:tcPr>
          <w:p w14:paraId="664F0647">
            <w:pPr>
              <w:rPr>
                <w:rFonts w:ascii="Arial"/>
                <w:color w:val="auto"/>
                <w:sz w:val="21"/>
                <w:highlight w:val="none"/>
              </w:rPr>
            </w:pPr>
          </w:p>
        </w:tc>
        <w:tc>
          <w:tcPr>
            <w:tcW w:w="1273" w:type="dxa"/>
            <w:vAlign w:val="top"/>
          </w:tcPr>
          <w:p w14:paraId="3D7205DB">
            <w:pPr>
              <w:rPr>
                <w:rFonts w:ascii="Arial"/>
                <w:color w:val="auto"/>
                <w:sz w:val="21"/>
                <w:highlight w:val="none"/>
              </w:rPr>
            </w:pPr>
          </w:p>
        </w:tc>
        <w:tc>
          <w:tcPr>
            <w:tcW w:w="1002" w:type="dxa"/>
            <w:tcBorders>
              <w:right w:val="single" w:color="000000" w:sz="6" w:space="0"/>
            </w:tcBorders>
            <w:vAlign w:val="top"/>
          </w:tcPr>
          <w:p w14:paraId="5065BB00">
            <w:pPr>
              <w:rPr>
                <w:rFonts w:ascii="Arial"/>
                <w:color w:val="auto"/>
                <w:sz w:val="21"/>
                <w:highlight w:val="none"/>
              </w:rPr>
            </w:pPr>
          </w:p>
        </w:tc>
      </w:tr>
      <w:tr w14:paraId="2E951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top"/>
          </w:tcPr>
          <w:p w14:paraId="4A4572AB">
            <w:pPr>
              <w:rPr>
                <w:rFonts w:ascii="Arial"/>
                <w:color w:val="auto"/>
                <w:sz w:val="21"/>
                <w:highlight w:val="none"/>
              </w:rPr>
            </w:pPr>
          </w:p>
        </w:tc>
        <w:tc>
          <w:tcPr>
            <w:tcW w:w="1987" w:type="dxa"/>
            <w:vAlign w:val="top"/>
          </w:tcPr>
          <w:p w14:paraId="4F993909">
            <w:pPr>
              <w:rPr>
                <w:rFonts w:ascii="Arial"/>
                <w:color w:val="auto"/>
                <w:sz w:val="21"/>
                <w:highlight w:val="none"/>
              </w:rPr>
            </w:pPr>
          </w:p>
        </w:tc>
        <w:tc>
          <w:tcPr>
            <w:tcW w:w="2831" w:type="dxa"/>
            <w:vAlign w:val="top"/>
          </w:tcPr>
          <w:p w14:paraId="09BFB3CC">
            <w:pPr>
              <w:rPr>
                <w:rFonts w:ascii="Arial"/>
                <w:color w:val="auto"/>
                <w:sz w:val="21"/>
                <w:highlight w:val="none"/>
              </w:rPr>
            </w:pPr>
          </w:p>
        </w:tc>
        <w:tc>
          <w:tcPr>
            <w:tcW w:w="2266" w:type="dxa"/>
            <w:vAlign w:val="top"/>
          </w:tcPr>
          <w:p w14:paraId="4CCEF716">
            <w:pPr>
              <w:rPr>
                <w:rFonts w:ascii="Arial"/>
                <w:color w:val="auto"/>
                <w:sz w:val="21"/>
                <w:highlight w:val="none"/>
              </w:rPr>
            </w:pPr>
          </w:p>
        </w:tc>
        <w:tc>
          <w:tcPr>
            <w:tcW w:w="990" w:type="dxa"/>
            <w:vAlign w:val="top"/>
          </w:tcPr>
          <w:p w14:paraId="5C733215">
            <w:pPr>
              <w:rPr>
                <w:rFonts w:ascii="Arial"/>
                <w:color w:val="auto"/>
                <w:sz w:val="21"/>
                <w:highlight w:val="none"/>
              </w:rPr>
            </w:pPr>
          </w:p>
        </w:tc>
        <w:tc>
          <w:tcPr>
            <w:tcW w:w="993" w:type="dxa"/>
            <w:vAlign w:val="top"/>
          </w:tcPr>
          <w:p w14:paraId="25941147">
            <w:pPr>
              <w:rPr>
                <w:rFonts w:ascii="Arial"/>
                <w:color w:val="auto"/>
                <w:sz w:val="21"/>
                <w:highlight w:val="none"/>
              </w:rPr>
            </w:pPr>
          </w:p>
        </w:tc>
        <w:tc>
          <w:tcPr>
            <w:tcW w:w="990" w:type="dxa"/>
            <w:vAlign w:val="top"/>
          </w:tcPr>
          <w:p w14:paraId="65CEF6A5">
            <w:pPr>
              <w:rPr>
                <w:rFonts w:ascii="Arial"/>
                <w:color w:val="auto"/>
                <w:sz w:val="21"/>
                <w:highlight w:val="none"/>
              </w:rPr>
            </w:pPr>
          </w:p>
        </w:tc>
        <w:tc>
          <w:tcPr>
            <w:tcW w:w="993" w:type="dxa"/>
            <w:vAlign w:val="top"/>
          </w:tcPr>
          <w:p w14:paraId="01E55C85">
            <w:pPr>
              <w:rPr>
                <w:rFonts w:ascii="Arial"/>
                <w:color w:val="auto"/>
                <w:sz w:val="21"/>
                <w:highlight w:val="none"/>
              </w:rPr>
            </w:pPr>
          </w:p>
        </w:tc>
        <w:tc>
          <w:tcPr>
            <w:tcW w:w="1273" w:type="dxa"/>
            <w:vAlign w:val="top"/>
          </w:tcPr>
          <w:p w14:paraId="1032D096">
            <w:pPr>
              <w:rPr>
                <w:rFonts w:ascii="Arial"/>
                <w:color w:val="auto"/>
                <w:sz w:val="21"/>
                <w:highlight w:val="none"/>
              </w:rPr>
            </w:pPr>
          </w:p>
        </w:tc>
        <w:tc>
          <w:tcPr>
            <w:tcW w:w="1002" w:type="dxa"/>
            <w:tcBorders>
              <w:right w:val="single" w:color="000000" w:sz="6" w:space="0"/>
            </w:tcBorders>
            <w:vAlign w:val="top"/>
          </w:tcPr>
          <w:p w14:paraId="5129C38A">
            <w:pPr>
              <w:rPr>
                <w:rFonts w:ascii="Arial"/>
                <w:color w:val="auto"/>
                <w:sz w:val="21"/>
                <w:highlight w:val="none"/>
              </w:rPr>
            </w:pPr>
          </w:p>
        </w:tc>
      </w:tr>
      <w:tr w14:paraId="0E41A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822" w:type="dxa"/>
            <w:tcBorders>
              <w:left w:val="single" w:color="000000" w:sz="6" w:space="0"/>
            </w:tcBorders>
            <w:vAlign w:val="top"/>
          </w:tcPr>
          <w:p w14:paraId="2EDBC273">
            <w:pPr>
              <w:rPr>
                <w:rFonts w:ascii="Arial"/>
                <w:color w:val="auto"/>
                <w:sz w:val="21"/>
                <w:highlight w:val="none"/>
              </w:rPr>
            </w:pPr>
          </w:p>
        </w:tc>
        <w:tc>
          <w:tcPr>
            <w:tcW w:w="1987" w:type="dxa"/>
            <w:vAlign w:val="top"/>
          </w:tcPr>
          <w:p w14:paraId="25DB919E">
            <w:pPr>
              <w:rPr>
                <w:rFonts w:ascii="Arial"/>
                <w:color w:val="auto"/>
                <w:sz w:val="21"/>
                <w:highlight w:val="none"/>
              </w:rPr>
            </w:pPr>
          </w:p>
        </w:tc>
        <w:tc>
          <w:tcPr>
            <w:tcW w:w="2831" w:type="dxa"/>
            <w:vAlign w:val="top"/>
          </w:tcPr>
          <w:p w14:paraId="0C461120">
            <w:pPr>
              <w:rPr>
                <w:rFonts w:ascii="Arial"/>
                <w:color w:val="auto"/>
                <w:sz w:val="21"/>
                <w:highlight w:val="none"/>
              </w:rPr>
            </w:pPr>
          </w:p>
        </w:tc>
        <w:tc>
          <w:tcPr>
            <w:tcW w:w="2266" w:type="dxa"/>
            <w:vAlign w:val="top"/>
          </w:tcPr>
          <w:p w14:paraId="2C0E80CE">
            <w:pPr>
              <w:rPr>
                <w:rFonts w:ascii="Arial"/>
                <w:color w:val="auto"/>
                <w:sz w:val="21"/>
                <w:highlight w:val="none"/>
              </w:rPr>
            </w:pPr>
          </w:p>
        </w:tc>
        <w:tc>
          <w:tcPr>
            <w:tcW w:w="990" w:type="dxa"/>
            <w:vAlign w:val="top"/>
          </w:tcPr>
          <w:p w14:paraId="5B28953B">
            <w:pPr>
              <w:rPr>
                <w:rFonts w:ascii="Arial"/>
                <w:color w:val="auto"/>
                <w:sz w:val="21"/>
                <w:highlight w:val="none"/>
              </w:rPr>
            </w:pPr>
          </w:p>
        </w:tc>
        <w:tc>
          <w:tcPr>
            <w:tcW w:w="993" w:type="dxa"/>
            <w:vAlign w:val="top"/>
          </w:tcPr>
          <w:p w14:paraId="052E7F2C">
            <w:pPr>
              <w:rPr>
                <w:rFonts w:ascii="Arial"/>
                <w:color w:val="auto"/>
                <w:sz w:val="21"/>
                <w:highlight w:val="none"/>
              </w:rPr>
            </w:pPr>
          </w:p>
        </w:tc>
        <w:tc>
          <w:tcPr>
            <w:tcW w:w="990" w:type="dxa"/>
            <w:vAlign w:val="top"/>
          </w:tcPr>
          <w:p w14:paraId="398F7D07">
            <w:pPr>
              <w:rPr>
                <w:rFonts w:ascii="Arial"/>
                <w:color w:val="auto"/>
                <w:sz w:val="21"/>
                <w:highlight w:val="none"/>
              </w:rPr>
            </w:pPr>
          </w:p>
        </w:tc>
        <w:tc>
          <w:tcPr>
            <w:tcW w:w="993" w:type="dxa"/>
            <w:vAlign w:val="top"/>
          </w:tcPr>
          <w:p w14:paraId="01B145CC">
            <w:pPr>
              <w:rPr>
                <w:rFonts w:ascii="Arial"/>
                <w:color w:val="auto"/>
                <w:sz w:val="21"/>
                <w:highlight w:val="none"/>
              </w:rPr>
            </w:pPr>
          </w:p>
        </w:tc>
        <w:tc>
          <w:tcPr>
            <w:tcW w:w="1273" w:type="dxa"/>
            <w:vAlign w:val="top"/>
          </w:tcPr>
          <w:p w14:paraId="2DBD94AC">
            <w:pPr>
              <w:rPr>
                <w:rFonts w:ascii="Arial"/>
                <w:color w:val="auto"/>
                <w:sz w:val="21"/>
                <w:highlight w:val="none"/>
              </w:rPr>
            </w:pPr>
          </w:p>
        </w:tc>
        <w:tc>
          <w:tcPr>
            <w:tcW w:w="1002" w:type="dxa"/>
            <w:tcBorders>
              <w:right w:val="single" w:color="000000" w:sz="6" w:space="0"/>
            </w:tcBorders>
            <w:vAlign w:val="top"/>
          </w:tcPr>
          <w:p w14:paraId="1DDC6EC2">
            <w:pPr>
              <w:rPr>
                <w:rFonts w:ascii="Arial"/>
                <w:color w:val="auto"/>
                <w:sz w:val="21"/>
                <w:highlight w:val="none"/>
              </w:rPr>
            </w:pPr>
          </w:p>
        </w:tc>
      </w:tr>
      <w:tr w14:paraId="495FFF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top"/>
          </w:tcPr>
          <w:p w14:paraId="69507FDC">
            <w:pPr>
              <w:rPr>
                <w:rFonts w:ascii="Arial"/>
                <w:color w:val="auto"/>
                <w:sz w:val="21"/>
                <w:highlight w:val="none"/>
              </w:rPr>
            </w:pPr>
          </w:p>
        </w:tc>
        <w:tc>
          <w:tcPr>
            <w:tcW w:w="1987" w:type="dxa"/>
            <w:vAlign w:val="top"/>
          </w:tcPr>
          <w:p w14:paraId="5DD23685">
            <w:pPr>
              <w:rPr>
                <w:rFonts w:ascii="Arial"/>
                <w:color w:val="auto"/>
                <w:sz w:val="21"/>
                <w:highlight w:val="none"/>
              </w:rPr>
            </w:pPr>
          </w:p>
        </w:tc>
        <w:tc>
          <w:tcPr>
            <w:tcW w:w="2831" w:type="dxa"/>
            <w:vAlign w:val="top"/>
          </w:tcPr>
          <w:p w14:paraId="781B740A">
            <w:pPr>
              <w:rPr>
                <w:rFonts w:ascii="Arial"/>
                <w:color w:val="auto"/>
                <w:sz w:val="21"/>
                <w:highlight w:val="none"/>
              </w:rPr>
            </w:pPr>
          </w:p>
        </w:tc>
        <w:tc>
          <w:tcPr>
            <w:tcW w:w="2266" w:type="dxa"/>
            <w:vAlign w:val="top"/>
          </w:tcPr>
          <w:p w14:paraId="691D15A1">
            <w:pPr>
              <w:rPr>
                <w:rFonts w:ascii="Arial"/>
                <w:color w:val="auto"/>
                <w:sz w:val="21"/>
                <w:highlight w:val="none"/>
              </w:rPr>
            </w:pPr>
          </w:p>
        </w:tc>
        <w:tc>
          <w:tcPr>
            <w:tcW w:w="990" w:type="dxa"/>
            <w:vAlign w:val="top"/>
          </w:tcPr>
          <w:p w14:paraId="6BBBD63D">
            <w:pPr>
              <w:rPr>
                <w:rFonts w:ascii="Arial"/>
                <w:color w:val="auto"/>
                <w:sz w:val="21"/>
                <w:highlight w:val="none"/>
              </w:rPr>
            </w:pPr>
          </w:p>
        </w:tc>
        <w:tc>
          <w:tcPr>
            <w:tcW w:w="993" w:type="dxa"/>
            <w:vAlign w:val="top"/>
          </w:tcPr>
          <w:p w14:paraId="7674A689">
            <w:pPr>
              <w:rPr>
                <w:rFonts w:ascii="Arial"/>
                <w:color w:val="auto"/>
                <w:sz w:val="21"/>
                <w:highlight w:val="none"/>
              </w:rPr>
            </w:pPr>
          </w:p>
        </w:tc>
        <w:tc>
          <w:tcPr>
            <w:tcW w:w="990" w:type="dxa"/>
            <w:vAlign w:val="top"/>
          </w:tcPr>
          <w:p w14:paraId="5A2D5470">
            <w:pPr>
              <w:rPr>
                <w:rFonts w:ascii="Arial"/>
                <w:color w:val="auto"/>
                <w:sz w:val="21"/>
                <w:highlight w:val="none"/>
              </w:rPr>
            </w:pPr>
          </w:p>
        </w:tc>
        <w:tc>
          <w:tcPr>
            <w:tcW w:w="993" w:type="dxa"/>
            <w:vAlign w:val="top"/>
          </w:tcPr>
          <w:p w14:paraId="61A162F8">
            <w:pPr>
              <w:rPr>
                <w:rFonts w:ascii="Arial"/>
                <w:color w:val="auto"/>
                <w:sz w:val="21"/>
                <w:highlight w:val="none"/>
              </w:rPr>
            </w:pPr>
          </w:p>
        </w:tc>
        <w:tc>
          <w:tcPr>
            <w:tcW w:w="1273" w:type="dxa"/>
            <w:vAlign w:val="top"/>
          </w:tcPr>
          <w:p w14:paraId="0D4698E1">
            <w:pPr>
              <w:rPr>
                <w:rFonts w:ascii="Arial"/>
                <w:color w:val="auto"/>
                <w:sz w:val="21"/>
                <w:highlight w:val="none"/>
              </w:rPr>
            </w:pPr>
          </w:p>
        </w:tc>
        <w:tc>
          <w:tcPr>
            <w:tcW w:w="1002" w:type="dxa"/>
            <w:tcBorders>
              <w:right w:val="single" w:color="000000" w:sz="6" w:space="0"/>
            </w:tcBorders>
            <w:vAlign w:val="top"/>
          </w:tcPr>
          <w:p w14:paraId="68D17D5A">
            <w:pPr>
              <w:rPr>
                <w:rFonts w:ascii="Arial"/>
                <w:color w:val="auto"/>
                <w:sz w:val="21"/>
                <w:highlight w:val="none"/>
              </w:rPr>
            </w:pPr>
          </w:p>
        </w:tc>
      </w:tr>
      <w:tr w14:paraId="0A97D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7" w:hRule="atLeast"/>
        </w:trPr>
        <w:tc>
          <w:tcPr>
            <w:tcW w:w="822" w:type="dxa"/>
            <w:tcBorders>
              <w:left w:val="single" w:color="000000" w:sz="6" w:space="0"/>
            </w:tcBorders>
            <w:vAlign w:val="top"/>
          </w:tcPr>
          <w:p w14:paraId="30807BB5">
            <w:pPr>
              <w:rPr>
                <w:rFonts w:ascii="Arial"/>
                <w:color w:val="auto"/>
                <w:sz w:val="21"/>
                <w:highlight w:val="none"/>
              </w:rPr>
            </w:pPr>
          </w:p>
        </w:tc>
        <w:tc>
          <w:tcPr>
            <w:tcW w:w="1987" w:type="dxa"/>
            <w:vAlign w:val="top"/>
          </w:tcPr>
          <w:p w14:paraId="21398CF3">
            <w:pPr>
              <w:rPr>
                <w:rFonts w:ascii="Arial"/>
                <w:color w:val="auto"/>
                <w:sz w:val="21"/>
                <w:highlight w:val="none"/>
              </w:rPr>
            </w:pPr>
          </w:p>
        </w:tc>
        <w:tc>
          <w:tcPr>
            <w:tcW w:w="2831" w:type="dxa"/>
            <w:vAlign w:val="top"/>
          </w:tcPr>
          <w:p w14:paraId="5074D573">
            <w:pPr>
              <w:rPr>
                <w:rFonts w:ascii="Arial"/>
                <w:color w:val="auto"/>
                <w:sz w:val="21"/>
                <w:highlight w:val="none"/>
              </w:rPr>
            </w:pPr>
          </w:p>
        </w:tc>
        <w:tc>
          <w:tcPr>
            <w:tcW w:w="2266" w:type="dxa"/>
            <w:vAlign w:val="top"/>
          </w:tcPr>
          <w:p w14:paraId="5DE4CD69">
            <w:pPr>
              <w:rPr>
                <w:rFonts w:ascii="Arial"/>
                <w:color w:val="auto"/>
                <w:sz w:val="21"/>
                <w:highlight w:val="none"/>
              </w:rPr>
            </w:pPr>
          </w:p>
        </w:tc>
        <w:tc>
          <w:tcPr>
            <w:tcW w:w="990" w:type="dxa"/>
            <w:vAlign w:val="top"/>
          </w:tcPr>
          <w:p w14:paraId="5A3FAAB7">
            <w:pPr>
              <w:rPr>
                <w:rFonts w:ascii="Arial"/>
                <w:color w:val="auto"/>
                <w:sz w:val="21"/>
                <w:highlight w:val="none"/>
              </w:rPr>
            </w:pPr>
          </w:p>
        </w:tc>
        <w:tc>
          <w:tcPr>
            <w:tcW w:w="993" w:type="dxa"/>
            <w:vAlign w:val="top"/>
          </w:tcPr>
          <w:p w14:paraId="1FF87132">
            <w:pPr>
              <w:rPr>
                <w:rFonts w:ascii="Arial"/>
                <w:color w:val="auto"/>
                <w:sz w:val="21"/>
                <w:highlight w:val="none"/>
              </w:rPr>
            </w:pPr>
          </w:p>
        </w:tc>
        <w:tc>
          <w:tcPr>
            <w:tcW w:w="990" w:type="dxa"/>
            <w:vAlign w:val="top"/>
          </w:tcPr>
          <w:p w14:paraId="6EF4EBF8">
            <w:pPr>
              <w:rPr>
                <w:rFonts w:ascii="Arial"/>
                <w:color w:val="auto"/>
                <w:sz w:val="21"/>
                <w:highlight w:val="none"/>
              </w:rPr>
            </w:pPr>
          </w:p>
        </w:tc>
        <w:tc>
          <w:tcPr>
            <w:tcW w:w="993" w:type="dxa"/>
            <w:vAlign w:val="top"/>
          </w:tcPr>
          <w:p w14:paraId="0FCF5565">
            <w:pPr>
              <w:rPr>
                <w:rFonts w:ascii="Arial"/>
                <w:color w:val="auto"/>
                <w:sz w:val="21"/>
                <w:highlight w:val="none"/>
              </w:rPr>
            </w:pPr>
          </w:p>
        </w:tc>
        <w:tc>
          <w:tcPr>
            <w:tcW w:w="1273" w:type="dxa"/>
            <w:vAlign w:val="top"/>
          </w:tcPr>
          <w:p w14:paraId="368FDFD2">
            <w:pPr>
              <w:rPr>
                <w:rFonts w:ascii="Arial"/>
                <w:color w:val="auto"/>
                <w:sz w:val="21"/>
                <w:highlight w:val="none"/>
              </w:rPr>
            </w:pPr>
          </w:p>
        </w:tc>
        <w:tc>
          <w:tcPr>
            <w:tcW w:w="1002" w:type="dxa"/>
            <w:tcBorders>
              <w:right w:val="single" w:color="000000" w:sz="6" w:space="0"/>
            </w:tcBorders>
            <w:vAlign w:val="top"/>
          </w:tcPr>
          <w:p w14:paraId="7B007BCF">
            <w:pPr>
              <w:rPr>
                <w:rFonts w:ascii="Arial"/>
                <w:color w:val="auto"/>
                <w:sz w:val="21"/>
                <w:highlight w:val="none"/>
              </w:rPr>
            </w:pPr>
          </w:p>
        </w:tc>
      </w:tr>
      <w:tr w14:paraId="6D4E255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22" w:type="dxa"/>
            <w:tcBorders>
              <w:left w:val="single" w:color="000000" w:sz="6" w:space="0"/>
            </w:tcBorders>
            <w:vAlign w:val="top"/>
          </w:tcPr>
          <w:p w14:paraId="6C8C8ED1">
            <w:pPr>
              <w:rPr>
                <w:rFonts w:ascii="Arial"/>
                <w:color w:val="auto"/>
                <w:sz w:val="21"/>
                <w:highlight w:val="none"/>
              </w:rPr>
            </w:pPr>
          </w:p>
        </w:tc>
        <w:tc>
          <w:tcPr>
            <w:tcW w:w="1987" w:type="dxa"/>
            <w:vAlign w:val="top"/>
          </w:tcPr>
          <w:p w14:paraId="08EF1370">
            <w:pPr>
              <w:rPr>
                <w:rFonts w:ascii="Arial"/>
                <w:color w:val="auto"/>
                <w:sz w:val="21"/>
                <w:highlight w:val="none"/>
              </w:rPr>
            </w:pPr>
          </w:p>
        </w:tc>
        <w:tc>
          <w:tcPr>
            <w:tcW w:w="2831" w:type="dxa"/>
            <w:vAlign w:val="top"/>
          </w:tcPr>
          <w:p w14:paraId="3FBB9636">
            <w:pPr>
              <w:rPr>
                <w:rFonts w:ascii="Arial"/>
                <w:color w:val="auto"/>
                <w:sz w:val="21"/>
                <w:highlight w:val="none"/>
              </w:rPr>
            </w:pPr>
          </w:p>
        </w:tc>
        <w:tc>
          <w:tcPr>
            <w:tcW w:w="2266" w:type="dxa"/>
            <w:vAlign w:val="top"/>
          </w:tcPr>
          <w:p w14:paraId="7EB6B852">
            <w:pPr>
              <w:rPr>
                <w:rFonts w:ascii="Arial"/>
                <w:color w:val="auto"/>
                <w:sz w:val="21"/>
                <w:highlight w:val="none"/>
              </w:rPr>
            </w:pPr>
          </w:p>
        </w:tc>
        <w:tc>
          <w:tcPr>
            <w:tcW w:w="990" w:type="dxa"/>
            <w:vAlign w:val="top"/>
          </w:tcPr>
          <w:p w14:paraId="164CAE9D">
            <w:pPr>
              <w:rPr>
                <w:rFonts w:ascii="Arial"/>
                <w:color w:val="auto"/>
                <w:sz w:val="21"/>
                <w:highlight w:val="none"/>
              </w:rPr>
            </w:pPr>
          </w:p>
        </w:tc>
        <w:tc>
          <w:tcPr>
            <w:tcW w:w="993" w:type="dxa"/>
            <w:vAlign w:val="top"/>
          </w:tcPr>
          <w:p w14:paraId="7A311B96">
            <w:pPr>
              <w:rPr>
                <w:rFonts w:ascii="Arial"/>
                <w:color w:val="auto"/>
                <w:sz w:val="21"/>
                <w:highlight w:val="none"/>
              </w:rPr>
            </w:pPr>
          </w:p>
        </w:tc>
        <w:tc>
          <w:tcPr>
            <w:tcW w:w="990" w:type="dxa"/>
            <w:vAlign w:val="top"/>
          </w:tcPr>
          <w:p w14:paraId="204E63A8">
            <w:pPr>
              <w:rPr>
                <w:rFonts w:ascii="Arial"/>
                <w:color w:val="auto"/>
                <w:sz w:val="21"/>
                <w:highlight w:val="none"/>
              </w:rPr>
            </w:pPr>
          </w:p>
        </w:tc>
        <w:tc>
          <w:tcPr>
            <w:tcW w:w="993" w:type="dxa"/>
            <w:vAlign w:val="top"/>
          </w:tcPr>
          <w:p w14:paraId="7B7DEAC6">
            <w:pPr>
              <w:rPr>
                <w:rFonts w:ascii="Arial"/>
                <w:color w:val="auto"/>
                <w:sz w:val="21"/>
                <w:highlight w:val="none"/>
              </w:rPr>
            </w:pPr>
          </w:p>
        </w:tc>
        <w:tc>
          <w:tcPr>
            <w:tcW w:w="1273" w:type="dxa"/>
            <w:vAlign w:val="top"/>
          </w:tcPr>
          <w:p w14:paraId="3FB54ED4">
            <w:pPr>
              <w:rPr>
                <w:rFonts w:ascii="Arial"/>
                <w:color w:val="auto"/>
                <w:sz w:val="21"/>
                <w:highlight w:val="none"/>
              </w:rPr>
            </w:pPr>
          </w:p>
        </w:tc>
        <w:tc>
          <w:tcPr>
            <w:tcW w:w="1002" w:type="dxa"/>
            <w:tcBorders>
              <w:right w:val="single" w:color="000000" w:sz="6" w:space="0"/>
            </w:tcBorders>
            <w:vAlign w:val="top"/>
          </w:tcPr>
          <w:p w14:paraId="6F195076">
            <w:pPr>
              <w:rPr>
                <w:rFonts w:ascii="Arial"/>
                <w:color w:val="auto"/>
                <w:sz w:val="21"/>
                <w:highlight w:val="none"/>
              </w:rPr>
            </w:pPr>
          </w:p>
        </w:tc>
      </w:tr>
      <w:tr w14:paraId="09C3EE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22" w:type="dxa"/>
            <w:tcBorders>
              <w:left w:val="single" w:color="000000" w:sz="6" w:space="0"/>
            </w:tcBorders>
            <w:vAlign w:val="top"/>
          </w:tcPr>
          <w:p w14:paraId="181BB55C">
            <w:pPr>
              <w:rPr>
                <w:rFonts w:ascii="Arial"/>
                <w:color w:val="auto"/>
                <w:sz w:val="21"/>
                <w:highlight w:val="none"/>
              </w:rPr>
            </w:pPr>
          </w:p>
        </w:tc>
        <w:tc>
          <w:tcPr>
            <w:tcW w:w="1987" w:type="dxa"/>
            <w:vAlign w:val="top"/>
          </w:tcPr>
          <w:p w14:paraId="58DCB145">
            <w:pPr>
              <w:rPr>
                <w:rFonts w:ascii="Arial"/>
                <w:color w:val="auto"/>
                <w:sz w:val="21"/>
                <w:highlight w:val="none"/>
              </w:rPr>
            </w:pPr>
          </w:p>
        </w:tc>
        <w:tc>
          <w:tcPr>
            <w:tcW w:w="2831" w:type="dxa"/>
            <w:vAlign w:val="top"/>
          </w:tcPr>
          <w:p w14:paraId="0F95282E">
            <w:pPr>
              <w:rPr>
                <w:rFonts w:ascii="Arial"/>
                <w:color w:val="auto"/>
                <w:sz w:val="21"/>
                <w:highlight w:val="none"/>
              </w:rPr>
            </w:pPr>
          </w:p>
        </w:tc>
        <w:tc>
          <w:tcPr>
            <w:tcW w:w="2266" w:type="dxa"/>
            <w:vAlign w:val="top"/>
          </w:tcPr>
          <w:p w14:paraId="0F58F119">
            <w:pPr>
              <w:rPr>
                <w:rFonts w:ascii="Arial"/>
                <w:color w:val="auto"/>
                <w:sz w:val="21"/>
                <w:highlight w:val="none"/>
              </w:rPr>
            </w:pPr>
          </w:p>
        </w:tc>
        <w:tc>
          <w:tcPr>
            <w:tcW w:w="990" w:type="dxa"/>
            <w:vAlign w:val="top"/>
          </w:tcPr>
          <w:p w14:paraId="4F934F61">
            <w:pPr>
              <w:rPr>
                <w:rFonts w:ascii="Arial"/>
                <w:color w:val="auto"/>
                <w:sz w:val="21"/>
                <w:highlight w:val="none"/>
              </w:rPr>
            </w:pPr>
          </w:p>
        </w:tc>
        <w:tc>
          <w:tcPr>
            <w:tcW w:w="993" w:type="dxa"/>
            <w:vAlign w:val="top"/>
          </w:tcPr>
          <w:p w14:paraId="2CF7F5FA">
            <w:pPr>
              <w:rPr>
                <w:rFonts w:ascii="Arial"/>
                <w:color w:val="auto"/>
                <w:sz w:val="21"/>
                <w:highlight w:val="none"/>
              </w:rPr>
            </w:pPr>
          </w:p>
        </w:tc>
        <w:tc>
          <w:tcPr>
            <w:tcW w:w="990" w:type="dxa"/>
            <w:vAlign w:val="top"/>
          </w:tcPr>
          <w:p w14:paraId="2EEE0D8E">
            <w:pPr>
              <w:rPr>
                <w:rFonts w:ascii="Arial"/>
                <w:color w:val="auto"/>
                <w:sz w:val="21"/>
                <w:highlight w:val="none"/>
              </w:rPr>
            </w:pPr>
          </w:p>
        </w:tc>
        <w:tc>
          <w:tcPr>
            <w:tcW w:w="993" w:type="dxa"/>
            <w:vAlign w:val="top"/>
          </w:tcPr>
          <w:p w14:paraId="600794B9">
            <w:pPr>
              <w:rPr>
                <w:rFonts w:ascii="Arial"/>
                <w:color w:val="auto"/>
                <w:sz w:val="21"/>
                <w:highlight w:val="none"/>
              </w:rPr>
            </w:pPr>
          </w:p>
        </w:tc>
        <w:tc>
          <w:tcPr>
            <w:tcW w:w="1273" w:type="dxa"/>
            <w:vAlign w:val="top"/>
          </w:tcPr>
          <w:p w14:paraId="5F0D0E8A">
            <w:pPr>
              <w:rPr>
                <w:rFonts w:ascii="Arial"/>
                <w:color w:val="auto"/>
                <w:sz w:val="21"/>
                <w:highlight w:val="none"/>
              </w:rPr>
            </w:pPr>
          </w:p>
        </w:tc>
        <w:tc>
          <w:tcPr>
            <w:tcW w:w="1002" w:type="dxa"/>
            <w:tcBorders>
              <w:right w:val="single" w:color="000000" w:sz="6" w:space="0"/>
            </w:tcBorders>
            <w:vAlign w:val="top"/>
          </w:tcPr>
          <w:p w14:paraId="73D3701E">
            <w:pPr>
              <w:rPr>
                <w:rFonts w:ascii="Arial"/>
                <w:color w:val="auto"/>
                <w:sz w:val="21"/>
                <w:highlight w:val="none"/>
              </w:rPr>
            </w:pPr>
          </w:p>
        </w:tc>
      </w:tr>
      <w:tr w14:paraId="21BFE3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822" w:type="dxa"/>
            <w:tcBorders>
              <w:left w:val="single" w:color="000000" w:sz="6" w:space="0"/>
            </w:tcBorders>
            <w:vAlign w:val="top"/>
          </w:tcPr>
          <w:p w14:paraId="1FA31EC1">
            <w:pPr>
              <w:rPr>
                <w:rFonts w:ascii="Arial"/>
                <w:color w:val="auto"/>
                <w:sz w:val="21"/>
                <w:highlight w:val="none"/>
              </w:rPr>
            </w:pPr>
          </w:p>
        </w:tc>
        <w:tc>
          <w:tcPr>
            <w:tcW w:w="1987" w:type="dxa"/>
            <w:vAlign w:val="top"/>
          </w:tcPr>
          <w:p w14:paraId="25EFBB41">
            <w:pPr>
              <w:rPr>
                <w:rFonts w:ascii="Arial"/>
                <w:color w:val="auto"/>
                <w:sz w:val="21"/>
                <w:highlight w:val="none"/>
              </w:rPr>
            </w:pPr>
          </w:p>
        </w:tc>
        <w:tc>
          <w:tcPr>
            <w:tcW w:w="2831" w:type="dxa"/>
            <w:vAlign w:val="top"/>
          </w:tcPr>
          <w:p w14:paraId="2FC4BECD">
            <w:pPr>
              <w:rPr>
                <w:rFonts w:ascii="Arial"/>
                <w:color w:val="auto"/>
                <w:sz w:val="21"/>
                <w:highlight w:val="none"/>
              </w:rPr>
            </w:pPr>
          </w:p>
        </w:tc>
        <w:tc>
          <w:tcPr>
            <w:tcW w:w="2266" w:type="dxa"/>
            <w:vAlign w:val="top"/>
          </w:tcPr>
          <w:p w14:paraId="0D6358A6">
            <w:pPr>
              <w:rPr>
                <w:rFonts w:ascii="Arial"/>
                <w:color w:val="auto"/>
                <w:sz w:val="21"/>
                <w:highlight w:val="none"/>
              </w:rPr>
            </w:pPr>
          </w:p>
        </w:tc>
        <w:tc>
          <w:tcPr>
            <w:tcW w:w="990" w:type="dxa"/>
            <w:vAlign w:val="top"/>
          </w:tcPr>
          <w:p w14:paraId="303F8E87">
            <w:pPr>
              <w:rPr>
                <w:rFonts w:ascii="Arial"/>
                <w:color w:val="auto"/>
                <w:sz w:val="21"/>
                <w:highlight w:val="none"/>
              </w:rPr>
            </w:pPr>
          </w:p>
        </w:tc>
        <w:tc>
          <w:tcPr>
            <w:tcW w:w="993" w:type="dxa"/>
            <w:vAlign w:val="top"/>
          </w:tcPr>
          <w:p w14:paraId="7BBC3A3D">
            <w:pPr>
              <w:rPr>
                <w:rFonts w:ascii="Arial"/>
                <w:color w:val="auto"/>
                <w:sz w:val="21"/>
                <w:highlight w:val="none"/>
              </w:rPr>
            </w:pPr>
          </w:p>
        </w:tc>
        <w:tc>
          <w:tcPr>
            <w:tcW w:w="990" w:type="dxa"/>
            <w:vAlign w:val="top"/>
          </w:tcPr>
          <w:p w14:paraId="3E79259D">
            <w:pPr>
              <w:rPr>
                <w:rFonts w:ascii="Arial"/>
                <w:color w:val="auto"/>
                <w:sz w:val="21"/>
                <w:highlight w:val="none"/>
              </w:rPr>
            </w:pPr>
          </w:p>
        </w:tc>
        <w:tc>
          <w:tcPr>
            <w:tcW w:w="993" w:type="dxa"/>
            <w:vAlign w:val="top"/>
          </w:tcPr>
          <w:p w14:paraId="4B535AFB">
            <w:pPr>
              <w:rPr>
                <w:rFonts w:ascii="Arial"/>
                <w:color w:val="auto"/>
                <w:sz w:val="21"/>
                <w:highlight w:val="none"/>
              </w:rPr>
            </w:pPr>
          </w:p>
        </w:tc>
        <w:tc>
          <w:tcPr>
            <w:tcW w:w="1273" w:type="dxa"/>
            <w:vAlign w:val="top"/>
          </w:tcPr>
          <w:p w14:paraId="29BFA5B4">
            <w:pPr>
              <w:rPr>
                <w:rFonts w:ascii="Arial"/>
                <w:color w:val="auto"/>
                <w:sz w:val="21"/>
                <w:highlight w:val="none"/>
              </w:rPr>
            </w:pPr>
          </w:p>
        </w:tc>
        <w:tc>
          <w:tcPr>
            <w:tcW w:w="1002" w:type="dxa"/>
            <w:tcBorders>
              <w:right w:val="single" w:color="000000" w:sz="6" w:space="0"/>
            </w:tcBorders>
            <w:vAlign w:val="top"/>
          </w:tcPr>
          <w:p w14:paraId="73193130">
            <w:pPr>
              <w:rPr>
                <w:rFonts w:ascii="Arial"/>
                <w:color w:val="auto"/>
                <w:sz w:val="21"/>
                <w:highlight w:val="none"/>
              </w:rPr>
            </w:pPr>
          </w:p>
        </w:tc>
      </w:tr>
      <w:tr w14:paraId="79C5FC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bottom w:val="single" w:color="000000" w:sz="6" w:space="0"/>
            </w:tcBorders>
            <w:vAlign w:val="top"/>
          </w:tcPr>
          <w:p w14:paraId="147A1AE4">
            <w:pPr>
              <w:rPr>
                <w:rFonts w:ascii="Arial"/>
                <w:color w:val="auto"/>
                <w:sz w:val="21"/>
                <w:highlight w:val="none"/>
              </w:rPr>
            </w:pPr>
          </w:p>
        </w:tc>
        <w:tc>
          <w:tcPr>
            <w:tcW w:w="1987" w:type="dxa"/>
            <w:tcBorders>
              <w:bottom w:val="single" w:color="000000" w:sz="6" w:space="0"/>
            </w:tcBorders>
            <w:vAlign w:val="top"/>
          </w:tcPr>
          <w:p w14:paraId="1BCE2FB4">
            <w:pPr>
              <w:rPr>
                <w:rFonts w:ascii="Arial"/>
                <w:color w:val="auto"/>
                <w:sz w:val="21"/>
                <w:highlight w:val="none"/>
              </w:rPr>
            </w:pPr>
          </w:p>
        </w:tc>
        <w:tc>
          <w:tcPr>
            <w:tcW w:w="2831" w:type="dxa"/>
            <w:tcBorders>
              <w:bottom w:val="single" w:color="000000" w:sz="6" w:space="0"/>
            </w:tcBorders>
            <w:vAlign w:val="top"/>
          </w:tcPr>
          <w:p w14:paraId="7350E05E">
            <w:pPr>
              <w:pStyle w:val="33"/>
              <w:spacing w:before="220" w:line="222" w:lineRule="auto"/>
              <w:ind w:left="1102"/>
              <w:rPr>
                <w:color w:val="auto"/>
                <w:sz w:val="21"/>
                <w:szCs w:val="21"/>
                <w:highlight w:val="none"/>
              </w:rPr>
            </w:pPr>
            <w:r>
              <w:rPr>
                <w:b/>
                <w:bCs/>
                <w:color w:val="auto"/>
                <w:spacing w:val="-7"/>
                <w:sz w:val="21"/>
                <w:szCs w:val="21"/>
                <w:highlight w:val="none"/>
              </w:rPr>
              <w:t>合</w:t>
            </w:r>
            <w:r>
              <w:rPr>
                <w:color w:val="auto"/>
                <w:spacing w:val="5"/>
                <w:sz w:val="21"/>
                <w:szCs w:val="21"/>
                <w:highlight w:val="none"/>
              </w:rPr>
              <w:t xml:space="preserve">  </w:t>
            </w:r>
            <w:r>
              <w:rPr>
                <w:b/>
                <w:bCs/>
                <w:color w:val="auto"/>
                <w:spacing w:val="-7"/>
                <w:sz w:val="21"/>
                <w:szCs w:val="21"/>
                <w:highlight w:val="none"/>
              </w:rPr>
              <w:t>计</w:t>
            </w:r>
          </w:p>
        </w:tc>
        <w:tc>
          <w:tcPr>
            <w:tcW w:w="2266" w:type="dxa"/>
            <w:tcBorders>
              <w:bottom w:val="single" w:color="000000" w:sz="6" w:space="0"/>
            </w:tcBorders>
            <w:vAlign w:val="top"/>
          </w:tcPr>
          <w:p w14:paraId="7AFC489D">
            <w:pPr>
              <w:rPr>
                <w:rFonts w:ascii="Arial"/>
                <w:color w:val="auto"/>
                <w:sz w:val="21"/>
                <w:highlight w:val="none"/>
              </w:rPr>
            </w:pPr>
          </w:p>
        </w:tc>
        <w:tc>
          <w:tcPr>
            <w:tcW w:w="990" w:type="dxa"/>
            <w:tcBorders>
              <w:bottom w:val="single" w:color="000000" w:sz="6" w:space="0"/>
            </w:tcBorders>
            <w:vAlign w:val="top"/>
          </w:tcPr>
          <w:p w14:paraId="4A61DBA6">
            <w:pPr>
              <w:rPr>
                <w:rFonts w:ascii="Arial"/>
                <w:color w:val="auto"/>
                <w:sz w:val="21"/>
                <w:highlight w:val="none"/>
              </w:rPr>
            </w:pPr>
          </w:p>
        </w:tc>
        <w:tc>
          <w:tcPr>
            <w:tcW w:w="993" w:type="dxa"/>
            <w:tcBorders>
              <w:bottom w:val="single" w:color="000000" w:sz="6" w:space="0"/>
            </w:tcBorders>
            <w:vAlign w:val="top"/>
          </w:tcPr>
          <w:p w14:paraId="1158D642">
            <w:pPr>
              <w:rPr>
                <w:rFonts w:ascii="Arial"/>
                <w:color w:val="auto"/>
                <w:sz w:val="21"/>
                <w:highlight w:val="none"/>
              </w:rPr>
            </w:pPr>
          </w:p>
        </w:tc>
        <w:tc>
          <w:tcPr>
            <w:tcW w:w="990" w:type="dxa"/>
            <w:tcBorders>
              <w:bottom w:val="single" w:color="000000" w:sz="6" w:space="0"/>
            </w:tcBorders>
            <w:vAlign w:val="top"/>
          </w:tcPr>
          <w:p w14:paraId="4C8BA182">
            <w:pPr>
              <w:rPr>
                <w:rFonts w:ascii="Arial"/>
                <w:color w:val="auto"/>
                <w:sz w:val="21"/>
                <w:highlight w:val="none"/>
              </w:rPr>
            </w:pPr>
          </w:p>
        </w:tc>
        <w:tc>
          <w:tcPr>
            <w:tcW w:w="993" w:type="dxa"/>
            <w:tcBorders>
              <w:bottom w:val="single" w:color="000000" w:sz="6" w:space="0"/>
            </w:tcBorders>
            <w:vAlign w:val="top"/>
          </w:tcPr>
          <w:p w14:paraId="45635765">
            <w:pPr>
              <w:rPr>
                <w:rFonts w:ascii="Arial"/>
                <w:color w:val="auto"/>
                <w:sz w:val="21"/>
                <w:highlight w:val="none"/>
              </w:rPr>
            </w:pPr>
          </w:p>
        </w:tc>
        <w:tc>
          <w:tcPr>
            <w:tcW w:w="1273" w:type="dxa"/>
            <w:tcBorders>
              <w:bottom w:val="single" w:color="000000" w:sz="6" w:space="0"/>
            </w:tcBorders>
            <w:vAlign w:val="top"/>
          </w:tcPr>
          <w:p w14:paraId="0CD94953">
            <w:pPr>
              <w:rPr>
                <w:rFonts w:ascii="Arial"/>
                <w:color w:val="auto"/>
                <w:sz w:val="21"/>
                <w:highlight w:val="none"/>
              </w:rPr>
            </w:pPr>
          </w:p>
        </w:tc>
        <w:tc>
          <w:tcPr>
            <w:tcW w:w="1002" w:type="dxa"/>
            <w:tcBorders>
              <w:bottom w:val="single" w:color="000000" w:sz="6" w:space="0"/>
              <w:right w:val="single" w:color="000000" w:sz="6" w:space="0"/>
            </w:tcBorders>
            <w:vAlign w:val="top"/>
          </w:tcPr>
          <w:p w14:paraId="1C455153">
            <w:pPr>
              <w:rPr>
                <w:rFonts w:ascii="Arial"/>
                <w:color w:val="auto"/>
                <w:sz w:val="21"/>
                <w:highlight w:val="none"/>
              </w:rPr>
            </w:pPr>
          </w:p>
        </w:tc>
      </w:tr>
    </w:tbl>
    <w:p w14:paraId="1CC0CA6B">
      <w:pPr>
        <w:spacing w:before="78" w:line="219" w:lineRule="auto"/>
        <w:ind w:left="482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机电设备及安装工程分类分项工程量清单</w:t>
      </w:r>
    </w:p>
    <w:p w14:paraId="2511568A">
      <w:pPr>
        <w:spacing w:before="174" w:line="221"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项目及标段名称：</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   页共   页</w:t>
      </w:r>
    </w:p>
    <w:p w14:paraId="02A32581">
      <w:pPr>
        <w:spacing w:line="127" w:lineRule="exact"/>
        <w:rPr>
          <w:color w:val="auto"/>
          <w:highlight w:val="none"/>
        </w:rPr>
      </w:pPr>
    </w:p>
    <w:tbl>
      <w:tblPr>
        <w:tblStyle w:val="32"/>
        <w:tblW w:w="1394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261"/>
        <w:gridCol w:w="1841"/>
        <w:gridCol w:w="2124"/>
        <w:gridCol w:w="779"/>
        <w:gridCol w:w="825"/>
        <w:gridCol w:w="1014"/>
        <w:gridCol w:w="1014"/>
        <w:gridCol w:w="1016"/>
        <w:gridCol w:w="1017"/>
        <w:gridCol w:w="1273"/>
        <w:gridCol w:w="937"/>
      </w:tblGrid>
      <w:tr w14:paraId="11C401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3" w:hRule="atLeast"/>
        </w:trPr>
        <w:tc>
          <w:tcPr>
            <w:tcW w:w="839" w:type="dxa"/>
            <w:vMerge w:val="restart"/>
            <w:tcBorders>
              <w:top w:val="single" w:color="000000" w:sz="6" w:space="0"/>
              <w:left w:val="single" w:color="000000" w:sz="6" w:space="0"/>
              <w:bottom w:val="nil"/>
            </w:tcBorders>
            <w:vAlign w:val="top"/>
          </w:tcPr>
          <w:p w14:paraId="3E06F654">
            <w:pPr>
              <w:spacing w:line="366" w:lineRule="auto"/>
              <w:rPr>
                <w:rFonts w:ascii="Arial"/>
                <w:color w:val="auto"/>
                <w:sz w:val="21"/>
                <w:highlight w:val="none"/>
              </w:rPr>
            </w:pPr>
          </w:p>
          <w:p w14:paraId="3DB303CD">
            <w:pPr>
              <w:pStyle w:val="33"/>
              <w:spacing w:before="68" w:line="222" w:lineRule="auto"/>
              <w:ind w:left="205"/>
              <w:rPr>
                <w:color w:val="auto"/>
                <w:sz w:val="21"/>
                <w:szCs w:val="21"/>
                <w:highlight w:val="none"/>
              </w:rPr>
            </w:pPr>
            <w:r>
              <w:rPr>
                <w:color w:val="auto"/>
                <w:spacing w:val="-2"/>
                <w:sz w:val="21"/>
                <w:szCs w:val="21"/>
                <w:highlight w:val="none"/>
              </w:rPr>
              <w:t>序号</w:t>
            </w:r>
          </w:p>
        </w:tc>
        <w:tc>
          <w:tcPr>
            <w:tcW w:w="1261" w:type="dxa"/>
            <w:vMerge w:val="restart"/>
            <w:tcBorders>
              <w:top w:val="single" w:color="000000" w:sz="6" w:space="0"/>
              <w:bottom w:val="nil"/>
            </w:tcBorders>
            <w:vAlign w:val="top"/>
          </w:tcPr>
          <w:p w14:paraId="0D4D5FBB">
            <w:pPr>
              <w:spacing w:line="366" w:lineRule="auto"/>
              <w:rPr>
                <w:rFonts w:ascii="Arial"/>
                <w:color w:val="auto"/>
                <w:sz w:val="21"/>
                <w:highlight w:val="none"/>
              </w:rPr>
            </w:pPr>
          </w:p>
          <w:p w14:paraId="610A05B7">
            <w:pPr>
              <w:pStyle w:val="33"/>
              <w:spacing w:before="68" w:line="221" w:lineRule="auto"/>
              <w:ind w:left="213"/>
              <w:rPr>
                <w:color w:val="auto"/>
                <w:sz w:val="21"/>
                <w:szCs w:val="21"/>
                <w:highlight w:val="none"/>
              </w:rPr>
            </w:pPr>
            <w:r>
              <w:rPr>
                <w:color w:val="auto"/>
                <w:spacing w:val="-3"/>
                <w:sz w:val="21"/>
                <w:szCs w:val="21"/>
                <w:highlight w:val="none"/>
              </w:rPr>
              <w:t>项目编码</w:t>
            </w:r>
          </w:p>
        </w:tc>
        <w:tc>
          <w:tcPr>
            <w:tcW w:w="1841" w:type="dxa"/>
            <w:vMerge w:val="restart"/>
            <w:tcBorders>
              <w:top w:val="single" w:color="000000" w:sz="6" w:space="0"/>
              <w:bottom w:val="nil"/>
            </w:tcBorders>
            <w:vAlign w:val="top"/>
          </w:tcPr>
          <w:p w14:paraId="1429DCF3">
            <w:pPr>
              <w:spacing w:line="367" w:lineRule="auto"/>
              <w:rPr>
                <w:rFonts w:ascii="Arial"/>
                <w:color w:val="auto"/>
                <w:sz w:val="21"/>
                <w:highlight w:val="none"/>
              </w:rPr>
            </w:pPr>
          </w:p>
          <w:p w14:paraId="0771E440">
            <w:pPr>
              <w:pStyle w:val="33"/>
              <w:spacing w:before="68" w:line="221" w:lineRule="auto"/>
              <w:ind w:left="505"/>
              <w:rPr>
                <w:color w:val="auto"/>
                <w:sz w:val="21"/>
                <w:szCs w:val="21"/>
                <w:highlight w:val="none"/>
              </w:rPr>
            </w:pPr>
            <w:r>
              <w:rPr>
                <w:color w:val="auto"/>
                <w:spacing w:val="-3"/>
                <w:sz w:val="21"/>
                <w:szCs w:val="21"/>
                <w:highlight w:val="none"/>
              </w:rPr>
              <w:t>项目名称</w:t>
            </w:r>
          </w:p>
        </w:tc>
        <w:tc>
          <w:tcPr>
            <w:tcW w:w="2124" w:type="dxa"/>
            <w:vMerge w:val="restart"/>
            <w:tcBorders>
              <w:top w:val="single" w:color="000000" w:sz="6" w:space="0"/>
              <w:bottom w:val="nil"/>
            </w:tcBorders>
            <w:vAlign w:val="top"/>
          </w:tcPr>
          <w:p w14:paraId="3F4A7AE2">
            <w:pPr>
              <w:spacing w:line="366" w:lineRule="auto"/>
              <w:rPr>
                <w:rFonts w:ascii="Arial"/>
                <w:color w:val="auto"/>
                <w:sz w:val="21"/>
                <w:highlight w:val="none"/>
              </w:rPr>
            </w:pPr>
          </w:p>
          <w:p w14:paraId="70EDD2B6">
            <w:pPr>
              <w:pStyle w:val="33"/>
              <w:spacing w:before="68" w:line="221" w:lineRule="auto"/>
              <w:ind w:left="438"/>
              <w:rPr>
                <w:color w:val="auto"/>
                <w:sz w:val="21"/>
                <w:szCs w:val="21"/>
                <w:highlight w:val="none"/>
              </w:rPr>
            </w:pPr>
            <w:r>
              <w:rPr>
                <w:color w:val="auto"/>
                <w:spacing w:val="-2"/>
                <w:sz w:val="21"/>
                <w:szCs w:val="21"/>
                <w:highlight w:val="none"/>
              </w:rPr>
              <w:t>项目主要特征</w:t>
            </w:r>
          </w:p>
        </w:tc>
        <w:tc>
          <w:tcPr>
            <w:tcW w:w="779" w:type="dxa"/>
            <w:vMerge w:val="restart"/>
            <w:tcBorders>
              <w:top w:val="single" w:color="000000" w:sz="6" w:space="0"/>
              <w:bottom w:val="nil"/>
            </w:tcBorders>
            <w:vAlign w:val="top"/>
          </w:tcPr>
          <w:p w14:paraId="104C8BD3">
            <w:pPr>
              <w:pStyle w:val="33"/>
              <w:spacing w:before="302" w:line="230" w:lineRule="auto"/>
              <w:ind w:left="186" w:right="174" w:hanging="1"/>
              <w:rPr>
                <w:color w:val="auto"/>
                <w:sz w:val="21"/>
                <w:szCs w:val="21"/>
                <w:highlight w:val="none"/>
              </w:rPr>
            </w:pPr>
            <w:r>
              <w:rPr>
                <w:color w:val="auto"/>
                <w:spacing w:val="-3"/>
                <w:sz w:val="21"/>
                <w:szCs w:val="21"/>
                <w:highlight w:val="none"/>
              </w:rPr>
              <w:t>计量</w:t>
            </w:r>
            <w:r>
              <w:rPr>
                <w:color w:val="auto"/>
                <w:sz w:val="21"/>
                <w:szCs w:val="21"/>
                <w:highlight w:val="none"/>
              </w:rPr>
              <w:t xml:space="preserve"> </w:t>
            </w:r>
            <w:r>
              <w:rPr>
                <w:color w:val="auto"/>
                <w:spacing w:val="-4"/>
                <w:sz w:val="21"/>
                <w:szCs w:val="21"/>
                <w:highlight w:val="none"/>
              </w:rPr>
              <w:t>单位</w:t>
            </w:r>
          </w:p>
        </w:tc>
        <w:tc>
          <w:tcPr>
            <w:tcW w:w="825" w:type="dxa"/>
            <w:vMerge w:val="restart"/>
            <w:tcBorders>
              <w:top w:val="single" w:color="000000" w:sz="6" w:space="0"/>
              <w:bottom w:val="nil"/>
            </w:tcBorders>
            <w:vAlign w:val="top"/>
          </w:tcPr>
          <w:p w14:paraId="027DAE1E">
            <w:pPr>
              <w:pStyle w:val="33"/>
              <w:spacing w:before="303" w:line="229" w:lineRule="auto"/>
              <w:ind w:left="209" w:right="198"/>
              <w:rPr>
                <w:color w:val="auto"/>
                <w:sz w:val="21"/>
                <w:szCs w:val="21"/>
                <w:highlight w:val="none"/>
              </w:rPr>
            </w:pPr>
            <w:r>
              <w:rPr>
                <w:color w:val="auto"/>
                <w:spacing w:val="-5"/>
                <w:sz w:val="21"/>
                <w:szCs w:val="21"/>
                <w:highlight w:val="none"/>
              </w:rPr>
              <w:t>工程</w:t>
            </w:r>
            <w:r>
              <w:rPr>
                <w:color w:val="auto"/>
                <w:sz w:val="21"/>
                <w:szCs w:val="21"/>
                <w:highlight w:val="none"/>
              </w:rPr>
              <w:t xml:space="preserve"> </w:t>
            </w:r>
            <w:r>
              <w:rPr>
                <w:color w:val="auto"/>
                <w:spacing w:val="-4"/>
                <w:sz w:val="21"/>
                <w:szCs w:val="21"/>
                <w:highlight w:val="none"/>
              </w:rPr>
              <w:t>数量</w:t>
            </w:r>
          </w:p>
        </w:tc>
        <w:tc>
          <w:tcPr>
            <w:tcW w:w="2028" w:type="dxa"/>
            <w:gridSpan w:val="2"/>
            <w:tcBorders>
              <w:top w:val="single" w:color="000000" w:sz="6" w:space="0"/>
            </w:tcBorders>
            <w:vAlign w:val="top"/>
          </w:tcPr>
          <w:p w14:paraId="723E6238">
            <w:pPr>
              <w:pStyle w:val="33"/>
              <w:spacing w:before="171" w:line="219" w:lineRule="auto"/>
              <w:ind w:left="447"/>
              <w:rPr>
                <w:color w:val="auto"/>
                <w:sz w:val="21"/>
                <w:szCs w:val="21"/>
                <w:highlight w:val="none"/>
              </w:rPr>
            </w:pPr>
            <w:r>
              <w:rPr>
                <w:color w:val="auto"/>
                <w:spacing w:val="-4"/>
                <w:sz w:val="21"/>
                <w:szCs w:val="21"/>
                <w:highlight w:val="none"/>
              </w:rPr>
              <w:t>单价 （元）</w:t>
            </w:r>
          </w:p>
        </w:tc>
        <w:tc>
          <w:tcPr>
            <w:tcW w:w="2033" w:type="dxa"/>
            <w:gridSpan w:val="2"/>
            <w:tcBorders>
              <w:top w:val="single" w:color="000000" w:sz="6" w:space="0"/>
            </w:tcBorders>
            <w:vAlign w:val="top"/>
          </w:tcPr>
          <w:p w14:paraId="2E614170">
            <w:pPr>
              <w:pStyle w:val="33"/>
              <w:spacing w:before="171" w:line="219" w:lineRule="auto"/>
              <w:ind w:left="449"/>
              <w:rPr>
                <w:color w:val="auto"/>
                <w:sz w:val="21"/>
                <w:szCs w:val="21"/>
                <w:highlight w:val="none"/>
              </w:rPr>
            </w:pPr>
            <w:r>
              <w:rPr>
                <w:color w:val="auto"/>
                <w:spacing w:val="-4"/>
                <w:sz w:val="21"/>
                <w:szCs w:val="21"/>
                <w:highlight w:val="none"/>
              </w:rPr>
              <w:t>合价 （元）</w:t>
            </w:r>
          </w:p>
        </w:tc>
        <w:tc>
          <w:tcPr>
            <w:tcW w:w="1273" w:type="dxa"/>
            <w:vMerge w:val="restart"/>
            <w:tcBorders>
              <w:top w:val="single" w:color="000000" w:sz="6" w:space="0"/>
              <w:bottom w:val="nil"/>
            </w:tcBorders>
            <w:vAlign w:val="top"/>
          </w:tcPr>
          <w:p w14:paraId="15C1DB8B">
            <w:pPr>
              <w:pStyle w:val="33"/>
              <w:spacing w:before="303" w:line="229" w:lineRule="auto"/>
              <w:ind w:left="231" w:right="204"/>
              <w:rPr>
                <w:color w:val="auto"/>
                <w:sz w:val="21"/>
                <w:szCs w:val="21"/>
                <w:highlight w:val="none"/>
              </w:rPr>
            </w:pPr>
            <w:r>
              <w:rPr>
                <w:color w:val="auto"/>
                <w:spacing w:val="-2"/>
                <w:sz w:val="21"/>
                <w:szCs w:val="21"/>
                <w:highlight w:val="none"/>
              </w:rPr>
              <w:t>主要技术</w:t>
            </w:r>
            <w:r>
              <w:rPr>
                <w:color w:val="auto"/>
                <w:sz w:val="21"/>
                <w:szCs w:val="21"/>
                <w:highlight w:val="none"/>
              </w:rPr>
              <w:t xml:space="preserve"> </w:t>
            </w:r>
            <w:r>
              <w:rPr>
                <w:color w:val="auto"/>
                <w:spacing w:val="-2"/>
                <w:sz w:val="21"/>
                <w:szCs w:val="21"/>
                <w:highlight w:val="none"/>
              </w:rPr>
              <w:t>条款编码</w:t>
            </w:r>
          </w:p>
        </w:tc>
        <w:tc>
          <w:tcPr>
            <w:tcW w:w="937" w:type="dxa"/>
            <w:vMerge w:val="restart"/>
            <w:tcBorders>
              <w:top w:val="single" w:color="000000" w:sz="6" w:space="0"/>
              <w:bottom w:val="nil"/>
              <w:right w:val="single" w:color="000000" w:sz="6" w:space="0"/>
            </w:tcBorders>
            <w:vAlign w:val="top"/>
          </w:tcPr>
          <w:p w14:paraId="3F1BCC89">
            <w:pPr>
              <w:spacing w:line="366" w:lineRule="auto"/>
              <w:rPr>
                <w:rFonts w:ascii="Arial"/>
                <w:color w:val="auto"/>
                <w:sz w:val="21"/>
                <w:highlight w:val="none"/>
              </w:rPr>
            </w:pPr>
          </w:p>
          <w:p w14:paraId="5BB01597">
            <w:pPr>
              <w:pStyle w:val="33"/>
              <w:spacing w:before="68" w:line="222" w:lineRule="auto"/>
              <w:ind w:left="269"/>
              <w:rPr>
                <w:color w:val="auto"/>
                <w:sz w:val="21"/>
                <w:szCs w:val="21"/>
                <w:highlight w:val="none"/>
              </w:rPr>
            </w:pPr>
            <w:r>
              <w:rPr>
                <w:color w:val="auto"/>
                <w:spacing w:val="-3"/>
                <w:sz w:val="21"/>
                <w:szCs w:val="21"/>
                <w:highlight w:val="none"/>
              </w:rPr>
              <w:t>备注</w:t>
            </w:r>
          </w:p>
        </w:tc>
      </w:tr>
      <w:tr w14:paraId="7BBE10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839" w:type="dxa"/>
            <w:vMerge w:val="continue"/>
            <w:tcBorders>
              <w:top w:val="nil"/>
              <w:left w:val="single" w:color="000000" w:sz="6" w:space="0"/>
            </w:tcBorders>
            <w:vAlign w:val="top"/>
          </w:tcPr>
          <w:p w14:paraId="4B29F8B6">
            <w:pPr>
              <w:rPr>
                <w:rFonts w:ascii="Arial"/>
                <w:color w:val="auto"/>
                <w:sz w:val="21"/>
                <w:highlight w:val="none"/>
              </w:rPr>
            </w:pPr>
          </w:p>
        </w:tc>
        <w:tc>
          <w:tcPr>
            <w:tcW w:w="1261" w:type="dxa"/>
            <w:vMerge w:val="continue"/>
            <w:tcBorders>
              <w:top w:val="nil"/>
            </w:tcBorders>
            <w:vAlign w:val="top"/>
          </w:tcPr>
          <w:p w14:paraId="3B97A610">
            <w:pPr>
              <w:rPr>
                <w:rFonts w:ascii="Arial"/>
                <w:color w:val="auto"/>
                <w:sz w:val="21"/>
                <w:highlight w:val="none"/>
              </w:rPr>
            </w:pPr>
          </w:p>
        </w:tc>
        <w:tc>
          <w:tcPr>
            <w:tcW w:w="1841" w:type="dxa"/>
            <w:vMerge w:val="continue"/>
            <w:tcBorders>
              <w:top w:val="nil"/>
            </w:tcBorders>
            <w:vAlign w:val="top"/>
          </w:tcPr>
          <w:p w14:paraId="53AB9B5D">
            <w:pPr>
              <w:rPr>
                <w:rFonts w:ascii="Arial"/>
                <w:color w:val="auto"/>
                <w:sz w:val="21"/>
                <w:highlight w:val="none"/>
              </w:rPr>
            </w:pPr>
          </w:p>
        </w:tc>
        <w:tc>
          <w:tcPr>
            <w:tcW w:w="2124" w:type="dxa"/>
            <w:vMerge w:val="continue"/>
            <w:tcBorders>
              <w:top w:val="nil"/>
            </w:tcBorders>
            <w:vAlign w:val="top"/>
          </w:tcPr>
          <w:p w14:paraId="5F569B75">
            <w:pPr>
              <w:rPr>
                <w:rFonts w:ascii="Arial"/>
                <w:color w:val="auto"/>
                <w:sz w:val="21"/>
                <w:highlight w:val="none"/>
              </w:rPr>
            </w:pPr>
          </w:p>
        </w:tc>
        <w:tc>
          <w:tcPr>
            <w:tcW w:w="779" w:type="dxa"/>
            <w:vMerge w:val="continue"/>
            <w:tcBorders>
              <w:top w:val="nil"/>
            </w:tcBorders>
            <w:vAlign w:val="top"/>
          </w:tcPr>
          <w:p w14:paraId="654EBABE">
            <w:pPr>
              <w:rPr>
                <w:rFonts w:ascii="Arial"/>
                <w:color w:val="auto"/>
                <w:sz w:val="21"/>
                <w:highlight w:val="none"/>
              </w:rPr>
            </w:pPr>
          </w:p>
        </w:tc>
        <w:tc>
          <w:tcPr>
            <w:tcW w:w="825" w:type="dxa"/>
            <w:vMerge w:val="continue"/>
            <w:tcBorders>
              <w:top w:val="nil"/>
            </w:tcBorders>
            <w:vAlign w:val="top"/>
          </w:tcPr>
          <w:p w14:paraId="4479872F">
            <w:pPr>
              <w:rPr>
                <w:rFonts w:ascii="Arial"/>
                <w:color w:val="auto"/>
                <w:sz w:val="21"/>
                <w:highlight w:val="none"/>
              </w:rPr>
            </w:pPr>
          </w:p>
        </w:tc>
        <w:tc>
          <w:tcPr>
            <w:tcW w:w="1014" w:type="dxa"/>
            <w:vAlign w:val="top"/>
          </w:tcPr>
          <w:p w14:paraId="4A2274CC">
            <w:pPr>
              <w:pStyle w:val="33"/>
              <w:spacing w:before="155" w:line="221" w:lineRule="auto"/>
              <w:ind w:left="202"/>
              <w:rPr>
                <w:color w:val="auto"/>
                <w:sz w:val="21"/>
                <w:szCs w:val="21"/>
                <w:highlight w:val="none"/>
              </w:rPr>
            </w:pPr>
            <w:r>
              <w:rPr>
                <w:color w:val="auto"/>
                <w:spacing w:val="-2"/>
                <w:sz w:val="21"/>
                <w:szCs w:val="21"/>
                <w:highlight w:val="none"/>
              </w:rPr>
              <w:t>设备费</w:t>
            </w:r>
          </w:p>
        </w:tc>
        <w:tc>
          <w:tcPr>
            <w:tcW w:w="1014" w:type="dxa"/>
            <w:vAlign w:val="top"/>
          </w:tcPr>
          <w:p w14:paraId="25416BE6">
            <w:pPr>
              <w:pStyle w:val="33"/>
              <w:spacing w:before="155" w:line="221" w:lineRule="auto"/>
              <w:ind w:left="204"/>
              <w:rPr>
                <w:color w:val="auto"/>
                <w:sz w:val="21"/>
                <w:szCs w:val="21"/>
                <w:highlight w:val="none"/>
              </w:rPr>
            </w:pPr>
            <w:r>
              <w:rPr>
                <w:color w:val="auto"/>
                <w:spacing w:val="-2"/>
                <w:sz w:val="21"/>
                <w:szCs w:val="21"/>
                <w:highlight w:val="none"/>
              </w:rPr>
              <w:t>安装费</w:t>
            </w:r>
          </w:p>
        </w:tc>
        <w:tc>
          <w:tcPr>
            <w:tcW w:w="1016" w:type="dxa"/>
            <w:vAlign w:val="top"/>
          </w:tcPr>
          <w:p w14:paraId="244E2BE5">
            <w:pPr>
              <w:pStyle w:val="33"/>
              <w:spacing w:before="155" w:line="221" w:lineRule="auto"/>
              <w:ind w:left="204"/>
              <w:rPr>
                <w:color w:val="auto"/>
                <w:sz w:val="21"/>
                <w:szCs w:val="21"/>
                <w:highlight w:val="none"/>
              </w:rPr>
            </w:pPr>
            <w:r>
              <w:rPr>
                <w:color w:val="auto"/>
                <w:spacing w:val="-2"/>
                <w:sz w:val="21"/>
                <w:szCs w:val="21"/>
                <w:highlight w:val="none"/>
              </w:rPr>
              <w:t>设备费</w:t>
            </w:r>
          </w:p>
        </w:tc>
        <w:tc>
          <w:tcPr>
            <w:tcW w:w="1017" w:type="dxa"/>
            <w:vAlign w:val="top"/>
          </w:tcPr>
          <w:p w14:paraId="3C16D7E8">
            <w:pPr>
              <w:pStyle w:val="33"/>
              <w:spacing w:before="155" w:line="221" w:lineRule="auto"/>
              <w:ind w:left="207"/>
              <w:rPr>
                <w:color w:val="auto"/>
                <w:sz w:val="21"/>
                <w:szCs w:val="21"/>
                <w:highlight w:val="none"/>
              </w:rPr>
            </w:pPr>
            <w:r>
              <w:rPr>
                <w:color w:val="auto"/>
                <w:spacing w:val="-2"/>
                <w:sz w:val="21"/>
                <w:szCs w:val="21"/>
                <w:highlight w:val="none"/>
              </w:rPr>
              <w:t>安装费</w:t>
            </w:r>
          </w:p>
        </w:tc>
        <w:tc>
          <w:tcPr>
            <w:tcW w:w="1273" w:type="dxa"/>
            <w:vMerge w:val="continue"/>
            <w:tcBorders>
              <w:top w:val="nil"/>
            </w:tcBorders>
            <w:vAlign w:val="top"/>
          </w:tcPr>
          <w:p w14:paraId="3B2FF0F5">
            <w:pPr>
              <w:rPr>
                <w:rFonts w:ascii="Arial"/>
                <w:color w:val="auto"/>
                <w:sz w:val="21"/>
                <w:highlight w:val="none"/>
              </w:rPr>
            </w:pPr>
          </w:p>
        </w:tc>
        <w:tc>
          <w:tcPr>
            <w:tcW w:w="937" w:type="dxa"/>
            <w:vMerge w:val="continue"/>
            <w:tcBorders>
              <w:top w:val="nil"/>
              <w:right w:val="single" w:color="000000" w:sz="6" w:space="0"/>
            </w:tcBorders>
            <w:vAlign w:val="top"/>
          </w:tcPr>
          <w:p w14:paraId="54CC27EE">
            <w:pPr>
              <w:rPr>
                <w:rFonts w:ascii="Arial"/>
                <w:color w:val="auto"/>
                <w:sz w:val="21"/>
                <w:highlight w:val="none"/>
              </w:rPr>
            </w:pPr>
          </w:p>
        </w:tc>
      </w:tr>
      <w:tr w14:paraId="3FBE36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39" w:type="dxa"/>
            <w:tcBorders>
              <w:left w:val="single" w:color="000000" w:sz="6" w:space="0"/>
            </w:tcBorders>
            <w:vAlign w:val="top"/>
          </w:tcPr>
          <w:p w14:paraId="6D150CBB">
            <w:pPr>
              <w:rPr>
                <w:rFonts w:ascii="Arial"/>
                <w:color w:val="auto"/>
                <w:sz w:val="21"/>
                <w:highlight w:val="none"/>
              </w:rPr>
            </w:pPr>
          </w:p>
        </w:tc>
        <w:tc>
          <w:tcPr>
            <w:tcW w:w="1261" w:type="dxa"/>
            <w:vAlign w:val="top"/>
          </w:tcPr>
          <w:p w14:paraId="7D105D9E">
            <w:pPr>
              <w:rPr>
                <w:rFonts w:ascii="Arial"/>
                <w:color w:val="auto"/>
                <w:sz w:val="21"/>
                <w:highlight w:val="none"/>
              </w:rPr>
            </w:pPr>
          </w:p>
        </w:tc>
        <w:tc>
          <w:tcPr>
            <w:tcW w:w="1841" w:type="dxa"/>
            <w:vAlign w:val="top"/>
          </w:tcPr>
          <w:p w14:paraId="303ADD66">
            <w:pPr>
              <w:rPr>
                <w:rFonts w:ascii="Arial"/>
                <w:color w:val="auto"/>
                <w:sz w:val="21"/>
                <w:highlight w:val="none"/>
              </w:rPr>
            </w:pPr>
          </w:p>
        </w:tc>
        <w:tc>
          <w:tcPr>
            <w:tcW w:w="2124" w:type="dxa"/>
            <w:vAlign w:val="top"/>
          </w:tcPr>
          <w:p w14:paraId="2D4CCFFE">
            <w:pPr>
              <w:rPr>
                <w:rFonts w:ascii="Arial"/>
                <w:color w:val="auto"/>
                <w:sz w:val="21"/>
                <w:highlight w:val="none"/>
              </w:rPr>
            </w:pPr>
          </w:p>
        </w:tc>
        <w:tc>
          <w:tcPr>
            <w:tcW w:w="779" w:type="dxa"/>
            <w:vAlign w:val="top"/>
          </w:tcPr>
          <w:p w14:paraId="7E5474D1">
            <w:pPr>
              <w:rPr>
                <w:rFonts w:ascii="Arial"/>
                <w:color w:val="auto"/>
                <w:sz w:val="21"/>
                <w:highlight w:val="none"/>
              </w:rPr>
            </w:pPr>
          </w:p>
        </w:tc>
        <w:tc>
          <w:tcPr>
            <w:tcW w:w="825" w:type="dxa"/>
            <w:vAlign w:val="top"/>
          </w:tcPr>
          <w:p w14:paraId="24F69555">
            <w:pPr>
              <w:rPr>
                <w:rFonts w:ascii="Arial"/>
                <w:color w:val="auto"/>
                <w:sz w:val="21"/>
                <w:highlight w:val="none"/>
              </w:rPr>
            </w:pPr>
          </w:p>
        </w:tc>
        <w:tc>
          <w:tcPr>
            <w:tcW w:w="1014" w:type="dxa"/>
            <w:vAlign w:val="top"/>
          </w:tcPr>
          <w:p w14:paraId="5082DA37">
            <w:pPr>
              <w:rPr>
                <w:rFonts w:ascii="Arial"/>
                <w:color w:val="auto"/>
                <w:sz w:val="21"/>
                <w:highlight w:val="none"/>
              </w:rPr>
            </w:pPr>
          </w:p>
        </w:tc>
        <w:tc>
          <w:tcPr>
            <w:tcW w:w="1014" w:type="dxa"/>
            <w:vAlign w:val="top"/>
          </w:tcPr>
          <w:p w14:paraId="22C86B1E">
            <w:pPr>
              <w:rPr>
                <w:rFonts w:ascii="Arial"/>
                <w:color w:val="auto"/>
                <w:sz w:val="21"/>
                <w:highlight w:val="none"/>
              </w:rPr>
            </w:pPr>
          </w:p>
        </w:tc>
        <w:tc>
          <w:tcPr>
            <w:tcW w:w="1016" w:type="dxa"/>
            <w:vAlign w:val="top"/>
          </w:tcPr>
          <w:p w14:paraId="0A3D7597">
            <w:pPr>
              <w:rPr>
                <w:rFonts w:ascii="Arial"/>
                <w:color w:val="auto"/>
                <w:sz w:val="21"/>
                <w:highlight w:val="none"/>
              </w:rPr>
            </w:pPr>
          </w:p>
        </w:tc>
        <w:tc>
          <w:tcPr>
            <w:tcW w:w="1017" w:type="dxa"/>
            <w:vAlign w:val="top"/>
          </w:tcPr>
          <w:p w14:paraId="5755B3E6">
            <w:pPr>
              <w:rPr>
                <w:rFonts w:ascii="Arial"/>
                <w:color w:val="auto"/>
                <w:sz w:val="21"/>
                <w:highlight w:val="none"/>
              </w:rPr>
            </w:pPr>
          </w:p>
        </w:tc>
        <w:tc>
          <w:tcPr>
            <w:tcW w:w="1273" w:type="dxa"/>
            <w:vAlign w:val="top"/>
          </w:tcPr>
          <w:p w14:paraId="0349731C">
            <w:pPr>
              <w:rPr>
                <w:rFonts w:ascii="Arial"/>
                <w:color w:val="auto"/>
                <w:sz w:val="21"/>
                <w:highlight w:val="none"/>
              </w:rPr>
            </w:pPr>
          </w:p>
        </w:tc>
        <w:tc>
          <w:tcPr>
            <w:tcW w:w="937" w:type="dxa"/>
            <w:tcBorders>
              <w:right w:val="single" w:color="000000" w:sz="6" w:space="0"/>
            </w:tcBorders>
            <w:vAlign w:val="top"/>
          </w:tcPr>
          <w:p w14:paraId="70A25E7A">
            <w:pPr>
              <w:rPr>
                <w:rFonts w:ascii="Arial"/>
                <w:color w:val="auto"/>
                <w:sz w:val="21"/>
                <w:highlight w:val="none"/>
              </w:rPr>
            </w:pPr>
          </w:p>
        </w:tc>
      </w:tr>
      <w:tr w14:paraId="16EF6B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66F3593C">
            <w:pPr>
              <w:rPr>
                <w:rFonts w:ascii="Arial"/>
                <w:color w:val="auto"/>
                <w:sz w:val="21"/>
                <w:highlight w:val="none"/>
              </w:rPr>
            </w:pPr>
          </w:p>
        </w:tc>
        <w:tc>
          <w:tcPr>
            <w:tcW w:w="1261" w:type="dxa"/>
            <w:vAlign w:val="top"/>
          </w:tcPr>
          <w:p w14:paraId="7092E5B0">
            <w:pPr>
              <w:rPr>
                <w:rFonts w:ascii="Arial"/>
                <w:color w:val="auto"/>
                <w:sz w:val="21"/>
                <w:highlight w:val="none"/>
              </w:rPr>
            </w:pPr>
          </w:p>
        </w:tc>
        <w:tc>
          <w:tcPr>
            <w:tcW w:w="1841" w:type="dxa"/>
            <w:vAlign w:val="top"/>
          </w:tcPr>
          <w:p w14:paraId="07478B74">
            <w:pPr>
              <w:rPr>
                <w:rFonts w:ascii="Arial"/>
                <w:color w:val="auto"/>
                <w:sz w:val="21"/>
                <w:highlight w:val="none"/>
              </w:rPr>
            </w:pPr>
          </w:p>
        </w:tc>
        <w:tc>
          <w:tcPr>
            <w:tcW w:w="2124" w:type="dxa"/>
            <w:vAlign w:val="top"/>
          </w:tcPr>
          <w:p w14:paraId="7C62880C">
            <w:pPr>
              <w:rPr>
                <w:rFonts w:ascii="Arial"/>
                <w:color w:val="auto"/>
                <w:sz w:val="21"/>
                <w:highlight w:val="none"/>
              </w:rPr>
            </w:pPr>
          </w:p>
        </w:tc>
        <w:tc>
          <w:tcPr>
            <w:tcW w:w="779" w:type="dxa"/>
            <w:vAlign w:val="top"/>
          </w:tcPr>
          <w:p w14:paraId="5E00A5CF">
            <w:pPr>
              <w:rPr>
                <w:rFonts w:ascii="Arial"/>
                <w:color w:val="auto"/>
                <w:sz w:val="21"/>
                <w:highlight w:val="none"/>
              </w:rPr>
            </w:pPr>
          </w:p>
        </w:tc>
        <w:tc>
          <w:tcPr>
            <w:tcW w:w="825" w:type="dxa"/>
            <w:vAlign w:val="top"/>
          </w:tcPr>
          <w:p w14:paraId="08E23570">
            <w:pPr>
              <w:rPr>
                <w:rFonts w:ascii="Arial"/>
                <w:color w:val="auto"/>
                <w:sz w:val="21"/>
                <w:highlight w:val="none"/>
              </w:rPr>
            </w:pPr>
          </w:p>
        </w:tc>
        <w:tc>
          <w:tcPr>
            <w:tcW w:w="1014" w:type="dxa"/>
            <w:vAlign w:val="top"/>
          </w:tcPr>
          <w:p w14:paraId="2A9C2AD3">
            <w:pPr>
              <w:rPr>
                <w:rFonts w:ascii="Arial"/>
                <w:color w:val="auto"/>
                <w:sz w:val="21"/>
                <w:highlight w:val="none"/>
              </w:rPr>
            </w:pPr>
          </w:p>
        </w:tc>
        <w:tc>
          <w:tcPr>
            <w:tcW w:w="1014" w:type="dxa"/>
            <w:vAlign w:val="top"/>
          </w:tcPr>
          <w:p w14:paraId="67F557A9">
            <w:pPr>
              <w:rPr>
                <w:rFonts w:ascii="Arial"/>
                <w:color w:val="auto"/>
                <w:sz w:val="21"/>
                <w:highlight w:val="none"/>
              </w:rPr>
            </w:pPr>
          </w:p>
        </w:tc>
        <w:tc>
          <w:tcPr>
            <w:tcW w:w="1016" w:type="dxa"/>
            <w:vAlign w:val="top"/>
          </w:tcPr>
          <w:p w14:paraId="04CD0AC9">
            <w:pPr>
              <w:rPr>
                <w:rFonts w:ascii="Arial"/>
                <w:color w:val="auto"/>
                <w:sz w:val="21"/>
                <w:highlight w:val="none"/>
              </w:rPr>
            </w:pPr>
          </w:p>
        </w:tc>
        <w:tc>
          <w:tcPr>
            <w:tcW w:w="1017" w:type="dxa"/>
            <w:vAlign w:val="top"/>
          </w:tcPr>
          <w:p w14:paraId="54DC5E52">
            <w:pPr>
              <w:rPr>
                <w:rFonts w:ascii="Arial"/>
                <w:color w:val="auto"/>
                <w:sz w:val="21"/>
                <w:highlight w:val="none"/>
              </w:rPr>
            </w:pPr>
          </w:p>
        </w:tc>
        <w:tc>
          <w:tcPr>
            <w:tcW w:w="1273" w:type="dxa"/>
            <w:vAlign w:val="top"/>
          </w:tcPr>
          <w:p w14:paraId="785743BE">
            <w:pPr>
              <w:rPr>
                <w:rFonts w:ascii="Arial"/>
                <w:color w:val="auto"/>
                <w:sz w:val="21"/>
                <w:highlight w:val="none"/>
              </w:rPr>
            </w:pPr>
          </w:p>
        </w:tc>
        <w:tc>
          <w:tcPr>
            <w:tcW w:w="937" w:type="dxa"/>
            <w:tcBorders>
              <w:right w:val="single" w:color="000000" w:sz="6" w:space="0"/>
            </w:tcBorders>
            <w:vAlign w:val="top"/>
          </w:tcPr>
          <w:p w14:paraId="715FF1B8">
            <w:pPr>
              <w:rPr>
                <w:rFonts w:ascii="Arial"/>
                <w:color w:val="auto"/>
                <w:sz w:val="21"/>
                <w:highlight w:val="none"/>
              </w:rPr>
            </w:pPr>
          </w:p>
        </w:tc>
      </w:tr>
      <w:tr w14:paraId="24B8F1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37AC82D3">
            <w:pPr>
              <w:rPr>
                <w:rFonts w:ascii="Arial"/>
                <w:color w:val="auto"/>
                <w:sz w:val="21"/>
                <w:highlight w:val="none"/>
              </w:rPr>
            </w:pPr>
          </w:p>
        </w:tc>
        <w:tc>
          <w:tcPr>
            <w:tcW w:w="1261" w:type="dxa"/>
            <w:vAlign w:val="top"/>
          </w:tcPr>
          <w:p w14:paraId="392C659C">
            <w:pPr>
              <w:rPr>
                <w:rFonts w:ascii="Arial"/>
                <w:color w:val="auto"/>
                <w:sz w:val="21"/>
                <w:highlight w:val="none"/>
              </w:rPr>
            </w:pPr>
          </w:p>
        </w:tc>
        <w:tc>
          <w:tcPr>
            <w:tcW w:w="1841" w:type="dxa"/>
            <w:vAlign w:val="top"/>
          </w:tcPr>
          <w:p w14:paraId="435D0B86">
            <w:pPr>
              <w:rPr>
                <w:rFonts w:ascii="Arial"/>
                <w:color w:val="auto"/>
                <w:sz w:val="21"/>
                <w:highlight w:val="none"/>
              </w:rPr>
            </w:pPr>
          </w:p>
        </w:tc>
        <w:tc>
          <w:tcPr>
            <w:tcW w:w="2124" w:type="dxa"/>
            <w:vAlign w:val="top"/>
          </w:tcPr>
          <w:p w14:paraId="41E11D3B">
            <w:pPr>
              <w:rPr>
                <w:rFonts w:ascii="Arial"/>
                <w:color w:val="auto"/>
                <w:sz w:val="21"/>
                <w:highlight w:val="none"/>
              </w:rPr>
            </w:pPr>
          </w:p>
        </w:tc>
        <w:tc>
          <w:tcPr>
            <w:tcW w:w="779" w:type="dxa"/>
            <w:vAlign w:val="top"/>
          </w:tcPr>
          <w:p w14:paraId="19722677">
            <w:pPr>
              <w:rPr>
                <w:rFonts w:ascii="Arial"/>
                <w:color w:val="auto"/>
                <w:sz w:val="21"/>
                <w:highlight w:val="none"/>
              </w:rPr>
            </w:pPr>
          </w:p>
        </w:tc>
        <w:tc>
          <w:tcPr>
            <w:tcW w:w="825" w:type="dxa"/>
            <w:vAlign w:val="top"/>
          </w:tcPr>
          <w:p w14:paraId="23A9C0E0">
            <w:pPr>
              <w:rPr>
                <w:rFonts w:ascii="Arial"/>
                <w:color w:val="auto"/>
                <w:sz w:val="21"/>
                <w:highlight w:val="none"/>
              </w:rPr>
            </w:pPr>
          </w:p>
        </w:tc>
        <w:tc>
          <w:tcPr>
            <w:tcW w:w="1014" w:type="dxa"/>
            <w:vAlign w:val="top"/>
          </w:tcPr>
          <w:p w14:paraId="6995ECCE">
            <w:pPr>
              <w:rPr>
                <w:rFonts w:ascii="Arial"/>
                <w:color w:val="auto"/>
                <w:sz w:val="21"/>
                <w:highlight w:val="none"/>
              </w:rPr>
            </w:pPr>
          </w:p>
        </w:tc>
        <w:tc>
          <w:tcPr>
            <w:tcW w:w="1014" w:type="dxa"/>
            <w:vAlign w:val="top"/>
          </w:tcPr>
          <w:p w14:paraId="3D9B9E7C">
            <w:pPr>
              <w:rPr>
                <w:rFonts w:ascii="Arial"/>
                <w:color w:val="auto"/>
                <w:sz w:val="21"/>
                <w:highlight w:val="none"/>
              </w:rPr>
            </w:pPr>
          </w:p>
        </w:tc>
        <w:tc>
          <w:tcPr>
            <w:tcW w:w="1016" w:type="dxa"/>
            <w:vAlign w:val="top"/>
          </w:tcPr>
          <w:p w14:paraId="08753DE3">
            <w:pPr>
              <w:rPr>
                <w:rFonts w:ascii="Arial"/>
                <w:color w:val="auto"/>
                <w:sz w:val="21"/>
                <w:highlight w:val="none"/>
              </w:rPr>
            </w:pPr>
          </w:p>
        </w:tc>
        <w:tc>
          <w:tcPr>
            <w:tcW w:w="1017" w:type="dxa"/>
            <w:vAlign w:val="top"/>
          </w:tcPr>
          <w:p w14:paraId="68925466">
            <w:pPr>
              <w:rPr>
                <w:rFonts w:ascii="Arial"/>
                <w:color w:val="auto"/>
                <w:sz w:val="21"/>
                <w:highlight w:val="none"/>
              </w:rPr>
            </w:pPr>
          </w:p>
        </w:tc>
        <w:tc>
          <w:tcPr>
            <w:tcW w:w="1273" w:type="dxa"/>
            <w:vAlign w:val="top"/>
          </w:tcPr>
          <w:p w14:paraId="05D4CB61">
            <w:pPr>
              <w:rPr>
                <w:rFonts w:ascii="Arial"/>
                <w:color w:val="auto"/>
                <w:sz w:val="21"/>
                <w:highlight w:val="none"/>
              </w:rPr>
            </w:pPr>
          </w:p>
        </w:tc>
        <w:tc>
          <w:tcPr>
            <w:tcW w:w="937" w:type="dxa"/>
            <w:tcBorders>
              <w:right w:val="single" w:color="000000" w:sz="6" w:space="0"/>
            </w:tcBorders>
            <w:vAlign w:val="top"/>
          </w:tcPr>
          <w:p w14:paraId="6CD549E4">
            <w:pPr>
              <w:rPr>
                <w:rFonts w:ascii="Arial"/>
                <w:color w:val="auto"/>
                <w:sz w:val="21"/>
                <w:highlight w:val="none"/>
              </w:rPr>
            </w:pPr>
          </w:p>
        </w:tc>
      </w:tr>
      <w:tr w14:paraId="489235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277E722B">
            <w:pPr>
              <w:rPr>
                <w:rFonts w:ascii="Arial"/>
                <w:color w:val="auto"/>
                <w:sz w:val="21"/>
                <w:highlight w:val="none"/>
              </w:rPr>
            </w:pPr>
          </w:p>
        </w:tc>
        <w:tc>
          <w:tcPr>
            <w:tcW w:w="1261" w:type="dxa"/>
            <w:vAlign w:val="top"/>
          </w:tcPr>
          <w:p w14:paraId="68651F3A">
            <w:pPr>
              <w:rPr>
                <w:rFonts w:ascii="Arial"/>
                <w:color w:val="auto"/>
                <w:sz w:val="21"/>
                <w:highlight w:val="none"/>
              </w:rPr>
            </w:pPr>
          </w:p>
        </w:tc>
        <w:tc>
          <w:tcPr>
            <w:tcW w:w="1841" w:type="dxa"/>
            <w:vAlign w:val="top"/>
          </w:tcPr>
          <w:p w14:paraId="2D8E17D5">
            <w:pPr>
              <w:rPr>
                <w:rFonts w:ascii="Arial"/>
                <w:color w:val="auto"/>
                <w:sz w:val="21"/>
                <w:highlight w:val="none"/>
              </w:rPr>
            </w:pPr>
          </w:p>
        </w:tc>
        <w:tc>
          <w:tcPr>
            <w:tcW w:w="2124" w:type="dxa"/>
            <w:vAlign w:val="top"/>
          </w:tcPr>
          <w:p w14:paraId="448E02B7">
            <w:pPr>
              <w:rPr>
                <w:rFonts w:ascii="Arial"/>
                <w:color w:val="auto"/>
                <w:sz w:val="21"/>
                <w:highlight w:val="none"/>
              </w:rPr>
            </w:pPr>
          </w:p>
        </w:tc>
        <w:tc>
          <w:tcPr>
            <w:tcW w:w="779" w:type="dxa"/>
            <w:vAlign w:val="top"/>
          </w:tcPr>
          <w:p w14:paraId="53864987">
            <w:pPr>
              <w:rPr>
                <w:rFonts w:ascii="Arial"/>
                <w:color w:val="auto"/>
                <w:sz w:val="21"/>
                <w:highlight w:val="none"/>
              </w:rPr>
            </w:pPr>
          </w:p>
        </w:tc>
        <w:tc>
          <w:tcPr>
            <w:tcW w:w="825" w:type="dxa"/>
            <w:vAlign w:val="top"/>
          </w:tcPr>
          <w:p w14:paraId="03729EA6">
            <w:pPr>
              <w:rPr>
                <w:rFonts w:ascii="Arial"/>
                <w:color w:val="auto"/>
                <w:sz w:val="21"/>
                <w:highlight w:val="none"/>
              </w:rPr>
            </w:pPr>
          </w:p>
        </w:tc>
        <w:tc>
          <w:tcPr>
            <w:tcW w:w="1014" w:type="dxa"/>
            <w:vAlign w:val="top"/>
          </w:tcPr>
          <w:p w14:paraId="0A0B55A6">
            <w:pPr>
              <w:rPr>
                <w:rFonts w:ascii="Arial"/>
                <w:color w:val="auto"/>
                <w:sz w:val="21"/>
                <w:highlight w:val="none"/>
              </w:rPr>
            </w:pPr>
          </w:p>
        </w:tc>
        <w:tc>
          <w:tcPr>
            <w:tcW w:w="1014" w:type="dxa"/>
            <w:vAlign w:val="top"/>
          </w:tcPr>
          <w:p w14:paraId="7CE1C9BA">
            <w:pPr>
              <w:rPr>
                <w:rFonts w:ascii="Arial"/>
                <w:color w:val="auto"/>
                <w:sz w:val="21"/>
                <w:highlight w:val="none"/>
              </w:rPr>
            </w:pPr>
          </w:p>
        </w:tc>
        <w:tc>
          <w:tcPr>
            <w:tcW w:w="1016" w:type="dxa"/>
            <w:vAlign w:val="top"/>
          </w:tcPr>
          <w:p w14:paraId="6BF2C7E6">
            <w:pPr>
              <w:rPr>
                <w:rFonts w:ascii="Arial"/>
                <w:color w:val="auto"/>
                <w:sz w:val="21"/>
                <w:highlight w:val="none"/>
              </w:rPr>
            </w:pPr>
          </w:p>
        </w:tc>
        <w:tc>
          <w:tcPr>
            <w:tcW w:w="1017" w:type="dxa"/>
            <w:vAlign w:val="top"/>
          </w:tcPr>
          <w:p w14:paraId="41EC3D18">
            <w:pPr>
              <w:rPr>
                <w:rFonts w:ascii="Arial"/>
                <w:color w:val="auto"/>
                <w:sz w:val="21"/>
                <w:highlight w:val="none"/>
              </w:rPr>
            </w:pPr>
          </w:p>
        </w:tc>
        <w:tc>
          <w:tcPr>
            <w:tcW w:w="1273" w:type="dxa"/>
            <w:vAlign w:val="top"/>
          </w:tcPr>
          <w:p w14:paraId="22BACA24">
            <w:pPr>
              <w:rPr>
                <w:rFonts w:ascii="Arial"/>
                <w:color w:val="auto"/>
                <w:sz w:val="21"/>
                <w:highlight w:val="none"/>
              </w:rPr>
            </w:pPr>
          </w:p>
        </w:tc>
        <w:tc>
          <w:tcPr>
            <w:tcW w:w="937" w:type="dxa"/>
            <w:tcBorders>
              <w:right w:val="single" w:color="000000" w:sz="6" w:space="0"/>
            </w:tcBorders>
            <w:vAlign w:val="top"/>
          </w:tcPr>
          <w:p w14:paraId="1D102F08">
            <w:pPr>
              <w:rPr>
                <w:rFonts w:ascii="Arial"/>
                <w:color w:val="auto"/>
                <w:sz w:val="21"/>
                <w:highlight w:val="none"/>
              </w:rPr>
            </w:pPr>
          </w:p>
        </w:tc>
      </w:tr>
      <w:tr w14:paraId="271B2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2882295B">
            <w:pPr>
              <w:rPr>
                <w:rFonts w:ascii="Arial"/>
                <w:color w:val="auto"/>
                <w:sz w:val="21"/>
                <w:highlight w:val="none"/>
              </w:rPr>
            </w:pPr>
          </w:p>
        </w:tc>
        <w:tc>
          <w:tcPr>
            <w:tcW w:w="1261" w:type="dxa"/>
            <w:vAlign w:val="top"/>
          </w:tcPr>
          <w:p w14:paraId="5935F20F">
            <w:pPr>
              <w:rPr>
                <w:rFonts w:ascii="Arial"/>
                <w:color w:val="auto"/>
                <w:sz w:val="21"/>
                <w:highlight w:val="none"/>
              </w:rPr>
            </w:pPr>
          </w:p>
        </w:tc>
        <w:tc>
          <w:tcPr>
            <w:tcW w:w="1841" w:type="dxa"/>
            <w:vAlign w:val="top"/>
          </w:tcPr>
          <w:p w14:paraId="02CFC1A3">
            <w:pPr>
              <w:rPr>
                <w:rFonts w:ascii="Arial"/>
                <w:color w:val="auto"/>
                <w:sz w:val="21"/>
                <w:highlight w:val="none"/>
              </w:rPr>
            </w:pPr>
          </w:p>
        </w:tc>
        <w:tc>
          <w:tcPr>
            <w:tcW w:w="2124" w:type="dxa"/>
            <w:vAlign w:val="top"/>
          </w:tcPr>
          <w:p w14:paraId="39DD5ACE">
            <w:pPr>
              <w:rPr>
                <w:rFonts w:ascii="Arial"/>
                <w:color w:val="auto"/>
                <w:sz w:val="21"/>
                <w:highlight w:val="none"/>
              </w:rPr>
            </w:pPr>
          </w:p>
        </w:tc>
        <w:tc>
          <w:tcPr>
            <w:tcW w:w="779" w:type="dxa"/>
            <w:vAlign w:val="top"/>
          </w:tcPr>
          <w:p w14:paraId="0B0A77DB">
            <w:pPr>
              <w:rPr>
                <w:rFonts w:ascii="Arial"/>
                <w:color w:val="auto"/>
                <w:sz w:val="21"/>
                <w:highlight w:val="none"/>
              </w:rPr>
            </w:pPr>
          </w:p>
        </w:tc>
        <w:tc>
          <w:tcPr>
            <w:tcW w:w="825" w:type="dxa"/>
            <w:vAlign w:val="top"/>
          </w:tcPr>
          <w:p w14:paraId="2E9FA4E2">
            <w:pPr>
              <w:rPr>
                <w:rFonts w:ascii="Arial"/>
                <w:color w:val="auto"/>
                <w:sz w:val="21"/>
                <w:highlight w:val="none"/>
              </w:rPr>
            </w:pPr>
          </w:p>
        </w:tc>
        <w:tc>
          <w:tcPr>
            <w:tcW w:w="1014" w:type="dxa"/>
            <w:vAlign w:val="top"/>
          </w:tcPr>
          <w:p w14:paraId="5C72BEC1">
            <w:pPr>
              <w:rPr>
                <w:rFonts w:ascii="Arial"/>
                <w:color w:val="auto"/>
                <w:sz w:val="21"/>
                <w:highlight w:val="none"/>
              </w:rPr>
            </w:pPr>
          </w:p>
        </w:tc>
        <w:tc>
          <w:tcPr>
            <w:tcW w:w="1014" w:type="dxa"/>
            <w:vAlign w:val="top"/>
          </w:tcPr>
          <w:p w14:paraId="15DF95EE">
            <w:pPr>
              <w:rPr>
                <w:rFonts w:ascii="Arial"/>
                <w:color w:val="auto"/>
                <w:sz w:val="21"/>
                <w:highlight w:val="none"/>
              </w:rPr>
            </w:pPr>
          </w:p>
        </w:tc>
        <w:tc>
          <w:tcPr>
            <w:tcW w:w="1016" w:type="dxa"/>
            <w:vAlign w:val="top"/>
          </w:tcPr>
          <w:p w14:paraId="2011DF29">
            <w:pPr>
              <w:rPr>
                <w:rFonts w:ascii="Arial"/>
                <w:color w:val="auto"/>
                <w:sz w:val="21"/>
                <w:highlight w:val="none"/>
              </w:rPr>
            </w:pPr>
          </w:p>
        </w:tc>
        <w:tc>
          <w:tcPr>
            <w:tcW w:w="1017" w:type="dxa"/>
            <w:vAlign w:val="top"/>
          </w:tcPr>
          <w:p w14:paraId="0437A87F">
            <w:pPr>
              <w:rPr>
                <w:rFonts w:ascii="Arial"/>
                <w:color w:val="auto"/>
                <w:sz w:val="21"/>
                <w:highlight w:val="none"/>
              </w:rPr>
            </w:pPr>
          </w:p>
        </w:tc>
        <w:tc>
          <w:tcPr>
            <w:tcW w:w="1273" w:type="dxa"/>
            <w:vAlign w:val="top"/>
          </w:tcPr>
          <w:p w14:paraId="0B4A95A3">
            <w:pPr>
              <w:rPr>
                <w:rFonts w:ascii="Arial"/>
                <w:color w:val="auto"/>
                <w:sz w:val="21"/>
                <w:highlight w:val="none"/>
              </w:rPr>
            </w:pPr>
          </w:p>
        </w:tc>
        <w:tc>
          <w:tcPr>
            <w:tcW w:w="937" w:type="dxa"/>
            <w:tcBorders>
              <w:right w:val="single" w:color="000000" w:sz="6" w:space="0"/>
            </w:tcBorders>
            <w:vAlign w:val="top"/>
          </w:tcPr>
          <w:p w14:paraId="105BA8C1">
            <w:pPr>
              <w:rPr>
                <w:rFonts w:ascii="Arial"/>
                <w:color w:val="auto"/>
                <w:sz w:val="21"/>
                <w:highlight w:val="none"/>
              </w:rPr>
            </w:pPr>
          </w:p>
        </w:tc>
      </w:tr>
      <w:tr w14:paraId="6C2EF9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1F9FE635">
            <w:pPr>
              <w:rPr>
                <w:rFonts w:ascii="Arial"/>
                <w:color w:val="auto"/>
                <w:sz w:val="21"/>
                <w:highlight w:val="none"/>
              </w:rPr>
            </w:pPr>
          </w:p>
        </w:tc>
        <w:tc>
          <w:tcPr>
            <w:tcW w:w="1261" w:type="dxa"/>
            <w:vAlign w:val="top"/>
          </w:tcPr>
          <w:p w14:paraId="05BC9204">
            <w:pPr>
              <w:rPr>
                <w:rFonts w:ascii="Arial"/>
                <w:color w:val="auto"/>
                <w:sz w:val="21"/>
                <w:highlight w:val="none"/>
              </w:rPr>
            </w:pPr>
          </w:p>
        </w:tc>
        <w:tc>
          <w:tcPr>
            <w:tcW w:w="1841" w:type="dxa"/>
            <w:vAlign w:val="top"/>
          </w:tcPr>
          <w:p w14:paraId="04E3F4CB">
            <w:pPr>
              <w:rPr>
                <w:rFonts w:ascii="Arial"/>
                <w:color w:val="auto"/>
                <w:sz w:val="21"/>
                <w:highlight w:val="none"/>
              </w:rPr>
            </w:pPr>
          </w:p>
        </w:tc>
        <w:tc>
          <w:tcPr>
            <w:tcW w:w="2124" w:type="dxa"/>
            <w:vAlign w:val="top"/>
          </w:tcPr>
          <w:p w14:paraId="77669444">
            <w:pPr>
              <w:rPr>
                <w:rFonts w:ascii="Arial"/>
                <w:color w:val="auto"/>
                <w:sz w:val="21"/>
                <w:highlight w:val="none"/>
              </w:rPr>
            </w:pPr>
          </w:p>
        </w:tc>
        <w:tc>
          <w:tcPr>
            <w:tcW w:w="779" w:type="dxa"/>
            <w:vAlign w:val="top"/>
          </w:tcPr>
          <w:p w14:paraId="6CC82460">
            <w:pPr>
              <w:rPr>
                <w:rFonts w:ascii="Arial"/>
                <w:color w:val="auto"/>
                <w:sz w:val="21"/>
                <w:highlight w:val="none"/>
              </w:rPr>
            </w:pPr>
          </w:p>
        </w:tc>
        <w:tc>
          <w:tcPr>
            <w:tcW w:w="825" w:type="dxa"/>
            <w:vAlign w:val="top"/>
          </w:tcPr>
          <w:p w14:paraId="0AA64999">
            <w:pPr>
              <w:rPr>
                <w:rFonts w:ascii="Arial"/>
                <w:color w:val="auto"/>
                <w:sz w:val="21"/>
                <w:highlight w:val="none"/>
              </w:rPr>
            </w:pPr>
          </w:p>
        </w:tc>
        <w:tc>
          <w:tcPr>
            <w:tcW w:w="1014" w:type="dxa"/>
            <w:vAlign w:val="top"/>
          </w:tcPr>
          <w:p w14:paraId="01036DF9">
            <w:pPr>
              <w:rPr>
                <w:rFonts w:ascii="Arial"/>
                <w:color w:val="auto"/>
                <w:sz w:val="21"/>
                <w:highlight w:val="none"/>
              </w:rPr>
            </w:pPr>
          </w:p>
        </w:tc>
        <w:tc>
          <w:tcPr>
            <w:tcW w:w="1014" w:type="dxa"/>
            <w:vAlign w:val="top"/>
          </w:tcPr>
          <w:p w14:paraId="43F2DC22">
            <w:pPr>
              <w:rPr>
                <w:rFonts w:ascii="Arial"/>
                <w:color w:val="auto"/>
                <w:sz w:val="21"/>
                <w:highlight w:val="none"/>
              </w:rPr>
            </w:pPr>
          </w:p>
        </w:tc>
        <w:tc>
          <w:tcPr>
            <w:tcW w:w="1016" w:type="dxa"/>
            <w:vAlign w:val="top"/>
          </w:tcPr>
          <w:p w14:paraId="58EB5807">
            <w:pPr>
              <w:rPr>
                <w:rFonts w:ascii="Arial"/>
                <w:color w:val="auto"/>
                <w:sz w:val="21"/>
                <w:highlight w:val="none"/>
              </w:rPr>
            </w:pPr>
          </w:p>
        </w:tc>
        <w:tc>
          <w:tcPr>
            <w:tcW w:w="1017" w:type="dxa"/>
            <w:vAlign w:val="top"/>
          </w:tcPr>
          <w:p w14:paraId="12DA32B8">
            <w:pPr>
              <w:rPr>
                <w:rFonts w:ascii="Arial"/>
                <w:color w:val="auto"/>
                <w:sz w:val="21"/>
                <w:highlight w:val="none"/>
              </w:rPr>
            </w:pPr>
          </w:p>
        </w:tc>
        <w:tc>
          <w:tcPr>
            <w:tcW w:w="1273" w:type="dxa"/>
            <w:vAlign w:val="top"/>
          </w:tcPr>
          <w:p w14:paraId="3A70387E">
            <w:pPr>
              <w:rPr>
                <w:rFonts w:ascii="Arial"/>
                <w:color w:val="auto"/>
                <w:sz w:val="21"/>
                <w:highlight w:val="none"/>
              </w:rPr>
            </w:pPr>
          </w:p>
        </w:tc>
        <w:tc>
          <w:tcPr>
            <w:tcW w:w="937" w:type="dxa"/>
            <w:tcBorders>
              <w:right w:val="single" w:color="000000" w:sz="6" w:space="0"/>
            </w:tcBorders>
            <w:vAlign w:val="top"/>
          </w:tcPr>
          <w:p w14:paraId="03E6D875">
            <w:pPr>
              <w:rPr>
                <w:rFonts w:ascii="Arial"/>
                <w:color w:val="auto"/>
                <w:sz w:val="21"/>
                <w:highlight w:val="none"/>
              </w:rPr>
            </w:pPr>
          </w:p>
        </w:tc>
      </w:tr>
      <w:tr w14:paraId="4205FC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39" w:type="dxa"/>
            <w:tcBorders>
              <w:left w:val="single" w:color="000000" w:sz="6" w:space="0"/>
            </w:tcBorders>
            <w:vAlign w:val="top"/>
          </w:tcPr>
          <w:p w14:paraId="1EBAD480">
            <w:pPr>
              <w:rPr>
                <w:rFonts w:ascii="Arial"/>
                <w:color w:val="auto"/>
                <w:sz w:val="21"/>
                <w:highlight w:val="none"/>
              </w:rPr>
            </w:pPr>
          </w:p>
        </w:tc>
        <w:tc>
          <w:tcPr>
            <w:tcW w:w="1261" w:type="dxa"/>
            <w:vAlign w:val="top"/>
          </w:tcPr>
          <w:p w14:paraId="3BF500A1">
            <w:pPr>
              <w:rPr>
                <w:rFonts w:ascii="Arial"/>
                <w:color w:val="auto"/>
                <w:sz w:val="21"/>
                <w:highlight w:val="none"/>
              </w:rPr>
            </w:pPr>
          </w:p>
        </w:tc>
        <w:tc>
          <w:tcPr>
            <w:tcW w:w="1841" w:type="dxa"/>
            <w:vAlign w:val="top"/>
          </w:tcPr>
          <w:p w14:paraId="4C9D9288">
            <w:pPr>
              <w:rPr>
                <w:rFonts w:ascii="Arial"/>
                <w:color w:val="auto"/>
                <w:sz w:val="21"/>
                <w:highlight w:val="none"/>
              </w:rPr>
            </w:pPr>
          </w:p>
        </w:tc>
        <w:tc>
          <w:tcPr>
            <w:tcW w:w="2124" w:type="dxa"/>
            <w:vAlign w:val="top"/>
          </w:tcPr>
          <w:p w14:paraId="7FE5D128">
            <w:pPr>
              <w:rPr>
                <w:rFonts w:ascii="Arial"/>
                <w:color w:val="auto"/>
                <w:sz w:val="21"/>
                <w:highlight w:val="none"/>
              </w:rPr>
            </w:pPr>
          </w:p>
        </w:tc>
        <w:tc>
          <w:tcPr>
            <w:tcW w:w="779" w:type="dxa"/>
            <w:vAlign w:val="top"/>
          </w:tcPr>
          <w:p w14:paraId="68B03ADF">
            <w:pPr>
              <w:rPr>
                <w:rFonts w:ascii="Arial"/>
                <w:color w:val="auto"/>
                <w:sz w:val="21"/>
                <w:highlight w:val="none"/>
              </w:rPr>
            </w:pPr>
          </w:p>
        </w:tc>
        <w:tc>
          <w:tcPr>
            <w:tcW w:w="825" w:type="dxa"/>
            <w:vAlign w:val="top"/>
          </w:tcPr>
          <w:p w14:paraId="17C3448A">
            <w:pPr>
              <w:rPr>
                <w:rFonts w:ascii="Arial"/>
                <w:color w:val="auto"/>
                <w:sz w:val="21"/>
                <w:highlight w:val="none"/>
              </w:rPr>
            </w:pPr>
          </w:p>
        </w:tc>
        <w:tc>
          <w:tcPr>
            <w:tcW w:w="1014" w:type="dxa"/>
            <w:vAlign w:val="top"/>
          </w:tcPr>
          <w:p w14:paraId="0B57B8E1">
            <w:pPr>
              <w:rPr>
                <w:rFonts w:ascii="Arial"/>
                <w:color w:val="auto"/>
                <w:sz w:val="21"/>
                <w:highlight w:val="none"/>
              </w:rPr>
            </w:pPr>
          </w:p>
        </w:tc>
        <w:tc>
          <w:tcPr>
            <w:tcW w:w="1014" w:type="dxa"/>
            <w:vAlign w:val="top"/>
          </w:tcPr>
          <w:p w14:paraId="3126EAE8">
            <w:pPr>
              <w:rPr>
                <w:rFonts w:ascii="Arial"/>
                <w:color w:val="auto"/>
                <w:sz w:val="21"/>
                <w:highlight w:val="none"/>
              </w:rPr>
            </w:pPr>
          </w:p>
        </w:tc>
        <w:tc>
          <w:tcPr>
            <w:tcW w:w="1016" w:type="dxa"/>
            <w:vAlign w:val="top"/>
          </w:tcPr>
          <w:p w14:paraId="64DA5E44">
            <w:pPr>
              <w:rPr>
                <w:rFonts w:ascii="Arial"/>
                <w:color w:val="auto"/>
                <w:sz w:val="21"/>
                <w:highlight w:val="none"/>
              </w:rPr>
            </w:pPr>
          </w:p>
        </w:tc>
        <w:tc>
          <w:tcPr>
            <w:tcW w:w="1017" w:type="dxa"/>
            <w:vAlign w:val="top"/>
          </w:tcPr>
          <w:p w14:paraId="1ADA2AEB">
            <w:pPr>
              <w:rPr>
                <w:rFonts w:ascii="Arial"/>
                <w:color w:val="auto"/>
                <w:sz w:val="21"/>
                <w:highlight w:val="none"/>
              </w:rPr>
            </w:pPr>
          </w:p>
        </w:tc>
        <w:tc>
          <w:tcPr>
            <w:tcW w:w="1273" w:type="dxa"/>
            <w:vAlign w:val="top"/>
          </w:tcPr>
          <w:p w14:paraId="022C3D92">
            <w:pPr>
              <w:rPr>
                <w:rFonts w:ascii="Arial"/>
                <w:color w:val="auto"/>
                <w:sz w:val="21"/>
                <w:highlight w:val="none"/>
              </w:rPr>
            </w:pPr>
          </w:p>
        </w:tc>
        <w:tc>
          <w:tcPr>
            <w:tcW w:w="937" w:type="dxa"/>
            <w:tcBorders>
              <w:right w:val="single" w:color="000000" w:sz="6" w:space="0"/>
            </w:tcBorders>
            <w:vAlign w:val="top"/>
          </w:tcPr>
          <w:p w14:paraId="62FFD0FC">
            <w:pPr>
              <w:rPr>
                <w:rFonts w:ascii="Arial"/>
                <w:color w:val="auto"/>
                <w:sz w:val="21"/>
                <w:highlight w:val="none"/>
              </w:rPr>
            </w:pPr>
          </w:p>
        </w:tc>
      </w:tr>
      <w:tr w14:paraId="571641B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2A78E958">
            <w:pPr>
              <w:rPr>
                <w:rFonts w:ascii="Arial"/>
                <w:color w:val="auto"/>
                <w:sz w:val="21"/>
                <w:highlight w:val="none"/>
              </w:rPr>
            </w:pPr>
          </w:p>
        </w:tc>
        <w:tc>
          <w:tcPr>
            <w:tcW w:w="1261" w:type="dxa"/>
            <w:vAlign w:val="top"/>
          </w:tcPr>
          <w:p w14:paraId="3CCAED4C">
            <w:pPr>
              <w:rPr>
                <w:rFonts w:ascii="Arial"/>
                <w:color w:val="auto"/>
                <w:sz w:val="21"/>
                <w:highlight w:val="none"/>
              </w:rPr>
            </w:pPr>
          </w:p>
        </w:tc>
        <w:tc>
          <w:tcPr>
            <w:tcW w:w="1841" w:type="dxa"/>
            <w:vAlign w:val="top"/>
          </w:tcPr>
          <w:p w14:paraId="35C1EC58">
            <w:pPr>
              <w:rPr>
                <w:rFonts w:ascii="Arial"/>
                <w:color w:val="auto"/>
                <w:sz w:val="21"/>
                <w:highlight w:val="none"/>
              </w:rPr>
            </w:pPr>
          </w:p>
        </w:tc>
        <w:tc>
          <w:tcPr>
            <w:tcW w:w="2124" w:type="dxa"/>
            <w:vAlign w:val="top"/>
          </w:tcPr>
          <w:p w14:paraId="0F4916A2">
            <w:pPr>
              <w:rPr>
                <w:rFonts w:ascii="Arial"/>
                <w:color w:val="auto"/>
                <w:sz w:val="21"/>
                <w:highlight w:val="none"/>
              </w:rPr>
            </w:pPr>
          </w:p>
        </w:tc>
        <w:tc>
          <w:tcPr>
            <w:tcW w:w="779" w:type="dxa"/>
            <w:vAlign w:val="top"/>
          </w:tcPr>
          <w:p w14:paraId="129ABEDC">
            <w:pPr>
              <w:rPr>
                <w:rFonts w:ascii="Arial"/>
                <w:color w:val="auto"/>
                <w:sz w:val="21"/>
                <w:highlight w:val="none"/>
              </w:rPr>
            </w:pPr>
          </w:p>
        </w:tc>
        <w:tc>
          <w:tcPr>
            <w:tcW w:w="825" w:type="dxa"/>
            <w:vAlign w:val="top"/>
          </w:tcPr>
          <w:p w14:paraId="373E3754">
            <w:pPr>
              <w:rPr>
                <w:rFonts w:ascii="Arial"/>
                <w:color w:val="auto"/>
                <w:sz w:val="21"/>
                <w:highlight w:val="none"/>
              </w:rPr>
            </w:pPr>
          </w:p>
        </w:tc>
        <w:tc>
          <w:tcPr>
            <w:tcW w:w="1014" w:type="dxa"/>
            <w:vAlign w:val="top"/>
          </w:tcPr>
          <w:p w14:paraId="2CA3F404">
            <w:pPr>
              <w:rPr>
                <w:rFonts w:ascii="Arial"/>
                <w:color w:val="auto"/>
                <w:sz w:val="21"/>
                <w:highlight w:val="none"/>
              </w:rPr>
            </w:pPr>
          </w:p>
        </w:tc>
        <w:tc>
          <w:tcPr>
            <w:tcW w:w="1014" w:type="dxa"/>
            <w:vAlign w:val="top"/>
          </w:tcPr>
          <w:p w14:paraId="79865865">
            <w:pPr>
              <w:rPr>
                <w:rFonts w:ascii="Arial"/>
                <w:color w:val="auto"/>
                <w:sz w:val="21"/>
                <w:highlight w:val="none"/>
              </w:rPr>
            </w:pPr>
          </w:p>
        </w:tc>
        <w:tc>
          <w:tcPr>
            <w:tcW w:w="1016" w:type="dxa"/>
            <w:vAlign w:val="top"/>
          </w:tcPr>
          <w:p w14:paraId="71C66F58">
            <w:pPr>
              <w:rPr>
                <w:rFonts w:ascii="Arial"/>
                <w:color w:val="auto"/>
                <w:sz w:val="21"/>
                <w:highlight w:val="none"/>
              </w:rPr>
            </w:pPr>
          </w:p>
        </w:tc>
        <w:tc>
          <w:tcPr>
            <w:tcW w:w="1017" w:type="dxa"/>
            <w:vAlign w:val="top"/>
          </w:tcPr>
          <w:p w14:paraId="7914DDD1">
            <w:pPr>
              <w:rPr>
                <w:rFonts w:ascii="Arial"/>
                <w:color w:val="auto"/>
                <w:sz w:val="21"/>
                <w:highlight w:val="none"/>
              </w:rPr>
            </w:pPr>
          </w:p>
        </w:tc>
        <w:tc>
          <w:tcPr>
            <w:tcW w:w="1273" w:type="dxa"/>
            <w:vAlign w:val="top"/>
          </w:tcPr>
          <w:p w14:paraId="30DFCDDE">
            <w:pPr>
              <w:rPr>
                <w:rFonts w:ascii="Arial"/>
                <w:color w:val="auto"/>
                <w:sz w:val="21"/>
                <w:highlight w:val="none"/>
              </w:rPr>
            </w:pPr>
          </w:p>
        </w:tc>
        <w:tc>
          <w:tcPr>
            <w:tcW w:w="937" w:type="dxa"/>
            <w:tcBorders>
              <w:right w:val="single" w:color="000000" w:sz="6" w:space="0"/>
            </w:tcBorders>
            <w:vAlign w:val="top"/>
          </w:tcPr>
          <w:p w14:paraId="367AB612">
            <w:pPr>
              <w:rPr>
                <w:rFonts w:ascii="Arial"/>
                <w:color w:val="auto"/>
                <w:sz w:val="21"/>
                <w:highlight w:val="none"/>
              </w:rPr>
            </w:pPr>
          </w:p>
        </w:tc>
      </w:tr>
      <w:tr w14:paraId="4A6AA5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36D71512">
            <w:pPr>
              <w:rPr>
                <w:rFonts w:ascii="Arial"/>
                <w:color w:val="auto"/>
                <w:sz w:val="21"/>
                <w:highlight w:val="none"/>
              </w:rPr>
            </w:pPr>
          </w:p>
        </w:tc>
        <w:tc>
          <w:tcPr>
            <w:tcW w:w="1261" w:type="dxa"/>
            <w:vAlign w:val="top"/>
          </w:tcPr>
          <w:p w14:paraId="31137BA5">
            <w:pPr>
              <w:rPr>
                <w:rFonts w:ascii="Arial"/>
                <w:color w:val="auto"/>
                <w:sz w:val="21"/>
                <w:highlight w:val="none"/>
              </w:rPr>
            </w:pPr>
          </w:p>
        </w:tc>
        <w:tc>
          <w:tcPr>
            <w:tcW w:w="1841" w:type="dxa"/>
            <w:vAlign w:val="top"/>
          </w:tcPr>
          <w:p w14:paraId="7B0452CE">
            <w:pPr>
              <w:rPr>
                <w:rFonts w:ascii="Arial"/>
                <w:color w:val="auto"/>
                <w:sz w:val="21"/>
                <w:highlight w:val="none"/>
              </w:rPr>
            </w:pPr>
          </w:p>
        </w:tc>
        <w:tc>
          <w:tcPr>
            <w:tcW w:w="2124" w:type="dxa"/>
            <w:vAlign w:val="top"/>
          </w:tcPr>
          <w:p w14:paraId="478E0B80">
            <w:pPr>
              <w:rPr>
                <w:rFonts w:ascii="Arial"/>
                <w:color w:val="auto"/>
                <w:sz w:val="21"/>
                <w:highlight w:val="none"/>
              </w:rPr>
            </w:pPr>
          </w:p>
        </w:tc>
        <w:tc>
          <w:tcPr>
            <w:tcW w:w="779" w:type="dxa"/>
            <w:vAlign w:val="top"/>
          </w:tcPr>
          <w:p w14:paraId="669B3693">
            <w:pPr>
              <w:rPr>
                <w:rFonts w:ascii="Arial"/>
                <w:color w:val="auto"/>
                <w:sz w:val="21"/>
                <w:highlight w:val="none"/>
              </w:rPr>
            </w:pPr>
          </w:p>
        </w:tc>
        <w:tc>
          <w:tcPr>
            <w:tcW w:w="825" w:type="dxa"/>
            <w:vAlign w:val="top"/>
          </w:tcPr>
          <w:p w14:paraId="4417F5DA">
            <w:pPr>
              <w:rPr>
                <w:rFonts w:ascii="Arial"/>
                <w:color w:val="auto"/>
                <w:sz w:val="21"/>
                <w:highlight w:val="none"/>
              </w:rPr>
            </w:pPr>
          </w:p>
        </w:tc>
        <w:tc>
          <w:tcPr>
            <w:tcW w:w="1014" w:type="dxa"/>
            <w:vAlign w:val="top"/>
          </w:tcPr>
          <w:p w14:paraId="75FFF15F">
            <w:pPr>
              <w:rPr>
                <w:rFonts w:ascii="Arial"/>
                <w:color w:val="auto"/>
                <w:sz w:val="21"/>
                <w:highlight w:val="none"/>
              </w:rPr>
            </w:pPr>
          </w:p>
        </w:tc>
        <w:tc>
          <w:tcPr>
            <w:tcW w:w="1014" w:type="dxa"/>
            <w:vAlign w:val="top"/>
          </w:tcPr>
          <w:p w14:paraId="7A8DE1B2">
            <w:pPr>
              <w:rPr>
                <w:rFonts w:ascii="Arial"/>
                <w:color w:val="auto"/>
                <w:sz w:val="21"/>
                <w:highlight w:val="none"/>
              </w:rPr>
            </w:pPr>
          </w:p>
        </w:tc>
        <w:tc>
          <w:tcPr>
            <w:tcW w:w="1016" w:type="dxa"/>
            <w:vAlign w:val="top"/>
          </w:tcPr>
          <w:p w14:paraId="73BEB992">
            <w:pPr>
              <w:rPr>
                <w:rFonts w:ascii="Arial"/>
                <w:color w:val="auto"/>
                <w:sz w:val="21"/>
                <w:highlight w:val="none"/>
              </w:rPr>
            </w:pPr>
          </w:p>
        </w:tc>
        <w:tc>
          <w:tcPr>
            <w:tcW w:w="1017" w:type="dxa"/>
            <w:vAlign w:val="top"/>
          </w:tcPr>
          <w:p w14:paraId="573516D2">
            <w:pPr>
              <w:rPr>
                <w:rFonts w:ascii="Arial"/>
                <w:color w:val="auto"/>
                <w:sz w:val="21"/>
                <w:highlight w:val="none"/>
              </w:rPr>
            </w:pPr>
          </w:p>
        </w:tc>
        <w:tc>
          <w:tcPr>
            <w:tcW w:w="1273" w:type="dxa"/>
            <w:vAlign w:val="top"/>
          </w:tcPr>
          <w:p w14:paraId="22D3A652">
            <w:pPr>
              <w:rPr>
                <w:rFonts w:ascii="Arial"/>
                <w:color w:val="auto"/>
                <w:sz w:val="21"/>
                <w:highlight w:val="none"/>
              </w:rPr>
            </w:pPr>
          </w:p>
        </w:tc>
        <w:tc>
          <w:tcPr>
            <w:tcW w:w="937" w:type="dxa"/>
            <w:tcBorders>
              <w:right w:val="single" w:color="000000" w:sz="6" w:space="0"/>
            </w:tcBorders>
            <w:vAlign w:val="top"/>
          </w:tcPr>
          <w:p w14:paraId="52650335">
            <w:pPr>
              <w:rPr>
                <w:rFonts w:ascii="Arial"/>
                <w:color w:val="auto"/>
                <w:sz w:val="21"/>
                <w:highlight w:val="none"/>
              </w:rPr>
            </w:pPr>
          </w:p>
        </w:tc>
      </w:tr>
      <w:tr w14:paraId="05BBF9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839" w:type="dxa"/>
            <w:tcBorders>
              <w:left w:val="single" w:color="000000" w:sz="6" w:space="0"/>
              <w:bottom w:val="single" w:color="000000" w:sz="6" w:space="0"/>
            </w:tcBorders>
            <w:vAlign w:val="top"/>
          </w:tcPr>
          <w:p w14:paraId="7002CE60">
            <w:pPr>
              <w:rPr>
                <w:rFonts w:ascii="Arial"/>
                <w:color w:val="auto"/>
                <w:sz w:val="21"/>
                <w:highlight w:val="none"/>
              </w:rPr>
            </w:pPr>
          </w:p>
        </w:tc>
        <w:tc>
          <w:tcPr>
            <w:tcW w:w="1261" w:type="dxa"/>
            <w:tcBorders>
              <w:bottom w:val="single" w:color="000000" w:sz="6" w:space="0"/>
            </w:tcBorders>
            <w:vAlign w:val="top"/>
          </w:tcPr>
          <w:p w14:paraId="17A956F1">
            <w:pPr>
              <w:rPr>
                <w:rFonts w:ascii="Arial"/>
                <w:color w:val="auto"/>
                <w:sz w:val="21"/>
                <w:highlight w:val="none"/>
              </w:rPr>
            </w:pPr>
          </w:p>
        </w:tc>
        <w:tc>
          <w:tcPr>
            <w:tcW w:w="1841" w:type="dxa"/>
            <w:tcBorders>
              <w:bottom w:val="single" w:color="000000" w:sz="6" w:space="0"/>
            </w:tcBorders>
            <w:vAlign w:val="top"/>
          </w:tcPr>
          <w:p w14:paraId="3CBB18AA">
            <w:pPr>
              <w:pStyle w:val="33"/>
              <w:spacing w:before="238" w:line="222" w:lineRule="auto"/>
              <w:ind w:left="606"/>
              <w:rPr>
                <w:color w:val="auto"/>
                <w:sz w:val="21"/>
                <w:szCs w:val="21"/>
                <w:highlight w:val="none"/>
              </w:rPr>
            </w:pPr>
            <w:r>
              <w:rPr>
                <w:b/>
                <w:bCs/>
                <w:color w:val="auto"/>
                <w:spacing w:val="-7"/>
                <w:sz w:val="21"/>
                <w:szCs w:val="21"/>
                <w:highlight w:val="none"/>
              </w:rPr>
              <w:t>合</w:t>
            </w:r>
            <w:r>
              <w:rPr>
                <w:color w:val="auto"/>
                <w:spacing w:val="5"/>
                <w:sz w:val="21"/>
                <w:szCs w:val="21"/>
                <w:highlight w:val="none"/>
              </w:rPr>
              <w:t xml:space="preserve">  </w:t>
            </w:r>
            <w:r>
              <w:rPr>
                <w:b/>
                <w:bCs/>
                <w:color w:val="auto"/>
                <w:spacing w:val="-7"/>
                <w:sz w:val="21"/>
                <w:szCs w:val="21"/>
                <w:highlight w:val="none"/>
              </w:rPr>
              <w:t>计</w:t>
            </w:r>
          </w:p>
        </w:tc>
        <w:tc>
          <w:tcPr>
            <w:tcW w:w="2124" w:type="dxa"/>
            <w:tcBorders>
              <w:bottom w:val="single" w:color="000000" w:sz="6" w:space="0"/>
            </w:tcBorders>
            <w:vAlign w:val="top"/>
          </w:tcPr>
          <w:p w14:paraId="39DDF86E">
            <w:pPr>
              <w:rPr>
                <w:rFonts w:ascii="Arial"/>
                <w:color w:val="auto"/>
                <w:sz w:val="21"/>
                <w:highlight w:val="none"/>
              </w:rPr>
            </w:pPr>
          </w:p>
        </w:tc>
        <w:tc>
          <w:tcPr>
            <w:tcW w:w="779" w:type="dxa"/>
            <w:tcBorders>
              <w:bottom w:val="single" w:color="000000" w:sz="6" w:space="0"/>
            </w:tcBorders>
            <w:vAlign w:val="top"/>
          </w:tcPr>
          <w:p w14:paraId="031FF40F">
            <w:pPr>
              <w:rPr>
                <w:rFonts w:ascii="Arial"/>
                <w:color w:val="auto"/>
                <w:sz w:val="21"/>
                <w:highlight w:val="none"/>
              </w:rPr>
            </w:pPr>
          </w:p>
        </w:tc>
        <w:tc>
          <w:tcPr>
            <w:tcW w:w="825" w:type="dxa"/>
            <w:tcBorders>
              <w:bottom w:val="single" w:color="000000" w:sz="6" w:space="0"/>
            </w:tcBorders>
            <w:vAlign w:val="top"/>
          </w:tcPr>
          <w:p w14:paraId="1D1E6B41">
            <w:pPr>
              <w:rPr>
                <w:rFonts w:ascii="Arial"/>
                <w:color w:val="auto"/>
                <w:sz w:val="21"/>
                <w:highlight w:val="none"/>
              </w:rPr>
            </w:pPr>
          </w:p>
        </w:tc>
        <w:tc>
          <w:tcPr>
            <w:tcW w:w="1014" w:type="dxa"/>
            <w:tcBorders>
              <w:bottom w:val="single" w:color="000000" w:sz="6" w:space="0"/>
            </w:tcBorders>
            <w:vAlign w:val="top"/>
          </w:tcPr>
          <w:p w14:paraId="6DF8835E">
            <w:pPr>
              <w:rPr>
                <w:rFonts w:ascii="Arial"/>
                <w:color w:val="auto"/>
                <w:sz w:val="21"/>
                <w:highlight w:val="none"/>
              </w:rPr>
            </w:pPr>
          </w:p>
        </w:tc>
        <w:tc>
          <w:tcPr>
            <w:tcW w:w="1014" w:type="dxa"/>
            <w:tcBorders>
              <w:bottom w:val="single" w:color="000000" w:sz="6" w:space="0"/>
            </w:tcBorders>
            <w:vAlign w:val="top"/>
          </w:tcPr>
          <w:p w14:paraId="528581CE">
            <w:pPr>
              <w:rPr>
                <w:rFonts w:ascii="Arial"/>
                <w:color w:val="auto"/>
                <w:sz w:val="21"/>
                <w:highlight w:val="none"/>
              </w:rPr>
            </w:pPr>
          </w:p>
        </w:tc>
        <w:tc>
          <w:tcPr>
            <w:tcW w:w="1016" w:type="dxa"/>
            <w:tcBorders>
              <w:bottom w:val="single" w:color="000000" w:sz="6" w:space="0"/>
            </w:tcBorders>
            <w:vAlign w:val="top"/>
          </w:tcPr>
          <w:p w14:paraId="2A09ACA0">
            <w:pPr>
              <w:rPr>
                <w:rFonts w:ascii="Arial"/>
                <w:color w:val="auto"/>
                <w:sz w:val="21"/>
                <w:highlight w:val="none"/>
              </w:rPr>
            </w:pPr>
          </w:p>
        </w:tc>
        <w:tc>
          <w:tcPr>
            <w:tcW w:w="1017" w:type="dxa"/>
            <w:tcBorders>
              <w:bottom w:val="single" w:color="000000" w:sz="6" w:space="0"/>
            </w:tcBorders>
            <w:vAlign w:val="top"/>
          </w:tcPr>
          <w:p w14:paraId="4FD3250D">
            <w:pPr>
              <w:rPr>
                <w:rFonts w:ascii="Arial"/>
                <w:color w:val="auto"/>
                <w:sz w:val="21"/>
                <w:highlight w:val="none"/>
              </w:rPr>
            </w:pPr>
          </w:p>
        </w:tc>
        <w:tc>
          <w:tcPr>
            <w:tcW w:w="1273" w:type="dxa"/>
            <w:tcBorders>
              <w:bottom w:val="single" w:color="000000" w:sz="6" w:space="0"/>
            </w:tcBorders>
            <w:vAlign w:val="top"/>
          </w:tcPr>
          <w:p w14:paraId="0C8F6824">
            <w:pPr>
              <w:rPr>
                <w:rFonts w:ascii="Arial"/>
                <w:color w:val="auto"/>
                <w:sz w:val="21"/>
                <w:highlight w:val="none"/>
              </w:rPr>
            </w:pPr>
          </w:p>
        </w:tc>
        <w:tc>
          <w:tcPr>
            <w:tcW w:w="937" w:type="dxa"/>
            <w:tcBorders>
              <w:bottom w:val="single" w:color="000000" w:sz="6" w:space="0"/>
              <w:right w:val="single" w:color="000000" w:sz="6" w:space="0"/>
            </w:tcBorders>
            <w:vAlign w:val="top"/>
          </w:tcPr>
          <w:p w14:paraId="01348DD0">
            <w:pPr>
              <w:rPr>
                <w:rFonts w:ascii="Arial"/>
                <w:color w:val="auto"/>
                <w:sz w:val="21"/>
                <w:highlight w:val="none"/>
              </w:rPr>
            </w:pPr>
          </w:p>
        </w:tc>
      </w:tr>
    </w:tbl>
    <w:p w14:paraId="3B5C47A9">
      <w:pPr>
        <w:pStyle w:val="3"/>
        <w:rPr>
          <w:color w:val="auto"/>
          <w:highlight w:val="none"/>
        </w:rPr>
      </w:pPr>
    </w:p>
    <w:p w14:paraId="5960A613">
      <w:pPr>
        <w:rPr>
          <w:color w:val="auto"/>
          <w:highlight w:val="none"/>
        </w:rPr>
        <w:sectPr>
          <w:pgSz w:w="16843" w:h="11905" w:orient="landscape"/>
          <w:pgMar w:top="1621" w:right="1429" w:bottom="1361" w:left="1253" w:header="0" w:footer="1094" w:gutter="0"/>
          <w:pgNumType w:fmt="decimal"/>
          <w:cols w:space="0" w:num="1"/>
          <w:rtlGutter w:val="0"/>
          <w:docGrid w:linePitch="0" w:charSpace="0"/>
        </w:sectPr>
      </w:pPr>
    </w:p>
    <w:p w14:paraId="66C27D9C">
      <w:pPr>
        <w:spacing w:before="78" w:line="220" w:lineRule="auto"/>
        <w:ind w:left="458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金属结构设备及安装工程分类分项工程量清单</w:t>
      </w:r>
    </w:p>
    <w:p w14:paraId="10F11264">
      <w:pPr>
        <w:spacing w:before="175" w:line="221" w:lineRule="auto"/>
        <w:ind w:left="11"/>
        <w:rPr>
          <w:rFonts w:ascii="宋体" w:hAnsi="宋体" w:eastAsia="宋体" w:cs="宋体"/>
          <w:color w:val="auto"/>
          <w:sz w:val="21"/>
          <w:szCs w:val="21"/>
          <w:highlight w:val="none"/>
        </w:rPr>
      </w:pPr>
      <w:r>
        <w:rPr>
          <w:rFonts w:ascii="宋体" w:hAnsi="宋体" w:eastAsia="宋体" w:cs="宋体"/>
          <w:color w:val="auto"/>
          <w:sz w:val="21"/>
          <w:szCs w:val="21"/>
          <w:highlight w:val="none"/>
        </w:rPr>
        <w:t>项目及标段名称：</w:t>
      </w:r>
      <w:r>
        <w:rPr>
          <w:rFonts w:ascii="宋体" w:hAnsi="宋体" w:eastAsia="宋体" w:cs="宋体"/>
          <w:color w:val="auto"/>
          <w:sz w:val="21"/>
          <w:szCs w:val="21"/>
          <w:highlight w:val="none"/>
          <w:u w:val="single" w:color="auto"/>
        </w:rPr>
        <w:t xml:space="preserve">                                        </w:t>
      </w:r>
      <w:r>
        <w:rPr>
          <w:rFonts w:ascii="宋体" w:hAnsi="宋体" w:eastAsia="宋体" w:cs="宋体"/>
          <w:color w:val="auto"/>
          <w:sz w:val="21"/>
          <w:szCs w:val="21"/>
          <w:highlight w:val="none"/>
        </w:rPr>
        <w:t xml:space="preserve">                         </w:t>
      </w:r>
      <w:r>
        <w:rPr>
          <w:rFonts w:ascii="宋体" w:hAnsi="宋体" w:eastAsia="宋体" w:cs="宋体"/>
          <w:color w:val="auto"/>
          <w:spacing w:val="-1"/>
          <w:sz w:val="21"/>
          <w:szCs w:val="21"/>
          <w:highlight w:val="none"/>
        </w:rPr>
        <w:t xml:space="preserve">                   第</w:t>
      </w:r>
      <w:r>
        <w:rPr>
          <w:rFonts w:ascii="宋体" w:hAnsi="宋体" w:eastAsia="宋体" w:cs="宋体"/>
          <w:color w:val="auto"/>
          <w:spacing w:val="3"/>
          <w:sz w:val="21"/>
          <w:szCs w:val="21"/>
          <w:highlight w:val="none"/>
        </w:rPr>
        <w:t xml:space="preserve">   </w:t>
      </w:r>
      <w:r>
        <w:rPr>
          <w:rFonts w:ascii="宋体" w:hAnsi="宋体" w:eastAsia="宋体" w:cs="宋体"/>
          <w:color w:val="auto"/>
          <w:spacing w:val="-1"/>
          <w:sz w:val="21"/>
          <w:szCs w:val="21"/>
          <w:highlight w:val="none"/>
        </w:rPr>
        <w:t>页共</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w:t>
      </w:r>
    </w:p>
    <w:p w14:paraId="4CC59A67">
      <w:pPr>
        <w:spacing w:line="127" w:lineRule="exact"/>
        <w:rPr>
          <w:color w:val="auto"/>
          <w:highlight w:val="none"/>
        </w:rPr>
      </w:pPr>
    </w:p>
    <w:tbl>
      <w:tblPr>
        <w:tblStyle w:val="32"/>
        <w:tblW w:w="1394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9"/>
        <w:gridCol w:w="1261"/>
        <w:gridCol w:w="1841"/>
        <w:gridCol w:w="2124"/>
        <w:gridCol w:w="779"/>
        <w:gridCol w:w="825"/>
        <w:gridCol w:w="1014"/>
        <w:gridCol w:w="1014"/>
        <w:gridCol w:w="1016"/>
        <w:gridCol w:w="1017"/>
        <w:gridCol w:w="1273"/>
        <w:gridCol w:w="937"/>
      </w:tblGrid>
      <w:tr w14:paraId="0961E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1" w:hRule="atLeast"/>
        </w:trPr>
        <w:tc>
          <w:tcPr>
            <w:tcW w:w="839" w:type="dxa"/>
            <w:vMerge w:val="restart"/>
            <w:tcBorders>
              <w:top w:val="single" w:color="000000" w:sz="6" w:space="0"/>
              <w:left w:val="single" w:color="000000" w:sz="6" w:space="0"/>
              <w:bottom w:val="nil"/>
            </w:tcBorders>
            <w:vAlign w:val="top"/>
          </w:tcPr>
          <w:p w14:paraId="3568F8EA">
            <w:pPr>
              <w:spacing w:line="366" w:lineRule="auto"/>
              <w:rPr>
                <w:rFonts w:ascii="Arial"/>
                <w:color w:val="auto"/>
                <w:sz w:val="21"/>
                <w:highlight w:val="none"/>
              </w:rPr>
            </w:pPr>
          </w:p>
          <w:p w14:paraId="4BAB7233">
            <w:pPr>
              <w:pStyle w:val="33"/>
              <w:spacing w:before="68" w:line="222" w:lineRule="auto"/>
              <w:ind w:left="205"/>
              <w:rPr>
                <w:color w:val="auto"/>
                <w:sz w:val="21"/>
                <w:szCs w:val="21"/>
                <w:highlight w:val="none"/>
              </w:rPr>
            </w:pPr>
            <w:r>
              <w:rPr>
                <w:color w:val="auto"/>
                <w:spacing w:val="-2"/>
                <w:sz w:val="21"/>
                <w:szCs w:val="21"/>
                <w:highlight w:val="none"/>
              </w:rPr>
              <w:t>序号</w:t>
            </w:r>
          </w:p>
        </w:tc>
        <w:tc>
          <w:tcPr>
            <w:tcW w:w="1261" w:type="dxa"/>
            <w:vMerge w:val="restart"/>
            <w:tcBorders>
              <w:top w:val="single" w:color="000000" w:sz="6" w:space="0"/>
              <w:bottom w:val="nil"/>
            </w:tcBorders>
            <w:vAlign w:val="top"/>
          </w:tcPr>
          <w:p w14:paraId="4C698EDE">
            <w:pPr>
              <w:spacing w:line="366" w:lineRule="auto"/>
              <w:rPr>
                <w:rFonts w:ascii="Arial"/>
                <w:color w:val="auto"/>
                <w:sz w:val="21"/>
                <w:highlight w:val="none"/>
              </w:rPr>
            </w:pPr>
          </w:p>
          <w:p w14:paraId="061E711D">
            <w:pPr>
              <w:pStyle w:val="33"/>
              <w:spacing w:before="68" w:line="221" w:lineRule="auto"/>
              <w:ind w:left="213"/>
              <w:rPr>
                <w:color w:val="auto"/>
                <w:sz w:val="21"/>
                <w:szCs w:val="21"/>
                <w:highlight w:val="none"/>
              </w:rPr>
            </w:pPr>
            <w:r>
              <w:rPr>
                <w:color w:val="auto"/>
                <w:spacing w:val="-3"/>
                <w:sz w:val="21"/>
                <w:szCs w:val="21"/>
                <w:highlight w:val="none"/>
              </w:rPr>
              <w:t>项目编码</w:t>
            </w:r>
          </w:p>
        </w:tc>
        <w:tc>
          <w:tcPr>
            <w:tcW w:w="1841" w:type="dxa"/>
            <w:vMerge w:val="restart"/>
            <w:tcBorders>
              <w:top w:val="single" w:color="000000" w:sz="6" w:space="0"/>
              <w:bottom w:val="nil"/>
            </w:tcBorders>
            <w:vAlign w:val="top"/>
          </w:tcPr>
          <w:p w14:paraId="508ECFDB">
            <w:pPr>
              <w:spacing w:line="367" w:lineRule="auto"/>
              <w:rPr>
                <w:rFonts w:ascii="Arial"/>
                <w:color w:val="auto"/>
                <w:sz w:val="21"/>
                <w:highlight w:val="none"/>
              </w:rPr>
            </w:pPr>
          </w:p>
          <w:p w14:paraId="67BBD09C">
            <w:pPr>
              <w:pStyle w:val="33"/>
              <w:spacing w:before="68" w:line="221" w:lineRule="auto"/>
              <w:ind w:left="505"/>
              <w:rPr>
                <w:color w:val="auto"/>
                <w:sz w:val="21"/>
                <w:szCs w:val="21"/>
                <w:highlight w:val="none"/>
              </w:rPr>
            </w:pPr>
            <w:r>
              <w:rPr>
                <w:color w:val="auto"/>
                <w:spacing w:val="-3"/>
                <w:sz w:val="21"/>
                <w:szCs w:val="21"/>
                <w:highlight w:val="none"/>
              </w:rPr>
              <w:t>项目名称</w:t>
            </w:r>
          </w:p>
        </w:tc>
        <w:tc>
          <w:tcPr>
            <w:tcW w:w="2124" w:type="dxa"/>
            <w:vMerge w:val="restart"/>
            <w:tcBorders>
              <w:top w:val="single" w:color="000000" w:sz="6" w:space="0"/>
              <w:bottom w:val="nil"/>
            </w:tcBorders>
            <w:vAlign w:val="top"/>
          </w:tcPr>
          <w:p w14:paraId="108334BA">
            <w:pPr>
              <w:spacing w:line="366" w:lineRule="auto"/>
              <w:rPr>
                <w:rFonts w:ascii="Arial"/>
                <w:color w:val="auto"/>
                <w:sz w:val="21"/>
                <w:highlight w:val="none"/>
              </w:rPr>
            </w:pPr>
          </w:p>
          <w:p w14:paraId="672089DF">
            <w:pPr>
              <w:pStyle w:val="33"/>
              <w:spacing w:before="68" w:line="221" w:lineRule="auto"/>
              <w:ind w:left="438"/>
              <w:rPr>
                <w:color w:val="auto"/>
                <w:sz w:val="21"/>
                <w:szCs w:val="21"/>
                <w:highlight w:val="none"/>
              </w:rPr>
            </w:pPr>
            <w:r>
              <w:rPr>
                <w:color w:val="auto"/>
                <w:spacing w:val="-2"/>
                <w:sz w:val="21"/>
                <w:szCs w:val="21"/>
                <w:highlight w:val="none"/>
              </w:rPr>
              <w:t>项目主要特征</w:t>
            </w:r>
          </w:p>
        </w:tc>
        <w:tc>
          <w:tcPr>
            <w:tcW w:w="779" w:type="dxa"/>
            <w:vMerge w:val="restart"/>
            <w:tcBorders>
              <w:top w:val="single" w:color="000000" w:sz="6" w:space="0"/>
              <w:bottom w:val="nil"/>
            </w:tcBorders>
            <w:vAlign w:val="top"/>
          </w:tcPr>
          <w:p w14:paraId="0DA9016D">
            <w:pPr>
              <w:pStyle w:val="33"/>
              <w:spacing w:before="300" w:line="231" w:lineRule="auto"/>
              <w:ind w:left="186" w:right="174" w:hanging="1"/>
              <w:rPr>
                <w:color w:val="auto"/>
                <w:sz w:val="21"/>
                <w:szCs w:val="21"/>
                <w:highlight w:val="none"/>
              </w:rPr>
            </w:pPr>
            <w:r>
              <w:rPr>
                <w:color w:val="auto"/>
                <w:spacing w:val="-3"/>
                <w:sz w:val="21"/>
                <w:szCs w:val="21"/>
                <w:highlight w:val="none"/>
              </w:rPr>
              <w:t>计量</w:t>
            </w:r>
            <w:r>
              <w:rPr>
                <w:color w:val="auto"/>
                <w:sz w:val="21"/>
                <w:szCs w:val="21"/>
                <w:highlight w:val="none"/>
              </w:rPr>
              <w:t xml:space="preserve"> </w:t>
            </w:r>
            <w:r>
              <w:rPr>
                <w:color w:val="auto"/>
                <w:spacing w:val="-4"/>
                <w:sz w:val="21"/>
                <w:szCs w:val="21"/>
                <w:highlight w:val="none"/>
              </w:rPr>
              <w:t>单位</w:t>
            </w:r>
          </w:p>
        </w:tc>
        <w:tc>
          <w:tcPr>
            <w:tcW w:w="825" w:type="dxa"/>
            <w:vMerge w:val="restart"/>
            <w:tcBorders>
              <w:top w:val="single" w:color="000000" w:sz="6" w:space="0"/>
              <w:bottom w:val="nil"/>
            </w:tcBorders>
            <w:vAlign w:val="top"/>
          </w:tcPr>
          <w:p w14:paraId="0E4C406B">
            <w:pPr>
              <w:pStyle w:val="33"/>
              <w:spacing w:before="299" w:line="231" w:lineRule="auto"/>
              <w:ind w:left="209" w:right="198"/>
              <w:rPr>
                <w:color w:val="auto"/>
                <w:sz w:val="21"/>
                <w:szCs w:val="21"/>
                <w:highlight w:val="none"/>
              </w:rPr>
            </w:pPr>
            <w:r>
              <w:rPr>
                <w:color w:val="auto"/>
                <w:spacing w:val="-5"/>
                <w:sz w:val="21"/>
                <w:szCs w:val="21"/>
                <w:highlight w:val="none"/>
              </w:rPr>
              <w:t>工程</w:t>
            </w:r>
            <w:r>
              <w:rPr>
                <w:color w:val="auto"/>
                <w:sz w:val="21"/>
                <w:szCs w:val="21"/>
                <w:highlight w:val="none"/>
              </w:rPr>
              <w:t xml:space="preserve"> </w:t>
            </w:r>
            <w:r>
              <w:rPr>
                <w:color w:val="auto"/>
                <w:spacing w:val="-4"/>
                <w:sz w:val="21"/>
                <w:szCs w:val="21"/>
                <w:highlight w:val="none"/>
              </w:rPr>
              <w:t>数量</w:t>
            </w:r>
          </w:p>
        </w:tc>
        <w:tc>
          <w:tcPr>
            <w:tcW w:w="2028" w:type="dxa"/>
            <w:gridSpan w:val="2"/>
            <w:tcBorders>
              <w:top w:val="single" w:color="000000" w:sz="6" w:space="0"/>
            </w:tcBorders>
            <w:vAlign w:val="top"/>
          </w:tcPr>
          <w:p w14:paraId="6931C702">
            <w:pPr>
              <w:pStyle w:val="33"/>
              <w:spacing w:before="168" w:line="219" w:lineRule="auto"/>
              <w:ind w:left="447"/>
              <w:rPr>
                <w:color w:val="auto"/>
                <w:sz w:val="21"/>
                <w:szCs w:val="21"/>
                <w:highlight w:val="none"/>
              </w:rPr>
            </w:pPr>
            <w:r>
              <w:rPr>
                <w:color w:val="auto"/>
                <w:spacing w:val="-4"/>
                <w:sz w:val="21"/>
                <w:szCs w:val="21"/>
                <w:highlight w:val="none"/>
              </w:rPr>
              <w:t>单价 （元）</w:t>
            </w:r>
          </w:p>
        </w:tc>
        <w:tc>
          <w:tcPr>
            <w:tcW w:w="2033" w:type="dxa"/>
            <w:gridSpan w:val="2"/>
            <w:tcBorders>
              <w:top w:val="single" w:color="000000" w:sz="6" w:space="0"/>
            </w:tcBorders>
            <w:vAlign w:val="top"/>
          </w:tcPr>
          <w:p w14:paraId="676A2859">
            <w:pPr>
              <w:pStyle w:val="33"/>
              <w:spacing w:before="168" w:line="219" w:lineRule="auto"/>
              <w:ind w:left="449"/>
              <w:rPr>
                <w:color w:val="auto"/>
                <w:sz w:val="21"/>
                <w:szCs w:val="21"/>
                <w:highlight w:val="none"/>
              </w:rPr>
            </w:pPr>
            <w:r>
              <w:rPr>
                <w:color w:val="auto"/>
                <w:spacing w:val="-4"/>
                <w:sz w:val="21"/>
                <w:szCs w:val="21"/>
                <w:highlight w:val="none"/>
              </w:rPr>
              <w:t>合价 （元）</w:t>
            </w:r>
          </w:p>
        </w:tc>
        <w:tc>
          <w:tcPr>
            <w:tcW w:w="1273" w:type="dxa"/>
            <w:vMerge w:val="restart"/>
            <w:tcBorders>
              <w:top w:val="single" w:color="000000" w:sz="6" w:space="0"/>
              <w:bottom w:val="nil"/>
            </w:tcBorders>
            <w:vAlign w:val="top"/>
          </w:tcPr>
          <w:p w14:paraId="75BD891D">
            <w:pPr>
              <w:pStyle w:val="33"/>
              <w:spacing w:before="299" w:line="231" w:lineRule="auto"/>
              <w:ind w:left="231" w:right="204"/>
              <w:rPr>
                <w:color w:val="auto"/>
                <w:sz w:val="21"/>
                <w:szCs w:val="21"/>
                <w:highlight w:val="none"/>
              </w:rPr>
            </w:pPr>
            <w:r>
              <w:rPr>
                <w:color w:val="auto"/>
                <w:spacing w:val="-2"/>
                <w:sz w:val="21"/>
                <w:szCs w:val="21"/>
                <w:highlight w:val="none"/>
              </w:rPr>
              <w:t>主要技术</w:t>
            </w:r>
            <w:r>
              <w:rPr>
                <w:color w:val="auto"/>
                <w:sz w:val="21"/>
                <w:szCs w:val="21"/>
                <w:highlight w:val="none"/>
              </w:rPr>
              <w:t xml:space="preserve"> </w:t>
            </w:r>
            <w:r>
              <w:rPr>
                <w:color w:val="auto"/>
                <w:spacing w:val="-2"/>
                <w:sz w:val="21"/>
                <w:szCs w:val="21"/>
                <w:highlight w:val="none"/>
              </w:rPr>
              <w:t>条款编码</w:t>
            </w:r>
          </w:p>
        </w:tc>
        <w:tc>
          <w:tcPr>
            <w:tcW w:w="937" w:type="dxa"/>
            <w:vMerge w:val="restart"/>
            <w:tcBorders>
              <w:top w:val="single" w:color="000000" w:sz="6" w:space="0"/>
              <w:bottom w:val="nil"/>
              <w:right w:val="single" w:color="000000" w:sz="6" w:space="0"/>
            </w:tcBorders>
            <w:vAlign w:val="top"/>
          </w:tcPr>
          <w:p w14:paraId="068545E5">
            <w:pPr>
              <w:spacing w:line="366" w:lineRule="auto"/>
              <w:rPr>
                <w:rFonts w:ascii="Arial"/>
                <w:color w:val="auto"/>
                <w:sz w:val="21"/>
                <w:highlight w:val="none"/>
              </w:rPr>
            </w:pPr>
          </w:p>
          <w:p w14:paraId="39A9D82D">
            <w:pPr>
              <w:pStyle w:val="33"/>
              <w:spacing w:before="68" w:line="222" w:lineRule="auto"/>
              <w:ind w:left="269"/>
              <w:rPr>
                <w:color w:val="auto"/>
                <w:sz w:val="21"/>
                <w:szCs w:val="21"/>
                <w:highlight w:val="none"/>
              </w:rPr>
            </w:pPr>
            <w:r>
              <w:rPr>
                <w:color w:val="auto"/>
                <w:spacing w:val="-3"/>
                <w:sz w:val="21"/>
                <w:szCs w:val="21"/>
                <w:highlight w:val="none"/>
              </w:rPr>
              <w:t>备注</w:t>
            </w:r>
          </w:p>
        </w:tc>
      </w:tr>
      <w:tr w14:paraId="6BD9B2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839" w:type="dxa"/>
            <w:vMerge w:val="continue"/>
            <w:tcBorders>
              <w:top w:val="nil"/>
              <w:left w:val="single" w:color="000000" w:sz="6" w:space="0"/>
            </w:tcBorders>
            <w:vAlign w:val="top"/>
          </w:tcPr>
          <w:p w14:paraId="1125FB0E">
            <w:pPr>
              <w:rPr>
                <w:rFonts w:ascii="Arial"/>
                <w:color w:val="auto"/>
                <w:sz w:val="21"/>
                <w:highlight w:val="none"/>
              </w:rPr>
            </w:pPr>
          </w:p>
        </w:tc>
        <w:tc>
          <w:tcPr>
            <w:tcW w:w="1261" w:type="dxa"/>
            <w:vMerge w:val="continue"/>
            <w:tcBorders>
              <w:top w:val="nil"/>
            </w:tcBorders>
            <w:vAlign w:val="top"/>
          </w:tcPr>
          <w:p w14:paraId="570D5751">
            <w:pPr>
              <w:rPr>
                <w:rFonts w:ascii="Arial"/>
                <w:color w:val="auto"/>
                <w:sz w:val="21"/>
                <w:highlight w:val="none"/>
              </w:rPr>
            </w:pPr>
          </w:p>
        </w:tc>
        <w:tc>
          <w:tcPr>
            <w:tcW w:w="1841" w:type="dxa"/>
            <w:vMerge w:val="continue"/>
            <w:tcBorders>
              <w:top w:val="nil"/>
            </w:tcBorders>
            <w:vAlign w:val="top"/>
          </w:tcPr>
          <w:p w14:paraId="18B1A5D6">
            <w:pPr>
              <w:rPr>
                <w:rFonts w:ascii="Arial"/>
                <w:color w:val="auto"/>
                <w:sz w:val="21"/>
                <w:highlight w:val="none"/>
              </w:rPr>
            </w:pPr>
          </w:p>
        </w:tc>
        <w:tc>
          <w:tcPr>
            <w:tcW w:w="2124" w:type="dxa"/>
            <w:vMerge w:val="continue"/>
            <w:tcBorders>
              <w:top w:val="nil"/>
            </w:tcBorders>
            <w:vAlign w:val="top"/>
          </w:tcPr>
          <w:p w14:paraId="661A1A78">
            <w:pPr>
              <w:rPr>
                <w:rFonts w:ascii="Arial"/>
                <w:color w:val="auto"/>
                <w:sz w:val="21"/>
                <w:highlight w:val="none"/>
              </w:rPr>
            </w:pPr>
          </w:p>
        </w:tc>
        <w:tc>
          <w:tcPr>
            <w:tcW w:w="779" w:type="dxa"/>
            <w:vMerge w:val="continue"/>
            <w:tcBorders>
              <w:top w:val="nil"/>
            </w:tcBorders>
            <w:vAlign w:val="top"/>
          </w:tcPr>
          <w:p w14:paraId="2270B536">
            <w:pPr>
              <w:rPr>
                <w:rFonts w:ascii="Arial"/>
                <w:color w:val="auto"/>
                <w:sz w:val="21"/>
                <w:highlight w:val="none"/>
              </w:rPr>
            </w:pPr>
          </w:p>
        </w:tc>
        <w:tc>
          <w:tcPr>
            <w:tcW w:w="825" w:type="dxa"/>
            <w:vMerge w:val="continue"/>
            <w:tcBorders>
              <w:top w:val="nil"/>
            </w:tcBorders>
            <w:vAlign w:val="top"/>
          </w:tcPr>
          <w:p w14:paraId="7E7E06E2">
            <w:pPr>
              <w:rPr>
                <w:rFonts w:ascii="Arial"/>
                <w:color w:val="auto"/>
                <w:sz w:val="21"/>
                <w:highlight w:val="none"/>
              </w:rPr>
            </w:pPr>
          </w:p>
        </w:tc>
        <w:tc>
          <w:tcPr>
            <w:tcW w:w="1014" w:type="dxa"/>
            <w:vAlign w:val="top"/>
          </w:tcPr>
          <w:p w14:paraId="57E59DE4">
            <w:pPr>
              <w:pStyle w:val="33"/>
              <w:spacing w:before="157" w:line="221" w:lineRule="auto"/>
              <w:ind w:left="202"/>
              <w:rPr>
                <w:color w:val="auto"/>
                <w:sz w:val="21"/>
                <w:szCs w:val="21"/>
                <w:highlight w:val="none"/>
              </w:rPr>
            </w:pPr>
            <w:r>
              <w:rPr>
                <w:color w:val="auto"/>
                <w:spacing w:val="-2"/>
                <w:sz w:val="21"/>
                <w:szCs w:val="21"/>
                <w:highlight w:val="none"/>
              </w:rPr>
              <w:t>设备费</w:t>
            </w:r>
          </w:p>
        </w:tc>
        <w:tc>
          <w:tcPr>
            <w:tcW w:w="1014" w:type="dxa"/>
            <w:vAlign w:val="top"/>
          </w:tcPr>
          <w:p w14:paraId="560DD24F">
            <w:pPr>
              <w:pStyle w:val="33"/>
              <w:spacing w:before="157" w:line="221" w:lineRule="auto"/>
              <w:ind w:left="204"/>
              <w:rPr>
                <w:color w:val="auto"/>
                <w:sz w:val="21"/>
                <w:szCs w:val="21"/>
                <w:highlight w:val="none"/>
              </w:rPr>
            </w:pPr>
            <w:r>
              <w:rPr>
                <w:color w:val="auto"/>
                <w:spacing w:val="-2"/>
                <w:sz w:val="21"/>
                <w:szCs w:val="21"/>
                <w:highlight w:val="none"/>
              </w:rPr>
              <w:t>安装费</w:t>
            </w:r>
          </w:p>
        </w:tc>
        <w:tc>
          <w:tcPr>
            <w:tcW w:w="1016" w:type="dxa"/>
            <w:vAlign w:val="top"/>
          </w:tcPr>
          <w:p w14:paraId="038915E8">
            <w:pPr>
              <w:pStyle w:val="33"/>
              <w:spacing w:before="157" w:line="221" w:lineRule="auto"/>
              <w:ind w:left="204"/>
              <w:rPr>
                <w:color w:val="auto"/>
                <w:sz w:val="21"/>
                <w:szCs w:val="21"/>
                <w:highlight w:val="none"/>
              </w:rPr>
            </w:pPr>
            <w:r>
              <w:rPr>
                <w:color w:val="auto"/>
                <w:spacing w:val="-2"/>
                <w:sz w:val="21"/>
                <w:szCs w:val="21"/>
                <w:highlight w:val="none"/>
              </w:rPr>
              <w:t>设备费</w:t>
            </w:r>
          </w:p>
        </w:tc>
        <w:tc>
          <w:tcPr>
            <w:tcW w:w="1017" w:type="dxa"/>
            <w:vAlign w:val="top"/>
          </w:tcPr>
          <w:p w14:paraId="753A7497">
            <w:pPr>
              <w:pStyle w:val="33"/>
              <w:spacing w:before="157" w:line="221" w:lineRule="auto"/>
              <w:ind w:left="207"/>
              <w:rPr>
                <w:color w:val="auto"/>
                <w:sz w:val="21"/>
                <w:szCs w:val="21"/>
                <w:highlight w:val="none"/>
              </w:rPr>
            </w:pPr>
            <w:r>
              <w:rPr>
                <w:color w:val="auto"/>
                <w:spacing w:val="-2"/>
                <w:sz w:val="21"/>
                <w:szCs w:val="21"/>
                <w:highlight w:val="none"/>
              </w:rPr>
              <w:t>安装费</w:t>
            </w:r>
          </w:p>
        </w:tc>
        <w:tc>
          <w:tcPr>
            <w:tcW w:w="1273" w:type="dxa"/>
            <w:vMerge w:val="continue"/>
            <w:tcBorders>
              <w:top w:val="nil"/>
            </w:tcBorders>
            <w:vAlign w:val="top"/>
          </w:tcPr>
          <w:p w14:paraId="0AA3E394">
            <w:pPr>
              <w:rPr>
                <w:rFonts w:ascii="Arial"/>
                <w:color w:val="auto"/>
                <w:sz w:val="21"/>
                <w:highlight w:val="none"/>
              </w:rPr>
            </w:pPr>
          </w:p>
        </w:tc>
        <w:tc>
          <w:tcPr>
            <w:tcW w:w="937" w:type="dxa"/>
            <w:vMerge w:val="continue"/>
            <w:tcBorders>
              <w:top w:val="nil"/>
              <w:right w:val="single" w:color="000000" w:sz="6" w:space="0"/>
            </w:tcBorders>
            <w:vAlign w:val="top"/>
          </w:tcPr>
          <w:p w14:paraId="4FF7467E">
            <w:pPr>
              <w:rPr>
                <w:rFonts w:ascii="Arial"/>
                <w:color w:val="auto"/>
                <w:sz w:val="21"/>
                <w:highlight w:val="none"/>
              </w:rPr>
            </w:pPr>
          </w:p>
        </w:tc>
      </w:tr>
      <w:tr w14:paraId="5B3697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2983DDE3">
            <w:pPr>
              <w:rPr>
                <w:rFonts w:ascii="Arial"/>
                <w:color w:val="auto"/>
                <w:sz w:val="21"/>
                <w:highlight w:val="none"/>
              </w:rPr>
            </w:pPr>
          </w:p>
        </w:tc>
        <w:tc>
          <w:tcPr>
            <w:tcW w:w="1261" w:type="dxa"/>
            <w:vAlign w:val="top"/>
          </w:tcPr>
          <w:p w14:paraId="09561895">
            <w:pPr>
              <w:rPr>
                <w:rFonts w:ascii="Arial"/>
                <w:color w:val="auto"/>
                <w:sz w:val="21"/>
                <w:highlight w:val="none"/>
              </w:rPr>
            </w:pPr>
          </w:p>
        </w:tc>
        <w:tc>
          <w:tcPr>
            <w:tcW w:w="1841" w:type="dxa"/>
            <w:vAlign w:val="top"/>
          </w:tcPr>
          <w:p w14:paraId="601EA6EC">
            <w:pPr>
              <w:rPr>
                <w:rFonts w:ascii="Arial"/>
                <w:color w:val="auto"/>
                <w:sz w:val="21"/>
                <w:highlight w:val="none"/>
              </w:rPr>
            </w:pPr>
          </w:p>
        </w:tc>
        <w:tc>
          <w:tcPr>
            <w:tcW w:w="2124" w:type="dxa"/>
            <w:vAlign w:val="top"/>
          </w:tcPr>
          <w:p w14:paraId="6897D317">
            <w:pPr>
              <w:rPr>
                <w:rFonts w:ascii="Arial"/>
                <w:color w:val="auto"/>
                <w:sz w:val="21"/>
                <w:highlight w:val="none"/>
              </w:rPr>
            </w:pPr>
          </w:p>
        </w:tc>
        <w:tc>
          <w:tcPr>
            <w:tcW w:w="779" w:type="dxa"/>
            <w:vAlign w:val="top"/>
          </w:tcPr>
          <w:p w14:paraId="65B2AB0D">
            <w:pPr>
              <w:rPr>
                <w:rFonts w:ascii="Arial"/>
                <w:color w:val="auto"/>
                <w:sz w:val="21"/>
                <w:highlight w:val="none"/>
              </w:rPr>
            </w:pPr>
          </w:p>
        </w:tc>
        <w:tc>
          <w:tcPr>
            <w:tcW w:w="825" w:type="dxa"/>
            <w:vAlign w:val="top"/>
          </w:tcPr>
          <w:p w14:paraId="7BB7B385">
            <w:pPr>
              <w:rPr>
                <w:rFonts w:ascii="Arial"/>
                <w:color w:val="auto"/>
                <w:sz w:val="21"/>
                <w:highlight w:val="none"/>
              </w:rPr>
            </w:pPr>
          </w:p>
        </w:tc>
        <w:tc>
          <w:tcPr>
            <w:tcW w:w="1014" w:type="dxa"/>
            <w:vAlign w:val="top"/>
          </w:tcPr>
          <w:p w14:paraId="5DFC4DC5">
            <w:pPr>
              <w:rPr>
                <w:rFonts w:ascii="Arial"/>
                <w:color w:val="auto"/>
                <w:sz w:val="21"/>
                <w:highlight w:val="none"/>
              </w:rPr>
            </w:pPr>
          </w:p>
        </w:tc>
        <w:tc>
          <w:tcPr>
            <w:tcW w:w="1014" w:type="dxa"/>
            <w:vAlign w:val="top"/>
          </w:tcPr>
          <w:p w14:paraId="14094422">
            <w:pPr>
              <w:rPr>
                <w:rFonts w:ascii="Arial"/>
                <w:color w:val="auto"/>
                <w:sz w:val="21"/>
                <w:highlight w:val="none"/>
              </w:rPr>
            </w:pPr>
          </w:p>
        </w:tc>
        <w:tc>
          <w:tcPr>
            <w:tcW w:w="1016" w:type="dxa"/>
            <w:vAlign w:val="top"/>
          </w:tcPr>
          <w:p w14:paraId="5C775128">
            <w:pPr>
              <w:rPr>
                <w:rFonts w:ascii="Arial"/>
                <w:color w:val="auto"/>
                <w:sz w:val="21"/>
                <w:highlight w:val="none"/>
              </w:rPr>
            </w:pPr>
          </w:p>
        </w:tc>
        <w:tc>
          <w:tcPr>
            <w:tcW w:w="1017" w:type="dxa"/>
            <w:vAlign w:val="top"/>
          </w:tcPr>
          <w:p w14:paraId="5D7B415B">
            <w:pPr>
              <w:rPr>
                <w:rFonts w:ascii="Arial"/>
                <w:color w:val="auto"/>
                <w:sz w:val="21"/>
                <w:highlight w:val="none"/>
              </w:rPr>
            </w:pPr>
          </w:p>
        </w:tc>
        <w:tc>
          <w:tcPr>
            <w:tcW w:w="1273" w:type="dxa"/>
            <w:vAlign w:val="top"/>
          </w:tcPr>
          <w:p w14:paraId="06EDB8E7">
            <w:pPr>
              <w:rPr>
                <w:rFonts w:ascii="Arial"/>
                <w:color w:val="auto"/>
                <w:sz w:val="21"/>
                <w:highlight w:val="none"/>
              </w:rPr>
            </w:pPr>
          </w:p>
        </w:tc>
        <w:tc>
          <w:tcPr>
            <w:tcW w:w="937" w:type="dxa"/>
            <w:tcBorders>
              <w:right w:val="single" w:color="000000" w:sz="6" w:space="0"/>
            </w:tcBorders>
            <w:vAlign w:val="top"/>
          </w:tcPr>
          <w:p w14:paraId="7B42BBEC">
            <w:pPr>
              <w:rPr>
                <w:rFonts w:ascii="Arial"/>
                <w:color w:val="auto"/>
                <w:sz w:val="21"/>
                <w:highlight w:val="none"/>
              </w:rPr>
            </w:pPr>
          </w:p>
        </w:tc>
      </w:tr>
      <w:tr w14:paraId="6F0560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162645ED">
            <w:pPr>
              <w:rPr>
                <w:rFonts w:ascii="Arial"/>
                <w:color w:val="auto"/>
                <w:sz w:val="21"/>
                <w:highlight w:val="none"/>
              </w:rPr>
            </w:pPr>
          </w:p>
        </w:tc>
        <w:tc>
          <w:tcPr>
            <w:tcW w:w="1261" w:type="dxa"/>
            <w:vAlign w:val="top"/>
          </w:tcPr>
          <w:p w14:paraId="7BCA505C">
            <w:pPr>
              <w:rPr>
                <w:rFonts w:ascii="Arial"/>
                <w:color w:val="auto"/>
                <w:sz w:val="21"/>
                <w:highlight w:val="none"/>
              </w:rPr>
            </w:pPr>
          </w:p>
        </w:tc>
        <w:tc>
          <w:tcPr>
            <w:tcW w:w="1841" w:type="dxa"/>
            <w:vAlign w:val="top"/>
          </w:tcPr>
          <w:p w14:paraId="2B143A90">
            <w:pPr>
              <w:rPr>
                <w:rFonts w:ascii="Arial"/>
                <w:color w:val="auto"/>
                <w:sz w:val="21"/>
                <w:highlight w:val="none"/>
              </w:rPr>
            </w:pPr>
          </w:p>
        </w:tc>
        <w:tc>
          <w:tcPr>
            <w:tcW w:w="2124" w:type="dxa"/>
            <w:vAlign w:val="top"/>
          </w:tcPr>
          <w:p w14:paraId="41C26CFE">
            <w:pPr>
              <w:rPr>
                <w:rFonts w:ascii="Arial"/>
                <w:color w:val="auto"/>
                <w:sz w:val="21"/>
                <w:highlight w:val="none"/>
              </w:rPr>
            </w:pPr>
          </w:p>
        </w:tc>
        <w:tc>
          <w:tcPr>
            <w:tcW w:w="779" w:type="dxa"/>
            <w:vAlign w:val="top"/>
          </w:tcPr>
          <w:p w14:paraId="50A2B02C">
            <w:pPr>
              <w:rPr>
                <w:rFonts w:ascii="Arial"/>
                <w:color w:val="auto"/>
                <w:sz w:val="21"/>
                <w:highlight w:val="none"/>
              </w:rPr>
            </w:pPr>
          </w:p>
        </w:tc>
        <w:tc>
          <w:tcPr>
            <w:tcW w:w="825" w:type="dxa"/>
            <w:vAlign w:val="top"/>
          </w:tcPr>
          <w:p w14:paraId="763E9694">
            <w:pPr>
              <w:rPr>
                <w:rFonts w:ascii="Arial"/>
                <w:color w:val="auto"/>
                <w:sz w:val="21"/>
                <w:highlight w:val="none"/>
              </w:rPr>
            </w:pPr>
          </w:p>
        </w:tc>
        <w:tc>
          <w:tcPr>
            <w:tcW w:w="1014" w:type="dxa"/>
            <w:vAlign w:val="top"/>
          </w:tcPr>
          <w:p w14:paraId="3481B45A">
            <w:pPr>
              <w:rPr>
                <w:rFonts w:ascii="Arial"/>
                <w:color w:val="auto"/>
                <w:sz w:val="21"/>
                <w:highlight w:val="none"/>
              </w:rPr>
            </w:pPr>
          </w:p>
        </w:tc>
        <w:tc>
          <w:tcPr>
            <w:tcW w:w="1014" w:type="dxa"/>
            <w:vAlign w:val="top"/>
          </w:tcPr>
          <w:p w14:paraId="2467D8BF">
            <w:pPr>
              <w:rPr>
                <w:rFonts w:ascii="Arial"/>
                <w:color w:val="auto"/>
                <w:sz w:val="21"/>
                <w:highlight w:val="none"/>
              </w:rPr>
            </w:pPr>
          </w:p>
        </w:tc>
        <w:tc>
          <w:tcPr>
            <w:tcW w:w="1016" w:type="dxa"/>
            <w:vAlign w:val="top"/>
          </w:tcPr>
          <w:p w14:paraId="7833C127">
            <w:pPr>
              <w:rPr>
                <w:rFonts w:ascii="Arial"/>
                <w:color w:val="auto"/>
                <w:sz w:val="21"/>
                <w:highlight w:val="none"/>
              </w:rPr>
            </w:pPr>
          </w:p>
        </w:tc>
        <w:tc>
          <w:tcPr>
            <w:tcW w:w="1017" w:type="dxa"/>
            <w:vAlign w:val="top"/>
          </w:tcPr>
          <w:p w14:paraId="04D2075B">
            <w:pPr>
              <w:rPr>
                <w:rFonts w:ascii="Arial"/>
                <w:color w:val="auto"/>
                <w:sz w:val="21"/>
                <w:highlight w:val="none"/>
              </w:rPr>
            </w:pPr>
          </w:p>
        </w:tc>
        <w:tc>
          <w:tcPr>
            <w:tcW w:w="1273" w:type="dxa"/>
            <w:vAlign w:val="top"/>
          </w:tcPr>
          <w:p w14:paraId="158E15A9">
            <w:pPr>
              <w:rPr>
                <w:rFonts w:ascii="Arial"/>
                <w:color w:val="auto"/>
                <w:sz w:val="21"/>
                <w:highlight w:val="none"/>
              </w:rPr>
            </w:pPr>
          </w:p>
        </w:tc>
        <w:tc>
          <w:tcPr>
            <w:tcW w:w="937" w:type="dxa"/>
            <w:tcBorders>
              <w:right w:val="single" w:color="000000" w:sz="6" w:space="0"/>
            </w:tcBorders>
            <w:vAlign w:val="top"/>
          </w:tcPr>
          <w:p w14:paraId="5BE26617">
            <w:pPr>
              <w:rPr>
                <w:rFonts w:ascii="Arial"/>
                <w:color w:val="auto"/>
                <w:sz w:val="21"/>
                <w:highlight w:val="none"/>
              </w:rPr>
            </w:pPr>
          </w:p>
        </w:tc>
      </w:tr>
      <w:tr w14:paraId="5B7100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101BDA7D">
            <w:pPr>
              <w:rPr>
                <w:rFonts w:ascii="Arial"/>
                <w:color w:val="auto"/>
                <w:sz w:val="21"/>
                <w:highlight w:val="none"/>
              </w:rPr>
            </w:pPr>
          </w:p>
        </w:tc>
        <w:tc>
          <w:tcPr>
            <w:tcW w:w="1261" w:type="dxa"/>
            <w:vAlign w:val="top"/>
          </w:tcPr>
          <w:p w14:paraId="23A88925">
            <w:pPr>
              <w:rPr>
                <w:rFonts w:ascii="Arial"/>
                <w:color w:val="auto"/>
                <w:sz w:val="21"/>
                <w:highlight w:val="none"/>
              </w:rPr>
            </w:pPr>
          </w:p>
        </w:tc>
        <w:tc>
          <w:tcPr>
            <w:tcW w:w="1841" w:type="dxa"/>
            <w:vAlign w:val="top"/>
          </w:tcPr>
          <w:p w14:paraId="6207F1F5">
            <w:pPr>
              <w:rPr>
                <w:rFonts w:ascii="Arial"/>
                <w:color w:val="auto"/>
                <w:sz w:val="21"/>
                <w:highlight w:val="none"/>
              </w:rPr>
            </w:pPr>
          </w:p>
        </w:tc>
        <w:tc>
          <w:tcPr>
            <w:tcW w:w="2124" w:type="dxa"/>
            <w:vAlign w:val="top"/>
          </w:tcPr>
          <w:p w14:paraId="259F997C">
            <w:pPr>
              <w:rPr>
                <w:rFonts w:ascii="Arial"/>
                <w:color w:val="auto"/>
                <w:sz w:val="21"/>
                <w:highlight w:val="none"/>
              </w:rPr>
            </w:pPr>
          </w:p>
        </w:tc>
        <w:tc>
          <w:tcPr>
            <w:tcW w:w="779" w:type="dxa"/>
            <w:vAlign w:val="top"/>
          </w:tcPr>
          <w:p w14:paraId="57C7BAE5">
            <w:pPr>
              <w:rPr>
                <w:rFonts w:ascii="Arial"/>
                <w:color w:val="auto"/>
                <w:sz w:val="21"/>
                <w:highlight w:val="none"/>
              </w:rPr>
            </w:pPr>
          </w:p>
        </w:tc>
        <w:tc>
          <w:tcPr>
            <w:tcW w:w="825" w:type="dxa"/>
            <w:vAlign w:val="top"/>
          </w:tcPr>
          <w:p w14:paraId="45C0B0FA">
            <w:pPr>
              <w:rPr>
                <w:rFonts w:ascii="Arial"/>
                <w:color w:val="auto"/>
                <w:sz w:val="21"/>
                <w:highlight w:val="none"/>
              </w:rPr>
            </w:pPr>
          </w:p>
        </w:tc>
        <w:tc>
          <w:tcPr>
            <w:tcW w:w="1014" w:type="dxa"/>
            <w:vAlign w:val="top"/>
          </w:tcPr>
          <w:p w14:paraId="490C4B57">
            <w:pPr>
              <w:rPr>
                <w:rFonts w:ascii="Arial"/>
                <w:color w:val="auto"/>
                <w:sz w:val="21"/>
                <w:highlight w:val="none"/>
              </w:rPr>
            </w:pPr>
          </w:p>
        </w:tc>
        <w:tc>
          <w:tcPr>
            <w:tcW w:w="1014" w:type="dxa"/>
            <w:vAlign w:val="top"/>
          </w:tcPr>
          <w:p w14:paraId="682446E4">
            <w:pPr>
              <w:rPr>
                <w:rFonts w:ascii="Arial"/>
                <w:color w:val="auto"/>
                <w:sz w:val="21"/>
                <w:highlight w:val="none"/>
              </w:rPr>
            </w:pPr>
          </w:p>
        </w:tc>
        <w:tc>
          <w:tcPr>
            <w:tcW w:w="1016" w:type="dxa"/>
            <w:vAlign w:val="top"/>
          </w:tcPr>
          <w:p w14:paraId="0BA297BD">
            <w:pPr>
              <w:rPr>
                <w:rFonts w:ascii="Arial"/>
                <w:color w:val="auto"/>
                <w:sz w:val="21"/>
                <w:highlight w:val="none"/>
              </w:rPr>
            </w:pPr>
          </w:p>
        </w:tc>
        <w:tc>
          <w:tcPr>
            <w:tcW w:w="1017" w:type="dxa"/>
            <w:vAlign w:val="top"/>
          </w:tcPr>
          <w:p w14:paraId="0C6ACAE5">
            <w:pPr>
              <w:rPr>
                <w:rFonts w:ascii="Arial"/>
                <w:color w:val="auto"/>
                <w:sz w:val="21"/>
                <w:highlight w:val="none"/>
              </w:rPr>
            </w:pPr>
          </w:p>
        </w:tc>
        <w:tc>
          <w:tcPr>
            <w:tcW w:w="1273" w:type="dxa"/>
            <w:vAlign w:val="top"/>
          </w:tcPr>
          <w:p w14:paraId="65EB94CB">
            <w:pPr>
              <w:rPr>
                <w:rFonts w:ascii="Arial"/>
                <w:color w:val="auto"/>
                <w:sz w:val="21"/>
                <w:highlight w:val="none"/>
              </w:rPr>
            </w:pPr>
          </w:p>
        </w:tc>
        <w:tc>
          <w:tcPr>
            <w:tcW w:w="937" w:type="dxa"/>
            <w:tcBorders>
              <w:right w:val="single" w:color="000000" w:sz="6" w:space="0"/>
            </w:tcBorders>
            <w:vAlign w:val="top"/>
          </w:tcPr>
          <w:p w14:paraId="5DE0D08B">
            <w:pPr>
              <w:rPr>
                <w:rFonts w:ascii="Arial"/>
                <w:color w:val="auto"/>
                <w:sz w:val="21"/>
                <w:highlight w:val="none"/>
              </w:rPr>
            </w:pPr>
          </w:p>
        </w:tc>
      </w:tr>
      <w:tr w14:paraId="29CCAA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39" w:type="dxa"/>
            <w:tcBorders>
              <w:left w:val="single" w:color="000000" w:sz="6" w:space="0"/>
            </w:tcBorders>
            <w:vAlign w:val="top"/>
          </w:tcPr>
          <w:p w14:paraId="17C51CD3">
            <w:pPr>
              <w:rPr>
                <w:rFonts w:ascii="Arial"/>
                <w:color w:val="auto"/>
                <w:sz w:val="21"/>
                <w:highlight w:val="none"/>
              </w:rPr>
            </w:pPr>
          </w:p>
        </w:tc>
        <w:tc>
          <w:tcPr>
            <w:tcW w:w="1261" w:type="dxa"/>
            <w:vAlign w:val="top"/>
          </w:tcPr>
          <w:p w14:paraId="5957B044">
            <w:pPr>
              <w:rPr>
                <w:rFonts w:ascii="Arial"/>
                <w:color w:val="auto"/>
                <w:sz w:val="21"/>
                <w:highlight w:val="none"/>
              </w:rPr>
            </w:pPr>
          </w:p>
        </w:tc>
        <w:tc>
          <w:tcPr>
            <w:tcW w:w="1841" w:type="dxa"/>
            <w:vAlign w:val="top"/>
          </w:tcPr>
          <w:p w14:paraId="3FAA9B91">
            <w:pPr>
              <w:rPr>
                <w:rFonts w:ascii="Arial"/>
                <w:color w:val="auto"/>
                <w:sz w:val="21"/>
                <w:highlight w:val="none"/>
              </w:rPr>
            </w:pPr>
          </w:p>
        </w:tc>
        <w:tc>
          <w:tcPr>
            <w:tcW w:w="2124" w:type="dxa"/>
            <w:vAlign w:val="top"/>
          </w:tcPr>
          <w:p w14:paraId="285B36CA">
            <w:pPr>
              <w:rPr>
                <w:rFonts w:ascii="Arial"/>
                <w:color w:val="auto"/>
                <w:sz w:val="21"/>
                <w:highlight w:val="none"/>
              </w:rPr>
            </w:pPr>
          </w:p>
        </w:tc>
        <w:tc>
          <w:tcPr>
            <w:tcW w:w="779" w:type="dxa"/>
            <w:vAlign w:val="top"/>
          </w:tcPr>
          <w:p w14:paraId="16CE738C">
            <w:pPr>
              <w:rPr>
                <w:rFonts w:ascii="Arial"/>
                <w:color w:val="auto"/>
                <w:sz w:val="21"/>
                <w:highlight w:val="none"/>
              </w:rPr>
            </w:pPr>
          </w:p>
        </w:tc>
        <w:tc>
          <w:tcPr>
            <w:tcW w:w="825" w:type="dxa"/>
            <w:vAlign w:val="top"/>
          </w:tcPr>
          <w:p w14:paraId="0D21D175">
            <w:pPr>
              <w:rPr>
                <w:rFonts w:ascii="Arial"/>
                <w:color w:val="auto"/>
                <w:sz w:val="21"/>
                <w:highlight w:val="none"/>
              </w:rPr>
            </w:pPr>
          </w:p>
        </w:tc>
        <w:tc>
          <w:tcPr>
            <w:tcW w:w="1014" w:type="dxa"/>
            <w:vAlign w:val="top"/>
          </w:tcPr>
          <w:p w14:paraId="50E66BDC">
            <w:pPr>
              <w:rPr>
                <w:rFonts w:ascii="Arial"/>
                <w:color w:val="auto"/>
                <w:sz w:val="21"/>
                <w:highlight w:val="none"/>
              </w:rPr>
            </w:pPr>
          </w:p>
        </w:tc>
        <w:tc>
          <w:tcPr>
            <w:tcW w:w="1014" w:type="dxa"/>
            <w:vAlign w:val="top"/>
          </w:tcPr>
          <w:p w14:paraId="140A489D">
            <w:pPr>
              <w:rPr>
                <w:rFonts w:ascii="Arial"/>
                <w:color w:val="auto"/>
                <w:sz w:val="21"/>
                <w:highlight w:val="none"/>
              </w:rPr>
            </w:pPr>
          </w:p>
        </w:tc>
        <w:tc>
          <w:tcPr>
            <w:tcW w:w="1016" w:type="dxa"/>
            <w:vAlign w:val="top"/>
          </w:tcPr>
          <w:p w14:paraId="16D70485">
            <w:pPr>
              <w:rPr>
                <w:rFonts w:ascii="Arial"/>
                <w:color w:val="auto"/>
                <w:sz w:val="21"/>
                <w:highlight w:val="none"/>
              </w:rPr>
            </w:pPr>
          </w:p>
        </w:tc>
        <w:tc>
          <w:tcPr>
            <w:tcW w:w="1017" w:type="dxa"/>
            <w:vAlign w:val="top"/>
          </w:tcPr>
          <w:p w14:paraId="0ADCA493">
            <w:pPr>
              <w:rPr>
                <w:rFonts w:ascii="Arial"/>
                <w:color w:val="auto"/>
                <w:sz w:val="21"/>
                <w:highlight w:val="none"/>
              </w:rPr>
            </w:pPr>
          </w:p>
        </w:tc>
        <w:tc>
          <w:tcPr>
            <w:tcW w:w="1273" w:type="dxa"/>
            <w:vAlign w:val="top"/>
          </w:tcPr>
          <w:p w14:paraId="7DBDCDEF">
            <w:pPr>
              <w:rPr>
                <w:rFonts w:ascii="Arial"/>
                <w:color w:val="auto"/>
                <w:sz w:val="21"/>
                <w:highlight w:val="none"/>
              </w:rPr>
            </w:pPr>
          </w:p>
        </w:tc>
        <w:tc>
          <w:tcPr>
            <w:tcW w:w="937" w:type="dxa"/>
            <w:tcBorders>
              <w:right w:val="single" w:color="000000" w:sz="6" w:space="0"/>
            </w:tcBorders>
            <w:vAlign w:val="top"/>
          </w:tcPr>
          <w:p w14:paraId="0C9E7FD6">
            <w:pPr>
              <w:rPr>
                <w:rFonts w:ascii="Arial"/>
                <w:color w:val="auto"/>
                <w:sz w:val="21"/>
                <w:highlight w:val="none"/>
              </w:rPr>
            </w:pPr>
          </w:p>
        </w:tc>
      </w:tr>
      <w:tr w14:paraId="57F8FD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4AE8FB38">
            <w:pPr>
              <w:rPr>
                <w:rFonts w:ascii="Arial"/>
                <w:color w:val="auto"/>
                <w:sz w:val="21"/>
                <w:highlight w:val="none"/>
              </w:rPr>
            </w:pPr>
          </w:p>
        </w:tc>
        <w:tc>
          <w:tcPr>
            <w:tcW w:w="1261" w:type="dxa"/>
            <w:vAlign w:val="top"/>
          </w:tcPr>
          <w:p w14:paraId="04F30415">
            <w:pPr>
              <w:rPr>
                <w:rFonts w:ascii="Arial"/>
                <w:color w:val="auto"/>
                <w:sz w:val="21"/>
                <w:highlight w:val="none"/>
              </w:rPr>
            </w:pPr>
          </w:p>
        </w:tc>
        <w:tc>
          <w:tcPr>
            <w:tcW w:w="1841" w:type="dxa"/>
            <w:vAlign w:val="top"/>
          </w:tcPr>
          <w:p w14:paraId="3B135672">
            <w:pPr>
              <w:rPr>
                <w:rFonts w:ascii="Arial"/>
                <w:color w:val="auto"/>
                <w:sz w:val="21"/>
                <w:highlight w:val="none"/>
              </w:rPr>
            </w:pPr>
          </w:p>
        </w:tc>
        <w:tc>
          <w:tcPr>
            <w:tcW w:w="2124" w:type="dxa"/>
            <w:vAlign w:val="top"/>
          </w:tcPr>
          <w:p w14:paraId="3DB76B19">
            <w:pPr>
              <w:rPr>
                <w:rFonts w:ascii="Arial"/>
                <w:color w:val="auto"/>
                <w:sz w:val="21"/>
                <w:highlight w:val="none"/>
              </w:rPr>
            </w:pPr>
          </w:p>
        </w:tc>
        <w:tc>
          <w:tcPr>
            <w:tcW w:w="779" w:type="dxa"/>
            <w:vAlign w:val="top"/>
          </w:tcPr>
          <w:p w14:paraId="026C8BDB">
            <w:pPr>
              <w:rPr>
                <w:rFonts w:ascii="Arial"/>
                <w:color w:val="auto"/>
                <w:sz w:val="21"/>
                <w:highlight w:val="none"/>
              </w:rPr>
            </w:pPr>
          </w:p>
        </w:tc>
        <w:tc>
          <w:tcPr>
            <w:tcW w:w="825" w:type="dxa"/>
            <w:vAlign w:val="top"/>
          </w:tcPr>
          <w:p w14:paraId="5462EF48">
            <w:pPr>
              <w:rPr>
                <w:rFonts w:ascii="Arial"/>
                <w:color w:val="auto"/>
                <w:sz w:val="21"/>
                <w:highlight w:val="none"/>
              </w:rPr>
            </w:pPr>
          </w:p>
        </w:tc>
        <w:tc>
          <w:tcPr>
            <w:tcW w:w="1014" w:type="dxa"/>
            <w:vAlign w:val="top"/>
          </w:tcPr>
          <w:p w14:paraId="049AB227">
            <w:pPr>
              <w:rPr>
                <w:rFonts w:ascii="Arial"/>
                <w:color w:val="auto"/>
                <w:sz w:val="21"/>
                <w:highlight w:val="none"/>
              </w:rPr>
            </w:pPr>
          </w:p>
        </w:tc>
        <w:tc>
          <w:tcPr>
            <w:tcW w:w="1014" w:type="dxa"/>
            <w:vAlign w:val="top"/>
          </w:tcPr>
          <w:p w14:paraId="5F2205DE">
            <w:pPr>
              <w:rPr>
                <w:rFonts w:ascii="Arial"/>
                <w:color w:val="auto"/>
                <w:sz w:val="21"/>
                <w:highlight w:val="none"/>
              </w:rPr>
            </w:pPr>
          </w:p>
        </w:tc>
        <w:tc>
          <w:tcPr>
            <w:tcW w:w="1016" w:type="dxa"/>
            <w:vAlign w:val="top"/>
          </w:tcPr>
          <w:p w14:paraId="7E8845FB">
            <w:pPr>
              <w:rPr>
                <w:rFonts w:ascii="Arial"/>
                <w:color w:val="auto"/>
                <w:sz w:val="21"/>
                <w:highlight w:val="none"/>
              </w:rPr>
            </w:pPr>
          </w:p>
        </w:tc>
        <w:tc>
          <w:tcPr>
            <w:tcW w:w="1017" w:type="dxa"/>
            <w:vAlign w:val="top"/>
          </w:tcPr>
          <w:p w14:paraId="473BFF44">
            <w:pPr>
              <w:rPr>
                <w:rFonts w:ascii="Arial"/>
                <w:color w:val="auto"/>
                <w:sz w:val="21"/>
                <w:highlight w:val="none"/>
              </w:rPr>
            </w:pPr>
          </w:p>
        </w:tc>
        <w:tc>
          <w:tcPr>
            <w:tcW w:w="1273" w:type="dxa"/>
            <w:vAlign w:val="top"/>
          </w:tcPr>
          <w:p w14:paraId="2E07F793">
            <w:pPr>
              <w:rPr>
                <w:rFonts w:ascii="Arial"/>
                <w:color w:val="auto"/>
                <w:sz w:val="21"/>
                <w:highlight w:val="none"/>
              </w:rPr>
            </w:pPr>
          </w:p>
        </w:tc>
        <w:tc>
          <w:tcPr>
            <w:tcW w:w="937" w:type="dxa"/>
            <w:tcBorders>
              <w:right w:val="single" w:color="000000" w:sz="6" w:space="0"/>
            </w:tcBorders>
            <w:vAlign w:val="top"/>
          </w:tcPr>
          <w:p w14:paraId="6EF53742">
            <w:pPr>
              <w:rPr>
                <w:rFonts w:ascii="Arial"/>
                <w:color w:val="auto"/>
                <w:sz w:val="21"/>
                <w:highlight w:val="none"/>
              </w:rPr>
            </w:pPr>
          </w:p>
        </w:tc>
      </w:tr>
      <w:tr w14:paraId="63E41C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7EAE17FB">
            <w:pPr>
              <w:rPr>
                <w:rFonts w:ascii="Arial"/>
                <w:color w:val="auto"/>
                <w:sz w:val="21"/>
                <w:highlight w:val="none"/>
              </w:rPr>
            </w:pPr>
          </w:p>
        </w:tc>
        <w:tc>
          <w:tcPr>
            <w:tcW w:w="1261" w:type="dxa"/>
            <w:vAlign w:val="top"/>
          </w:tcPr>
          <w:p w14:paraId="7FDC5D82">
            <w:pPr>
              <w:rPr>
                <w:rFonts w:ascii="Arial"/>
                <w:color w:val="auto"/>
                <w:sz w:val="21"/>
                <w:highlight w:val="none"/>
              </w:rPr>
            </w:pPr>
          </w:p>
        </w:tc>
        <w:tc>
          <w:tcPr>
            <w:tcW w:w="1841" w:type="dxa"/>
            <w:vAlign w:val="top"/>
          </w:tcPr>
          <w:p w14:paraId="5D213B32">
            <w:pPr>
              <w:rPr>
                <w:rFonts w:ascii="Arial"/>
                <w:color w:val="auto"/>
                <w:sz w:val="21"/>
                <w:highlight w:val="none"/>
              </w:rPr>
            </w:pPr>
          </w:p>
        </w:tc>
        <w:tc>
          <w:tcPr>
            <w:tcW w:w="2124" w:type="dxa"/>
            <w:vAlign w:val="top"/>
          </w:tcPr>
          <w:p w14:paraId="4F0D5B7F">
            <w:pPr>
              <w:rPr>
                <w:rFonts w:ascii="Arial"/>
                <w:color w:val="auto"/>
                <w:sz w:val="21"/>
                <w:highlight w:val="none"/>
              </w:rPr>
            </w:pPr>
          </w:p>
        </w:tc>
        <w:tc>
          <w:tcPr>
            <w:tcW w:w="779" w:type="dxa"/>
            <w:vAlign w:val="top"/>
          </w:tcPr>
          <w:p w14:paraId="48630BA8">
            <w:pPr>
              <w:rPr>
                <w:rFonts w:ascii="Arial"/>
                <w:color w:val="auto"/>
                <w:sz w:val="21"/>
                <w:highlight w:val="none"/>
              </w:rPr>
            </w:pPr>
          </w:p>
        </w:tc>
        <w:tc>
          <w:tcPr>
            <w:tcW w:w="825" w:type="dxa"/>
            <w:vAlign w:val="top"/>
          </w:tcPr>
          <w:p w14:paraId="6FC5B309">
            <w:pPr>
              <w:rPr>
                <w:rFonts w:ascii="Arial"/>
                <w:color w:val="auto"/>
                <w:sz w:val="21"/>
                <w:highlight w:val="none"/>
              </w:rPr>
            </w:pPr>
          </w:p>
        </w:tc>
        <w:tc>
          <w:tcPr>
            <w:tcW w:w="1014" w:type="dxa"/>
            <w:vAlign w:val="top"/>
          </w:tcPr>
          <w:p w14:paraId="04485B68">
            <w:pPr>
              <w:rPr>
                <w:rFonts w:ascii="Arial"/>
                <w:color w:val="auto"/>
                <w:sz w:val="21"/>
                <w:highlight w:val="none"/>
              </w:rPr>
            </w:pPr>
          </w:p>
        </w:tc>
        <w:tc>
          <w:tcPr>
            <w:tcW w:w="1014" w:type="dxa"/>
            <w:vAlign w:val="top"/>
          </w:tcPr>
          <w:p w14:paraId="3D121002">
            <w:pPr>
              <w:rPr>
                <w:rFonts w:ascii="Arial"/>
                <w:color w:val="auto"/>
                <w:sz w:val="21"/>
                <w:highlight w:val="none"/>
              </w:rPr>
            </w:pPr>
          </w:p>
        </w:tc>
        <w:tc>
          <w:tcPr>
            <w:tcW w:w="1016" w:type="dxa"/>
            <w:vAlign w:val="top"/>
          </w:tcPr>
          <w:p w14:paraId="0B65904E">
            <w:pPr>
              <w:rPr>
                <w:rFonts w:ascii="Arial"/>
                <w:color w:val="auto"/>
                <w:sz w:val="21"/>
                <w:highlight w:val="none"/>
              </w:rPr>
            </w:pPr>
          </w:p>
        </w:tc>
        <w:tc>
          <w:tcPr>
            <w:tcW w:w="1017" w:type="dxa"/>
            <w:vAlign w:val="top"/>
          </w:tcPr>
          <w:p w14:paraId="2125CE39">
            <w:pPr>
              <w:rPr>
                <w:rFonts w:ascii="Arial"/>
                <w:color w:val="auto"/>
                <w:sz w:val="21"/>
                <w:highlight w:val="none"/>
              </w:rPr>
            </w:pPr>
          </w:p>
        </w:tc>
        <w:tc>
          <w:tcPr>
            <w:tcW w:w="1273" w:type="dxa"/>
            <w:vAlign w:val="top"/>
          </w:tcPr>
          <w:p w14:paraId="5D31CB1D">
            <w:pPr>
              <w:rPr>
                <w:rFonts w:ascii="Arial"/>
                <w:color w:val="auto"/>
                <w:sz w:val="21"/>
                <w:highlight w:val="none"/>
              </w:rPr>
            </w:pPr>
          </w:p>
        </w:tc>
        <w:tc>
          <w:tcPr>
            <w:tcW w:w="937" w:type="dxa"/>
            <w:tcBorders>
              <w:right w:val="single" w:color="000000" w:sz="6" w:space="0"/>
            </w:tcBorders>
            <w:vAlign w:val="top"/>
          </w:tcPr>
          <w:p w14:paraId="5061A128">
            <w:pPr>
              <w:rPr>
                <w:rFonts w:ascii="Arial"/>
                <w:color w:val="auto"/>
                <w:sz w:val="21"/>
                <w:highlight w:val="none"/>
              </w:rPr>
            </w:pPr>
          </w:p>
        </w:tc>
      </w:tr>
      <w:tr w14:paraId="6A7392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7BF11C5D">
            <w:pPr>
              <w:rPr>
                <w:rFonts w:ascii="Arial"/>
                <w:color w:val="auto"/>
                <w:sz w:val="21"/>
                <w:highlight w:val="none"/>
              </w:rPr>
            </w:pPr>
          </w:p>
        </w:tc>
        <w:tc>
          <w:tcPr>
            <w:tcW w:w="1261" w:type="dxa"/>
            <w:vAlign w:val="top"/>
          </w:tcPr>
          <w:p w14:paraId="013B0C15">
            <w:pPr>
              <w:rPr>
                <w:rFonts w:ascii="Arial"/>
                <w:color w:val="auto"/>
                <w:sz w:val="21"/>
                <w:highlight w:val="none"/>
              </w:rPr>
            </w:pPr>
          </w:p>
        </w:tc>
        <w:tc>
          <w:tcPr>
            <w:tcW w:w="1841" w:type="dxa"/>
            <w:vAlign w:val="top"/>
          </w:tcPr>
          <w:p w14:paraId="013D3EC0">
            <w:pPr>
              <w:rPr>
                <w:rFonts w:ascii="Arial"/>
                <w:color w:val="auto"/>
                <w:sz w:val="21"/>
                <w:highlight w:val="none"/>
              </w:rPr>
            </w:pPr>
          </w:p>
        </w:tc>
        <w:tc>
          <w:tcPr>
            <w:tcW w:w="2124" w:type="dxa"/>
            <w:vAlign w:val="top"/>
          </w:tcPr>
          <w:p w14:paraId="796B248E">
            <w:pPr>
              <w:rPr>
                <w:rFonts w:ascii="Arial"/>
                <w:color w:val="auto"/>
                <w:sz w:val="21"/>
                <w:highlight w:val="none"/>
              </w:rPr>
            </w:pPr>
          </w:p>
        </w:tc>
        <w:tc>
          <w:tcPr>
            <w:tcW w:w="779" w:type="dxa"/>
            <w:vAlign w:val="top"/>
          </w:tcPr>
          <w:p w14:paraId="00C6AECC">
            <w:pPr>
              <w:rPr>
                <w:rFonts w:ascii="Arial"/>
                <w:color w:val="auto"/>
                <w:sz w:val="21"/>
                <w:highlight w:val="none"/>
              </w:rPr>
            </w:pPr>
          </w:p>
        </w:tc>
        <w:tc>
          <w:tcPr>
            <w:tcW w:w="825" w:type="dxa"/>
            <w:vAlign w:val="top"/>
          </w:tcPr>
          <w:p w14:paraId="689558C6">
            <w:pPr>
              <w:rPr>
                <w:rFonts w:ascii="Arial"/>
                <w:color w:val="auto"/>
                <w:sz w:val="21"/>
                <w:highlight w:val="none"/>
              </w:rPr>
            </w:pPr>
          </w:p>
        </w:tc>
        <w:tc>
          <w:tcPr>
            <w:tcW w:w="1014" w:type="dxa"/>
            <w:vAlign w:val="top"/>
          </w:tcPr>
          <w:p w14:paraId="1918D6E1">
            <w:pPr>
              <w:rPr>
                <w:rFonts w:ascii="Arial"/>
                <w:color w:val="auto"/>
                <w:sz w:val="21"/>
                <w:highlight w:val="none"/>
              </w:rPr>
            </w:pPr>
          </w:p>
        </w:tc>
        <w:tc>
          <w:tcPr>
            <w:tcW w:w="1014" w:type="dxa"/>
            <w:vAlign w:val="top"/>
          </w:tcPr>
          <w:p w14:paraId="14921A40">
            <w:pPr>
              <w:rPr>
                <w:rFonts w:ascii="Arial"/>
                <w:color w:val="auto"/>
                <w:sz w:val="21"/>
                <w:highlight w:val="none"/>
              </w:rPr>
            </w:pPr>
          </w:p>
        </w:tc>
        <w:tc>
          <w:tcPr>
            <w:tcW w:w="1016" w:type="dxa"/>
            <w:vAlign w:val="top"/>
          </w:tcPr>
          <w:p w14:paraId="14319D8F">
            <w:pPr>
              <w:rPr>
                <w:rFonts w:ascii="Arial"/>
                <w:color w:val="auto"/>
                <w:sz w:val="21"/>
                <w:highlight w:val="none"/>
              </w:rPr>
            </w:pPr>
          </w:p>
        </w:tc>
        <w:tc>
          <w:tcPr>
            <w:tcW w:w="1017" w:type="dxa"/>
            <w:vAlign w:val="top"/>
          </w:tcPr>
          <w:p w14:paraId="4C5E4009">
            <w:pPr>
              <w:rPr>
                <w:rFonts w:ascii="Arial"/>
                <w:color w:val="auto"/>
                <w:sz w:val="21"/>
                <w:highlight w:val="none"/>
              </w:rPr>
            </w:pPr>
          </w:p>
        </w:tc>
        <w:tc>
          <w:tcPr>
            <w:tcW w:w="1273" w:type="dxa"/>
            <w:vAlign w:val="top"/>
          </w:tcPr>
          <w:p w14:paraId="3831E4D3">
            <w:pPr>
              <w:rPr>
                <w:rFonts w:ascii="Arial"/>
                <w:color w:val="auto"/>
                <w:sz w:val="21"/>
                <w:highlight w:val="none"/>
              </w:rPr>
            </w:pPr>
          </w:p>
        </w:tc>
        <w:tc>
          <w:tcPr>
            <w:tcW w:w="937" w:type="dxa"/>
            <w:tcBorders>
              <w:right w:val="single" w:color="000000" w:sz="6" w:space="0"/>
            </w:tcBorders>
            <w:vAlign w:val="top"/>
          </w:tcPr>
          <w:p w14:paraId="5EEE5DA7">
            <w:pPr>
              <w:rPr>
                <w:rFonts w:ascii="Arial"/>
                <w:color w:val="auto"/>
                <w:sz w:val="21"/>
                <w:highlight w:val="none"/>
              </w:rPr>
            </w:pPr>
          </w:p>
        </w:tc>
      </w:tr>
      <w:tr w14:paraId="1AFFB4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839" w:type="dxa"/>
            <w:tcBorders>
              <w:left w:val="single" w:color="000000" w:sz="6" w:space="0"/>
            </w:tcBorders>
            <w:vAlign w:val="top"/>
          </w:tcPr>
          <w:p w14:paraId="35785D53">
            <w:pPr>
              <w:rPr>
                <w:rFonts w:ascii="Arial"/>
                <w:color w:val="auto"/>
                <w:sz w:val="21"/>
                <w:highlight w:val="none"/>
              </w:rPr>
            </w:pPr>
          </w:p>
        </w:tc>
        <w:tc>
          <w:tcPr>
            <w:tcW w:w="1261" w:type="dxa"/>
            <w:vAlign w:val="top"/>
          </w:tcPr>
          <w:p w14:paraId="54C15756">
            <w:pPr>
              <w:rPr>
                <w:rFonts w:ascii="Arial"/>
                <w:color w:val="auto"/>
                <w:sz w:val="21"/>
                <w:highlight w:val="none"/>
              </w:rPr>
            </w:pPr>
          </w:p>
        </w:tc>
        <w:tc>
          <w:tcPr>
            <w:tcW w:w="1841" w:type="dxa"/>
            <w:vAlign w:val="top"/>
          </w:tcPr>
          <w:p w14:paraId="3FED5C3A">
            <w:pPr>
              <w:rPr>
                <w:rFonts w:ascii="Arial"/>
                <w:color w:val="auto"/>
                <w:sz w:val="21"/>
                <w:highlight w:val="none"/>
              </w:rPr>
            </w:pPr>
          </w:p>
        </w:tc>
        <w:tc>
          <w:tcPr>
            <w:tcW w:w="2124" w:type="dxa"/>
            <w:vAlign w:val="top"/>
          </w:tcPr>
          <w:p w14:paraId="55215BD9">
            <w:pPr>
              <w:rPr>
                <w:rFonts w:ascii="Arial"/>
                <w:color w:val="auto"/>
                <w:sz w:val="21"/>
                <w:highlight w:val="none"/>
              </w:rPr>
            </w:pPr>
          </w:p>
        </w:tc>
        <w:tc>
          <w:tcPr>
            <w:tcW w:w="779" w:type="dxa"/>
            <w:vAlign w:val="top"/>
          </w:tcPr>
          <w:p w14:paraId="7F42DCE6">
            <w:pPr>
              <w:rPr>
                <w:rFonts w:ascii="Arial"/>
                <w:color w:val="auto"/>
                <w:sz w:val="21"/>
                <w:highlight w:val="none"/>
              </w:rPr>
            </w:pPr>
          </w:p>
        </w:tc>
        <w:tc>
          <w:tcPr>
            <w:tcW w:w="825" w:type="dxa"/>
            <w:vAlign w:val="top"/>
          </w:tcPr>
          <w:p w14:paraId="66CF2E42">
            <w:pPr>
              <w:rPr>
                <w:rFonts w:ascii="Arial"/>
                <w:color w:val="auto"/>
                <w:sz w:val="21"/>
                <w:highlight w:val="none"/>
              </w:rPr>
            </w:pPr>
          </w:p>
        </w:tc>
        <w:tc>
          <w:tcPr>
            <w:tcW w:w="1014" w:type="dxa"/>
            <w:vAlign w:val="top"/>
          </w:tcPr>
          <w:p w14:paraId="501B17DF">
            <w:pPr>
              <w:rPr>
                <w:rFonts w:ascii="Arial"/>
                <w:color w:val="auto"/>
                <w:sz w:val="21"/>
                <w:highlight w:val="none"/>
              </w:rPr>
            </w:pPr>
          </w:p>
        </w:tc>
        <w:tc>
          <w:tcPr>
            <w:tcW w:w="1014" w:type="dxa"/>
            <w:vAlign w:val="top"/>
          </w:tcPr>
          <w:p w14:paraId="1B7CCD7A">
            <w:pPr>
              <w:rPr>
                <w:rFonts w:ascii="Arial"/>
                <w:color w:val="auto"/>
                <w:sz w:val="21"/>
                <w:highlight w:val="none"/>
              </w:rPr>
            </w:pPr>
          </w:p>
        </w:tc>
        <w:tc>
          <w:tcPr>
            <w:tcW w:w="1016" w:type="dxa"/>
            <w:vAlign w:val="top"/>
          </w:tcPr>
          <w:p w14:paraId="489D18BF">
            <w:pPr>
              <w:rPr>
                <w:rFonts w:ascii="Arial"/>
                <w:color w:val="auto"/>
                <w:sz w:val="21"/>
                <w:highlight w:val="none"/>
              </w:rPr>
            </w:pPr>
          </w:p>
        </w:tc>
        <w:tc>
          <w:tcPr>
            <w:tcW w:w="1017" w:type="dxa"/>
            <w:vAlign w:val="top"/>
          </w:tcPr>
          <w:p w14:paraId="301B5FAD">
            <w:pPr>
              <w:rPr>
                <w:rFonts w:ascii="Arial"/>
                <w:color w:val="auto"/>
                <w:sz w:val="21"/>
                <w:highlight w:val="none"/>
              </w:rPr>
            </w:pPr>
          </w:p>
        </w:tc>
        <w:tc>
          <w:tcPr>
            <w:tcW w:w="1273" w:type="dxa"/>
            <w:vAlign w:val="top"/>
          </w:tcPr>
          <w:p w14:paraId="40FA9B5D">
            <w:pPr>
              <w:rPr>
                <w:rFonts w:ascii="Arial"/>
                <w:color w:val="auto"/>
                <w:sz w:val="21"/>
                <w:highlight w:val="none"/>
              </w:rPr>
            </w:pPr>
          </w:p>
        </w:tc>
        <w:tc>
          <w:tcPr>
            <w:tcW w:w="937" w:type="dxa"/>
            <w:tcBorders>
              <w:right w:val="single" w:color="000000" w:sz="6" w:space="0"/>
            </w:tcBorders>
            <w:vAlign w:val="top"/>
          </w:tcPr>
          <w:p w14:paraId="35B7F1B5">
            <w:pPr>
              <w:rPr>
                <w:rFonts w:ascii="Arial"/>
                <w:color w:val="auto"/>
                <w:sz w:val="21"/>
                <w:highlight w:val="none"/>
              </w:rPr>
            </w:pPr>
          </w:p>
        </w:tc>
      </w:tr>
      <w:tr w14:paraId="727E47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839" w:type="dxa"/>
            <w:tcBorders>
              <w:left w:val="single" w:color="000000" w:sz="6" w:space="0"/>
              <w:bottom w:val="single" w:color="000000" w:sz="6" w:space="0"/>
            </w:tcBorders>
            <w:vAlign w:val="top"/>
          </w:tcPr>
          <w:p w14:paraId="259D75A2">
            <w:pPr>
              <w:rPr>
                <w:rFonts w:ascii="Arial"/>
                <w:color w:val="auto"/>
                <w:sz w:val="21"/>
                <w:highlight w:val="none"/>
              </w:rPr>
            </w:pPr>
          </w:p>
        </w:tc>
        <w:tc>
          <w:tcPr>
            <w:tcW w:w="1261" w:type="dxa"/>
            <w:tcBorders>
              <w:bottom w:val="single" w:color="000000" w:sz="6" w:space="0"/>
            </w:tcBorders>
            <w:vAlign w:val="top"/>
          </w:tcPr>
          <w:p w14:paraId="6B9D9877">
            <w:pPr>
              <w:rPr>
                <w:rFonts w:ascii="Arial"/>
                <w:color w:val="auto"/>
                <w:sz w:val="21"/>
                <w:highlight w:val="none"/>
              </w:rPr>
            </w:pPr>
          </w:p>
        </w:tc>
        <w:tc>
          <w:tcPr>
            <w:tcW w:w="1841" w:type="dxa"/>
            <w:tcBorders>
              <w:bottom w:val="single" w:color="000000" w:sz="6" w:space="0"/>
            </w:tcBorders>
            <w:vAlign w:val="top"/>
          </w:tcPr>
          <w:p w14:paraId="0D2AA133">
            <w:pPr>
              <w:pStyle w:val="33"/>
              <w:spacing w:before="237" w:line="222" w:lineRule="auto"/>
              <w:ind w:left="606"/>
              <w:rPr>
                <w:color w:val="auto"/>
                <w:sz w:val="21"/>
                <w:szCs w:val="21"/>
                <w:highlight w:val="none"/>
              </w:rPr>
            </w:pPr>
            <w:r>
              <w:rPr>
                <w:b/>
                <w:bCs/>
                <w:color w:val="auto"/>
                <w:spacing w:val="-7"/>
                <w:sz w:val="21"/>
                <w:szCs w:val="21"/>
                <w:highlight w:val="none"/>
              </w:rPr>
              <w:t>合</w:t>
            </w:r>
            <w:r>
              <w:rPr>
                <w:color w:val="auto"/>
                <w:spacing w:val="5"/>
                <w:sz w:val="21"/>
                <w:szCs w:val="21"/>
                <w:highlight w:val="none"/>
              </w:rPr>
              <w:t xml:space="preserve">  </w:t>
            </w:r>
            <w:r>
              <w:rPr>
                <w:b/>
                <w:bCs/>
                <w:color w:val="auto"/>
                <w:spacing w:val="-7"/>
                <w:sz w:val="21"/>
                <w:szCs w:val="21"/>
                <w:highlight w:val="none"/>
              </w:rPr>
              <w:t>计</w:t>
            </w:r>
          </w:p>
        </w:tc>
        <w:tc>
          <w:tcPr>
            <w:tcW w:w="2124" w:type="dxa"/>
            <w:tcBorders>
              <w:bottom w:val="single" w:color="000000" w:sz="6" w:space="0"/>
            </w:tcBorders>
            <w:vAlign w:val="top"/>
          </w:tcPr>
          <w:p w14:paraId="1F003610">
            <w:pPr>
              <w:rPr>
                <w:rFonts w:ascii="Arial"/>
                <w:color w:val="auto"/>
                <w:sz w:val="21"/>
                <w:highlight w:val="none"/>
              </w:rPr>
            </w:pPr>
          </w:p>
        </w:tc>
        <w:tc>
          <w:tcPr>
            <w:tcW w:w="779" w:type="dxa"/>
            <w:tcBorders>
              <w:bottom w:val="single" w:color="000000" w:sz="6" w:space="0"/>
            </w:tcBorders>
            <w:vAlign w:val="top"/>
          </w:tcPr>
          <w:p w14:paraId="3F04F5B5">
            <w:pPr>
              <w:rPr>
                <w:rFonts w:ascii="Arial"/>
                <w:color w:val="auto"/>
                <w:sz w:val="21"/>
                <w:highlight w:val="none"/>
              </w:rPr>
            </w:pPr>
          </w:p>
        </w:tc>
        <w:tc>
          <w:tcPr>
            <w:tcW w:w="825" w:type="dxa"/>
            <w:tcBorders>
              <w:bottom w:val="single" w:color="000000" w:sz="6" w:space="0"/>
            </w:tcBorders>
            <w:vAlign w:val="top"/>
          </w:tcPr>
          <w:p w14:paraId="77FD55D8">
            <w:pPr>
              <w:rPr>
                <w:rFonts w:ascii="Arial"/>
                <w:color w:val="auto"/>
                <w:sz w:val="21"/>
                <w:highlight w:val="none"/>
              </w:rPr>
            </w:pPr>
          </w:p>
        </w:tc>
        <w:tc>
          <w:tcPr>
            <w:tcW w:w="1014" w:type="dxa"/>
            <w:tcBorders>
              <w:bottom w:val="single" w:color="000000" w:sz="6" w:space="0"/>
            </w:tcBorders>
            <w:vAlign w:val="top"/>
          </w:tcPr>
          <w:p w14:paraId="6AE58D42">
            <w:pPr>
              <w:rPr>
                <w:rFonts w:ascii="Arial"/>
                <w:color w:val="auto"/>
                <w:sz w:val="21"/>
                <w:highlight w:val="none"/>
              </w:rPr>
            </w:pPr>
          </w:p>
        </w:tc>
        <w:tc>
          <w:tcPr>
            <w:tcW w:w="1014" w:type="dxa"/>
            <w:tcBorders>
              <w:bottom w:val="single" w:color="000000" w:sz="6" w:space="0"/>
            </w:tcBorders>
            <w:vAlign w:val="top"/>
          </w:tcPr>
          <w:p w14:paraId="0E70BBE1">
            <w:pPr>
              <w:rPr>
                <w:rFonts w:ascii="Arial"/>
                <w:color w:val="auto"/>
                <w:sz w:val="21"/>
                <w:highlight w:val="none"/>
              </w:rPr>
            </w:pPr>
          </w:p>
        </w:tc>
        <w:tc>
          <w:tcPr>
            <w:tcW w:w="1016" w:type="dxa"/>
            <w:tcBorders>
              <w:bottom w:val="single" w:color="000000" w:sz="6" w:space="0"/>
            </w:tcBorders>
            <w:vAlign w:val="top"/>
          </w:tcPr>
          <w:p w14:paraId="14EACB2D">
            <w:pPr>
              <w:rPr>
                <w:rFonts w:ascii="Arial"/>
                <w:color w:val="auto"/>
                <w:sz w:val="21"/>
                <w:highlight w:val="none"/>
              </w:rPr>
            </w:pPr>
          </w:p>
        </w:tc>
        <w:tc>
          <w:tcPr>
            <w:tcW w:w="1017" w:type="dxa"/>
            <w:tcBorders>
              <w:bottom w:val="single" w:color="000000" w:sz="6" w:space="0"/>
            </w:tcBorders>
            <w:vAlign w:val="top"/>
          </w:tcPr>
          <w:p w14:paraId="62E5D7C6">
            <w:pPr>
              <w:rPr>
                <w:rFonts w:ascii="Arial"/>
                <w:color w:val="auto"/>
                <w:sz w:val="21"/>
                <w:highlight w:val="none"/>
              </w:rPr>
            </w:pPr>
          </w:p>
        </w:tc>
        <w:tc>
          <w:tcPr>
            <w:tcW w:w="1273" w:type="dxa"/>
            <w:tcBorders>
              <w:bottom w:val="single" w:color="000000" w:sz="6" w:space="0"/>
            </w:tcBorders>
            <w:vAlign w:val="top"/>
          </w:tcPr>
          <w:p w14:paraId="5C73D834">
            <w:pPr>
              <w:rPr>
                <w:rFonts w:ascii="Arial"/>
                <w:color w:val="auto"/>
                <w:sz w:val="21"/>
                <w:highlight w:val="none"/>
              </w:rPr>
            </w:pPr>
          </w:p>
        </w:tc>
        <w:tc>
          <w:tcPr>
            <w:tcW w:w="937" w:type="dxa"/>
            <w:tcBorders>
              <w:bottom w:val="single" w:color="000000" w:sz="6" w:space="0"/>
              <w:right w:val="single" w:color="000000" w:sz="6" w:space="0"/>
            </w:tcBorders>
            <w:vAlign w:val="top"/>
          </w:tcPr>
          <w:p w14:paraId="7A2E2A26">
            <w:pPr>
              <w:rPr>
                <w:rFonts w:ascii="Arial"/>
                <w:color w:val="auto"/>
                <w:sz w:val="21"/>
                <w:highlight w:val="none"/>
              </w:rPr>
            </w:pPr>
          </w:p>
        </w:tc>
      </w:tr>
    </w:tbl>
    <w:p w14:paraId="15ADA9DD">
      <w:pPr>
        <w:pStyle w:val="3"/>
        <w:rPr>
          <w:color w:val="auto"/>
          <w:highlight w:val="none"/>
        </w:rPr>
      </w:pPr>
    </w:p>
    <w:p w14:paraId="499A498B">
      <w:pPr>
        <w:rPr>
          <w:color w:val="auto"/>
          <w:highlight w:val="none"/>
        </w:rPr>
        <w:sectPr>
          <w:pgSz w:w="16843" w:h="11905" w:orient="landscape"/>
          <w:pgMar w:top="1621" w:right="1429" w:bottom="1361" w:left="1253" w:header="0" w:footer="1094" w:gutter="0"/>
          <w:pgNumType w:fmt="decimal"/>
          <w:cols w:space="0" w:num="1"/>
          <w:rtlGutter w:val="0"/>
          <w:docGrid w:linePitch="0" w:charSpace="0"/>
        </w:sectPr>
      </w:pPr>
    </w:p>
    <w:p w14:paraId="04235C55">
      <w:pPr>
        <w:spacing w:before="78" w:line="220" w:lineRule="auto"/>
        <w:ind w:left="518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施工临时工程分类分项工程量清单</w:t>
      </w:r>
    </w:p>
    <w:p w14:paraId="5E856BF7">
      <w:pPr>
        <w:spacing w:before="173" w:line="221" w:lineRule="auto"/>
        <w:ind w:left="11"/>
        <w:rPr>
          <w:rFonts w:ascii="宋体" w:hAnsi="宋体" w:eastAsia="宋体" w:cs="宋体"/>
          <w:color w:val="auto"/>
          <w:sz w:val="21"/>
          <w:szCs w:val="21"/>
          <w:highlight w:val="none"/>
        </w:rPr>
      </w:pPr>
      <w:r>
        <w:rPr>
          <w:rFonts w:ascii="宋体" w:hAnsi="宋体" w:eastAsia="宋体" w:cs="宋体"/>
          <w:color w:val="auto"/>
          <w:spacing w:val="-1"/>
          <w:sz w:val="21"/>
          <w:szCs w:val="21"/>
          <w:highlight w:val="none"/>
        </w:rPr>
        <w:t>项目及标段名称：</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   页共   页</w:t>
      </w:r>
    </w:p>
    <w:p w14:paraId="1F46E790">
      <w:pPr>
        <w:spacing w:line="127" w:lineRule="exact"/>
        <w:rPr>
          <w:color w:val="auto"/>
          <w:highlight w:val="none"/>
        </w:rPr>
      </w:pPr>
    </w:p>
    <w:tbl>
      <w:tblPr>
        <w:tblStyle w:val="32"/>
        <w:tblW w:w="14147"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2"/>
        <w:gridCol w:w="1987"/>
        <w:gridCol w:w="2831"/>
        <w:gridCol w:w="2266"/>
        <w:gridCol w:w="990"/>
        <w:gridCol w:w="993"/>
        <w:gridCol w:w="990"/>
        <w:gridCol w:w="993"/>
        <w:gridCol w:w="1273"/>
        <w:gridCol w:w="1002"/>
      </w:tblGrid>
      <w:tr w14:paraId="2345EAE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6" w:hRule="atLeast"/>
        </w:trPr>
        <w:tc>
          <w:tcPr>
            <w:tcW w:w="822" w:type="dxa"/>
            <w:tcBorders>
              <w:top w:val="single" w:color="000000" w:sz="6" w:space="0"/>
              <w:left w:val="single" w:color="000000" w:sz="6" w:space="0"/>
            </w:tcBorders>
            <w:vAlign w:val="top"/>
          </w:tcPr>
          <w:p w14:paraId="3369414E">
            <w:pPr>
              <w:pStyle w:val="33"/>
              <w:spacing w:before="211" w:line="222" w:lineRule="auto"/>
              <w:ind w:left="196"/>
              <w:rPr>
                <w:color w:val="auto"/>
                <w:sz w:val="21"/>
                <w:szCs w:val="21"/>
                <w:highlight w:val="none"/>
              </w:rPr>
            </w:pPr>
            <w:r>
              <w:rPr>
                <w:color w:val="auto"/>
                <w:spacing w:val="-2"/>
                <w:sz w:val="21"/>
                <w:szCs w:val="21"/>
                <w:highlight w:val="none"/>
              </w:rPr>
              <w:t>序号</w:t>
            </w:r>
          </w:p>
        </w:tc>
        <w:tc>
          <w:tcPr>
            <w:tcW w:w="1987" w:type="dxa"/>
            <w:tcBorders>
              <w:top w:val="single" w:color="000000" w:sz="6" w:space="0"/>
            </w:tcBorders>
            <w:vAlign w:val="top"/>
          </w:tcPr>
          <w:p w14:paraId="559B55C7">
            <w:pPr>
              <w:pStyle w:val="33"/>
              <w:spacing w:before="211" w:line="221" w:lineRule="auto"/>
              <w:ind w:left="576"/>
              <w:rPr>
                <w:color w:val="auto"/>
                <w:sz w:val="21"/>
                <w:szCs w:val="21"/>
                <w:highlight w:val="none"/>
              </w:rPr>
            </w:pPr>
            <w:r>
              <w:rPr>
                <w:color w:val="auto"/>
                <w:spacing w:val="-3"/>
                <w:sz w:val="21"/>
                <w:szCs w:val="21"/>
                <w:highlight w:val="none"/>
              </w:rPr>
              <w:t>项目编码</w:t>
            </w:r>
          </w:p>
        </w:tc>
        <w:tc>
          <w:tcPr>
            <w:tcW w:w="2831" w:type="dxa"/>
            <w:tcBorders>
              <w:top w:val="single" w:color="000000" w:sz="6" w:space="0"/>
            </w:tcBorders>
            <w:vAlign w:val="top"/>
          </w:tcPr>
          <w:p w14:paraId="0631FE0E">
            <w:pPr>
              <w:pStyle w:val="33"/>
              <w:spacing w:before="211" w:line="221" w:lineRule="auto"/>
              <w:ind w:left="1001"/>
              <w:rPr>
                <w:color w:val="auto"/>
                <w:sz w:val="21"/>
                <w:szCs w:val="21"/>
                <w:highlight w:val="none"/>
              </w:rPr>
            </w:pPr>
            <w:r>
              <w:rPr>
                <w:color w:val="auto"/>
                <w:spacing w:val="-3"/>
                <w:sz w:val="21"/>
                <w:szCs w:val="21"/>
                <w:highlight w:val="none"/>
              </w:rPr>
              <w:t>项目名称</w:t>
            </w:r>
          </w:p>
        </w:tc>
        <w:tc>
          <w:tcPr>
            <w:tcW w:w="2266" w:type="dxa"/>
            <w:tcBorders>
              <w:top w:val="single" w:color="000000" w:sz="6" w:space="0"/>
            </w:tcBorders>
            <w:vAlign w:val="top"/>
          </w:tcPr>
          <w:p w14:paraId="53062C43">
            <w:pPr>
              <w:pStyle w:val="33"/>
              <w:spacing w:before="211" w:line="221" w:lineRule="auto"/>
              <w:ind w:left="512"/>
              <w:rPr>
                <w:color w:val="auto"/>
                <w:sz w:val="21"/>
                <w:szCs w:val="21"/>
                <w:highlight w:val="none"/>
              </w:rPr>
            </w:pPr>
            <w:r>
              <w:rPr>
                <w:color w:val="auto"/>
                <w:spacing w:val="-2"/>
                <w:sz w:val="21"/>
                <w:szCs w:val="21"/>
                <w:highlight w:val="none"/>
              </w:rPr>
              <w:t>项目主要特征</w:t>
            </w:r>
          </w:p>
        </w:tc>
        <w:tc>
          <w:tcPr>
            <w:tcW w:w="990" w:type="dxa"/>
            <w:tcBorders>
              <w:top w:val="single" w:color="000000" w:sz="6" w:space="0"/>
            </w:tcBorders>
            <w:vAlign w:val="top"/>
          </w:tcPr>
          <w:p w14:paraId="7F09AFA6">
            <w:pPr>
              <w:pStyle w:val="33"/>
              <w:spacing w:before="76" w:line="230" w:lineRule="auto"/>
              <w:ind w:left="294" w:right="277" w:hanging="1"/>
              <w:rPr>
                <w:color w:val="auto"/>
                <w:sz w:val="21"/>
                <w:szCs w:val="21"/>
                <w:highlight w:val="none"/>
              </w:rPr>
            </w:pPr>
            <w:r>
              <w:rPr>
                <w:color w:val="auto"/>
                <w:spacing w:val="-3"/>
                <w:sz w:val="21"/>
                <w:szCs w:val="21"/>
                <w:highlight w:val="none"/>
              </w:rPr>
              <w:t>计量</w:t>
            </w:r>
            <w:r>
              <w:rPr>
                <w:color w:val="auto"/>
                <w:sz w:val="21"/>
                <w:szCs w:val="21"/>
                <w:highlight w:val="none"/>
              </w:rPr>
              <w:t xml:space="preserve"> </w:t>
            </w:r>
            <w:r>
              <w:rPr>
                <w:color w:val="auto"/>
                <w:spacing w:val="-4"/>
                <w:sz w:val="21"/>
                <w:szCs w:val="21"/>
                <w:highlight w:val="none"/>
              </w:rPr>
              <w:t>单位</w:t>
            </w:r>
          </w:p>
        </w:tc>
        <w:tc>
          <w:tcPr>
            <w:tcW w:w="993" w:type="dxa"/>
            <w:tcBorders>
              <w:top w:val="single" w:color="000000" w:sz="6" w:space="0"/>
            </w:tcBorders>
            <w:vAlign w:val="top"/>
          </w:tcPr>
          <w:p w14:paraId="67C5EDEC">
            <w:pPr>
              <w:pStyle w:val="33"/>
              <w:spacing w:before="78" w:line="229" w:lineRule="auto"/>
              <w:ind w:left="296" w:right="279"/>
              <w:rPr>
                <w:color w:val="auto"/>
                <w:sz w:val="21"/>
                <w:szCs w:val="21"/>
                <w:highlight w:val="none"/>
              </w:rPr>
            </w:pPr>
            <w:r>
              <w:rPr>
                <w:color w:val="auto"/>
                <w:spacing w:val="-5"/>
                <w:sz w:val="21"/>
                <w:szCs w:val="21"/>
                <w:highlight w:val="none"/>
              </w:rPr>
              <w:t>工程</w:t>
            </w:r>
            <w:r>
              <w:rPr>
                <w:color w:val="auto"/>
                <w:sz w:val="21"/>
                <w:szCs w:val="21"/>
                <w:highlight w:val="none"/>
              </w:rPr>
              <w:t xml:space="preserve"> </w:t>
            </w:r>
            <w:r>
              <w:rPr>
                <w:color w:val="auto"/>
                <w:spacing w:val="-4"/>
                <w:sz w:val="21"/>
                <w:szCs w:val="21"/>
                <w:highlight w:val="none"/>
              </w:rPr>
              <w:t>数量</w:t>
            </w:r>
          </w:p>
        </w:tc>
        <w:tc>
          <w:tcPr>
            <w:tcW w:w="990" w:type="dxa"/>
            <w:tcBorders>
              <w:top w:val="single" w:color="000000" w:sz="6" w:space="0"/>
            </w:tcBorders>
            <w:vAlign w:val="top"/>
          </w:tcPr>
          <w:p w14:paraId="4E6D4344">
            <w:pPr>
              <w:pStyle w:val="33"/>
              <w:spacing w:before="76" w:line="230" w:lineRule="auto"/>
              <w:ind w:left="195" w:right="184" w:firstLine="100"/>
              <w:rPr>
                <w:color w:val="auto"/>
                <w:sz w:val="21"/>
                <w:szCs w:val="21"/>
                <w:highlight w:val="none"/>
              </w:rPr>
            </w:pPr>
            <w:r>
              <w:rPr>
                <w:color w:val="auto"/>
                <w:spacing w:val="-4"/>
                <w:sz w:val="21"/>
                <w:szCs w:val="21"/>
                <w:highlight w:val="none"/>
              </w:rPr>
              <w:t>单价</w:t>
            </w:r>
            <w:r>
              <w:rPr>
                <w:color w:val="auto"/>
                <w:sz w:val="21"/>
                <w:szCs w:val="21"/>
                <w:highlight w:val="none"/>
              </w:rPr>
              <w:t xml:space="preserve">  </w:t>
            </w:r>
            <w:r>
              <w:rPr>
                <w:color w:val="auto"/>
                <w:spacing w:val="-9"/>
                <w:sz w:val="21"/>
                <w:szCs w:val="21"/>
                <w:highlight w:val="none"/>
              </w:rPr>
              <w:t>（元）</w:t>
            </w:r>
          </w:p>
        </w:tc>
        <w:tc>
          <w:tcPr>
            <w:tcW w:w="993" w:type="dxa"/>
            <w:tcBorders>
              <w:top w:val="single" w:color="000000" w:sz="6" w:space="0"/>
            </w:tcBorders>
            <w:vAlign w:val="top"/>
          </w:tcPr>
          <w:p w14:paraId="75AE25DE">
            <w:pPr>
              <w:pStyle w:val="33"/>
              <w:spacing w:before="76" w:line="230" w:lineRule="auto"/>
              <w:ind w:left="197" w:right="186" w:firstLine="100"/>
              <w:rPr>
                <w:color w:val="auto"/>
                <w:sz w:val="21"/>
                <w:szCs w:val="21"/>
                <w:highlight w:val="none"/>
              </w:rPr>
            </w:pPr>
            <w:r>
              <w:rPr>
                <w:color w:val="auto"/>
                <w:spacing w:val="-4"/>
                <w:sz w:val="21"/>
                <w:szCs w:val="21"/>
                <w:highlight w:val="none"/>
              </w:rPr>
              <w:t>合价</w:t>
            </w:r>
            <w:r>
              <w:rPr>
                <w:color w:val="auto"/>
                <w:sz w:val="21"/>
                <w:szCs w:val="21"/>
                <w:highlight w:val="none"/>
              </w:rPr>
              <w:t xml:space="preserve">  </w:t>
            </w:r>
            <w:r>
              <w:rPr>
                <w:color w:val="auto"/>
                <w:spacing w:val="-9"/>
                <w:sz w:val="21"/>
                <w:szCs w:val="21"/>
                <w:highlight w:val="none"/>
              </w:rPr>
              <w:t>（元）</w:t>
            </w:r>
          </w:p>
        </w:tc>
        <w:tc>
          <w:tcPr>
            <w:tcW w:w="1273" w:type="dxa"/>
            <w:tcBorders>
              <w:top w:val="single" w:color="000000" w:sz="6" w:space="0"/>
            </w:tcBorders>
            <w:vAlign w:val="top"/>
          </w:tcPr>
          <w:p w14:paraId="6C8D6FEA">
            <w:pPr>
              <w:pStyle w:val="33"/>
              <w:spacing w:before="78" w:line="229" w:lineRule="auto"/>
              <w:ind w:left="229" w:right="206"/>
              <w:rPr>
                <w:color w:val="auto"/>
                <w:sz w:val="21"/>
                <w:szCs w:val="21"/>
                <w:highlight w:val="none"/>
              </w:rPr>
            </w:pPr>
            <w:r>
              <w:rPr>
                <w:color w:val="auto"/>
                <w:spacing w:val="-2"/>
                <w:sz w:val="21"/>
                <w:szCs w:val="21"/>
                <w:highlight w:val="none"/>
              </w:rPr>
              <w:t>主要技术</w:t>
            </w:r>
            <w:r>
              <w:rPr>
                <w:color w:val="auto"/>
                <w:sz w:val="21"/>
                <w:szCs w:val="21"/>
                <w:highlight w:val="none"/>
              </w:rPr>
              <w:t xml:space="preserve"> </w:t>
            </w:r>
            <w:r>
              <w:rPr>
                <w:color w:val="auto"/>
                <w:spacing w:val="-2"/>
                <w:sz w:val="21"/>
                <w:szCs w:val="21"/>
                <w:highlight w:val="none"/>
              </w:rPr>
              <w:t>条款编码</w:t>
            </w:r>
          </w:p>
        </w:tc>
        <w:tc>
          <w:tcPr>
            <w:tcW w:w="1002" w:type="dxa"/>
            <w:tcBorders>
              <w:top w:val="single" w:color="000000" w:sz="6" w:space="0"/>
              <w:right w:val="single" w:color="000000" w:sz="6" w:space="0"/>
            </w:tcBorders>
            <w:vAlign w:val="top"/>
          </w:tcPr>
          <w:p w14:paraId="0EC4143B">
            <w:pPr>
              <w:pStyle w:val="33"/>
              <w:spacing w:before="211" w:line="222" w:lineRule="auto"/>
              <w:ind w:left="300"/>
              <w:rPr>
                <w:color w:val="auto"/>
                <w:sz w:val="21"/>
                <w:szCs w:val="21"/>
                <w:highlight w:val="none"/>
              </w:rPr>
            </w:pPr>
            <w:r>
              <w:rPr>
                <w:color w:val="auto"/>
                <w:spacing w:val="-3"/>
                <w:sz w:val="21"/>
                <w:szCs w:val="21"/>
                <w:highlight w:val="none"/>
              </w:rPr>
              <w:t>备注</w:t>
            </w:r>
          </w:p>
        </w:tc>
      </w:tr>
      <w:tr w14:paraId="281DF3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top"/>
          </w:tcPr>
          <w:p w14:paraId="1491E339">
            <w:pPr>
              <w:rPr>
                <w:rFonts w:ascii="Arial"/>
                <w:color w:val="auto"/>
                <w:sz w:val="21"/>
                <w:highlight w:val="none"/>
              </w:rPr>
            </w:pPr>
          </w:p>
        </w:tc>
        <w:tc>
          <w:tcPr>
            <w:tcW w:w="1987" w:type="dxa"/>
            <w:vAlign w:val="top"/>
          </w:tcPr>
          <w:p w14:paraId="14AE2B39">
            <w:pPr>
              <w:rPr>
                <w:rFonts w:ascii="Arial"/>
                <w:color w:val="auto"/>
                <w:sz w:val="21"/>
                <w:highlight w:val="none"/>
              </w:rPr>
            </w:pPr>
          </w:p>
        </w:tc>
        <w:tc>
          <w:tcPr>
            <w:tcW w:w="2831" w:type="dxa"/>
            <w:vAlign w:val="top"/>
          </w:tcPr>
          <w:p w14:paraId="3CE5335F">
            <w:pPr>
              <w:rPr>
                <w:rFonts w:ascii="Arial"/>
                <w:color w:val="auto"/>
                <w:sz w:val="21"/>
                <w:highlight w:val="none"/>
              </w:rPr>
            </w:pPr>
          </w:p>
        </w:tc>
        <w:tc>
          <w:tcPr>
            <w:tcW w:w="2266" w:type="dxa"/>
            <w:vAlign w:val="top"/>
          </w:tcPr>
          <w:p w14:paraId="31760C49">
            <w:pPr>
              <w:rPr>
                <w:rFonts w:ascii="Arial"/>
                <w:color w:val="auto"/>
                <w:sz w:val="21"/>
                <w:highlight w:val="none"/>
              </w:rPr>
            </w:pPr>
          </w:p>
        </w:tc>
        <w:tc>
          <w:tcPr>
            <w:tcW w:w="990" w:type="dxa"/>
            <w:vAlign w:val="top"/>
          </w:tcPr>
          <w:p w14:paraId="0C079366">
            <w:pPr>
              <w:rPr>
                <w:rFonts w:ascii="Arial"/>
                <w:color w:val="auto"/>
                <w:sz w:val="21"/>
                <w:highlight w:val="none"/>
              </w:rPr>
            </w:pPr>
          </w:p>
        </w:tc>
        <w:tc>
          <w:tcPr>
            <w:tcW w:w="993" w:type="dxa"/>
            <w:vAlign w:val="top"/>
          </w:tcPr>
          <w:p w14:paraId="367375CD">
            <w:pPr>
              <w:rPr>
                <w:rFonts w:ascii="Arial"/>
                <w:color w:val="auto"/>
                <w:sz w:val="21"/>
                <w:highlight w:val="none"/>
              </w:rPr>
            </w:pPr>
          </w:p>
        </w:tc>
        <w:tc>
          <w:tcPr>
            <w:tcW w:w="990" w:type="dxa"/>
            <w:vAlign w:val="top"/>
          </w:tcPr>
          <w:p w14:paraId="32A0F9B3">
            <w:pPr>
              <w:rPr>
                <w:rFonts w:ascii="Arial"/>
                <w:color w:val="auto"/>
                <w:sz w:val="21"/>
                <w:highlight w:val="none"/>
              </w:rPr>
            </w:pPr>
          </w:p>
        </w:tc>
        <w:tc>
          <w:tcPr>
            <w:tcW w:w="993" w:type="dxa"/>
            <w:vAlign w:val="top"/>
          </w:tcPr>
          <w:p w14:paraId="10D38376">
            <w:pPr>
              <w:rPr>
                <w:rFonts w:ascii="Arial"/>
                <w:color w:val="auto"/>
                <w:sz w:val="21"/>
                <w:highlight w:val="none"/>
              </w:rPr>
            </w:pPr>
          </w:p>
        </w:tc>
        <w:tc>
          <w:tcPr>
            <w:tcW w:w="1273" w:type="dxa"/>
            <w:vAlign w:val="top"/>
          </w:tcPr>
          <w:p w14:paraId="73AA455B">
            <w:pPr>
              <w:rPr>
                <w:rFonts w:ascii="Arial"/>
                <w:color w:val="auto"/>
                <w:sz w:val="21"/>
                <w:highlight w:val="none"/>
              </w:rPr>
            </w:pPr>
          </w:p>
        </w:tc>
        <w:tc>
          <w:tcPr>
            <w:tcW w:w="1002" w:type="dxa"/>
            <w:tcBorders>
              <w:right w:val="single" w:color="000000" w:sz="6" w:space="0"/>
            </w:tcBorders>
            <w:vAlign w:val="top"/>
          </w:tcPr>
          <w:p w14:paraId="7C729754">
            <w:pPr>
              <w:rPr>
                <w:rFonts w:ascii="Arial"/>
                <w:color w:val="auto"/>
                <w:sz w:val="21"/>
                <w:highlight w:val="none"/>
              </w:rPr>
            </w:pPr>
          </w:p>
        </w:tc>
      </w:tr>
      <w:tr w14:paraId="5E70ED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822" w:type="dxa"/>
            <w:tcBorders>
              <w:left w:val="single" w:color="000000" w:sz="6" w:space="0"/>
            </w:tcBorders>
            <w:vAlign w:val="top"/>
          </w:tcPr>
          <w:p w14:paraId="1E8EF1F5">
            <w:pPr>
              <w:rPr>
                <w:rFonts w:ascii="Arial"/>
                <w:color w:val="auto"/>
                <w:sz w:val="21"/>
                <w:highlight w:val="none"/>
              </w:rPr>
            </w:pPr>
          </w:p>
        </w:tc>
        <w:tc>
          <w:tcPr>
            <w:tcW w:w="1987" w:type="dxa"/>
            <w:vAlign w:val="top"/>
          </w:tcPr>
          <w:p w14:paraId="43B46353">
            <w:pPr>
              <w:rPr>
                <w:rFonts w:ascii="Arial"/>
                <w:color w:val="auto"/>
                <w:sz w:val="21"/>
                <w:highlight w:val="none"/>
              </w:rPr>
            </w:pPr>
          </w:p>
        </w:tc>
        <w:tc>
          <w:tcPr>
            <w:tcW w:w="2831" w:type="dxa"/>
            <w:vAlign w:val="top"/>
          </w:tcPr>
          <w:p w14:paraId="11AA2B47">
            <w:pPr>
              <w:rPr>
                <w:rFonts w:ascii="Arial"/>
                <w:color w:val="auto"/>
                <w:sz w:val="21"/>
                <w:highlight w:val="none"/>
              </w:rPr>
            </w:pPr>
          </w:p>
        </w:tc>
        <w:tc>
          <w:tcPr>
            <w:tcW w:w="2266" w:type="dxa"/>
            <w:vAlign w:val="top"/>
          </w:tcPr>
          <w:p w14:paraId="453ABDB5">
            <w:pPr>
              <w:rPr>
                <w:rFonts w:ascii="Arial"/>
                <w:color w:val="auto"/>
                <w:sz w:val="21"/>
                <w:highlight w:val="none"/>
              </w:rPr>
            </w:pPr>
          </w:p>
        </w:tc>
        <w:tc>
          <w:tcPr>
            <w:tcW w:w="990" w:type="dxa"/>
            <w:vAlign w:val="top"/>
          </w:tcPr>
          <w:p w14:paraId="563E56CB">
            <w:pPr>
              <w:rPr>
                <w:rFonts w:ascii="Arial"/>
                <w:color w:val="auto"/>
                <w:sz w:val="21"/>
                <w:highlight w:val="none"/>
              </w:rPr>
            </w:pPr>
          </w:p>
        </w:tc>
        <w:tc>
          <w:tcPr>
            <w:tcW w:w="993" w:type="dxa"/>
            <w:vAlign w:val="top"/>
          </w:tcPr>
          <w:p w14:paraId="50325008">
            <w:pPr>
              <w:rPr>
                <w:rFonts w:ascii="Arial"/>
                <w:color w:val="auto"/>
                <w:sz w:val="21"/>
                <w:highlight w:val="none"/>
              </w:rPr>
            </w:pPr>
          </w:p>
        </w:tc>
        <w:tc>
          <w:tcPr>
            <w:tcW w:w="990" w:type="dxa"/>
            <w:vAlign w:val="top"/>
          </w:tcPr>
          <w:p w14:paraId="373D9090">
            <w:pPr>
              <w:rPr>
                <w:rFonts w:ascii="Arial"/>
                <w:color w:val="auto"/>
                <w:sz w:val="21"/>
                <w:highlight w:val="none"/>
              </w:rPr>
            </w:pPr>
          </w:p>
        </w:tc>
        <w:tc>
          <w:tcPr>
            <w:tcW w:w="993" w:type="dxa"/>
            <w:vAlign w:val="top"/>
          </w:tcPr>
          <w:p w14:paraId="0595EDEF">
            <w:pPr>
              <w:rPr>
                <w:rFonts w:ascii="Arial"/>
                <w:color w:val="auto"/>
                <w:sz w:val="21"/>
                <w:highlight w:val="none"/>
              </w:rPr>
            </w:pPr>
          </w:p>
        </w:tc>
        <w:tc>
          <w:tcPr>
            <w:tcW w:w="1273" w:type="dxa"/>
            <w:vAlign w:val="top"/>
          </w:tcPr>
          <w:p w14:paraId="19F133BE">
            <w:pPr>
              <w:rPr>
                <w:rFonts w:ascii="Arial"/>
                <w:color w:val="auto"/>
                <w:sz w:val="21"/>
                <w:highlight w:val="none"/>
              </w:rPr>
            </w:pPr>
          </w:p>
        </w:tc>
        <w:tc>
          <w:tcPr>
            <w:tcW w:w="1002" w:type="dxa"/>
            <w:tcBorders>
              <w:right w:val="single" w:color="000000" w:sz="6" w:space="0"/>
            </w:tcBorders>
            <w:vAlign w:val="top"/>
          </w:tcPr>
          <w:p w14:paraId="529A159E">
            <w:pPr>
              <w:rPr>
                <w:rFonts w:ascii="Arial"/>
                <w:color w:val="auto"/>
                <w:sz w:val="21"/>
                <w:highlight w:val="none"/>
              </w:rPr>
            </w:pPr>
          </w:p>
        </w:tc>
      </w:tr>
      <w:tr w14:paraId="740146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tcBorders>
            <w:vAlign w:val="top"/>
          </w:tcPr>
          <w:p w14:paraId="34BD9060">
            <w:pPr>
              <w:rPr>
                <w:rFonts w:ascii="Arial"/>
                <w:color w:val="auto"/>
                <w:sz w:val="21"/>
                <w:highlight w:val="none"/>
              </w:rPr>
            </w:pPr>
          </w:p>
        </w:tc>
        <w:tc>
          <w:tcPr>
            <w:tcW w:w="1987" w:type="dxa"/>
            <w:vAlign w:val="top"/>
          </w:tcPr>
          <w:p w14:paraId="5C1C77CA">
            <w:pPr>
              <w:rPr>
                <w:rFonts w:ascii="Arial"/>
                <w:color w:val="auto"/>
                <w:sz w:val="21"/>
                <w:highlight w:val="none"/>
              </w:rPr>
            </w:pPr>
          </w:p>
        </w:tc>
        <w:tc>
          <w:tcPr>
            <w:tcW w:w="2831" w:type="dxa"/>
            <w:vAlign w:val="top"/>
          </w:tcPr>
          <w:p w14:paraId="079B560F">
            <w:pPr>
              <w:rPr>
                <w:rFonts w:ascii="Arial"/>
                <w:color w:val="auto"/>
                <w:sz w:val="21"/>
                <w:highlight w:val="none"/>
              </w:rPr>
            </w:pPr>
          </w:p>
        </w:tc>
        <w:tc>
          <w:tcPr>
            <w:tcW w:w="2266" w:type="dxa"/>
            <w:vAlign w:val="top"/>
          </w:tcPr>
          <w:p w14:paraId="48415B18">
            <w:pPr>
              <w:rPr>
                <w:rFonts w:ascii="Arial"/>
                <w:color w:val="auto"/>
                <w:sz w:val="21"/>
                <w:highlight w:val="none"/>
              </w:rPr>
            </w:pPr>
          </w:p>
        </w:tc>
        <w:tc>
          <w:tcPr>
            <w:tcW w:w="990" w:type="dxa"/>
            <w:vAlign w:val="top"/>
          </w:tcPr>
          <w:p w14:paraId="3011C08A">
            <w:pPr>
              <w:rPr>
                <w:rFonts w:ascii="Arial"/>
                <w:color w:val="auto"/>
                <w:sz w:val="21"/>
                <w:highlight w:val="none"/>
              </w:rPr>
            </w:pPr>
          </w:p>
        </w:tc>
        <w:tc>
          <w:tcPr>
            <w:tcW w:w="993" w:type="dxa"/>
            <w:vAlign w:val="top"/>
          </w:tcPr>
          <w:p w14:paraId="4FCA7B9C">
            <w:pPr>
              <w:rPr>
                <w:rFonts w:ascii="Arial"/>
                <w:color w:val="auto"/>
                <w:sz w:val="21"/>
                <w:highlight w:val="none"/>
              </w:rPr>
            </w:pPr>
          </w:p>
        </w:tc>
        <w:tc>
          <w:tcPr>
            <w:tcW w:w="990" w:type="dxa"/>
            <w:vAlign w:val="top"/>
          </w:tcPr>
          <w:p w14:paraId="3D9A3C47">
            <w:pPr>
              <w:rPr>
                <w:rFonts w:ascii="Arial"/>
                <w:color w:val="auto"/>
                <w:sz w:val="21"/>
                <w:highlight w:val="none"/>
              </w:rPr>
            </w:pPr>
          </w:p>
        </w:tc>
        <w:tc>
          <w:tcPr>
            <w:tcW w:w="993" w:type="dxa"/>
            <w:vAlign w:val="top"/>
          </w:tcPr>
          <w:p w14:paraId="5EE83883">
            <w:pPr>
              <w:rPr>
                <w:rFonts w:ascii="Arial"/>
                <w:color w:val="auto"/>
                <w:sz w:val="21"/>
                <w:highlight w:val="none"/>
              </w:rPr>
            </w:pPr>
          </w:p>
        </w:tc>
        <w:tc>
          <w:tcPr>
            <w:tcW w:w="1273" w:type="dxa"/>
            <w:vAlign w:val="top"/>
          </w:tcPr>
          <w:p w14:paraId="2B75C933">
            <w:pPr>
              <w:rPr>
                <w:rFonts w:ascii="Arial"/>
                <w:color w:val="auto"/>
                <w:sz w:val="21"/>
                <w:highlight w:val="none"/>
              </w:rPr>
            </w:pPr>
          </w:p>
        </w:tc>
        <w:tc>
          <w:tcPr>
            <w:tcW w:w="1002" w:type="dxa"/>
            <w:tcBorders>
              <w:right w:val="single" w:color="000000" w:sz="6" w:space="0"/>
            </w:tcBorders>
            <w:vAlign w:val="top"/>
          </w:tcPr>
          <w:p w14:paraId="7FDEC9F2">
            <w:pPr>
              <w:rPr>
                <w:rFonts w:ascii="Arial"/>
                <w:color w:val="auto"/>
                <w:sz w:val="21"/>
                <w:highlight w:val="none"/>
              </w:rPr>
            </w:pPr>
          </w:p>
        </w:tc>
      </w:tr>
      <w:tr w14:paraId="68271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1" w:hRule="atLeast"/>
        </w:trPr>
        <w:tc>
          <w:tcPr>
            <w:tcW w:w="822" w:type="dxa"/>
            <w:tcBorders>
              <w:left w:val="single" w:color="000000" w:sz="6" w:space="0"/>
            </w:tcBorders>
            <w:vAlign w:val="top"/>
          </w:tcPr>
          <w:p w14:paraId="354B611C">
            <w:pPr>
              <w:rPr>
                <w:rFonts w:ascii="Arial"/>
                <w:color w:val="auto"/>
                <w:sz w:val="21"/>
                <w:highlight w:val="none"/>
              </w:rPr>
            </w:pPr>
          </w:p>
        </w:tc>
        <w:tc>
          <w:tcPr>
            <w:tcW w:w="1987" w:type="dxa"/>
            <w:vAlign w:val="top"/>
          </w:tcPr>
          <w:p w14:paraId="1E1CA420">
            <w:pPr>
              <w:rPr>
                <w:rFonts w:ascii="Arial"/>
                <w:color w:val="auto"/>
                <w:sz w:val="21"/>
                <w:highlight w:val="none"/>
              </w:rPr>
            </w:pPr>
          </w:p>
        </w:tc>
        <w:tc>
          <w:tcPr>
            <w:tcW w:w="2831" w:type="dxa"/>
            <w:vAlign w:val="top"/>
          </w:tcPr>
          <w:p w14:paraId="7EF26228">
            <w:pPr>
              <w:rPr>
                <w:rFonts w:ascii="Arial"/>
                <w:color w:val="auto"/>
                <w:sz w:val="21"/>
                <w:highlight w:val="none"/>
              </w:rPr>
            </w:pPr>
          </w:p>
        </w:tc>
        <w:tc>
          <w:tcPr>
            <w:tcW w:w="2266" w:type="dxa"/>
            <w:vAlign w:val="top"/>
          </w:tcPr>
          <w:p w14:paraId="3B3D15FE">
            <w:pPr>
              <w:rPr>
                <w:rFonts w:ascii="Arial"/>
                <w:color w:val="auto"/>
                <w:sz w:val="21"/>
                <w:highlight w:val="none"/>
              </w:rPr>
            </w:pPr>
          </w:p>
        </w:tc>
        <w:tc>
          <w:tcPr>
            <w:tcW w:w="990" w:type="dxa"/>
            <w:vAlign w:val="top"/>
          </w:tcPr>
          <w:p w14:paraId="0B5967A2">
            <w:pPr>
              <w:rPr>
                <w:rFonts w:ascii="Arial"/>
                <w:color w:val="auto"/>
                <w:sz w:val="21"/>
                <w:highlight w:val="none"/>
              </w:rPr>
            </w:pPr>
          </w:p>
        </w:tc>
        <w:tc>
          <w:tcPr>
            <w:tcW w:w="993" w:type="dxa"/>
            <w:vAlign w:val="top"/>
          </w:tcPr>
          <w:p w14:paraId="6C96FA88">
            <w:pPr>
              <w:rPr>
                <w:rFonts w:ascii="Arial"/>
                <w:color w:val="auto"/>
                <w:sz w:val="21"/>
                <w:highlight w:val="none"/>
              </w:rPr>
            </w:pPr>
          </w:p>
        </w:tc>
        <w:tc>
          <w:tcPr>
            <w:tcW w:w="990" w:type="dxa"/>
            <w:vAlign w:val="top"/>
          </w:tcPr>
          <w:p w14:paraId="2B27CAD9">
            <w:pPr>
              <w:rPr>
                <w:rFonts w:ascii="Arial"/>
                <w:color w:val="auto"/>
                <w:sz w:val="21"/>
                <w:highlight w:val="none"/>
              </w:rPr>
            </w:pPr>
          </w:p>
        </w:tc>
        <w:tc>
          <w:tcPr>
            <w:tcW w:w="993" w:type="dxa"/>
            <w:vAlign w:val="top"/>
          </w:tcPr>
          <w:p w14:paraId="6A8C313C">
            <w:pPr>
              <w:rPr>
                <w:rFonts w:ascii="Arial"/>
                <w:color w:val="auto"/>
                <w:sz w:val="21"/>
                <w:highlight w:val="none"/>
              </w:rPr>
            </w:pPr>
          </w:p>
        </w:tc>
        <w:tc>
          <w:tcPr>
            <w:tcW w:w="1273" w:type="dxa"/>
            <w:vAlign w:val="top"/>
          </w:tcPr>
          <w:p w14:paraId="79B75942">
            <w:pPr>
              <w:rPr>
                <w:rFonts w:ascii="Arial"/>
                <w:color w:val="auto"/>
                <w:sz w:val="21"/>
                <w:highlight w:val="none"/>
              </w:rPr>
            </w:pPr>
          </w:p>
        </w:tc>
        <w:tc>
          <w:tcPr>
            <w:tcW w:w="1002" w:type="dxa"/>
            <w:tcBorders>
              <w:right w:val="single" w:color="000000" w:sz="6" w:space="0"/>
            </w:tcBorders>
            <w:vAlign w:val="top"/>
          </w:tcPr>
          <w:p w14:paraId="1A9CB18C">
            <w:pPr>
              <w:rPr>
                <w:rFonts w:ascii="Arial"/>
                <w:color w:val="auto"/>
                <w:sz w:val="21"/>
                <w:highlight w:val="none"/>
              </w:rPr>
            </w:pPr>
          </w:p>
        </w:tc>
      </w:tr>
      <w:tr w14:paraId="69B9A9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tcBorders>
            <w:vAlign w:val="top"/>
          </w:tcPr>
          <w:p w14:paraId="163725F4">
            <w:pPr>
              <w:rPr>
                <w:rFonts w:ascii="Arial"/>
                <w:color w:val="auto"/>
                <w:sz w:val="21"/>
                <w:highlight w:val="none"/>
              </w:rPr>
            </w:pPr>
          </w:p>
        </w:tc>
        <w:tc>
          <w:tcPr>
            <w:tcW w:w="1987" w:type="dxa"/>
            <w:vAlign w:val="top"/>
          </w:tcPr>
          <w:p w14:paraId="50F38CB6">
            <w:pPr>
              <w:rPr>
                <w:rFonts w:ascii="Arial"/>
                <w:color w:val="auto"/>
                <w:sz w:val="21"/>
                <w:highlight w:val="none"/>
              </w:rPr>
            </w:pPr>
          </w:p>
        </w:tc>
        <w:tc>
          <w:tcPr>
            <w:tcW w:w="2831" w:type="dxa"/>
            <w:vAlign w:val="top"/>
          </w:tcPr>
          <w:p w14:paraId="48129DF0">
            <w:pPr>
              <w:rPr>
                <w:rFonts w:ascii="Arial"/>
                <w:color w:val="auto"/>
                <w:sz w:val="21"/>
                <w:highlight w:val="none"/>
              </w:rPr>
            </w:pPr>
          </w:p>
        </w:tc>
        <w:tc>
          <w:tcPr>
            <w:tcW w:w="2266" w:type="dxa"/>
            <w:vAlign w:val="top"/>
          </w:tcPr>
          <w:p w14:paraId="7298F63D">
            <w:pPr>
              <w:rPr>
                <w:rFonts w:ascii="Arial"/>
                <w:color w:val="auto"/>
                <w:sz w:val="21"/>
                <w:highlight w:val="none"/>
              </w:rPr>
            </w:pPr>
          </w:p>
        </w:tc>
        <w:tc>
          <w:tcPr>
            <w:tcW w:w="990" w:type="dxa"/>
            <w:vAlign w:val="top"/>
          </w:tcPr>
          <w:p w14:paraId="1515CC1D">
            <w:pPr>
              <w:rPr>
                <w:rFonts w:ascii="Arial"/>
                <w:color w:val="auto"/>
                <w:sz w:val="21"/>
                <w:highlight w:val="none"/>
              </w:rPr>
            </w:pPr>
          </w:p>
        </w:tc>
        <w:tc>
          <w:tcPr>
            <w:tcW w:w="993" w:type="dxa"/>
            <w:vAlign w:val="top"/>
          </w:tcPr>
          <w:p w14:paraId="3AA5A90C">
            <w:pPr>
              <w:rPr>
                <w:rFonts w:ascii="Arial"/>
                <w:color w:val="auto"/>
                <w:sz w:val="21"/>
                <w:highlight w:val="none"/>
              </w:rPr>
            </w:pPr>
          </w:p>
        </w:tc>
        <w:tc>
          <w:tcPr>
            <w:tcW w:w="990" w:type="dxa"/>
            <w:vAlign w:val="top"/>
          </w:tcPr>
          <w:p w14:paraId="0695D337">
            <w:pPr>
              <w:rPr>
                <w:rFonts w:ascii="Arial"/>
                <w:color w:val="auto"/>
                <w:sz w:val="21"/>
                <w:highlight w:val="none"/>
              </w:rPr>
            </w:pPr>
          </w:p>
        </w:tc>
        <w:tc>
          <w:tcPr>
            <w:tcW w:w="993" w:type="dxa"/>
            <w:vAlign w:val="top"/>
          </w:tcPr>
          <w:p w14:paraId="799D38D3">
            <w:pPr>
              <w:rPr>
                <w:rFonts w:ascii="Arial"/>
                <w:color w:val="auto"/>
                <w:sz w:val="21"/>
                <w:highlight w:val="none"/>
              </w:rPr>
            </w:pPr>
          </w:p>
        </w:tc>
        <w:tc>
          <w:tcPr>
            <w:tcW w:w="1273" w:type="dxa"/>
            <w:vAlign w:val="top"/>
          </w:tcPr>
          <w:p w14:paraId="1791C6E8">
            <w:pPr>
              <w:rPr>
                <w:rFonts w:ascii="Arial"/>
                <w:color w:val="auto"/>
                <w:sz w:val="21"/>
                <w:highlight w:val="none"/>
              </w:rPr>
            </w:pPr>
          </w:p>
        </w:tc>
        <w:tc>
          <w:tcPr>
            <w:tcW w:w="1002" w:type="dxa"/>
            <w:tcBorders>
              <w:right w:val="single" w:color="000000" w:sz="6" w:space="0"/>
            </w:tcBorders>
            <w:vAlign w:val="top"/>
          </w:tcPr>
          <w:p w14:paraId="4F681FBB">
            <w:pPr>
              <w:rPr>
                <w:rFonts w:ascii="Arial"/>
                <w:color w:val="auto"/>
                <w:sz w:val="21"/>
                <w:highlight w:val="none"/>
              </w:rPr>
            </w:pPr>
          </w:p>
        </w:tc>
      </w:tr>
      <w:tr w14:paraId="584BD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top"/>
          </w:tcPr>
          <w:p w14:paraId="2D0417A9">
            <w:pPr>
              <w:rPr>
                <w:rFonts w:ascii="Arial"/>
                <w:color w:val="auto"/>
                <w:sz w:val="21"/>
                <w:highlight w:val="none"/>
              </w:rPr>
            </w:pPr>
          </w:p>
        </w:tc>
        <w:tc>
          <w:tcPr>
            <w:tcW w:w="1987" w:type="dxa"/>
            <w:vAlign w:val="top"/>
          </w:tcPr>
          <w:p w14:paraId="5586E49A">
            <w:pPr>
              <w:rPr>
                <w:rFonts w:ascii="Arial"/>
                <w:color w:val="auto"/>
                <w:sz w:val="21"/>
                <w:highlight w:val="none"/>
              </w:rPr>
            </w:pPr>
          </w:p>
        </w:tc>
        <w:tc>
          <w:tcPr>
            <w:tcW w:w="2831" w:type="dxa"/>
            <w:vAlign w:val="top"/>
          </w:tcPr>
          <w:p w14:paraId="4624B8E8">
            <w:pPr>
              <w:rPr>
                <w:rFonts w:ascii="Arial"/>
                <w:color w:val="auto"/>
                <w:sz w:val="21"/>
                <w:highlight w:val="none"/>
              </w:rPr>
            </w:pPr>
          </w:p>
        </w:tc>
        <w:tc>
          <w:tcPr>
            <w:tcW w:w="2266" w:type="dxa"/>
            <w:vAlign w:val="top"/>
          </w:tcPr>
          <w:p w14:paraId="63F1AA6D">
            <w:pPr>
              <w:rPr>
                <w:rFonts w:ascii="Arial"/>
                <w:color w:val="auto"/>
                <w:sz w:val="21"/>
                <w:highlight w:val="none"/>
              </w:rPr>
            </w:pPr>
          </w:p>
        </w:tc>
        <w:tc>
          <w:tcPr>
            <w:tcW w:w="990" w:type="dxa"/>
            <w:vAlign w:val="top"/>
          </w:tcPr>
          <w:p w14:paraId="4978B1D1">
            <w:pPr>
              <w:rPr>
                <w:rFonts w:ascii="Arial"/>
                <w:color w:val="auto"/>
                <w:sz w:val="21"/>
                <w:highlight w:val="none"/>
              </w:rPr>
            </w:pPr>
          </w:p>
        </w:tc>
        <w:tc>
          <w:tcPr>
            <w:tcW w:w="993" w:type="dxa"/>
            <w:vAlign w:val="top"/>
          </w:tcPr>
          <w:p w14:paraId="3451D128">
            <w:pPr>
              <w:rPr>
                <w:rFonts w:ascii="Arial"/>
                <w:color w:val="auto"/>
                <w:sz w:val="21"/>
                <w:highlight w:val="none"/>
              </w:rPr>
            </w:pPr>
          </w:p>
        </w:tc>
        <w:tc>
          <w:tcPr>
            <w:tcW w:w="990" w:type="dxa"/>
            <w:vAlign w:val="top"/>
          </w:tcPr>
          <w:p w14:paraId="499BAAE1">
            <w:pPr>
              <w:rPr>
                <w:rFonts w:ascii="Arial"/>
                <w:color w:val="auto"/>
                <w:sz w:val="21"/>
                <w:highlight w:val="none"/>
              </w:rPr>
            </w:pPr>
          </w:p>
        </w:tc>
        <w:tc>
          <w:tcPr>
            <w:tcW w:w="993" w:type="dxa"/>
            <w:vAlign w:val="top"/>
          </w:tcPr>
          <w:p w14:paraId="520DCF83">
            <w:pPr>
              <w:rPr>
                <w:rFonts w:ascii="Arial"/>
                <w:color w:val="auto"/>
                <w:sz w:val="21"/>
                <w:highlight w:val="none"/>
              </w:rPr>
            </w:pPr>
          </w:p>
        </w:tc>
        <w:tc>
          <w:tcPr>
            <w:tcW w:w="1273" w:type="dxa"/>
            <w:vAlign w:val="top"/>
          </w:tcPr>
          <w:p w14:paraId="46C9FE9C">
            <w:pPr>
              <w:rPr>
                <w:rFonts w:ascii="Arial"/>
                <w:color w:val="auto"/>
                <w:sz w:val="21"/>
                <w:highlight w:val="none"/>
              </w:rPr>
            </w:pPr>
          </w:p>
        </w:tc>
        <w:tc>
          <w:tcPr>
            <w:tcW w:w="1002" w:type="dxa"/>
            <w:tcBorders>
              <w:right w:val="single" w:color="000000" w:sz="6" w:space="0"/>
            </w:tcBorders>
            <w:vAlign w:val="top"/>
          </w:tcPr>
          <w:p w14:paraId="33899068">
            <w:pPr>
              <w:rPr>
                <w:rFonts w:ascii="Arial"/>
                <w:color w:val="auto"/>
                <w:sz w:val="21"/>
                <w:highlight w:val="none"/>
              </w:rPr>
            </w:pPr>
          </w:p>
        </w:tc>
      </w:tr>
      <w:tr w14:paraId="6F67CF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top"/>
          </w:tcPr>
          <w:p w14:paraId="1A9CE914">
            <w:pPr>
              <w:rPr>
                <w:rFonts w:ascii="Arial"/>
                <w:color w:val="auto"/>
                <w:sz w:val="21"/>
                <w:highlight w:val="none"/>
              </w:rPr>
            </w:pPr>
          </w:p>
        </w:tc>
        <w:tc>
          <w:tcPr>
            <w:tcW w:w="1987" w:type="dxa"/>
            <w:vAlign w:val="top"/>
          </w:tcPr>
          <w:p w14:paraId="36B6D237">
            <w:pPr>
              <w:rPr>
                <w:rFonts w:ascii="Arial"/>
                <w:color w:val="auto"/>
                <w:sz w:val="21"/>
                <w:highlight w:val="none"/>
              </w:rPr>
            </w:pPr>
          </w:p>
        </w:tc>
        <w:tc>
          <w:tcPr>
            <w:tcW w:w="2831" w:type="dxa"/>
            <w:vAlign w:val="top"/>
          </w:tcPr>
          <w:p w14:paraId="76D466C4">
            <w:pPr>
              <w:rPr>
                <w:rFonts w:ascii="Arial"/>
                <w:color w:val="auto"/>
                <w:sz w:val="21"/>
                <w:highlight w:val="none"/>
              </w:rPr>
            </w:pPr>
          </w:p>
        </w:tc>
        <w:tc>
          <w:tcPr>
            <w:tcW w:w="2266" w:type="dxa"/>
            <w:vAlign w:val="top"/>
          </w:tcPr>
          <w:p w14:paraId="395899FD">
            <w:pPr>
              <w:rPr>
                <w:rFonts w:ascii="Arial"/>
                <w:color w:val="auto"/>
                <w:sz w:val="21"/>
                <w:highlight w:val="none"/>
              </w:rPr>
            </w:pPr>
          </w:p>
        </w:tc>
        <w:tc>
          <w:tcPr>
            <w:tcW w:w="990" w:type="dxa"/>
            <w:vAlign w:val="top"/>
          </w:tcPr>
          <w:p w14:paraId="1B408D24">
            <w:pPr>
              <w:rPr>
                <w:rFonts w:ascii="Arial"/>
                <w:color w:val="auto"/>
                <w:sz w:val="21"/>
                <w:highlight w:val="none"/>
              </w:rPr>
            </w:pPr>
          </w:p>
        </w:tc>
        <w:tc>
          <w:tcPr>
            <w:tcW w:w="993" w:type="dxa"/>
            <w:vAlign w:val="top"/>
          </w:tcPr>
          <w:p w14:paraId="3C8D9B03">
            <w:pPr>
              <w:rPr>
                <w:rFonts w:ascii="Arial"/>
                <w:color w:val="auto"/>
                <w:sz w:val="21"/>
                <w:highlight w:val="none"/>
              </w:rPr>
            </w:pPr>
          </w:p>
        </w:tc>
        <w:tc>
          <w:tcPr>
            <w:tcW w:w="990" w:type="dxa"/>
            <w:vAlign w:val="top"/>
          </w:tcPr>
          <w:p w14:paraId="77888890">
            <w:pPr>
              <w:rPr>
                <w:rFonts w:ascii="Arial"/>
                <w:color w:val="auto"/>
                <w:sz w:val="21"/>
                <w:highlight w:val="none"/>
              </w:rPr>
            </w:pPr>
          </w:p>
        </w:tc>
        <w:tc>
          <w:tcPr>
            <w:tcW w:w="993" w:type="dxa"/>
            <w:vAlign w:val="top"/>
          </w:tcPr>
          <w:p w14:paraId="5428C6C1">
            <w:pPr>
              <w:rPr>
                <w:rFonts w:ascii="Arial"/>
                <w:color w:val="auto"/>
                <w:sz w:val="21"/>
                <w:highlight w:val="none"/>
              </w:rPr>
            </w:pPr>
          </w:p>
        </w:tc>
        <w:tc>
          <w:tcPr>
            <w:tcW w:w="1273" w:type="dxa"/>
            <w:vAlign w:val="top"/>
          </w:tcPr>
          <w:p w14:paraId="583081E5">
            <w:pPr>
              <w:rPr>
                <w:rFonts w:ascii="Arial"/>
                <w:color w:val="auto"/>
                <w:sz w:val="21"/>
                <w:highlight w:val="none"/>
              </w:rPr>
            </w:pPr>
          </w:p>
        </w:tc>
        <w:tc>
          <w:tcPr>
            <w:tcW w:w="1002" w:type="dxa"/>
            <w:tcBorders>
              <w:right w:val="single" w:color="000000" w:sz="6" w:space="0"/>
            </w:tcBorders>
            <w:vAlign w:val="top"/>
          </w:tcPr>
          <w:p w14:paraId="1E6C29C4">
            <w:pPr>
              <w:rPr>
                <w:rFonts w:ascii="Arial"/>
                <w:color w:val="auto"/>
                <w:sz w:val="21"/>
                <w:highlight w:val="none"/>
              </w:rPr>
            </w:pPr>
          </w:p>
        </w:tc>
      </w:tr>
      <w:tr w14:paraId="515EED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4" w:hRule="atLeast"/>
        </w:trPr>
        <w:tc>
          <w:tcPr>
            <w:tcW w:w="822" w:type="dxa"/>
            <w:tcBorders>
              <w:left w:val="single" w:color="000000" w:sz="6" w:space="0"/>
            </w:tcBorders>
            <w:vAlign w:val="top"/>
          </w:tcPr>
          <w:p w14:paraId="377E78E1">
            <w:pPr>
              <w:rPr>
                <w:rFonts w:ascii="Arial"/>
                <w:color w:val="auto"/>
                <w:sz w:val="21"/>
                <w:highlight w:val="none"/>
              </w:rPr>
            </w:pPr>
          </w:p>
        </w:tc>
        <w:tc>
          <w:tcPr>
            <w:tcW w:w="1987" w:type="dxa"/>
            <w:vAlign w:val="top"/>
          </w:tcPr>
          <w:p w14:paraId="6E15B690">
            <w:pPr>
              <w:rPr>
                <w:rFonts w:ascii="Arial"/>
                <w:color w:val="auto"/>
                <w:sz w:val="21"/>
                <w:highlight w:val="none"/>
              </w:rPr>
            </w:pPr>
          </w:p>
        </w:tc>
        <w:tc>
          <w:tcPr>
            <w:tcW w:w="2831" w:type="dxa"/>
            <w:vAlign w:val="top"/>
          </w:tcPr>
          <w:p w14:paraId="7E00AC5C">
            <w:pPr>
              <w:rPr>
                <w:rFonts w:ascii="Arial"/>
                <w:color w:val="auto"/>
                <w:sz w:val="21"/>
                <w:highlight w:val="none"/>
              </w:rPr>
            </w:pPr>
          </w:p>
        </w:tc>
        <w:tc>
          <w:tcPr>
            <w:tcW w:w="2266" w:type="dxa"/>
            <w:vAlign w:val="top"/>
          </w:tcPr>
          <w:p w14:paraId="77A58613">
            <w:pPr>
              <w:rPr>
                <w:rFonts w:ascii="Arial"/>
                <w:color w:val="auto"/>
                <w:sz w:val="21"/>
                <w:highlight w:val="none"/>
              </w:rPr>
            </w:pPr>
          </w:p>
        </w:tc>
        <w:tc>
          <w:tcPr>
            <w:tcW w:w="990" w:type="dxa"/>
            <w:vAlign w:val="top"/>
          </w:tcPr>
          <w:p w14:paraId="06ABB023">
            <w:pPr>
              <w:rPr>
                <w:rFonts w:ascii="Arial"/>
                <w:color w:val="auto"/>
                <w:sz w:val="21"/>
                <w:highlight w:val="none"/>
              </w:rPr>
            </w:pPr>
          </w:p>
        </w:tc>
        <w:tc>
          <w:tcPr>
            <w:tcW w:w="993" w:type="dxa"/>
            <w:vAlign w:val="top"/>
          </w:tcPr>
          <w:p w14:paraId="3F2E8738">
            <w:pPr>
              <w:rPr>
                <w:rFonts w:ascii="Arial"/>
                <w:color w:val="auto"/>
                <w:sz w:val="21"/>
                <w:highlight w:val="none"/>
              </w:rPr>
            </w:pPr>
          </w:p>
        </w:tc>
        <w:tc>
          <w:tcPr>
            <w:tcW w:w="990" w:type="dxa"/>
            <w:vAlign w:val="top"/>
          </w:tcPr>
          <w:p w14:paraId="37DD2B2E">
            <w:pPr>
              <w:rPr>
                <w:rFonts w:ascii="Arial"/>
                <w:color w:val="auto"/>
                <w:sz w:val="21"/>
                <w:highlight w:val="none"/>
              </w:rPr>
            </w:pPr>
          </w:p>
        </w:tc>
        <w:tc>
          <w:tcPr>
            <w:tcW w:w="993" w:type="dxa"/>
            <w:vAlign w:val="top"/>
          </w:tcPr>
          <w:p w14:paraId="0F6E608F">
            <w:pPr>
              <w:rPr>
                <w:rFonts w:ascii="Arial"/>
                <w:color w:val="auto"/>
                <w:sz w:val="21"/>
                <w:highlight w:val="none"/>
              </w:rPr>
            </w:pPr>
          </w:p>
        </w:tc>
        <w:tc>
          <w:tcPr>
            <w:tcW w:w="1273" w:type="dxa"/>
            <w:vAlign w:val="top"/>
          </w:tcPr>
          <w:p w14:paraId="76B6D043">
            <w:pPr>
              <w:rPr>
                <w:rFonts w:ascii="Arial"/>
                <w:color w:val="auto"/>
                <w:sz w:val="21"/>
                <w:highlight w:val="none"/>
              </w:rPr>
            </w:pPr>
          </w:p>
        </w:tc>
        <w:tc>
          <w:tcPr>
            <w:tcW w:w="1002" w:type="dxa"/>
            <w:tcBorders>
              <w:right w:val="single" w:color="000000" w:sz="6" w:space="0"/>
            </w:tcBorders>
            <w:vAlign w:val="top"/>
          </w:tcPr>
          <w:p w14:paraId="63A70B96">
            <w:pPr>
              <w:rPr>
                <w:rFonts w:ascii="Arial"/>
                <w:color w:val="auto"/>
                <w:sz w:val="21"/>
                <w:highlight w:val="none"/>
              </w:rPr>
            </w:pPr>
          </w:p>
        </w:tc>
      </w:tr>
      <w:tr w14:paraId="576687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2" w:hRule="atLeast"/>
        </w:trPr>
        <w:tc>
          <w:tcPr>
            <w:tcW w:w="822" w:type="dxa"/>
            <w:tcBorders>
              <w:left w:val="single" w:color="000000" w:sz="6" w:space="0"/>
            </w:tcBorders>
            <w:vAlign w:val="top"/>
          </w:tcPr>
          <w:p w14:paraId="640239A3">
            <w:pPr>
              <w:rPr>
                <w:rFonts w:ascii="Arial"/>
                <w:color w:val="auto"/>
                <w:sz w:val="21"/>
                <w:highlight w:val="none"/>
              </w:rPr>
            </w:pPr>
          </w:p>
        </w:tc>
        <w:tc>
          <w:tcPr>
            <w:tcW w:w="1987" w:type="dxa"/>
            <w:vAlign w:val="top"/>
          </w:tcPr>
          <w:p w14:paraId="3C703DA0">
            <w:pPr>
              <w:rPr>
                <w:rFonts w:ascii="Arial"/>
                <w:color w:val="auto"/>
                <w:sz w:val="21"/>
                <w:highlight w:val="none"/>
              </w:rPr>
            </w:pPr>
          </w:p>
        </w:tc>
        <w:tc>
          <w:tcPr>
            <w:tcW w:w="2831" w:type="dxa"/>
            <w:vAlign w:val="top"/>
          </w:tcPr>
          <w:p w14:paraId="79C639D5">
            <w:pPr>
              <w:rPr>
                <w:rFonts w:ascii="Arial"/>
                <w:color w:val="auto"/>
                <w:sz w:val="21"/>
                <w:highlight w:val="none"/>
              </w:rPr>
            </w:pPr>
          </w:p>
        </w:tc>
        <w:tc>
          <w:tcPr>
            <w:tcW w:w="2266" w:type="dxa"/>
            <w:vAlign w:val="top"/>
          </w:tcPr>
          <w:p w14:paraId="2AB5864A">
            <w:pPr>
              <w:rPr>
                <w:rFonts w:ascii="Arial"/>
                <w:color w:val="auto"/>
                <w:sz w:val="21"/>
                <w:highlight w:val="none"/>
              </w:rPr>
            </w:pPr>
          </w:p>
        </w:tc>
        <w:tc>
          <w:tcPr>
            <w:tcW w:w="990" w:type="dxa"/>
            <w:vAlign w:val="top"/>
          </w:tcPr>
          <w:p w14:paraId="732ED812">
            <w:pPr>
              <w:rPr>
                <w:rFonts w:ascii="Arial"/>
                <w:color w:val="auto"/>
                <w:sz w:val="21"/>
                <w:highlight w:val="none"/>
              </w:rPr>
            </w:pPr>
          </w:p>
        </w:tc>
        <w:tc>
          <w:tcPr>
            <w:tcW w:w="993" w:type="dxa"/>
            <w:vAlign w:val="top"/>
          </w:tcPr>
          <w:p w14:paraId="25B45D3E">
            <w:pPr>
              <w:rPr>
                <w:rFonts w:ascii="Arial"/>
                <w:color w:val="auto"/>
                <w:sz w:val="21"/>
                <w:highlight w:val="none"/>
              </w:rPr>
            </w:pPr>
          </w:p>
        </w:tc>
        <w:tc>
          <w:tcPr>
            <w:tcW w:w="990" w:type="dxa"/>
            <w:vAlign w:val="top"/>
          </w:tcPr>
          <w:p w14:paraId="3D05B0C2">
            <w:pPr>
              <w:rPr>
                <w:rFonts w:ascii="Arial"/>
                <w:color w:val="auto"/>
                <w:sz w:val="21"/>
                <w:highlight w:val="none"/>
              </w:rPr>
            </w:pPr>
          </w:p>
        </w:tc>
        <w:tc>
          <w:tcPr>
            <w:tcW w:w="993" w:type="dxa"/>
            <w:vAlign w:val="top"/>
          </w:tcPr>
          <w:p w14:paraId="0C06F1B8">
            <w:pPr>
              <w:rPr>
                <w:rFonts w:ascii="Arial"/>
                <w:color w:val="auto"/>
                <w:sz w:val="21"/>
                <w:highlight w:val="none"/>
              </w:rPr>
            </w:pPr>
          </w:p>
        </w:tc>
        <w:tc>
          <w:tcPr>
            <w:tcW w:w="1273" w:type="dxa"/>
            <w:vAlign w:val="top"/>
          </w:tcPr>
          <w:p w14:paraId="15370E57">
            <w:pPr>
              <w:rPr>
                <w:rFonts w:ascii="Arial"/>
                <w:color w:val="auto"/>
                <w:sz w:val="21"/>
                <w:highlight w:val="none"/>
              </w:rPr>
            </w:pPr>
          </w:p>
        </w:tc>
        <w:tc>
          <w:tcPr>
            <w:tcW w:w="1002" w:type="dxa"/>
            <w:tcBorders>
              <w:right w:val="single" w:color="000000" w:sz="6" w:space="0"/>
            </w:tcBorders>
            <w:vAlign w:val="top"/>
          </w:tcPr>
          <w:p w14:paraId="43EE2758">
            <w:pPr>
              <w:rPr>
                <w:rFonts w:ascii="Arial"/>
                <w:color w:val="auto"/>
                <w:sz w:val="21"/>
                <w:highlight w:val="none"/>
              </w:rPr>
            </w:pPr>
          </w:p>
        </w:tc>
      </w:tr>
      <w:tr w14:paraId="21408B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8" w:hRule="atLeast"/>
        </w:trPr>
        <w:tc>
          <w:tcPr>
            <w:tcW w:w="822" w:type="dxa"/>
            <w:tcBorders>
              <w:left w:val="single" w:color="000000" w:sz="6" w:space="0"/>
              <w:bottom w:val="single" w:color="000000" w:sz="6" w:space="0"/>
            </w:tcBorders>
            <w:vAlign w:val="top"/>
          </w:tcPr>
          <w:p w14:paraId="259CD8C8">
            <w:pPr>
              <w:rPr>
                <w:rFonts w:ascii="Arial"/>
                <w:color w:val="auto"/>
                <w:sz w:val="21"/>
                <w:highlight w:val="none"/>
              </w:rPr>
            </w:pPr>
          </w:p>
        </w:tc>
        <w:tc>
          <w:tcPr>
            <w:tcW w:w="1987" w:type="dxa"/>
            <w:tcBorders>
              <w:bottom w:val="single" w:color="000000" w:sz="6" w:space="0"/>
            </w:tcBorders>
            <w:vAlign w:val="top"/>
          </w:tcPr>
          <w:p w14:paraId="3233289B">
            <w:pPr>
              <w:rPr>
                <w:rFonts w:ascii="Arial"/>
                <w:color w:val="auto"/>
                <w:sz w:val="21"/>
                <w:highlight w:val="none"/>
              </w:rPr>
            </w:pPr>
          </w:p>
        </w:tc>
        <w:tc>
          <w:tcPr>
            <w:tcW w:w="2831" w:type="dxa"/>
            <w:tcBorders>
              <w:bottom w:val="single" w:color="000000" w:sz="6" w:space="0"/>
            </w:tcBorders>
            <w:vAlign w:val="top"/>
          </w:tcPr>
          <w:p w14:paraId="20388043">
            <w:pPr>
              <w:pStyle w:val="33"/>
              <w:spacing w:before="228" w:line="222" w:lineRule="auto"/>
              <w:ind w:left="1102"/>
              <w:rPr>
                <w:color w:val="auto"/>
                <w:sz w:val="21"/>
                <w:szCs w:val="21"/>
                <w:highlight w:val="none"/>
              </w:rPr>
            </w:pPr>
            <w:r>
              <w:rPr>
                <w:b/>
                <w:bCs/>
                <w:color w:val="auto"/>
                <w:spacing w:val="-7"/>
                <w:sz w:val="21"/>
                <w:szCs w:val="21"/>
                <w:highlight w:val="none"/>
              </w:rPr>
              <w:t>合</w:t>
            </w:r>
            <w:r>
              <w:rPr>
                <w:color w:val="auto"/>
                <w:spacing w:val="5"/>
                <w:sz w:val="21"/>
                <w:szCs w:val="21"/>
                <w:highlight w:val="none"/>
              </w:rPr>
              <w:t xml:space="preserve">  </w:t>
            </w:r>
            <w:r>
              <w:rPr>
                <w:b/>
                <w:bCs/>
                <w:color w:val="auto"/>
                <w:spacing w:val="-7"/>
                <w:sz w:val="21"/>
                <w:szCs w:val="21"/>
                <w:highlight w:val="none"/>
              </w:rPr>
              <w:t>计</w:t>
            </w:r>
          </w:p>
        </w:tc>
        <w:tc>
          <w:tcPr>
            <w:tcW w:w="2266" w:type="dxa"/>
            <w:tcBorders>
              <w:bottom w:val="single" w:color="000000" w:sz="6" w:space="0"/>
            </w:tcBorders>
            <w:vAlign w:val="top"/>
          </w:tcPr>
          <w:p w14:paraId="022DD1B9">
            <w:pPr>
              <w:rPr>
                <w:rFonts w:ascii="Arial"/>
                <w:color w:val="auto"/>
                <w:sz w:val="21"/>
                <w:highlight w:val="none"/>
              </w:rPr>
            </w:pPr>
          </w:p>
        </w:tc>
        <w:tc>
          <w:tcPr>
            <w:tcW w:w="990" w:type="dxa"/>
            <w:tcBorders>
              <w:bottom w:val="single" w:color="000000" w:sz="6" w:space="0"/>
            </w:tcBorders>
            <w:vAlign w:val="top"/>
          </w:tcPr>
          <w:p w14:paraId="467F0F60">
            <w:pPr>
              <w:rPr>
                <w:rFonts w:ascii="Arial"/>
                <w:color w:val="auto"/>
                <w:sz w:val="21"/>
                <w:highlight w:val="none"/>
              </w:rPr>
            </w:pPr>
          </w:p>
        </w:tc>
        <w:tc>
          <w:tcPr>
            <w:tcW w:w="993" w:type="dxa"/>
            <w:tcBorders>
              <w:bottom w:val="single" w:color="000000" w:sz="6" w:space="0"/>
            </w:tcBorders>
            <w:vAlign w:val="top"/>
          </w:tcPr>
          <w:p w14:paraId="4E8D529B">
            <w:pPr>
              <w:rPr>
                <w:rFonts w:ascii="Arial"/>
                <w:color w:val="auto"/>
                <w:sz w:val="21"/>
                <w:highlight w:val="none"/>
              </w:rPr>
            </w:pPr>
          </w:p>
        </w:tc>
        <w:tc>
          <w:tcPr>
            <w:tcW w:w="990" w:type="dxa"/>
            <w:tcBorders>
              <w:bottom w:val="single" w:color="000000" w:sz="6" w:space="0"/>
            </w:tcBorders>
            <w:vAlign w:val="top"/>
          </w:tcPr>
          <w:p w14:paraId="31743535">
            <w:pPr>
              <w:rPr>
                <w:rFonts w:ascii="Arial"/>
                <w:color w:val="auto"/>
                <w:sz w:val="21"/>
                <w:highlight w:val="none"/>
              </w:rPr>
            </w:pPr>
          </w:p>
        </w:tc>
        <w:tc>
          <w:tcPr>
            <w:tcW w:w="993" w:type="dxa"/>
            <w:tcBorders>
              <w:bottom w:val="single" w:color="000000" w:sz="6" w:space="0"/>
            </w:tcBorders>
            <w:vAlign w:val="top"/>
          </w:tcPr>
          <w:p w14:paraId="7C7418F6">
            <w:pPr>
              <w:rPr>
                <w:rFonts w:ascii="Arial"/>
                <w:color w:val="auto"/>
                <w:sz w:val="21"/>
                <w:highlight w:val="none"/>
              </w:rPr>
            </w:pPr>
          </w:p>
        </w:tc>
        <w:tc>
          <w:tcPr>
            <w:tcW w:w="1273" w:type="dxa"/>
            <w:tcBorders>
              <w:bottom w:val="single" w:color="000000" w:sz="6" w:space="0"/>
            </w:tcBorders>
            <w:vAlign w:val="top"/>
          </w:tcPr>
          <w:p w14:paraId="620BFCDB">
            <w:pPr>
              <w:rPr>
                <w:rFonts w:ascii="Arial"/>
                <w:color w:val="auto"/>
                <w:sz w:val="21"/>
                <w:highlight w:val="none"/>
              </w:rPr>
            </w:pPr>
          </w:p>
        </w:tc>
        <w:tc>
          <w:tcPr>
            <w:tcW w:w="1002" w:type="dxa"/>
            <w:tcBorders>
              <w:bottom w:val="single" w:color="000000" w:sz="6" w:space="0"/>
              <w:right w:val="single" w:color="000000" w:sz="6" w:space="0"/>
            </w:tcBorders>
            <w:vAlign w:val="top"/>
          </w:tcPr>
          <w:p w14:paraId="7DFE510F">
            <w:pPr>
              <w:rPr>
                <w:rFonts w:ascii="Arial"/>
                <w:color w:val="auto"/>
                <w:sz w:val="21"/>
                <w:highlight w:val="none"/>
              </w:rPr>
            </w:pPr>
          </w:p>
        </w:tc>
      </w:tr>
    </w:tbl>
    <w:p w14:paraId="53E0868C">
      <w:pPr>
        <w:pStyle w:val="3"/>
        <w:rPr>
          <w:color w:val="auto"/>
          <w:highlight w:val="none"/>
        </w:rPr>
      </w:pPr>
    </w:p>
    <w:p w14:paraId="29541B3F">
      <w:pPr>
        <w:rPr>
          <w:color w:val="auto"/>
          <w:highlight w:val="none"/>
        </w:rPr>
        <w:sectPr>
          <w:footerReference r:id="rId13" w:type="default"/>
          <w:pgSz w:w="16843" w:h="11905" w:orient="landscape"/>
          <w:pgMar w:top="1621" w:right="1429" w:bottom="1361" w:left="1253" w:header="0" w:footer="1094" w:gutter="0"/>
          <w:pgNumType w:fmt="decimal"/>
          <w:cols w:space="0" w:num="1"/>
          <w:rtlGutter w:val="0"/>
          <w:docGrid w:linePitch="0" w:charSpace="0"/>
        </w:sectPr>
      </w:pPr>
    </w:p>
    <w:p w14:paraId="19CBDAA1">
      <w:pPr>
        <w:spacing w:before="48" w:line="220" w:lineRule="auto"/>
        <w:ind w:left="3682"/>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其他项目清单</w:t>
      </w:r>
    </w:p>
    <w:p w14:paraId="55458B38">
      <w:pPr>
        <w:spacing w:before="174" w:line="221" w:lineRule="auto"/>
        <w:ind w:left="11"/>
        <w:rPr>
          <w:rFonts w:ascii="宋体" w:hAnsi="宋体" w:eastAsia="宋体" w:cs="宋体"/>
          <w:color w:val="auto"/>
          <w:sz w:val="21"/>
          <w:szCs w:val="21"/>
          <w:highlight w:val="none"/>
        </w:rPr>
      </w:pPr>
      <w:r>
        <w:rPr>
          <w:rFonts w:ascii="宋体" w:hAnsi="宋体" w:eastAsia="宋体" w:cs="宋体"/>
          <w:color w:val="auto"/>
          <w:sz w:val="21"/>
          <w:szCs w:val="21"/>
          <w:highlight w:val="none"/>
        </w:rPr>
        <w:t>项目及标段名称：</w:t>
      </w:r>
      <w:r>
        <w:rPr>
          <w:rFonts w:ascii="宋体" w:hAnsi="宋体" w:eastAsia="宋体" w:cs="宋体"/>
          <w:color w:val="auto"/>
          <w:sz w:val="21"/>
          <w:szCs w:val="21"/>
          <w:highlight w:val="none"/>
          <w:u w:val="single" w:color="auto"/>
        </w:rPr>
        <w:t xml:space="preserve">                                </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页共</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w:t>
      </w:r>
    </w:p>
    <w:p w14:paraId="3E0B766C">
      <w:pPr>
        <w:spacing w:line="127" w:lineRule="exact"/>
        <w:rPr>
          <w:color w:val="auto"/>
          <w:highlight w:val="none"/>
        </w:rPr>
      </w:pPr>
    </w:p>
    <w:tbl>
      <w:tblPr>
        <w:tblStyle w:val="32"/>
        <w:tblW w:w="900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3"/>
        <w:gridCol w:w="2784"/>
        <w:gridCol w:w="1215"/>
        <w:gridCol w:w="1696"/>
        <w:gridCol w:w="1950"/>
      </w:tblGrid>
      <w:tr w14:paraId="6CF42F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363" w:type="dxa"/>
            <w:tcBorders>
              <w:top w:val="single" w:color="000000" w:sz="6" w:space="0"/>
              <w:left w:val="single" w:color="000000" w:sz="6" w:space="0"/>
            </w:tcBorders>
            <w:vAlign w:val="top"/>
          </w:tcPr>
          <w:p w14:paraId="0B49C9D0">
            <w:pPr>
              <w:pStyle w:val="33"/>
              <w:spacing w:before="221" w:line="222" w:lineRule="auto"/>
              <w:ind w:left="469"/>
              <w:rPr>
                <w:color w:val="auto"/>
                <w:sz w:val="21"/>
                <w:szCs w:val="21"/>
                <w:highlight w:val="none"/>
              </w:rPr>
            </w:pPr>
            <w:r>
              <w:rPr>
                <w:color w:val="auto"/>
                <w:spacing w:val="-2"/>
                <w:sz w:val="21"/>
                <w:szCs w:val="21"/>
                <w:highlight w:val="none"/>
              </w:rPr>
              <w:t>序号</w:t>
            </w:r>
          </w:p>
        </w:tc>
        <w:tc>
          <w:tcPr>
            <w:tcW w:w="2784" w:type="dxa"/>
            <w:tcBorders>
              <w:top w:val="single" w:color="000000" w:sz="6" w:space="0"/>
            </w:tcBorders>
            <w:vAlign w:val="top"/>
          </w:tcPr>
          <w:p w14:paraId="083661EC">
            <w:pPr>
              <w:pStyle w:val="33"/>
              <w:spacing w:before="221" w:line="221" w:lineRule="auto"/>
              <w:ind w:left="978"/>
              <w:rPr>
                <w:color w:val="auto"/>
                <w:sz w:val="21"/>
                <w:szCs w:val="21"/>
                <w:highlight w:val="none"/>
              </w:rPr>
            </w:pPr>
            <w:r>
              <w:rPr>
                <w:color w:val="auto"/>
                <w:spacing w:val="-3"/>
                <w:sz w:val="21"/>
                <w:szCs w:val="21"/>
                <w:highlight w:val="none"/>
              </w:rPr>
              <w:t>项目名称</w:t>
            </w:r>
          </w:p>
        </w:tc>
        <w:tc>
          <w:tcPr>
            <w:tcW w:w="1215" w:type="dxa"/>
            <w:tcBorders>
              <w:top w:val="single" w:color="000000" w:sz="6" w:space="0"/>
            </w:tcBorders>
            <w:vAlign w:val="top"/>
          </w:tcPr>
          <w:p w14:paraId="0E4D20C5">
            <w:pPr>
              <w:pStyle w:val="33"/>
              <w:spacing w:before="221" w:line="221" w:lineRule="auto"/>
              <w:ind w:left="192"/>
              <w:rPr>
                <w:color w:val="auto"/>
                <w:sz w:val="21"/>
                <w:szCs w:val="21"/>
                <w:highlight w:val="none"/>
              </w:rPr>
            </w:pPr>
            <w:r>
              <w:rPr>
                <w:color w:val="auto"/>
                <w:spacing w:val="-2"/>
                <w:sz w:val="21"/>
                <w:szCs w:val="21"/>
                <w:highlight w:val="none"/>
              </w:rPr>
              <w:t>计量单位</w:t>
            </w:r>
          </w:p>
        </w:tc>
        <w:tc>
          <w:tcPr>
            <w:tcW w:w="1696" w:type="dxa"/>
            <w:tcBorders>
              <w:top w:val="single" w:color="000000" w:sz="6" w:space="0"/>
            </w:tcBorders>
            <w:vAlign w:val="top"/>
          </w:tcPr>
          <w:p w14:paraId="2B997A71">
            <w:pPr>
              <w:pStyle w:val="33"/>
              <w:spacing w:before="220" w:line="221" w:lineRule="auto"/>
              <w:ind w:left="333"/>
              <w:rPr>
                <w:color w:val="auto"/>
                <w:sz w:val="21"/>
                <w:szCs w:val="21"/>
                <w:highlight w:val="none"/>
              </w:rPr>
            </w:pPr>
            <w:r>
              <w:rPr>
                <w:color w:val="auto"/>
                <w:spacing w:val="-5"/>
                <w:sz w:val="21"/>
                <w:szCs w:val="21"/>
                <w:highlight w:val="none"/>
              </w:rPr>
              <w:t>金额（元）</w:t>
            </w:r>
          </w:p>
        </w:tc>
        <w:tc>
          <w:tcPr>
            <w:tcW w:w="1950" w:type="dxa"/>
            <w:tcBorders>
              <w:top w:val="single" w:color="000000" w:sz="6" w:space="0"/>
              <w:right w:val="single" w:color="000000" w:sz="6" w:space="0"/>
            </w:tcBorders>
            <w:vAlign w:val="top"/>
          </w:tcPr>
          <w:p w14:paraId="7A7C9479">
            <w:pPr>
              <w:pStyle w:val="33"/>
              <w:spacing w:before="221" w:line="222" w:lineRule="auto"/>
              <w:ind w:left="773"/>
              <w:rPr>
                <w:color w:val="auto"/>
                <w:sz w:val="21"/>
                <w:szCs w:val="21"/>
                <w:highlight w:val="none"/>
              </w:rPr>
            </w:pPr>
            <w:r>
              <w:rPr>
                <w:color w:val="auto"/>
                <w:spacing w:val="-3"/>
                <w:sz w:val="21"/>
                <w:szCs w:val="21"/>
                <w:highlight w:val="none"/>
              </w:rPr>
              <w:t>备注</w:t>
            </w:r>
          </w:p>
        </w:tc>
      </w:tr>
      <w:tr w14:paraId="169E03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5993A05D">
            <w:pPr>
              <w:rPr>
                <w:rFonts w:ascii="Arial"/>
                <w:color w:val="auto"/>
                <w:sz w:val="21"/>
                <w:highlight w:val="none"/>
              </w:rPr>
            </w:pPr>
          </w:p>
        </w:tc>
        <w:tc>
          <w:tcPr>
            <w:tcW w:w="2784" w:type="dxa"/>
            <w:vAlign w:val="top"/>
          </w:tcPr>
          <w:p w14:paraId="41BA0E44">
            <w:pPr>
              <w:rPr>
                <w:rFonts w:ascii="Arial"/>
                <w:color w:val="auto"/>
                <w:sz w:val="21"/>
                <w:highlight w:val="none"/>
              </w:rPr>
            </w:pPr>
          </w:p>
        </w:tc>
        <w:tc>
          <w:tcPr>
            <w:tcW w:w="1215" w:type="dxa"/>
            <w:vAlign w:val="top"/>
          </w:tcPr>
          <w:p w14:paraId="68BE7DC3">
            <w:pPr>
              <w:rPr>
                <w:rFonts w:ascii="Arial"/>
                <w:color w:val="auto"/>
                <w:sz w:val="21"/>
                <w:highlight w:val="none"/>
              </w:rPr>
            </w:pPr>
          </w:p>
        </w:tc>
        <w:tc>
          <w:tcPr>
            <w:tcW w:w="1696" w:type="dxa"/>
            <w:vAlign w:val="top"/>
          </w:tcPr>
          <w:p w14:paraId="319F54F9">
            <w:pPr>
              <w:rPr>
                <w:rFonts w:ascii="Arial"/>
                <w:color w:val="auto"/>
                <w:sz w:val="21"/>
                <w:highlight w:val="none"/>
              </w:rPr>
            </w:pPr>
          </w:p>
        </w:tc>
        <w:tc>
          <w:tcPr>
            <w:tcW w:w="1950" w:type="dxa"/>
            <w:tcBorders>
              <w:right w:val="single" w:color="000000" w:sz="6" w:space="0"/>
            </w:tcBorders>
            <w:vAlign w:val="top"/>
          </w:tcPr>
          <w:p w14:paraId="7363FB20">
            <w:pPr>
              <w:rPr>
                <w:rFonts w:ascii="Arial"/>
                <w:color w:val="auto"/>
                <w:sz w:val="21"/>
                <w:highlight w:val="none"/>
              </w:rPr>
            </w:pPr>
          </w:p>
        </w:tc>
      </w:tr>
      <w:tr w14:paraId="4AC58E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62048BE3">
            <w:pPr>
              <w:rPr>
                <w:rFonts w:ascii="Arial"/>
                <w:color w:val="auto"/>
                <w:sz w:val="21"/>
                <w:highlight w:val="none"/>
              </w:rPr>
            </w:pPr>
          </w:p>
        </w:tc>
        <w:tc>
          <w:tcPr>
            <w:tcW w:w="2784" w:type="dxa"/>
            <w:vAlign w:val="top"/>
          </w:tcPr>
          <w:p w14:paraId="77E9EE9D">
            <w:pPr>
              <w:rPr>
                <w:rFonts w:ascii="Arial"/>
                <w:color w:val="auto"/>
                <w:sz w:val="21"/>
                <w:highlight w:val="none"/>
              </w:rPr>
            </w:pPr>
          </w:p>
        </w:tc>
        <w:tc>
          <w:tcPr>
            <w:tcW w:w="1215" w:type="dxa"/>
            <w:vAlign w:val="top"/>
          </w:tcPr>
          <w:p w14:paraId="7BA08D98">
            <w:pPr>
              <w:rPr>
                <w:rFonts w:ascii="Arial"/>
                <w:color w:val="auto"/>
                <w:sz w:val="21"/>
                <w:highlight w:val="none"/>
              </w:rPr>
            </w:pPr>
          </w:p>
        </w:tc>
        <w:tc>
          <w:tcPr>
            <w:tcW w:w="1696" w:type="dxa"/>
            <w:vAlign w:val="top"/>
          </w:tcPr>
          <w:p w14:paraId="1A19FC6C">
            <w:pPr>
              <w:rPr>
                <w:rFonts w:ascii="Arial"/>
                <w:color w:val="auto"/>
                <w:sz w:val="21"/>
                <w:highlight w:val="none"/>
              </w:rPr>
            </w:pPr>
          </w:p>
        </w:tc>
        <w:tc>
          <w:tcPr>
            <w:tcW w:w="1950" w:type="dxa"/>
            <w:tcBorders>
              <w:right w:val="single" w:color="000000" w:sz="6" w:space="0"/>
            </w:tcBorders>
            <w:vAlign w:val="top"/>
          </w:tcPr>
          <w:p w14:paraId="377AAEC2">
            <w:pPr>
              <w:rPr>
                <w:rFonts w:ascii="Arial"/>
                <w:color w:val="auto"/>
                <w:sz w:val="21"/>
                <w:highlight w:val="none"/>
              </w:rPr>
            </w:pPr>
          </w:p>
        </w:tc>
      </w:tr>
      <w:tr w14:paraId="373EC3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623AB116">
            <w:pPr>
              <w:rPr>
                <w:rFonts w:ascii="Arial"/>
                <w:color w:val="auto"/>
                <w:sz w:val="21"/>
                <w:highlight w:val="none"/>
              </w:rPr>
            </w:pPr>
          </w:p>
        </w:tc>
        <w:tc>
          <w:tcPr>
            <w:tcW w:w="2784" w:type="dxa"/>
            <w:vAlign w:val="top"/>
          </w:tcPr>
          <w:p w14:paraId="48D83C47">
            <w:pPr>
              <w:rPr>
                <w:rFonts w:ascii="Arial"/>
                <w:color w:val="auto"/>
                <w:sz w:val="21"/>
                <w:highlight w:val="none"/>
              </w:rPr>
            </w:pPr>
          </w:p>
        </w:tc>
        <w:tc>
          <w:tcPr>
            <w:tcW w:w="1215" w:type="dxa"/>
            <w:vAlign w:val="top"/>
          </w:tcPr>
          <w:p w14:paraId="16365A8F">
            <w:pPr>
              <w:rPr>
                <w:rFonts w:ascii="Arial"/>
                <w:color w:val="auto"/>
                <w:sz w:val="21"/>
                <w:highlight w:val="none"/>
              </w:rPr>
            </w:pPr>
          </w:p>
        </w:tc>
        <w:tc>
          <w:tcPr>
            <w:tcW w:w="1696" w:type="dxa"/>
            <w:vAlign w:val="top"/>
          </w:tcPr>
          <w:p w14:paraId="0D93D532">
            <w:pPr>
              <w:rPr>
                <w:rFonts w:ascii="Arial"/>
                <w:color w:val="auto"/>
                <w:sz w:val="21"/>
                <w:highlight w:val="none"/>
              </w:rPr>
            </w:pPr>
          </w:p>
        </w:tc>
        <w:tc>
          <w:tcPr>
            <w:tcW w:w="1950" w:type="dxa"/>
            <w:tcBorders>
              <w:right w:val="single" w:color="000000" w:sz="6" w:space="0"/>
            </w:tcBorders>
            <w:vAlign w:val="top"/>
          </w:tcPr>
          <w:p w14:paraId="7E99709F">
            <w:pPr>
              <w:rPr>
                <w:rFonts w:ascii="Arial"/>
                <w:color w:val="auto"/>
                <w:sz w:val="21"/>
                <w:highlight w:val="none"/>
              </w:rPr>
            </w:pPr>
          </w:p>
        </w:tc>
      </w:tr>
      <w:tr w14:paraId="51FAFB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top"/>
          </w:tcPr>
          <w:p w14:paraId="5433DD42">
            <w:pPr>
              <w:rPr>
                <w:rFonts w:ascii="Arial"/>
                <w:color w:val="auto"/>
                <w:sz w:val="21"/>
                <w:highlight w:val="none"/>
              </w:rPr>
            </w:pPr>
          </w:p>
        </w:tc>
        <w:tc>
          <w:tcPr>
            <w:tcW w:w="2784" w:type="dxa"/>
            <w:vAlign w:val="top"/>
          </w:tcPr>
          <w:p w14:paraId="01BE4E4B">
            <w:pPr>
              <w:rPr>
                <w:rFonts w:ascii="Arial"/>
                <w:color w:val="auto"/>
                <w:sz w:val="21"/>
                <w:highlight w:val="none"/>
              </w:rPr>
            </w:pPr>
          </w:p>
        </w:tc>
        <w:tc>
          <w:tcPr>
            <w:tcW w:w="1215" w:type="dxa"/>
            <w:vAlign w:val="top"/>
          </w:tcPr>
          <w:p w14:paraId="17E164C1">
            <w:pPr>
              <w:rPr>
                <w:rFonts w:ascii="Arial"/>
                <w:color w:val="auto"/>
                <w:sz w:val="21"/>
                <w:highlight w:val="none"/>
              </w:rPr>
            </w:pPr>
          </w:p>
        </w:tc>
        <w:tc>
          <w:tcPr>
            <w:tcW w:w="1696" w:type="dxa"/>
            <w:vAlign w:val="top"/>
          </w:tcPr>
          <w:p w14:paraId="7ED4ED55">
            <w:pPr>
              <w:rPr>
                <w:rFonts w:ascii="Arial"/>
                <w:color w:val="auto"/>
                <w:sz w:val="21"/>
                <w:highlight w:val="none"/>
              </w:rPr>
            </w:pPr>
          </w:p>
        </w:tc>
        <w:tc>
          <w:tcPr>
            <w:tcW w:w="1950" w:type="dxa"/>
            <w:tcBorders>
              <w:right w:val="single" w:color="000000" w:sz="6" w:space="0"/>
            </w:tcBorders>
            <w:vAlign w:val="top"/>
          </w:tcPr>
          <w:p w14:paraId="168D2224">
            <w:pPr>
              <w:rPr>
                <w:rFonts w:ascii="Arial"/>
                <w:color w:val="auto"/>
                <w:sz w:val="21"/>
                <w:highlight w:val="none"/>
              </w:rPr>
            </w:pPr>
          </w:p>
        </w:tc>
      </w:tr>
      <w:tr w14:paraId="5B0198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18F6E485">
            <w:pPr>
              <w:rPr>
                <w:rFonts w:ascii="Arial"/>
                <w:color w:val="auto"/>
                <w:sz w:val="21"/>
                <w:highlight w:val="none"/>
              </w:rPr>
            </w:pPr>
          </w:p>
        </w:tc>
        <w:tc>
          <w:tcPr>
            <w:tcW w:w="2784" w:type="dxa"/>
            <w:vAlign w:val="top"/>
          </w:tcPr>
          <w:p w14:paraId="39A95D7F">
            <w:pPr>
              <w:rPr>
                <w:rFonts w:ascii="Arial"/>
                <w:color w:val="auto"/>
                <w:sz w:val="21"/>
                <w:highlight w:val="none"/>
              </w:rPr>
            </w:pPr>
          </w:p>
        </w:tc>
        <w:tc>
          <w:tcPr>
            <w:tcW w:w="1215" w:type="dxa"/>
            <w:vAlign w:val="top"/>
          </w:tcPr>
          <w:p w14:paraId="3A6F658D">
            <w:pPr>
              <w:rPr>
                <w:rFonts w:ascii="Arial"/>
                <w:color w:val="auto"/>
                <w:sz w:val="21"/>
                <w:highlight w:val="none"/>
              </w:rPr>
            </w:pPr>
          </w:p>
        </w:tc>
        <w:tc>
          <w:tcPr>
            <w:tcW w:w="1696" w:type="dxa"/>
            <w:vAlign w:val="top"/>
          </w:tcPr>
          <w:p w14:paraId="6B014DE4">
            <w:pPr>
              <w:rPr>
                <w:rFonts w:ascii="Arial"/>
                <w:color w:val="auto"/>
                <w:sz w:val="21"/>
                <w:highlight w:val="none"/>
              </w:rPr>
            </w:pPr>
          </w:p>
        </w:tc>
        <w:tc>
          <w:tcPr>
            <w:tcW w:w="1950" w:type="dxa"/>
            <w:tcBorders>
              <w:right w:val="single" w:color="000000" w:sz="6" w:space="0"/>
            </w:tcBorders>
            <w:vAlign w:val="top"/>
          </w:tcPr>
          <w:p w14:paraId="5D81420B">
            <w:pPr>
              <w:rPr>
                <w:rFonts w:ascii="Arial"/>
                <w:color w:val="auto"/>
                <w:sz w:val="21"/>
                <w:highlight w:val="none"/>
              </w:rPr>
            </w:pPr>
          </w:p>
        </w:tc>
      </w:tr>
      <w:tr w14:paraId="0BE2F4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06EF6EEA">
            <w:pPr>
              <w:rPr>
                <w:rFonts w:ascii="Arial"/>
                <w:color w:val="auto"/>
                <w:sz w:val="21"/>
                <w:highlight w:val="none"/>
              </w:rPr>
            </w:pPr>
          </w:p>
        </w:tc>
        <w:tc>
          <w:tcPr>
            <w:tcW w:w="2784" w:type="dxa"/>
            <w:vAlign w:val="top"/>
          </w:tcPr>
          <w:p w14:paraId="66E2A4B9">
            <w:pPr>
              <w:rPr>
                <w:rFonts w:ascii="Arial"/>
                <w:color w:val="auto"/>
                <w:sz w:val="21"/>
                <w:highlight w:val="none"/>
              </w:rPr>
            </w:pPr>
          </w:p>
        </w:tc>
        <w:tc>
          <w:tcPr>
            <w:tcW w:w="1215" w:type="dxa"/>
            <w:vAlign w:val="top"/>
          </w:tcPr>
          <w:p w14:paraId="6593886F">
            <w:pPr>
              <w:rPr>
                <w:rFonts w:ascii="Arial"/>
                <w:color w:val="auto"/>
                <w:sz w:val="21"/>
                <w:highlight w:val="none"/>
              </w:rPr>
            </w:pPr>
          </w:p>
        </w:tc>
        <w:tc>
          <w:tcPr>
            <w:tcW w:w="1696" w:type="dxa"/>
            <w:vAlign w:val="top"/>
          </w:tcPr>
          <w:p w14:paraId="4AA94F27">
            <w:pPr>
              <w:rPr>
                <w:rFonts w:ascii="Arial"/>
                <w:color w:val="auto"/>
                <w:sz w:val="21"/>
                <w:highlight w:val="none"/>
              </w:rPr>
            </w:pPr>
          </w:p>
        </w:tc>
        <w:tc>
          <w:tcPr>
            <w:tcW w:w="1950" w:type="dxa"/>
            <w:tcBorders>
              <w:right w:val="single" w:color="000000" w:sz="6" w:space="0"/>
            </w:tcBorders>
            <w:vAlign w:val="top"/>
          </w:tcPr>
          <w:p w14:paraId="77A8F22C">
            <w:pPr>
              <w:rPr>
                <w:rFonts w:ascii="Arial"/>
                <w:color w:val="auto"/>
                <w:sz w:val="21"/>
                <w:highlight w:val="none"/>
              </w:rPr>
            </w:pPr>
          </w:p>
        </w:tc>
      </w:tr>
      <w:tr w14:paraId="031DD4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344543D5">
            <w:pPr>
              <w:rPr>
                <w:rFonts w:ascii="Arial"/>
                <w:color w:val="auto"/>
                <w:sz w:val="21"/>
                <w:highlight w:val="none"/>
              </w:rPr>
            </w:pPr>
          </w:p>
        </w:tc>
        <w:tc>
          <w:tcPr>
            <w:tcW w:w="2784" w:type="dxa"/>
            <w:vAlign w:val="top"/>
          </w:tcPr>
          <w:p w14:paraId="6F992522">
            <w:pPr>
              <w:rPr>
                <w:rFonts w:ascii="Arial"/>
                <w:color w:val="auto"/>
                <w:sz w:val="21"/>
                <w:highlight w:val="none"/>
              </w:rPr>
            </w:pPr>
          </w:p>
        </w:tc>
        <w:tc>
          <w:tcPr>
            <w:tcW w:w="1215" w:type="dxa"/>
            <w:vAlign w:val="top"/>
          </w:tcPr>
          <w:p w14:paraId="3316FBC5">
            <w:pPr>
              <w:rPr>
                <w:rFonts w:ascii="Arial"/>
                <w:color w:val="auto"/>
                <w:sz w:val="21"/>
                <w:highlight w:val="none"/>
              </w:rPr>
            </w:pPr>
          </w:p>
        </w:tc>
        <w:tc>
          <w:tcPr>
            <w:tcW w:w="1696" w:type="dxa"/>
            <w:vAlign w:val="top"/>
          </w:tcPr>
          <w:p w14:paraId="5E942791">
            <w:pPr>
              <w:rPr>
                <w:rFonts w:ascii="Arial"/>
                <w:color w:val="auto"/>
                <w:sz w:val="21"/>
                <w:highlight w:val="none"/>
              </w:rPr>
            </w:pPr>
          </w:p>
        </w:tc>
        <w:tc>
          <w:tcPr>
            <w:tcW w:w="1950" w:type="dxa"/>
            <w:tcBorders>
              <w:right w:val="single" w:color="000000" w:sz="6" w:space="0"/>
            </w:tcBorders>
            <w:vAlign w:val="top"/>
          </w:tcPr>
          <w:p w14:paraId="07930488">
            <w:pPr>
              <w:rPr>
                <w:rFonts w:ascii="Arial"/>
                <w:color w:val="auto"/>
                <w:sz w:val="21"/>
                <w:highlight w:val="none"/>
              </w:rPr>
            </w:pPr>
          </w:p>
        </w:tc>
      </w:tr>
      <w:tr w14:paraId="1AF523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3EE9DCF3">
            <w:pPr>
              <w:rPr>
                <w:rFonts w:ascii="Arial"/>
                <w:color w:val="auto"/>
                <w:sz w:val="21"/>
                <w:highlight w:val="none"/>
              </w:rPr>
            </w:pPr>
          </w:p>
        </w:tc>
        <w:tc>
          <w:tcPr>
            <w:tcW w:w="2784" w:type="dxa"/>
            <w:vAlign w:val="top"/>
          </w:tcPr>
          <w:p w14:paraId="1C0B9832">
            <w:pPr>
              <w:rPr>
                <w:rFonts w:ascii="Arial"/>
                <w:color w:val="auto"/>
                <w:sz w:val="21"/>
                <w:highlight w:val="none"/>
              </w:rPr>
            </w:pPr>
          </w:p>
        </w:tc>
        <w:tc>
          <w:tcPr>
            <w:tcW w:w="1215" w:type="dxa"/>
            <w:vAlign w:val="top"/>
          </w:tcPr>
          <w:p w14:paraId="6A64CD20">
            <w:pPr>
              <w:rPr>
                <w:rFonts w:ascii="Arial"/>
                <w:color w:val="auto"/>
                <w:sz w:val="21"/>
                <w:highlight w:val="none"/>
              </w:rPr>
            </w:pPr>
          </w:p>
        </w:tc>
        <w:tc>
          <w:tcPr>
            <w:tcW w:w="1696" w:type="dxa"/>
            <w:vAlign w:val="top"/>
          </w:tcPr>
          <w:p w14:paraId="16452307">
            <w:pPr>
              <w:rPr>
                <w:rFonts w:ascii="Arial"/>
                <w:color w:val="auto"/>
                <w:sz w:val="21"/>
                <w:highlight w:val="none"/>
              </w:rPr>
            </w:pPr>
          </w:p>
        </w:tc>
        <w:tc>
          <w:tcPr>
            <w:tcW w:w="1950" w:type="dxa"/>
            <w:tcBorders>
              <w:right w:val="single" w:color="000000" w:sz="6" w:space="0"/>
            </w:tcBorders>
            <w:vAlign w:val="top"/>
          </w:tcPr>
          <w:p w14:paraId="4E06837B">
            <w:pPr>
              <w:rPr>
                <w:rFonts w:ascii="Arial"/>
                <w:color w:val="auto"/>
                <w:sz w:val="21"/>
                <w:highlight w:val="none"/>
              </w:rPr>
            </w:pPr>
          </w:p>
        </w:tc>
      </w:tr>
      <w:tr w14:paraId="74F37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0BCC7657">
            <w:pPr>
              <w:rPr>
                <w:rFonts w:ascii="Arial"/>
                <w:color w:val="auto"/>
                <w:sz w:val="21"/>
                <w:highlight w:val="none"/>
              </w:rPr>
            </w:pPr>
          </w:p>
        </w:tc>
        <w:tc>
          <w:tcPr>
            <w:tcW w:w="2784" w:type="dxa"/>
            <w:vAlign w:val="top"/>
          </w:tcPr>
          <w:p w14:paraId="158C1204">
            <w:pPr>
              <w:rPr>
                <w:rFonts w:ascii="Arial"/>
                <w:color w:val="auto"/>
                <w:sz w:val="21"/>
                <w:highlight w:val="none"/>
              </w:rPr>
            </w:pPr>
          </w:p>
        </w:tc>
        <w:tc>
          <w:tcPr>
            <w:tcW w:w="1215" w:type="dxa"/>
            <w:vAlign w:val="top"/>
          </w:tcPr>
          <w:p w14:paraId="43E15112">
            <w:pPr>
              <w:rPr>
                <w:rFonts w:ascii="Arial"/>
                <w:color w:val="auto"/>
                <w:sz w:val="21"/>
                <w:highlight w:val="none"/>
              </w:rPr>
            </w:pPr>
          </w:p>
        </w:tc>
        <w:tc>
          <w:tcPr>
            <w:tcW w:w="1696" w:type="dxa"/>
            <w:vAlign w:val="top"/>
          </w:tcPr>
          <w:p w14:paraId="52A71380">
            <w:pPr>
              <w:rPr>
                <w:rFonts w:ascii="Arial"/>
                <w:color w:val="auto"/>
                <w:sz w:val="21"/>
                <w:highlight w:val="none"/>
              </w:rPr>
            </w:pPr>
          </w:p>
        </w:tc>
        <w:tc>
          <w:tcPr>
            <w:tcW w:w="1950" w:type="dxa"/>
            <w:tcBorders>
              <w:right w:val="single" w:color="000000" w:sz="6" w:space="0"/>
            </w:tcBorders>
            <w:vAlign w:val="top"/>
          </w:tcPr>
          <w:p w14:paraId="2730575C">
            <w:pPr>
              <w:rPr>
                <w:rFonts w:ascii="Arial"/>
                <w:color w:val="auto"/>
                <w:sz w:val="21"/>
                <w:highlight w:val="none"/>
              </w:rPr>
            </w:pPr>
          </w:p>
        </w:tc>
      </w:tr>
      <w:tr w14:paraId="7BAFDF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0BA57768">
            <w:pPr>
              <w:rPr>
                <w:rFonts w:ascii="Arial"/>
                <w:color w:val="auto"/>
                <w:sz w:val="21"/>
                <w:highlight w:val="none"/>
              </w:rPr>
            </w:pPr>
          </w:p>
        </w:tc>
        <w:tc>
          <w:tcPr>
            <w:tcW w:w="2784" w:type="dxa"/>
            <w:vAlign w:val="top"/>
          </w:tcPr>
          <w:p w14:paraId="3940FFAC">
            <w:pPr>
              <w:rPr>
                <w:rFonts w:ascii="Arial"/>
                <w:color w:val="auto"/>
                <w:sz w:val="21"/>
                <w:highlight w:val="none"/>
              </w:rPr>
            </w:pPr>
          </w:p>
        </w:tc>
        <w:tc>
          <w:tcPr>
            <w:tcW w:w="1215" w:type="dxa"/>
            <w:vAlign w:val="top"/>
          </w:tcPr>
          <w:p w14:paraId="521D231A">
            <w:pPr>
              <w:rPr>
                <w:rFonts w:ascii="Arial"/>
                <w:color w:val="auto"/>
                <w:sz w:val="21"/>
                <w:highlight w:val="none"/>
              </w:rPr>
            </w:pPr>
          </w:p>
        </w:tc>
        <w:tc>
          <w:tcPr>
            <w:tcW w:w="1696" w:type="dxa"/>
            <w:vAlign w:val="top"/>
          </w:tcPr>
          <w:p w14:paraId="611804A2">
            <w:pPr>
              <w:rPr>
                <w:rFonts w:ascii="Arial"/>
                <w:color w:val="auto"/>
                <w:sz w:val="21"/>
                <w:highlight w:val="none"/>
              </w:rPr>
            </w:pPr>
          </w:p>
        </w:tc>
        <w:tc>
          <w:tcPr>
            <w:tcW w:w="1950" w:type="dxa"/>
            <w:tcBorders>
              <w:right w:val="single" w:color="000000" w:sz="6" w:space="0"/>
            </w:tcBorders>
            <w:vAlign w:val="top"/>
          </w:tcPr>
          <w:p w14:paraId="08B41123">
            <w:pPr>
              <w:rPr>
                <w:rFonts w:ascii="Arial"/>
                <w:color w:val="auto"/>
                <w:sz w:val="21"/>
                <w:highlight w:val="none"/>
              </w:rPr>
            </w:pPr>
          </w:p>
        </w:tc>
      </w:tr>
      <w:tr w14:paraId="0A41BD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1EC9E253">
            <w:pPr>
              <w:rPr>
                <w:rFonts w:ascii="Arial"/>
                <w:color w:val="auto"/>
                <w:sz w:val="21"/>
                <w:highlight w:val="none"/>
              </w:rPr>
            </w:pPr>
          </w:p>
        </w:tc>
        <w:tc>
          <w:tcPr>
            <w:tcW w:w="2784" w:type="dxa"/>
            <w:vAlign w:val="top"/>
          </w:tcPr>
          <w:p w14:paraId="7EDC3DE9">
            <w:pPr>
              <w:rPr>
                <w:rFonts w:ascii="Arial"/>
                <w:color w:val="auto"/>
                <w:sz w:val="21"/>
                <w:highlight w:val="none"/>
              </w:rPr>
            </w:pPr>
          </w:p>
        </w:tc>
        <w:tc>
          <w:tcPr>
            <w:tcW w:w="1215" w:type="dxa"/>
            <w:vAlign w:val="top"/>
          </w:tcPr>
          <w:p w14:paraId="3254A87B">
            <w:pPr>
              <w:rPr>
                <w:rFonts w:ascii="Arial"/>
                <w:color w:val="auto"/>
                <w:sz w:val="21"/>
                <w:highlight w:val="none"/>
              </w:rPr>
            </w:pPr>
          </w:p>
        </w:tc>
        <w:tc>
          <w:tcPr>
            <w:tcW w:w="1696" w:type="dxa"/>
            <w:vAlign w:val="top"/>
          </w:tcPr>
          <w:p w14:paraId="158259AF">
            <w:pPr>
              <w:rPr>
                <w:rFonts w:ascii="Arial"/>
                <w:color w:val="auto"/>
                <w:sz w:val="21"/>
                <w:highlight w:val="none"/>
              </w:rPr>
            </w:pPr>
          </w:p>
        </w:tc>
        <w:tc>
          <w:tcPr>
            <w:tcW w:w="1950" w:type="dxa"/>
            <w:tcBorders>
              <w:right w:val="single" w:color="000000" w:sz="6" w:space="0"/>
            </w:tcBorders>
            <w:vAlign w:val="top"/>
          </w:tcPr>
          <w:p w14:paraId="35866F33">
            <w:pPr>
              <w:rPr>
                <w:rFonts w:ascii="Arial"/>
                <w:color w:val="auto"/>
                <w:sz w:val="21"/>
                <w:highlight w:val="none"/>
              </w:rPr>
            </w:pPr>
          </w:p>
        </w:tc>
      </w:tr>
      <w:tr w14:paraId="5AD491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358BC5D5">
            <w:pPr>
              <w:rPr>
                <w:rFonts w:ascii="Arial"/>
                <w:color w:val="auto"/>
                <w:sz w:val="21"/>
                <w:highlight w:val="none"/>
              </w:rPr>
            </w:pPr>
          </w:p>
        </w:tc>
        <w:tc>
          <w:tcPr>
            <w:tcW w:w="2784" w:type="dxa"/>
            <w:vAlign w:val="top"/>
          </w:tcPr>
          <w:p w14:paraId="7115ADBD">
            <w:pPr>
              <w:rPr>
                <w:rFonts w:ascii="Arial"/>
                <w:color w:val="auto"/>
                <w:sz w:val="21"/>
                <w:highlight w:val="none"/>
              </w:rPr>
            </w:pPr>
          </w:p>
        </w:tc>
        <w:tc>
          <w:tcPr>
            <w:tcW w:w="1215" w:type="dxa"/>
            <w:vAlign w:val="top"/>
          </w:tcPr>
          <w:p w14:paraId="15DAB1F8">
            <w:pPr>
              <w:rPr>
                <w:rFonts w:ascii="Arial"/>
                <w:color w:val="auto"/>
                <w:sz w:val="21"/>
                <w:highlight w:val="none"/>
              </w:rPr>
            </w:pPr>
          </w:p>
        </w:tc>
        <w:tc>
          <w:tcPr>
            <w:tcW w:w="1696" w:type="dxa"/>
            <w:vAlign w:val="top"/>
          </w:tcPr>
          <w:p w14:paraId="3B6D3126">
            <w:pPr>
              <w:rPr>
                <w:rFonts w:ascii="Arial"/>
                <w:color w:val="auto"/>
                <w:sz w:val="21"/>
                <w:highlight w:val="none"/>
              </w:rPr>
            </w:pPr>
          </w:p>
        </w:tc>
        <w:tc>
          <w:tcPr>
            <w:tcW w:w="1950" w:type="dxa"/>
            <w:tcBorders>
              <w:right w:val="single" w:color="000000" w:sz="6" w:space="0"/>
            </w:tcBorders>
            <w:vAlign w:val="top"/>
          </w:tcPr>
          <w:p w14:paraId="0CFA844A">
            <w:pPr>
              <w:rPr>
                <w:rFonts w:ascii="Arial"/>
                <w:color w:val="auto"/>
                <w:sz w:val="21"/>
                <w:highlight w:val="none"/>
              </w:rPr>
            </w:pPr>
          </w:p>
        </w:tc>
      </w:tr>
      <w:tr w14:paraId="78C9A8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39B4B14A">
            <w:pPr>
              <w:rPr>
                <w:rFonts w:ascii="Arial"/>
                <w:color w:val="auto"/>
                <w:sz w:val="21"/>
                <w:highlight w:val="none"/>
              </w:rPr>
            </w:pPr>
          </w:p>
        </w:tc>
        <w:tc>
          <w:tcPr>
            <w:tcW w:w="2784" w:type="dxa"/>
            <w:vAlign w:val="top"/>
          </w:tcPr>
          <w:p w14:paraId="005770C6">
            <w:pPr>
              <w:rPr>
                <w:rFonts w:ascii="Arial"/>
                <w:color w:val="auto"/>
                <w:sz w:val="21"/>
                <w:highlight w:val="none"/>
              </w:rPr>
            </w:pPr>
          </w:p>
        </w:tc>
        <w:tc>
          <w:tcPr>
            <w:tcW w:w="1215" w:type="dxa"/>
            <w:vAlign w:val="top"/>
          </w:tcPr>
          <w:p w14:paraId="7CD8D7F3">
            <w:pPr>
              <w:rPr>
                <w:rFonts w:ascii="Arial"/>
                <w:color w:val="auto"/>
                <w:sz w:val="21"/>
                <w:highlight w:val="none"/>
              </w:rPr>
            </w:pPr>
          </w:p>
        </w:tc>
        <w:tc>
          <w:tcPr>
            <w:tcW w:w="1696" w:type="dxa"/>
            <w:vAlign w:val="top"/>
          </w:tcPr>
          <w:p w14:paraId="58DFAA04">
            <w:pPr>
              <w:rPr>
                <w:rFonts w:ascii="Arial"/>
                <w:color w:val="auto"/>
                <w:sz w:val="21"/>
                <w:highlight w:val="none"/>
              </w:rPr>
            </w:pPr>
          </w:p>
        </w:tc>
        <w:tc>
          <w:tcPr>
            <w:tcW w:w="1950" w:type="dxa"/>
            <w:tcBorders>
              <w:right w:val="single" w:color="000000" w:sz="6" w:space="0"/>
            </w:tcBorders>
            <w:vAlign w:val="top"/>
          </w:tcPr>
          <w:p w14:paraId="70EA8BAB">
            <w:pPr>
              <w:rPr>
                <w:rFonts w:ascii="Arial"/>
                <w:color w:val="auto"/>
                <w:sz w:val="21"/>
                <w:highlight w:val="none"/>
              </w:rPr>
            </w:pPr>
          </w:p>
        </w:tc>
      </w:tr>
      <w:tr w14:paraId="5548DF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277C41F8">
            <w:pPr>
              <w:rPr>
                <w:rFonts w:ascii="Arial"/>
                <w:color w:val="auto"/>
                <w:sz w:val="21"/>
                <w:highlight w:val="none"/>
              </w:rPr>
            </w:pPr>
          </w:p>
        </w:tc>
        <w:tc>
          <w:tcPr>
            <w:tcW w:w="2784" w:type="dxa"/>
            <w:vAlign w:val="top"/>
          </w:tcPr>
          <w:p w14:paraId="1F44919B">
            <w:pPr>
              <w:rPr>
                <w:rFonts w:ascii="Arial"/>
                <w:color w:val="auto"/>
                <w:sz w:val="21"/>
                <w:highlight w:val="none"/>
              </w:rPr>
            </w:pPr>
          </w:p>
        </w:tc>
        <w:tc>
          <w:tcPr>
            <w:tcW w:w="1215" w:type="dxa"/>
            <w:vAlign w:val="top"/>
          </w:tcPr>
          <w:p w14:paraId="298E60B3">
            <w:pPr>
              <w:rPr>
                <w:rFonts w:ascii="Arial"/>
                <w:color w:val="auto"/>
                <w:sz w:val="21"/>
                <w:highlight w:val="none"/>
              </w:rPr>
            </w:pPr>
          </w:p>
        </w:tc>
        <w:tc>
          <w:tcPr>
            <w:tcW w:w="1696" w:type="dxa"/>
            <w:vAlign w:val="top"/>
          </w:tcPr>
          <w:p w14:paraId="3D5166F1">
            <w:pPr>
              <w:rPr>
                <w:rFonts w:ascii="Arial"/>
                <w:color w:val="auto"/>
                <w:sz w:val="21"/>
                <w:highlight w:val="none"/>
              </w:rPr>
            </w:pPr>
          </w:p>
        </w:tc>
        <w:tc>
          <w:tcPr>
            <w:tcW w:w="1950" w:type="dxa"/>
            <w:tcBorders>
              <w:right w:val="single" w:color="000000" w:sz="6" w:space="0"/>
            </w:tcBorders>
            <w:vAlign w:val="top"/>
          </w:tcPr>
          <w:p w14:paraId="314AC4B1">
            <w:pPr>
              <w:rPr>
                <w:rFonts w:ascii="Arial"/>
                <w:color w:val="auto"/>
                <w:sz w:val="21"/>
                <w:highlight w:val="none"/>
              </w:rPr>
            </w:pPr>
          </w:p>
        </w:tc>
      </w:tr>
      <w:tr w14:paraId="0C5F5D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4525BCB2">
            <w:pPr>
              <w:rPr>
                <w:rFonts w:ascii="Arial"/>
                <w:color w:val="auto"/>
                <w:sz w:val="21"/>
                <w:highlight w:val="none"/>
              </w:rPr>
            </w:pPr>
          </w:p>
        </w:tc>
        <w:tc>
          <w:tcPr>
            <w:tcW w:w="2784" w:type="dxa"/>
            <w:vAlign w:val="top"/>
          </w:tcPr>
          <w:p w14:paraId="1268A6D1">
            <w:pPr>
              <w:rPr>
                <w:rFonts w:ascii="Arial"/>
                <w:color w:val="auto"/>
                <w:sz w:val="21"/>
                <w:highlight w:val="none"/>
              </w:rPr>
            </w:pPr>
          </w:p>
        </w:tc>
        <w:tc>
          <w:tcPr>
            <w:tcW w:w="1215" w:type="dxa"/>
            <w:vAlign w:val="top"/>
          </w:tcPr>
          <w:p w14:paraId="313F8F8B">
            <w:pPr>
              <w:rPr>
                <w:rFonts w:ascii="Arial"/>
                <w:color w:val="auto"/>
                <w:sz w:val="21"/>
                <w:highlight w:val="none"/>
              </w:rPr>
            </w:pPr>
          </w:p>
        </w:tc>
        <w:tc>
          <w:tcPr>
            <w:tcW w:w="1696" w:type="dxa"/>
            <w:vAlign w:val="top"/>
          </w:tcPr>
          <w:p w14:paraId="1AE74571">
            <w:pPr>
              <w:rPr>
                <w:rFonts w:ascii="Arial"/>
                <w:color w:val="auto"/>
                <w:sz w:val="21"/>
                <w:highlight w:val="none"/>
              </w:rPr>
            </w:pPr>
          </w:p>
        </w:tc>
        <w:tc>
          <w:tcPr>
            <w:tcW w:w="1950" w:type="dxa"/>
            <w:tcBorders>
              <w:right w:val="single" w:color="000000" w:sz="6" w:space="0"/>
            </w:tcBorders>
            <w:vAlign w:val="top"/>
          </w:tcPr>
          <w:p w14:paraId="12CA1912">
            <w:pPr>
              <w:rPr>
                <w:rFonts w:ascii="Arial"/>
                <w:color w:val="auto"/>
                <w:sz w:val="21"/>
                <w:highlight w:val="none"/>
              </w:rPr>
            </w:pPr>
          </w:p>
        </w:tc>
      </w:tr>
      <w:tr w14:paraId="12281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top"/>
          </w:tcPr>
          <w:p w14:paraId="2D5DD34E">
            <w:pPr>
              <w:rPr>
                <w:rFonts w:ascii="Arial"/>
                <w:color w:val="auto"/>
                <w:sz w:val="21"/>
                <w:highlight w:val="none"/>
              </w:rPr>
            </w:pPr>
          </w:p>
        </w:tc>
        <w:tc>
          <w:tcPr>
            <w:tcW w:w="2784" w:type="dxa"/>
            <w:vAlign w:val="top"/>
          </w:tcPr>
          <w:p w14:paraId="24DEDF9E">
            <w:pPr>
              <w:rPr>
                <w:rFonts w:ascii="Arial"/>
                <w:color w:val="auto"/>
                <w:sz w:val="21"/>
                <w:highlight w:val="none"/>
              </w:rPr>
            </w:pPr>
          </w:p>
        </w:tc>
        <w:tc>
          <w:tcPr>
            <w:tcW w:w="1215" w:type="dxa"/>
            <w:vAlign w:val="top"/>
          </w:tcPr>
          <w:p w14:paraId="718A9E25">
            <w:pPr>
              <w:rPr>
                <w:rFonts w:ascii="Arial"/>
                <w:color w:val="auto"/>
                <w:sz w:val="21"/>
                <w:highlight w:val="none"/>
              </w:rPr>
            </w:pPr>
          </w:p>
        </w:tc>
        <w:tc>
          <w:tcPr>
            <w:tcW w:w="1696" w:type="dxa"/>
            <w:vAlign w:val="top"/>
          </w:tcPr>
          <w:p w14:paraId="690E844F">
            <w:pPr>
              <w:rPr>
                <w:rFonts w:ascii="Arial"/>
                <w:color w:val="auto"/>
                <w:sz w:val="21"/>
                <w:highlight w:val="none"/>
              </w:rPr>
            </w:pPr>
          </w:p>
        </w:tc>
        <w:tc>
          <w:tcPr>
            <w:tcW w:w="1950" w:type="dxa"/>
            <w:tcBorders>
              <w:right w:val="single" w:color="000000" w:sz="6" w:space="0"/>
            </w:tcBorders>
            <w:vAlign w:val="top"/>
          </w:tcPr>
          <w:p w14:paraId="7259D464">
            <w:pPr>
              <w:rPr>
                <w:rFonts w:ascii="Arial"/>
                <w:color w:val="auto"/>
                <w:sz w:val="21"/>
                <w:highlight w:val="none"/>
              </w:rPr>
            </w:pPr>
          </w:p>
        </w:tc>
      </w:tr>
      <w:tr w14:paraId="004C78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0EC91C96">
            <w:pPr>
              <w:rPr>
                <w:rFonts w:ascii="Arial"/>
                <w:color w:val="auto"/>
                <w:sz w:val="21"/>
                <w:highlight w:val="none"/>
              </w:rPr>
            </w:pPr>
          </w:p>
        </w:tc>
        <w:tc>
          <w:tcPr>
            <w:tcW w:w="2784" w:type="dxa"/>
            <w:vAlign w:val="top"/>
          </w:tcPr>
          <w:p w14:paraId="638EF946">
            <w:pPr>
              <w:rPr>
                <w:rFonts w:ascii="Arial"/>
                <w:color w:val="auto"/>
                <w:sz w:val="21"/>
                <w:highlight w:val="none"/>
              </w:rPr>
            </w:pPr>
          </w:p>
        </w:tc>
        <w:tc>
          <w:tcPr>
            <w:tcW w:w="1215" w:type="dxa"/>
            <w:vAlign w:val="top"/>
          </w:tcPr>
          <w:p w14:paraId="5EEFA1E8">
            <w:pPr>
              <w:rPr>
                <w:rFonts w:ascii="Arial"/>
                <w:color w:val="auto"/>
                <w:sz w:val="21"/>
                <w:highlight w:val="none"/>
              </w:rPr>
            </w:pPr>
          </w:p>
        </w:tc>
        <w:tc>
          <w:tcPr>
            <w:tcW w:w="1696" w:type="dxa"/>
            <w:vAlign w:val="top"/>
          </w:tcPr>
          <w:p w14:paraId="30D0DE2C">
            <w:pPr>
              <w:rPr>
                <w:rFonts w:ascii="Arial"/>
                <w:color w:val="auto"/>
                <w:sz w:val="21"/>
                <w:highlight w:val="none"/>
              </w:rPr>
            </w:pPr>
          </w:p>
        </w:tc>
        <w:tc>
          <w:tcPr>
            <w:tcW w:w="1950" w:type="dxa"/>
            <w:tcBorders>
              <w:right w:val="single" w:color="000000" w:sz="6" w:space="0"/>
            </w:tcBorders>
            <w:vAlign w:val="top"/>
          </w:tcPr>
          <w:p w14:paraId="13F31783">
            <w:pPr>
              <w:rPr>
                <w:rFonts w:ascii="Arial"/>
                <w:color w:val="auto"/>
                <w:sz w:val="21"/>
                <w:highlight w:val="none"/>
              </w:rPr>
            </w:pPr>
          </w:p>
        </w:tc>
      </w:tr>
      <w:tr w14:paraId="6220EDF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363" w:type="dxa"/>
            <w:tcBorders>
              <w:left w:val="single" w:color="000000" w:sz="6" w:space="0"/>
              <w:bottom w:val="single" w:color="000000" w:sz="6" w:space="0"/>
            </w:tcBorders>
            <w:vAlign w:val="top"/>
          </w:tcPr>
          <w:p w14:paraId="6C2B17B3">
            <w:pPr>
              <w:rPr>
                <w:rFonts w:ascii="Arial"/>
                <w:color w:val="auto"/>
                <w:sz w:val="21"/>
                <w:highlight w:val="none"/>
              </w:rPr>
            </w:pPr>
          </w:p>
        </w:tc>
        <w:tc>
          <w:tcPr>
            <w:tcW w:w="2784" w:type="dxa"/>
            <w:tcBorders>
              <w:bottom w:val="single" w:color="000000" w:sz="6" w:space="0"/>
            </w:tcBorders>
            <w:vAlign w:val="top"/>
          </w:tcPr>
          <w:p w14:paraId="32667B49">
            <w:pPr>
              <w:pStyle w:val="33"/>
              <w:spacing w:before="230" w:line="222" w:lineRule="auto"/>
              <w:ind w:left="1079"/>
              <w:rPr>
                <w:color w:val="auto"/>
                <w:sz w:val="21"/>
                <w:szCs w:val="21"/>
                <w:highlight w:val="none"/>
              </w:rPr>
            </w:pPr>
            <w:r>
              <w:rPr>
                <w:b/>
                <w:bCs/>
                <w:color w:val="auto"/>
                <w:spacing w:val="-7"/>
                <w:sz w:val="21"/>
                <w:szCs w:val="21"/>
                <w:highlight w:val="none"/>
              </w:rPr>
              <w:t>合</w:t>
            </w:r>
            <w:r>
              <w:rPr>
                <w:color w:val="auto"/>
                <w:spacing w:val="5"/>
                <w:sz w:val="21"/>
                <w:szCs w:val="21"/>
                <w:highlight w:val="none"/>
              </w:rPr>
              <w:t xml:space="preserve">  </w:t>
            </w:r>
            <w:r>
              <w:rPr>
                <w:b/>
                <w:bCs/>
                <w:color w:val="auto"/>
                <w:spacing w:val="-7"/>
                <w:sz w:val="21"/>
                <w:szCs w:val="21"/>
                <w:highlight w:val="none"/>
              </w:rPr>
              <w:t>计</w:t>
            </w:r>
          </w:p>
        </w:tc>
        <w:tc>
          <w:tcPr>
            <w:tcW w:w="1215" w:type="dxa"/>
            <w:tcBorders>
              <w:bottom w:val="single" w:color="000000" w:sz="6" w:space="0"/>
            </w:tcBorders>
            <w:vAlign w:val="top"/>
          </w:tcPr>
          <w:p w14:paraId="49B94C2F">
            <w:pPr>
              <w:rPr>
                <w:rFonts w:ascii="Arial"/>
                <w:color w:val="auto"/>
                <w:sz w:val="21"/>
                <w:highlight w:val="none"/>
              </w:rPr>
            </w:pPr>
          </w:p>
        </w:tc>
        <w:tc>
          <w:tcPr>
            <w:tcW w:w="1696" w:type="dxa"/>
            <w:tcBorders>
              <w:bottom w:val="single" w:color="000000" w:sz="6" w:space="0"/>
            </w:tcBorders>
            <w:vAlign w:val="top"/>
          </w:tcPr>
          <w:p w14:paraId="51A60B2B">
            <w:pPr>
              <w:rPr>
                <w:rFonts w:ascii="Arial"/>
                <w:color w:val="auto"/>
                <w:sz w:val="21"/>
                <w:highlight w:val="none"/>
              </w:rPr>
            </w:pPr>
          </w:p>
        </w:tc>
        <w:tc>
          <w:tcPr>
            <w:tcW w:w="1950" w:type="dxa"/>
            <w:tcBorders>
              <w:bottom w:val="single" w:color="000000" w:sz="6" w:space="0"/>
              <w:right w:val="single" w:color="000000" w:sz="6" w:space="0"/>
            </w:tcBorders>
            <w:vAlign w:val="top"/>
          </w:tcPr>
          <w:p w14:paraId="2120BB32">
            <w:pPr>
              <w:rPr>
                <w:rFonts w:ascii="Arial"/>
                <w:color w:val="auto"/>
                <w:sz w:val="21"/>
                <w:highlight w:val="none"/>
              </w:rPr>
            </w:pPr>
          </w:p>
        </w:tc>
      </w:tr>
    </w:tbl>
    <w:p w14:paraId="783EF7A5">
      <w:pPr>
        <w:pStyle w:val="3"/>
        <w:rPr>
          <w:color w:val="auto"/>
          <w:highlight w:val="none"/>
        </w:rPr>
      </w:pPr>
    </w:p>
    <w:p w14:paraId="0FBC5090">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3678EC2D">
      <w:pPr>
        <w:spacing w:before="47" w:line="220" w:lineRule="auto"/>
        <w:ind w:left="3441"/>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零星工作项目清单</w:t>
      </w:r>
    </w:p>
    <w:p w14:paraId="7FAB9B0E">
      <w:pPr>
        <w:spacing w:before="175" w:line="221" w:lineRule="auto"/>
        <w:ind w:left="13"/>
        <w:rPr>
          <w:rFonts w:ascii="宋体" w:hAnsi="宋体" w:eastAsia="宋体" w:cs="宋体"/>
          <w:color w:val="auto"/>
          <w:sz w:val="21"/>
          <w:szCs w:val="21"/>
          <w:highlight w:val="none"/>
        </w:rPr>
      </w:pPr>
      <w:r>
        <w:rPr>
          <w:rFonts w:ascii="宋体" w:hAnsi="宋体" w:eastAsia="宋体" w:cs="宋体"/>
          <w:color w:val="auto"/>
          <w:sz w:val="21"/>
          <w:szCs w:val="21"/>
          <w:highlight w:val="none"/>
        </w:rPr>
        <w:t>项目及标段名称：</w:t>
      </w:r>
      <w:r>
        <w:rPr>
          <w:rFonts w:ascii="宋体" w:hAnsi="宋体" w:eastAsia="宋体" w:cs="宋体"/>
          <w:color w:val="auto"/>
          <w:sz w:val="21"/>
          <w:szCs w:val="21"/>
          <w:highlight w:val="none"/>
          <w:u w:val="single" w:color="auto"/>
        </w:rPr>
        <w:t xml:space="preserve">                                </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页共</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w:t>
      </w:r>
    </w:p>
    <w:p w14:paraId="5106ADA7">
      <w:pPr>
        <w:spacing w:line="127" w:lineRule="exact"/>
        <w:rPr>
          <w:color w:val="auto"/>
          <w:highlight w:val="none"/>
        </w:rPr>
      </w:pPr>
    </w:p>
    <w:tbl>
      <w:tblPr>
        <w:tblStyle w:val="32"/>
        <w:tblW w:w="9009"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4"/>
        <w:gridCol w:w="2125"/>
        <w:gridCol w:w="2128"/>
        <w:gridCol w:w="1327"/>
        <w:gridCol w:w="1596"/>
        <w:gridCol w:w="1009"/>
      </w:tblGrid>
      <w:tr w14:paraId="70E29B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824" w:type="dxa"/>
            <w:tcBorders>
              <w:top w:val="single" w:color="000000" w:sz="6" w:space="0"/>
              <w:left w:val="single" w:color="000000" w:sz="6" w:space="0"/>
            </w:tcBorders>
            <w:vAlign w:val="top"/>
          </w:tcPr>
          <w:p w14:paraId="677B4B34">
            <w:pPr>
              <w:pStyle w:val="33"/>
              <w:spacing w:before="221" w:line="222" w:lineRule="auto"/>
              <w:ind w:left="198"/>
              <w:rPr>
                <w:color w:val="auto"/>
                <w:sz w:val="21"/>
                <w:szCs w:val="21"/>
                <w:highlight w:val="none"/>
              </w:rPr>
            </w:pPr>
            <w:r>
              <w:rPr>
                <w:color w:val="auto"/>
                <w:spacing w:val="-2"/>
                <w:sz w:val="21"/>
                <w:szCs w:val="21"/>
                <w:highlight w:val="none"/>
              </w:rPr>
              <w:t>序号</w:t>
            </w:r>
          </w:p>
        </w:tc>
        <w:tc>
          <w:tcPr>
            <w:tcW w:w="2125" w:type="dxa"/>
            <w:tcBorders>
              <w:top w:val="single" w:color="000000" w:sz="6" w:space="0"/>
            </w:tcBorders>
            <w:vAlign w:val="top"/>
          </w:tcPr>
          <w:p w14:paraId="4992A1D6">
            <w:pPr>
              <w:pStyle w:val="33"/>
              <w:spacing w:before="220" w:line="223" w:lineRule="auto"/>
              <w:ind w:left="854"/>
              <w:rPr>
                <w:color w:val="auto"/>
                <w:sz w:val="21"/>
                <w:szCs w:val="21"/>
                <w:highlight w:val="none"/>
              </w:rPr>
            </w:pPr>
            <w:r>
              <w:rPr>
                <w:color w:val="auto"/>
                <w:spacing w:val="-3"/>
                <w:sz w:val="21"/>
                <w:szCs w:val="21"/>
                <w:highlight w:val="none"/>
              </w:rPr>
              <w:t>名称</w:t>
            </w:r>
          </w:p>
        </w:tc>
        <w:tc>
          <w:tcPr>
            <w:tcW w:w="2128" w:type="dxa"/>
            <w:tcBorders>
              <w:top w:val="single" w:color="000000" w:sz="6" w:space="0"/>
            </w:tcBorders>
            <w:vAlign w:val="top"/>
          </w:tcPr>
          <w:p w14:paraId="2F83C4ED">
            <w:pPr>
              <w:pStyle w:val="33"/>
              <w:spacing w:before="220" w:line="221" w:lineRule="auto"/>
              <w:ind w:left="653"/>
              <w:rPr>
                <w:color w:val="auto"/>
                <w:sz w:val="21"/>
                <w:szCs w:val="21"/>
                <w:highlight w:val="none"/>
              </w:rPr>
            </w:pPr>
            <w:r>
              <w:rPr>
                <w:color w:val="auto"/>
                <w:spacing w:val="-3"/>
                <w:sz w:val="21"/>
                <w:szCs w:val="21"/>
                <w:highlight w:val="none"/>
              </w:rPr>
              <w:t>型号规格</w:t>
            </w:r>
          </w:p>
        </w:tc>
        <w:tc>
          <w:tcPr>
            <w:tcW w:w="1327" w:type="dxa"/>
            <w:tcBorders>
              <w:top w:val="single" w:color="000000" w:sz="6" w:space="0"/>
            </w:tcBorders>
            <w:vAlign w:val="top"/>
          </w:tcPr>
          <w:p w14:paraId="4BDF8D0C">
            <w:pPr>
              <w:pStyle w:val="33"/>
              <w:spacing w:before="221" w:line="221" w:lineRule="auto"/>
              <w:ind w:left="249"/>
              <w:rPr>
                <w:color w:val="auto"/>
                <w:sz w:val="21"/>
                <w:szCs w:val="21"/>
                <w:highlight w:val="none"/>
              </w:rPr>
            </w:pPr>
            <w:r>
              <w:rPr>
                <w:color w:val="auto"/>
                <w:spacing w:val="-2"/>
                <w:sz w:val="21"/>
                <w:szCs w:val="21"/>
                <w:highlight w:val="none"/>
              </w:rPr>
              <w:t>计量单位</w:t>
            </w:r>
          </w:p>
        </w:tc>
        <w:tc>
          <w:tcPr>
            <w:tcW w:w="1596" w:type="dxa"/>
            <w:tcBorders>
              <w:top w:val="single" w:color="000000" w:sz="6" w:space="0"/>
            </w:tcBorders>
            <w:vAlign w:val="top"/>
          </w:tcPr>
          <w:p w14:paraId="465B8540">
            <w:pPr>
              <w:pStyle w:val="33"/>
              <w:spacing w:before="221" w:line="219" w:lineRule="auto"/>
              <w:ind w:left="282"/>
              <w:rPr>
                <w:color w:val="auto"/>
                <w:sz w:val="21"/>
                <w:szCs w:val="21"/>
                <w:highlight w:val="none"/>
              </w:rPr>
            </w:pPr>
            <w:r>
              <w:rPr>
                <w:color w:val="auto"/>
                <w:spacing w:val="-5"/>
                <w:sz w:val="21"/>
                <w:szCs w:val="21"/>
                <w:highlight w:val="none"/>
              </w:rPr>
              <w:t>单价（元）</w:t>
            </w:r>
          </w:p>
        </w:tc>
        <w:tc>
          <w:tcPr>
            <w:tcW w:w="1009" w:type="dxa"/>
            <w:tcBorders>
              <w:top w:val="single" w:color="000000" w:sz="6" w:space="0"/>
              <w:right w:val="single" w:color="000000" w:sz="6" w:space="0"/>
            </w:tcBorders>
            <w:vAlign w:val="top"/>
          </w:tcPr>
          <w:p w14:paraId="330DAFAF">
            <w:pPr>
              <w:pStyle w:val="33"/>
              <w:spacing w:before="221" w:line="222" w:lineRule="auto"/>
              <w:ind w:left="302"/>
              <w:rPr>
                <w:color w:val="auto"/>
                <w:sz w:val="21"/>
                <w:szCs w:val="21"/>
                <w:highlight w:val="none"/>
              </w:rPr>
            </w:pPr>
            <w:r>
              <w:rPr>
                <w:color w:val="auto"/>
                <w:spacing w:val="-3"/>
                <w:sz w:val="21"/>
                <w:szCs w:val="21"/>
                <w:highlight w:val="none"/>
              </w:rPr>
              <w:t>备注</w:t>
            </w:r>
          </w:p>
        </w:tc>
      </w:tr>
      <w:tr w14:paraId="02E617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3219CF3A">
            <w:pPr>
              <w:spacing w:before="256" w:line="187" w:lineRule="auto"/>
              <w:ind w:left="37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1</w:t>
            </w:r>
          </w:p>
        </w:tc>
        <w:tc>
          <w:tcPr>
            <w:tcW w:w="2125" w:type="dxa"/>
            <w:vAlign w:val="top"/>
          </w:tcPr>
          <w:p w14:paraId="186D165A">
            <w:pPr>
              <w:pStyle w:val="33"/>
              <w:spacing w:before="217" w:line="223" w:lineRule="auto"/>
              <w:ind w:left="107"/>
              <w:rPr>
                <w:color w:val="auto"/>
                <w:sz w:val="21"/>
                <w:szCs w:val="21"/>
                <w:highlight w:val="none"/>
              </w:rPr>
            </w:pPr>
            <w:r>
              <w:rPr>
                <w:color w:val="auto"/>
                <w:spacing w:val="-2"/>
                <w:sz w:val="21"/>
                <w:szCs w:val="21"/>
                <w:highlight w:val="none"/>
              </w:rPr>
              <w:t>人工</w:t>
            </w:r>
          </w:p>
        </w:tc>
        <w:tc>
          <w:tcPr>
            <w:tcW w:w="2128" w:type="dxa"/>
            <w:vAlign w:val="top"/>
          </w:tcPr>
          <w:p w14:paraId="0FAEEC7D">
            <w:pPr>
              <w:rPr>
                <w:rFonts w:ascii="Arial"/>
                <w:color w:val="auto"/>
                <w:sz w:val="21"/>
                <w:highlight w:val="none"/>
              </w:rPr>
            </w:pPr>
          </w:p>
        </w:tc>
        <w:tc>
          <w:tcPr>
            <w:tcW w:w="1327" w:type="dxa"/>
            <w:vAlign w:val="top"/>
          </w:tcPr>
          <w:p w14:paraId="6411751F">
            <w:pPr>
              <w:rPr>
                <w:rFonts w:ascii="Arial"/>
                <w:color w:val="auto"/>
                <w:sz w:val="21"/>
                <w:highlight w:val="none"/>
              </w:rPr>
            </w:pPr>
          </w:p>
        </w:tc>
        <w:tc>
          <w:tcPr>
            <w:tcW w:w="1596" w:type="dxa"/>
            <w:vAlign w:val="top"/>
          </w:tcPr>
          <w:p w14:paraId="421FE04F">
            <w:pPr>
              <w:rPr>
                <w:rFonts w:ascii="Arial"/>
                <w:color w:val="auto"/>
                <w:sz w:val="21"/>
                <w:highlight w:val="none"/>
              </w:rPr>
            </w:pPr>
          </w:p>
        </w:tc>
        <w:tc>
          <w:tcPr>
            <w:tcW w:w="1009" w:type="dxa"/>
            <w:tcBorders>
              <w:right w:val="single" w:color="000000" w:sz="6" w:space="0"/>
            </w:tcBorders>
            <w:vAlign w:val="top"/>
          </w:tcPr>
          <w:p w14:paraId="05A492BF">
            <w:pPr>
              <w:rPr>
                <w:rFonts w:ascii="Arial"/>
                <w:color w:val="auto"/>
                <w:sz w:val="21"/>
                <w:highlight w:val="none"/>
              </w:rPr>
            </w:pPr>
          </w:p>
        </w:tc>
      </w:tr>
      <w:tr w14:paraId="4BC017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4F19B09A">
            <w:pPr>
              <w:rPr>
                <w:rFonts w:ascii="Arial"/>
                <w:color w:val="auto"/>
                <w:sz w:val="21"/>
                <w:highlight w:val="none"/>
              </w:rPr>
            </w:pPr>
          </w:p>
        </w:tc>
        <w:tc>
          <w:tcPr>
            <w:tcW w:w="2125" w:type="dxa"/>
            <w:vAlign w:val="top"/>
          </w:tcPr>
          <w:p w14:paraId="1CCB262A">
            <w:pPr>
              <w:rPr>
                <w:rFonts w:ascii="Arial"/>
                <w:color w:val="auto"/>
                <w:sz w:val="21"/>
                <w:highlight w:val="none"/>
              </w:rPr>
            </w:pPr>
          </w:p>
        </w:tc>
        <w:tc>
          <w:tcPr>
            <w:tcW w:w="2128" w:type="dxa"/>
            <w:vAlign w:val="top"/>
          </w:tcPr>
          <w:p w14:paraId="3A220DA6">
            <w:pPr>
              <w:rPr>
                <w:rFonts w:ascii="Arial"/>
                <w:color w:val="auto"/>
                <w:sz w:val="21"/>
                <w:highlight w:val="none"/>
              </w:rPr>
            </w:pPr>
          </w:p>
        </w:tc>
        <w:tc>
          <w:tcPr>
            <w:tcW w:w="1327" w:type="dxa"/>
            <w:vAlign w:val="top"/>
          </w:tcPr>
          <w:p w14:paraId="627B734B">
            <w:pPr>
              <w:rPr>
                <w:rFonts w:ascii="Arial"/>
                <w:color w:val="auto"/>
                <w:sz w:val="21"/>
                <w:highlight w:val="none"/>
              </w:rPr>
            </w:pPr>
          </w:p>
        </w:tc>
        <w:tc>
          <w:tcPr>
            <w:tcW w:w="1596" w:type="dxa"/>
            <w:vAlign w:val="top"/>
          </w:tcPr>
          <w:p w14:paraId="453791F1">
            <w:pPr>
              <w:rPr>
                <w:rFonts w:ascii="Arial"/>
                <w:color w:val="auto"/>
                <w:sz w:val="21"/>
                <w:highlight w:val="none"/>
              </w:rPr>
            </w:pPr>
          </w:p>
        </w:tc>
        <w:tc>
          <w:tcPr>
            <w:tcW w:w="1009" w:type="dxa"/>
            <w:tcBorders>
              <w:right w:val="single" w:color="000000" w:sz="6" w:space="0"/>
            </w:tcBorders>
            <w:vAlign w:val="top"/>
          </w:tcPr>
          <w:p w14:paraId="162C3BDF">
            <w:pPr>
              <w:rPr>
                <w:rFonts w:ascii="Arial"/>
                <w:color w:val="auto"/>
                <w:sz w:val="21"/>
                <w:highlight w:val="none"/>
              </w:rPr>
            </w:pPr>
          </w:p>
        </w:tc>
      </w:tr>
      <w:tr w14:paraId="6394DC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05D48DC7">
            <w:pPr>
              <w:rPr>
                <w:rFonts w:ascii="Arial"/>
                <w:color w:val="auto"/>
                <w:sz w:val="21"/>
                <w:highlight w:val="none"/>
              </w:rPr>
            </w:pPr>
          </w:p>
        </w:tc>
        <w:tc>
          <w:tcPr>
            <w:tcW w:w="2125" w:type="dxa"/>
            <w:vAlign w:val="top"/>
          </w:tcPr>
          <w:p w14:paraId="474FD4A2">
            <w:pPr>
              <w:rPr>
                <w:rFonts w:ascii="Arial"/>
                <w:color w:val="auto"/>
                <w:sz w:val="21"/>
                <w:highlight w:val="none"/>
              </w:rPr>
            </w:pPr>
          </w:p>
        </w:tc>
        <w:tc>
          <w:tcPr>
            <w:tcW w:w="2128" w:type="dxa"/>
            <w:vAlign w:val="top"/>
          </w:tcPr>
          <w:p w14:paraId="10AD3380">
            <w:pPr>
              <w:rPr>
                <w:rFonts w:ascii="Arial"/>
                <w:color w:val="auto"/>
                <w:sz w:val="21"/>
                <w:highlight w:val="none"/>
              </w:rPr>
            </w:pPr>
          </w:p>
        </w:tc>
        <w:tc>
          <w:tcPr>
            <w:tcW w:w="1327" w:type="dxa"/>
            <w:vAlign w:val="top"/>
          </w:tcPr>
          <w:p w14:paraId="1E95E14A">
            <w:pPr>
              <w:rPr>
                <w:rFonts w:ascii="Arial"/>
                <w:color w:val="auto"/>
                <w:sz w:val="21"/>
                <w:highlight w:val="none"/>
              </w:rPr>
            </w:pPr>
          </w:p>
        </w:tc>
        <w:tc>
          <w:tcPr>
            <w:tcW w:w="1596" w:type="dxa"/>
            <w:vAlign w:val="top"/>
          </w:tcPr>
          <w:p w14:paraId="13FCA0B9">
            <w:pPr>
              <w:rPr>
                <w:rFonts w:ascii="Arial"/>
                <w:color w:val="auto"/>
                <w:sz w:val="21"/>
                <w:highlight w:val="none"/>
              </w:rPr>
            </w:pPr>
          </w:p>
        </w:tc>
        <w:tc>
          <w:tcPr>
            <w:tcW w:w="1009" w:type="dxa"/>
            <w:tcBorders>
              <w:right w:val="single" w:color="000000" w:sz="6" w:space="0"/>
            </w:tcBorders>
            <w:vAlign w:val="top"/>
          </w:tcPr>
          <w:p w14:paraId="1FCF04B8">
            <w:pPr>
              <w:rPr>
                <w:rFonts w:ascii="Arial"/>
                <w:color w:val="auto"/>
                <w:sz w:val="21"/>
                <w:highlight w:val="none"/>
              </w:rPr>
            </w:pPr>
          </w:p>
        </w:tc>
      </w:tr>
      <w:tr w14:paraId="1443BFA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4" w:type="dxa"/>
            <w:tcBorders>
              <w:left w:val="single" w:color="000000" w:sz="6" w:space="0"/>
            </w:tcBorders>
            <w:vAlign w:val="top"/>
          </w:tcPr>
          <w:p w14:paraId="753EC4A4">
            <w:pPr>
              <w:rPr>
                <w:rFonts w:ascii="Arial"/>
                <w:color w:val="auto"/>
                <w:sz w:val="21"/>
                <w:highlight w:val="none"/>
              </w:rPr>
            </w:pPr>
          </w:p>
        </w:tc>
        <w:tc>
          <w:tcPr>
            <w:tcW w:w="2125" w:type="dxa"/>
            <w:vAlign w:val="top"/>
          </w:tcPr>
          <w:p w14:paraId="1386B031">
            <w:pPr>
              <w:rPr>
                <w:rFonts w:ascii="Arial"/>
                <w:color w:val="auto"/>
                <w:sz w:val="21"/>
                <w:highlight w:val="none"/>
              </w:rPr>
            </w:pPr>
          </w:p>
        </w:tc>
        <w:tc>
          <w:tcPr>
            <w:tcW w:w="2128" w:type="dxa"/>
            <w:vAlign w:val="top"/>
          </w:tcPr>
          <w:p w14:paraId="2F8A3AE8">
            <w:pPr>
              <w:rPr>
                <w:rFonts w:ascii="Arial"/>
                <w:color w:val="auto"/>
                <w:sz w:val="21"/>
                <w:highlight w:val="none"/>
              </w:rPr>
            </w:pPr>
          </w:p>
        </w:tc>
        <w:tc>
          <w:tcPr>
            <w:tcW w:w="1327" w:type="dxa"/>
            <w:vAlign w:val="top"/>
          </w:tcPr>
          <w:p w14:paraId="41BE72C6">
            <w:pPr>
              <w:rPr>
                <w:rFonts w:ascii="Arial"/>
                <w:color w:val="auto"/>
                <w:sz w:val="21"/>
                <w:highlight w:val="none"/>
              </w:rPr>
            </w:pPr>
          </w:p>
        </w:tc>
        <w:tc>
          <w:tcPr>
            <w:tcW w:w="1596" w:type="dxa"/>
            <w:vAlign w:val="top"/>
          </w:tcPr>
          <w:p w14:paraId="744199BD">
            <w:pPr>
              <w:rPr>
                <w:rFonts w:ascii="Arial"/>
                <w:color w:val="auto"/>
                <w:sz w:val="21"/>
                <w:highlight w:val="none"/>
              </w:rPr>
            </w:pPr>
          </w:p>
        </w:tc>
        <w:tc>
          <w:tcPr>
            <w:tcW w:w="1009" w:type="dxa"/>
            <w:tcBorders>
              <w:right w:val="single" w:color="000000" w:sz="6" w:space="0"/>
            </w:tcBorders>
            <w:vAlign w:val="top"/>
          </w:tcPr>
          <w:p w14:paraId="118B6A08">
            <w:pPr>
              <w:rPr>
                <w:rFonts w:ascii="Arial"/>
                <w:color w:val="auto"/>
                <w:sz w:val="21"/>
                <w:highlight w:val="none"/>
              </w:rPr>
            </w:pPr>
          </w:p>
        </w:tc>
      </w:tr>
      <w:tr w14:paraId="2360F8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48AC247C">
            <w:pPr>
              <w:rPr>
                <w:rFonts w:ascii="Arial"/>
                <w:color w:val="auto"/>
                <w:sz w:val="21"/>
                <w:highlight w:val="none"/>
              </w:rPr>
            </w:pPr>
          </w:p>
        </w:tc>
        <w:tc>
          <w:tcPr>
            <w:tcW w:w="2125" w:type="dxa"/>
            <w:vAlign w:val="top"/>
          </w:tcPr>
          <w:p w14:paraId="2CB778A2">
            <w:pPr>
              <w:rPr>
                <w:rFonts w:ascii="Arial"/>
                <w:color w:val="auto"/>
                <w:sz w:val="21"/>
                <w:highlight w:val="none"/>
              </w:rPr>
            </w:pPr>
          </w:p>
        </w:tc>
        <w:tc>
          <w:tcPr>
            <w:tcW w:w="2128" w:type="dxa"/>
            <w:vAlign w:val="top"/>
          </w:tcPr>
          <w:p w14:paraId="1C711803">
            <w:pPr>
              <w:rPr>
                <w:rFonts w:ascii="Arial"/>
                <w:color w:val="auto"/>
                <w:sz w:val="21"/>
                <w:highlight w:val="none"/>
              </w:rPr>
            </w:pPr>
          </w:p>
        </w:tc>
        <w:tc>
          <w:tcPr>
            <w:tcW w:w="1327" w:type="dxa"/>
            <w:vAlign w:val="top"/>
          </w:tcPr>
          <w:p w14:paraId="02AD581A">
            <w:pPr>
              <w:rPr>
                <w:rFonts w:ascii="Arial"/>
                <w:color w:val="auto"/>
                <w:sz w:val="21"/>
                <w:highlight w:val="none"/>
              </w:rPr>
            </w:pPr>
          </w:p>
        </w:tc>
        <w:tc>
          <w:tcPr>
            <w:tcW w:w="1596" w:type="dxa"/>
            <w:vAlign w:val="top"/>
          </w:tcPr>
          <w:p w14:paraId="0ED508BF">
            <w:pPr>
              <w:rPr>
                <w:rFonts w:ascii="Arial"/>
                <w:color w:val="auto"/>
                <w:sz w:val="21"/>
                <w:highlight w:val="none"/>
              </w:rPr>
            </w:pPr>
          </w:p>
        </w:tc>
        <w:tc>
          <w:tcPr>
            <w:tcW w:w="1009" w:type="dxa"/>
            <w:tcBorders>
              <w:right w:val="single" w:color="000000" w:sz="6" w:space="0"/>
            </w:tcBorders>
            <w:vAlign w:val="top"/>
          </w:tcPr>
          <w:p w14:paraId="6AF304FE">
            <w:pPr>
              <w:rPr>
                <w:rFonts w:ascii="Arial"/>
                <w:color w:val="auto"/>
                <w:sz w:val="21"/>
                <w:highlight w:val="none"/>
              </w:rPr>
            </w:pPr>
          </w:p>
        </w:tc>
      </w:tr>
      <w:tr w14:paraId="60996C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36CFC117">
            <w:pPr>
              <w:spacing w:before="261" w:line="187" w:lineRule="auto"/>
              <w:ind w:left="354"/>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2</w:t>
            </w:r>
          </w:p>
        </w:tc>
        <w:tc>
          <w:tcPr>
            <w:tcW w:w="2125" w:type="dxa"/>
            <w:vAlign w:val="top"/>
          </w:tcPr>
          <w:p w14:paraId="1FE90CA5">
            <w:pPr>
              <w:pStyle w:val="33"/>
              <w:spacing w:before="222" w:line="220" w:lineRule="auto"/>
              <w:ind w:left="105"/>
              <w:rPr>
                <w:color w:val="auto"/>
                <w:sz w:val="21"/>
                <w:szCs w:val="21"/>
                <w:highlight w:val="none"/>
              </w:rPr>
            </w:pPr>
            <w:r>
              <w:rPr>
                <w:color w:val="auto"/>
                <w:spacing w:val="-2"/>
                <w:sz w:val="21"/>
                <w:szCs w:val="21"/>
                <w:highlight w:val="none"/>
              </w:rPr>
              <w:t>材料</w:t>
            </w:r>
          </w:p>
        </w:tc>
        <w:tc>
          <w:tcPr>
            <w:tcW w:w="2128" w:type="dxa"/>
            <w:vAlign w:val="top"/>
          </w:tcPr>
          <w:p w14:paraId="6E4304CD">
            <w:pPr>
              <w:rPr>
                <w:rFonts w:ascii="Arial"/>
                <w:color w:val="auto"/>
                <w:sz w:val="21"/>
                <w:highlight w:val="none"/>
              </w:rPr>
            </w:pPr>
          </w:p>
        </w:tc>
        <w:tc>
          <w:tcPr>
            <w:tcW w:w="1327" w:type="dxa"/>
            <w:vAlign w:val="top"/>
          </w:tcPr>
          <w:p w14:paraId="7710B244">
            <w:pPr>
              <w:rPr>
                <w:rFonts w:ascii="Arial"/>
                <w:color w:val="auto"/>
                <w:sz w:val="21"/>
                <w:highlight w:val="none"/>
              </w:rPr>
            </w:pPr>
          </w:p>
        </w:tc>
        <w:tc>
          <w:tcPr>
            <w:tcW w:w="1596" w:type="dxa"/>
            <w:vAlign w:val="top"/>
          </w:tcPr>
          <w:p w14:paraId="29011D07">
            <w:pPr>
              <w:rPr>
                <w:rFonts w:ascii="Arial"/>
                <w:color w:val="auto"/>
                <w:sz w:val="21"/>
                <w:highlight w:val="none"/>
              </w:rPr>
            </w:pPr>
          </w:p>
        </w:tc>
        <w:tc>
          <w:tcPr>
            <w:tcW w:w="1009" w:type="dxa"/>
            <w:tcBorders>
              <w:right w:val="single" w:color="000000" w:sz="6" w:space="0"/>
            </w:tcBorders>
            <w:vAlign w:val="top"/>
          </w:tcPr>
          <w:p w14:paraId="2CF507AE">
            <w:pPr>
              <w:rPr>
                <w:rFonts w:ascii="Arial"/>
                <w:color w:val="auto"/>
                <w:sz w:val="21"/>
                <w:highlight w:val="none"/>
              </w:rPr>
            </w:pPr>
          </w:p>
        </w:tc>
      </w:tr>
      <w:tr w14:paraId="448A91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734774C0">
            <w:pPr>
              <w:rPr>
                <w:rFonts w:ascii="Arial"/>
                <w:color w:val="auto"/>
                <w:sz w:val="21"/>
                <w:highlight w:val="none"/>
              </w:rPr>
            </w:pPr>
          </w:p>
        </w:tc>
        <w:tc>
          <w:tcPr>
            <w:tcW w:w="2125" w:type="dxa"/>
            <w:vAlign w:val="top"/>
          </w:tcPr>
          <w:p w14:paraId="747C1A04">
            <w:pPr>
              <w:rPr>
                <w:rFonts w:ascii="Arial"/>
                <w:color w:val="auto"/>
                <w:sz w:val="21"/>
                <w:highlight w:val="none"/>
              </w:rPr>
            </w:pPr>
          </w:p>
        </w:tc>
        <w:tc>
          <w:tcPr>
            <w:tcW w:w="2128" w:type="dxa"/>
            <w:vAlign w:val="top"/>
          </w:tcPr>
          <w:p w14:paraId="4A83F1EC">
            <w:pPr>
              <w:rPr>
                <w:rFonts w:ascii="Arial"/>
                <w:color w:val="auto"/>
                <w:sz w:val="21"/>
                <w:highlight w:val="none"/>
              </w:rPr>
            </w:pPr>
          </w:p>
        </w:tc>
        <w:tc>
          <w:tcPr>
            <w:tcW w:w="1327" w:type="dxa"/>
            <w:vAlign w:val="top"/>
          </w:tcPr>
          <w:p w14:paraId="7607C5B8">
            <w:pPr>
              <w:rPr>
                <w:rFonts w:ascii="Arial"/>
                <w:color w:val="auto"/>
                <w:sz w:val="21"/>
                <w:highlight w:val="none"/>
              </w:rPr>
            </w:pPr>
          </w:p>
        </w:tc>
        <w:tc>
          <w:tcPr>
            <w:tcW w:w="1596" w:type="dxa"/>
            <w:vAlign w:val="top"/>
          </w:tcPr>
          <w:p w14:paraId="6E9ED076">
            <w:pPr>
              <w:rPr>
                <w:rFonts w:ascii="Arial"/>
                <w:color w:val="auto"/>
                <w:sz w:val="21"/>
                <w:highlight w:val="none"/>
              </w:rPr>
            </w:pPr>
          </w:p>
        </w:tc>
        <w:tc>
          <w:tcPr>
            <w:tcW w:w="1009" w:type="dxa"/>
            <w:tcBorders>
              <w:right w:val="single" w:color="000000" w:sz="6" w:space="0"/>
            </w:tcBorders>
            <w:vAlign w:val="top"/>
          </w:tcPr>
          <w:p w14:paraId="7D93D564">
            <w:pPr>
              <w:rPr>
                <w:rFonts w:ascii="Arial"/>
                <w:color w:val="auto"/>
                <w:sz w:val="21"/>
                <w:highlight w:val="none"/>
              </w:rPr>
            </w:pPr>
          </w:p>
        </w:tc>
      </w:tr>
      <w:tr w14:paraId="140755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2565F158">
            <w:pPr>
              <w:rPr>
                <w:rFonts w:ascii="Arial"/>
                <w:color w:val="auto"/>
                <w:sz w:val="21"/>
                <w:highlight w:val="none"/>
              </w:rPr>
            </w:pPr>
          </w:p>
        </w:tc>
        <w:tc>
          <w:tcPr>
            <w:tcW w:w="2125" w:type="dxa"/>
            <w:vAlign w:val="top"/>
          </w:tcPr>
          <w:p w14:paraId="6E636B42">
            <w:pPr>
              <w:rPr>
                <w:rFonts w:ascii="Arial"/>
                <w:color w:val="auto"/>
                <w:sz w:val="21"/>
                <w:highlight w:val="none"/>
              </w:rPr>
            </w:pPr>
          </w:p>
        </w:tc>
        <w:tc>
          <w:tcPr>
            <w:tcW w:w="2128" w:type="dxa"/>
            <w:vAlign w:val="top"/>
          </w:tcPr>
          <w:p w14:paraId="096DEEDA">
            <w:pPr>
              <w:rPr>
                <w:rFonts w:ascii="Arial"/>
                <w:color w:val="auto"/>
                <w:sz w:val="21"/>
                <w:highlight w:val="none"/>
              </w:rPr>
            </w:pPr>
          </w:p>
        </w:tc>
        <w:tc>
          <w:tcPr>
            <w:tcW w:w="1327" w:type="dxa"/>
            <w:vAlign w:val="top"/>
          </w:tcPr>
          <w:p w14:paraId="6B623A96">
            <w:pPr>
              <w:rPr>
                <w:rFonts w:ascii="Arial"/>
                <w:color w:val="auto"/>
                <w:sz w:val="21"/>
                <w:highlight w:val="none"/>
              </w:rPr>
            </w:pPr>
          </w:p>
        </w:tc>
        <w:tc>
          <w:tcPr>
            <w:tcW w:w="1596" w:type="dxa"/>
            <w:vAlign w:val="top"/>
          </w:tcPr>
          <w:p w14:paraId="1B018AA6">
            <w:pPr>
              <w:rPr>
                <w:rFonts w:ascii="Arial"/>
                <w:color w:val="auto"/>
                <w:sz w:val="21"/>
                <w:highlight w:val="none"/>
              </w:rPr>
            </w:pPr>
          </w:p>
        </w:tc>
        <w:tc>
          <w:tcPr>
            <w:tcW w:w="1009" w:type="dxa"/>
            <w:tcBorders>
              <w:right w:val="single" w:color="000000" w:sz="6" w:space="0"/>
            </w:tcBorders>
            <w:vAlign w:val="top"/>
          </w:tcPr>
          <w:p w14:paraId="0122D23F">
            <w:pPr>
              <w:rPr>
                <w:rFonts w:ascii="Arial"/>
                <w:color w:val="auto"/>
                <w:sz w:val="21"/>
                <w:highlight w:val="none"/>
              </w:rPr>
            </w:pPr>
          </w:p>
        </w:tc>
      </w:tr>
      <w:tr w14:paraId="051406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7BA32C0D">
            <w:pPr>
              <w:rPr>
                <w:rFonts w:ascii="Arial"/>
                <w:color w:val="auto"/>
                <w:sz w:val="21"/>
                <w:highlight w:val="none"/>
              </w:rPr>
            </w:pPr>
          </w:p>
        </w:tc>
        <w:tc>
          <w:tcPr>
            <w:tcW w:w="2125" w:type="dxa"/>
            <w:vAlign w:val="top"/>
          </w:tcPr>
          <w:p w14:paraId="0E281865">
            <w:pPr>
              <w:rPr>
                <w:rFonts w:ascii="Arial"/>
                <w:color w:val="auto"/>
                <w:sz w:val="21"/>
                <w:highlight w:val="none"/>
              </w:rPr>
            </w:pPr>
          </w:p>
        </w:tc>
        <w:tc>
          <w:tcPr>
            <w:tcW w:w="2128" w:type="dxa"/>
            <w:vAlign w:val="top"/>
          </w:tcPr>
          <w:p w14:paraId="55056C40">
            <w:pPr>
              <w:rPr>
                <w:rFonts w:ascii="Arial"/>
                <w:color w:val="auto"/>
                <w:sz w:val="21"/>
                <w:highlight w:val="none"/>
              </w:rPr>
            </w:pPr>
          </w:p>
        </w:tc>
        <w:tc>
          <w:tcPr>
            <w:tcW w:w="1327" w:type="dxa"/>
            <w:vAlign w:val="top"/>
          </w:tcPr>
          <w:p w14:paraId="7491E2DB">
            <w:pPr>
              <w:rPr>
                <w:rFonts w:ascii="Arial"/>
                <w:color w:val="auto"/>
                <w:sz w:val="21"/>
                <w:highlight w:val="none"/>
              </w:rPr>
            </w:pPr>
          </w:p>
        </w:tc>
        <w:tc>
          <w:tcPr>
            <w:tcW w:w="1596" w:type="dxa"/>
            <w:vAlign w:val="top"/>
          </w:tcPr>
          <w:p w14:paraId="733C61B7">
            <w:pPr>
              <w:rPr>
                <w:rFonts w:ascii="Arial"/>
                <w:color w:val="auto"/>
                <w:sz w:val="21"/>
                <w:highlight w:val="none"/>
              </w:rPr>
            </w:pPr>
          </w:p>
        </w:tc>
        <w:tc>
          <w:tcPr>
            <w:tcW w:w="1009" w:type="dxa"/>
            <w:tcBorders>
              <w:right w:val="single" w:color="000000" w:sz="6" w:space="0"/>
            </w:tcBorders>
            <w:vAlign w:val="top"/>
          </w:tcPr>
          <w:p w14:paraId="3A1D9D02">
            <w:pPr>
              <w:rPr>
                <w:rFonts w:ascii="Arial"/>
                <w:color w:val="auto"/>
                <w:sz w:val="21"/>
                <w:highlight w:val="none"/>
              </w:rPr>
            </w:pPr>
          </w:p>
        </w:tc>
      </w:tr>
      <w:tr w14:paraId="1CB68B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4" w:type="dxa"/>
            <w:tcBorders>
              <w:left w:val="single" w:color="000000" w:sz="6" w:space="0"/>
            </w:tcBorders>
            <w:vAlign w:val="top"/>
          </w:tcPr>
          <w:p w14:paraId="0113FE54">
            <w:pPr>
              <w:rPr>
                <w:rFonts w:ascii="Arial"/>
                <w:color w:val="auto"/>
                <w:sz w:val="21"/>
                <w:highlight w:val="none"/>
              </w:rPr>
            </w:pPr>
          </w:p>
        </w:tc>
        <w:tc>
          <w:tcPr>
            <w:tcW w:w="2125" w:type="dxa"/>
            <w:vAlign w:val="top"/>
          </w:tcPr>
          <w:p w14:paraId="49B1B2C1">
            <w:pPr>
              <w:rPr>
                <w:rFonts w:ascii="Arial"/>
                <w:color w:val="auto"/>
                <w:sz w:val="21"/>
                <w:highlight w:val="none"/>
              </w:rPr>
            </w:pPr>
          </w:p>
        </w:tc>
        <w:tc>
          <w:tcPr>
            <w:tcW w:w="2128" w:type="dxa"/>
            <w:vAlign w:val="top"/>
          </w:tcPr>
          <w:p w14:paraId="23A6777C">
            <w:pPr>
              <w:rPr>
                <w:rFonts w:ascii="Arial"/>
                <w:color w:val="auto"/>
                <w:sz w:val="21"/>
                <w:highlight w:val="none"/>
              </w:rPr>
            </w:pPr>
          </w:p>
        </w:tc>
        <w:tc>
          <w:tcPr>
            <w:tcW w:w="1327" w:type="dxa"/>
            <w:vAlign w:val="top"/>
          </w:tcPr>
          <w:p w14:paraId="402FCF21">
            <w:pPr>
              <w:rPr>
                <w:rFonts w:ascii="Arial"/>
                <w:color w:val="auto"/>
                <w:sz w:val="21"/>
                <w:highlight w:val="none"/>
              </w:rPr>
            </w:pPr>
          </w:p>
        </w:tc>
        <w:tc>
          <w:tcPr>
            <w:tcW w:w="1596" w:type="dxa"/>
            <w:vAlign w:val="top"/>
          </w:tcPr>
          <w:p w14:paraId="43998303">
            <w:pPr>
              <w:rPr>
                <w:rFonts w:ascii="Arial"/>
                <w:color w:val="auto"/>
                <w:sz w:val="21"/>
                <w:highlight w:val="none"/>
              </w:rPr>
            </w:pPr>
          </w:p>
        </w:tc>
        <w:tc>
          <w:tcPr>
            <w:tcW w:w="1009" w:type="dxa"/>
            <w:tcBorders>
              <w:right w:val="single" w:color="000000" w:sz="6" w:space="0"/>
            </w:tcBorders>
            <w:vAlign w:val="top"/>
          </w:tcPr>
          <w:p w14:paraId="325B305B">
            <w:pPr>
              <w:rPr>
                <w:rFonts w:ascii="Arial"/>
                <w:color w:val="auto"/>
                <w:sz w:val="21"/>
                <w:highlight w:val="none"/>
              </w:rPr>
            </w:pPr>
          </w:p>
        </w:tc>
      </w:tr>
      <w:tr w14:paraId="63712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top"/>
          </w:tcPr>
          <w:p w14:paraId="5936CD31">
            <w:pPr>
              <w:rPr>
                <w:rFonts w:ascii="Arial"/>
                <w:color w:val="auto"/>
                <w:sz w:val="21"/>
                <w:highlight w:val="none"/>
              </w:rPr>
            </w:pPr>
          </w:p>
        </w:tc>
        <w:tc>
          <w:tcPr>
            <w:tcW w:w="2125" w:type="dxa"/>
            <w:vAlign w:val="top"/>
          </w:tcPr>
          <w:p w14:paraId="200DCE0D">
            <w:pPr>
              <w:rPr>
                <w:rFonts w:ascii="Arial"/>
                <w:color w:val="auto"/>
                <w:sz w:val="21"/>
                <w:highlight w:val="none"/>
              </w:rPr>
            </w:pPr>
          </w:p>
        </w:tc>
        <w:tc>
          <w:tcPr>
            <w:tcW w:w="2128" w:type="dxa"/>
            <w:vAlign w:val="top"/>
          </w:tcPr>
          <w:p w14:paraId="5F8CB454">
            <w:pPr>
              <w:rPr>
                <w:rFonts w:ascii="Arial"/>
                <w:color w:val="auto"/>
                <w:sz w:val="21"/>
                <w:highlight w:val="none"/>
              </w:rPr>
            </w:pPr>
          </w:p>
        </w:tc>
        <w:tc>
          <w:tcPr>
            <w:tcW w:w="1327" w:type="dxa"/>
            <w:vAlign w:val="top"/>
          </w:tcPr>
          <w:p w14:paraId="2DA6AAFC">
            <w:pPr>
              <w:rPr>
                <w:rFonts w:ascii="Arial"/>
                <w:color w:val="auto"/>
                <w:sz w:val="21"/>
                <w:highlight w:val="none"/>
              </w:rPr>
            </w:pPr>
          </w:p>
        </w:tc>
        <w:tc>
          <w:tcPr>
            <w:tcW w:w="1596" w:type="dxa"/>
            <w:vAlign w:val="top"/>
          </w:tcPr>
          <w:p w14:paraId="25E6D163">
            <w:pPr>
              <w:rPr>
                <w:rFonts w:ascii="Arial"/>
                <w:color w:val="auto"/>
                <w:sz w:val="21"/>
                <w:highlight w:val="none"/>
              </w:rPr>
            </w:pPr>
          </w:p>
        </w:tc>
        <w:tc>
          <w:tcPr>
            <w:tcW w:w="1009" w:type="dxa"/>
            <w:tcBorders>
              <w:right w:val="single" w:color="000000" w:sz="6" w:space="0"/>
            </w:tcBorders>
            <w:vAlign w:val="top"/>
          </w:tcPr>
          <w:p w14:paraId="4B422B79">
            <w:pPr>
              <w:rPr>
                <w:rFonts w:ascii="Arial"/>
                <w:color w:val="auto"/>
                <w:sz w:val="21"/>
                <w:highlight w:val="none"/>
              </w:rPr>
            </w:pPr>
          </w:p>
        </w:tc>
      </w:tr>
      <w:tr w14:paraId="045235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top"/>
          </w:tcPr>
          <w:p w14:paraId="41EA7381">
            <w:pPr>
              <w:spacing w:before="267" w:line="187" w:lineRule="auto"/>
              <w:ind w:left="358"/>
              <w:rPr>
                <w:rFonts w:ascii="Times New Roman" w:hAnsi="Times New Roman" w:eastAsia="Times New Roman" w:cs="Times New Roman"/>
                <w:color w:val="auto"/>
                <w:sz w:val="21"/>
                <w:szCs w:val="21"/>
                <w:highlight w:val="none"/>
              </w:rPr>
            </w:pPr>
            <w:r>
              <w:rPr>
                <w:rFonts w:ascii="Times New Roman" w:hAnsi="Times New Roman" w:eastAsia="Times New Roman" w:cs="Times New Roman"/>
                <w:color w:val="auto"/>
                <w:sz w:val="21"/>
                <w:szCs w:val="21"/>
                <w:highlight w:val="none"/>
              </w:rPr>
              <w:t>3</w:t>
            </w:r>
          </w:p>
        </w:tc>
        <w:tc>
          <w:tcPr>
            <w:tcW w:w="2125" w:type="dxa"/>
            <w:vAlign w:val="top"/>
          </w:tcPr>
          <w:p w14:paraId="3CDB709B">
            <w:pPr>
              <w:pStyle w:val="33"/>
              <w:spacing w:before="228" w:line="220" w:lineRule="auto"/>
              <w:ind w:left="104"/>
              <w:rPr>
                <w:color w:val="auto"/>
                <w:sz w:val="21"/>
                <w:szCs w:val="21"/>
                <w:highlight w:val="none"/>
              </w:rPr>
            </w:pPr>
            <w:r>
              <w:rPr>
                <w:color w:val="auto"/>
                <w:spacing w:val="-2"/>
                <w:sz w:val="21"/>
                <w:szCs w:val="21"/>
                <w:highlight w:val="none"/>
              </w:rPr>
              <w:t>机械</w:t>
            </w:r>
          </w:p>
        </w:tc>
        <w:tc>
          <w:tcPr>
            <w:tcW w:w="2128" w:type="dxa"/>
            <w:vAlign w:val="top"/>
          </w:tcPr>
          <w:p w14:paraId="29C58CD2">
            <w:pPr>
              <w:rPr>
                <w:rFonts w:ascii="Arial"/>
                <w:color w:val="auto"/>
                <w:sz w:val="21"/>
                <w:highlight w:val="none"/>
              </w:rPr>
            </w:pPr>
          </w:p>
        </w:tc>
        <w:tc>
          <w:tcPr>
            <w:tcW w:w="1327" w:type="dxa"/>
            <w:vAlign w:val="top"/>
          </w:tcPr>
          <w:p w14:paraId="39A499D1">
            <w:pPr>
              <w:rPr>
                <w:rFonts w:ascii="Arial"/>
                <w:color w:val="auto"/>
                <w:sz w:val="21"/>
                <w:highlight w:val="none"/>
              </w:rPr>
            </w:pPr>
          </w:p>
        </w:tc>
        <w:tc>
          <w:tcPr>
            <w:tcW w:w="1596" w:type="dxa"/>
            <w:vAlign w:val="top"/>
          </w:tcPr>
          <w:p w14:paraId="6FCD4361">
            <w:pPr>
              <w:rPr>
                <w:rFonts w:ascii="Arial"/>
                <w:color w:val="auto"/>
                <w:sz w:val="21"/>
                <w:highlight w:val="none"/>
              </w:rPr>
            </w:pPr>
          </w:p>
        </w:tc>
        <w:tc>
          <w:tcPr>
            <w:tcW w:w="1009" w:type="dxa"/>
            <w:tcBorders>
              <w:right w:val="single" w:color="000000" w:sz="6" w:space="0"/>
            </w:tcBorders>
            <w:vAlign w:val="top"/>
          </w:tcPr>
          <w:p w14:paraId="132EB0BC">
            <w:pPr>
              <w:rPr>
                <w:rFonts w:ascii="Arial"/>
                <w:color w:val="auto"/>
                <w:sz w:val="21"/>
                <w:highlight w:val="none"/>
              </w:rPr>
            </w:pPr>
          </w:p>
        </w:tc>
      </w:tr>
      <w:tr w14:paraId="06E427C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top"/>
          </w:tcPr>
          <w:p w14:paraId="7BBBEEF5">
            <w:pPr>
              <w:rPr>
                <w:rFonts w:ascii="Arial"/>
                <w:color w:val="auto"/>
                <w:sz w:val="21"/>
                <w:highlight w:val="none"/>
              </w:rPr>
            </w:pPr>
          </w:p>
        </w:tc>
        <w:tc>
          <w:tcPr>
            <w:tcW w:w="2125" w:type="dxa"/>
            <w:vAlign w:val="top"/>
          </w:tcPr>
          <w:p w14:paraId="2DBDBBBA">
            <w:pPr>
              <w:rPr>
                <w:rFonts w:ascii="Arial"/>
                <w:color w:val="auto"/>
                <w:sz w:val="21"/>
                <w:highlight w:val="none"/>
              </w:rPr>
            </w:pPr>
          </w:p>
        </w:tc>
        <w:tc>
          <w:tcPr>
            <w:tcW w:w="2128" w:type="dxa"/>
            <w:vAlign w:val="top"/>
          </w:tcPr>
          <w:p w14:paraId="4D972661">
            <w:pPr>
              <w:rPr>
                <w:rFonts w:ascii="Arial"/>
                <w:color w:val="auto"/>
                <w:sz w:val="21"/>
                <w:highlight w:val="none"/>
              </w:rPr>
            </w:pPr>
          </w:p>
        </w:tc>
        <w:tc>
          <w:tcPr>
            <w:tcW w:w="1327" w:type="dxa"/>
            <w:vAlign w:val="top"/>
          </w:tcPr>
          <w:p w14:paraId="40307AFC">
            <w:pPr>
              <w:rPr>
                <w:rFonts w:ascii="Arial"/>
                <w:color w:val="auto"/>
                <w:sz w:val="21"/>
                <w:highlight w:val="none"/>
              </w:rPr>
            </w:pPr>
          </w:p>
        </w:tc>
        <w:tc>
          <w:tcPr>
            <w:tcW w:w="1596" w:type="dxa"/>
            <w:vAlign w:val="top"/>
          </w:tcPr>
          <w:p w14:paraId="7C62D484">
            <w:pPr>
              <w:rPr>
                <w:rFonts w:ascii="Arial"/>
                <w:color w:val="auto"/>
                <w:sz w:val="21"/>
                <w:highlight w:val="none"/>
              </w:rPr>
            </w:pPr>
          </w:p>
        </w:tc>
        <w:tc>
          <w:tcPr>
            <w:tcW w:w="1009" w:type="dxa"/>
            <w:tcBorders>
              <w:right w:val="single" w:color="000000" w:sz="6" w:space="0"/>
            </w:tcBorders>
            <w:vAlign w:val="top"/>
          </w:tcPr>
          <w:p w14:paraId="55E46060">
            <w:pPr>
              <w:rPr>
                <w:rFonts w:ascii="Arial"/>
                <w:color w:val="auto"/>
                <w:sz w:val="21"/>
                <w:highlight w:val="none"/>
              </w:rPr>
            </w:pPr>
          </w:p>
        </w:tc>
      </w:tr>
      <w:tr w14:paraId="6F0A3E1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top"/>
          </w:tcPr>
          <w:p w14:paraId="31DDF8A1">
            <w:pPr>
              <w:rPr>
                <w:rFonts w:ascii="Arial"/>
                <w:color w:val="auto"/>
                <w:sz w:val="21"/>
                <w:highlight w:val="none"/>
              </w:rPr>
            </w:pPr>
          </w:p>
        </w:tc>
        <w:tc>
          <w:tcPr>
            <w:tcW w:w="2125" w:type="dxa"/>
            <w:vAlign w:val="top"/>
          </w:tcPr>
          <w:p w14:paraId="49CE1543">
            <w:pPr>
              <w:rPr>
                <w:rFonts w:ascii="Arial"/>
                <w:color w:val="auto"/>
                <w:sz w:val="21"/>
                <w:highlight w:val="none"/>
              </w:rPr>
            </w:pPr>
          </w:p>
        </w:tc>
        <w:tc>
          <w:tcPr>
            <w:tcW w:w="2128" w:type="dxa"/>
            <w:vAlign w:val="top"/>
          </w:tcPr>
          <w:p w14:paraId="0B074FB3">
            <w:pPr>
              <w:rPr>
                <w:rFonts w:ascii="Arial"/>
                <w:color w:val="auto"/>
                <w:sz w:val="21"/>
                <w:highlight w:val="none"/>
              </w:rPr>
            </w:pPr>
          </w:p>
        </w:tc>
        <w:tc>
          <w:tcPr>
            <w:tcW w:w="1327" w:type="dxa"/>
            <w:vAlign w:val="top"/>
          </w:tcPr>
          <w:p w14:paraId="18014193">
            <w:pPr>
              <w:rPr>
                <w:rFonts w:ascii="Arial"/>
                <w:color w:val="auto"/>
                <w:sz w:val="21"/>
                <w:highlight w:val="none"/>
              </w:rPr>
            </w:pPr>
          </w:p>
        </w:tc>
        <w:tc>
          <w:tcPr>
            <w:tcW w:w="1596" w:type="dxa"/>
            <w:vAlign w:val="top"/>
          </w:tcPr>
          <w:p w14:paraId="4FDA7BBC">
            <w:pPr>
              <w:rPr>
                <w:rFonts w:ascii="Arial"/>
                <w:color w:val="auto"/>
                <w:sz w:val="21"/>
                <w:highlight w:val="none"/>
              </w:rPr>
            </w:pPr>
          </w:p>
        </w:tc>
        <w:tc>
          <w:tcPr>
            <w:tcW w:w="1009" w:type="dxa"/>
            <w:tcBorders>
              <w:right w:val="single" w:color="000000" w:sz="6" w:space="0"/>
            </w:tcBorders>
            <w:vAlign w:val="top"/>
          </w:tcPr>
          <w:p w14:paraId="3E05BFE1">
            <w:pPr>
              <w:rPr>
                <w:rFonts w:ascii="Arial"/>
                <w:color w:val="auto"/>
                <w:sz w:val="21"/>
                <w:highlight w:val="none"/>
              </w:rPr>
            </w:pPr>
          </w:p>
        </w:tc>
      </w:tr>
      <w:tr w14:paraId="3CFAA2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top"/>
          </w:tcPr>
          <w:p w14:paraId="1970A9C6">
            <w:pPr>
              <w:rPr>
                <w:rFonts w:ascii="Arial"/>
                <w:color w:val="auto"/>
                <w:sz w:val="21"/>
                <w:highlight w:val="none"/>
              </w:rPr>
            </w:pPr>
          </w:p>
        </w:tc>
        <w:tc>
          <w:tcPr>
            <w:tcW w:w="2125" w:type="dxa"/>
            <w:vAlign w:val="top"/>
          </w:tcPr>
          <w:p w14:paraId="5522DEC9">
            <w:pPr>
              <w:rPr>
                <w:rFonts w:ascii="Arial"/>
                <w:color w:val="auto"/>
                <w:sz w:val="21"/>
                <w:highlight w:val="none"/>
              </w:rPr>
            </w:pPr>
          </w:p>
        </w:tc>
        <w:tc>
          <w:tcPr>
            <w:tcW w:w="2128" w:type="dxa"/>
            <w:vAlign w:val="top"/>
          </w:tcPr>
          <w:p w14:paraId="7B33A059">
            <w:pPr>
              <w:rPr>
                <w:rFonts w:ascii="Arial"/>
                <w:color w:val="auto"/>
                <w:sz w:val="21"/>
                <w:highlight w:val="none"/>
              </w:rPr>
            </w:pPr>
          </w:p>
        </w:tc>
        <w:tc>
          <w:tcPr>
            <w:tcW w:w="1327" w:type="dxa"/>
            <w:vAlign w:val="top"/>
          </w:tcPr>
          <w:p w14:paraId="6665B90C">
            <w:pPr>
              <w:rPr>
                <w:rFonts w:ascii="Arial"/>
                <w:color w:val="auto"/>
                <w:sz w:val="21"/>
                <w:highlight w:val="none"/>
              </w:rPr>
            </w:pPr>
          </w:p>
        </w:tc>
        <w:tc>
          <w:tcPr>
            <w:tcW w:w="1596" w:type="dxa"/>
            <w:vAlign w:val="top"/>
          </w:tcPr>
          <w:p w14:paraId="260797D6">
            <w:pPr>
              <w:rPr>
                <w:rFonts w:ascii="Arial"/>
                <w:color w:val="auto"/>
                <w:sz w:val="21"/>
                <w:highlight w:val="none"/>
              </w:rPr>
            </w:pPr>
          </w:p>
        </w:tc>
        <w:tc>
          <w:tcPr>
            <w:tcW w:w="1009" w:type="dxa"/>
            <w:tcBorders>
              <w:right w:val="single" w:color="000000" w:sz="6" w:space="0"/>
            </w:tcBorders>
            <w:vAlign w:val="top"/>
          </w:tcPr>
          <w:p w14:paraId="7FEA1F0D">
            <w:pPr>
              <w:rPr>
                <w:rFonts w:ascii="Arial"/>
                <w:color w:val="auto"/>
                <w:sz w:val="21"/>
                <w:highlight w:val="none"/>
              </w:rPr>
            </w:pPr>
          </w:p>
        </w:tc>
      </w:tr>
      <w:tr w14:paraId="3E6C2C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4" w:type="dxa"/>
            <w:tcBorders>
              <w:left w:val="single" w:color="000000" w:sz="6" w:space="0"/>
            </w:tcBorders>
            <w:vAlign w:val="top"/>
          </w:tcPr>
          <w:p w14:paraId="7BB522C3">
            <w:pPr>
              <w:rPr>
                <w:rFonts w:ascii="Arial"/>
                <w:color w:val="auto"/>
                <w:sz w:val="21"/>
                <w:highlight w:val="none"/>
              </w:rPr>
            </w:pPr>
          </w:p>
        </w:tc>
        <w:tc>
          <w:tcPr>
            <w:tcW w:w="2125" w:type="dxa"/>
            <w:vAlign w:val="top"/>
          </w:tcPr>
          <w:p w14:paraId="25A46D16">
            <w:pPr>
              <w:rPr>
                <w:rFonts w:ascii="Arial"/>
                <w:color w:val="auto"/>
                <w:sz w:val="21"/>
                <w:highlight w:val="none"/>
              </w:rPr>
            </w:pPr>
          </w:p>
        </w:tc>
        <w:tc>
          <w:tcPr>
            <w:tcW w:w="2128" w:type="dxa"/>
            <w:vAlign w:val="top"/>
          </w:tcPr>
          <w:p w14:paraId="48AFAAF8">
            <w:pPr>
              <w:rPr>
                <w:rFonts w:ascii="Arial"/>
                <w:color w:val="auto"/>
                <w:sz w:val="21"/>
                <w:highlight w:val="none"/>
              </w:rPr>
            </w:pPr>
          </w:p>
        </w:tc>
        <w:tc>
          <w:tcPr>
            <w:tcW w:w="1327" w:type="dxa"/>
            <w:vAlign w:val="top"/>
          </w:tcPr>
          <w:p w14:paraId="1C47FA11">
            <w:pPr>
              <w:rPr>
                <w:rFonts w:ascii="Arial"/>
                <w:color w:val="auto"/>
                <w:sz w:val="21"/>
                <w:highlight w:val="none"/>
              </w:rPr>
            </w:pPr>
          </w:p>
        </w:tc>
        <w:tc>
          <w:tcPr>
            <w:tcW w:w="1596" w:type="dxa"/>
            <w:vAlign w:val="top"/>
          </w:tcPr>
          <w:p w14:paraId="4341696F">
            <w:pPr>
              <w:rPr>
                <w:rFonts w:ascii="Arial"/>
                <w:color w:val="auto"/>
                <w:sz w:val="21"/>
                <w:highlight w:val="none"/>
              </w:rPr>
            </w:pPr>
          </w:p>
        </w:tc>
        <w:tc>
          <w:tcPr>
            <w:tcW w:w="1009" w:type="dxa"/>
            <w:tcBorders>
              <w:right w:val="single" w:color="000000" w:sz="6" w:space="0"/>
            </w:tcBorders>
            <w:vAlign w:val="top"/>
          </w:tcPr>
          <w:p w14:paraId="7D008080">
            <w:pPr>
              <w:rPr>
                <w:rFonts w:ascii="Arial"/>
                <w:color w:val="auto"/>
                <w:sz w:val="21"/>
                <w:highlight w:val="none"/>
              </w:rPr>
            </w:pPr>
          </w:p>
        </w:tc>
      </w:tr>
      <w:tr w14:paraId="5AC3EF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4" w:type="dxa"/>
            <w:tcBorders>
              <w:left w:val="single" w:color="000000" w:sz="6" w:space="0"/>
            </w:tcBorders>
            <w:vAlign w:val="top"/>
          </w:tcPr>
          <w:p w14:paraId="5AFFC3E7">
            <w:pPr>
              <w:rPr>
                <w:rFonts w:ascii="Arial"/>
                <w:color w:val="auto"/>
                <w:sz w:val="21"/>
                <w:highlight w:val="none"/>
              </w:rPr>
            </w:pPr>
          </w:p>
        </w:tc>
        <w:tc>
          <w:tcPr>
            <w:tcW w:w="2125" w:type="dxa"/>
            <w:vAlign w:val="top"/>
          </w:tcPr>
          <w:p w14:paraId="45547CCE">
            <w:pPr>
              <w:rPr>
                <w:rFonts w:ascii="Arial"/>
                <w:color w:val="auto"/>
                <w:sz w:val="21"/>
                <w:highlight w:val="none"/>
              </w:rPr>
            </w:pPr>
          </w:p>
        </w:tc>
        <w:tc>
          <w:tcPr>
            <w:tcW w:w="2128" w:type="dxa"/>
            <w:vAlign w:val="top"/>
          </w:tcPr>
          <w:p w14:paraId="703EB641">
            <w:pPr>
              <w:rPr>
                <w:rFonts w:ascii="Arial"/>
                <w:color w:val="auto"/>
                <w:sz w:val="21"/>
                <w:highlight w:val="none"/>
              </w:rPr>
            </w:pPr>
          </w:p>
        </w:tc>
        <w:tc>
          <w:tcPr>
            <w:tcW w:w="1327" w:type="dxa"/>
            <w:vAlign w:val="top"/>
          </w:tcPr>
          <w:p w14:paraId="458535FE">
            <w:pPr>
              <w:rPr>
                <w:rFonts w:ascii="Arial"/>
                <w:color w:val="auto"/>
                <w:sz w:val="21"/>
                <w:highlight w:val="none"/>
              </w:rPr>
            </w:pPr>
          </w:p>
        </w:tc>
        <w:tc>
          <w:tcPr>
            <w:tcW w:w="1596" w:type="dxa"/>
            <w:vAlign w:val="top"/>
          </w:tcPr>
          <w:p w14:paraId="0D4C6D3A">
            <w:pPr>
              <w:rPr>
                <w:rFonts w:ascii="Arial"/>
                <w:color w:val="auto"/>
                <w:sz w:val="21"/>
                <w:highlight w:val="none"/>
              </w:rPr>
            </w:pPr>
          </w:p>
        </w:tc>
        <w:tc>
          <w:tcPr>
            <w:tcW w:w="1009" w:type="dxa"/>
            <w:tcBorders>
              <w:right w:val="single" w:color="000000" w:sz="6" w:space="0"/>
            </w:tcBorders>
            <w:vAlign w:val="top"/>
          </w:tcPr>
          <w:p w14:paraId="551FB0BB">
            <w:pPr>
              <w:rPr>
                <w:rFonts w:ascii="Arial"/>
                <w:color w:val="auto"/>
                <w:sz w:val="21"/>
                <w:highlight w:val="none"/>
              </w:rPr>
            </w:pPr>
          </w:p>
        </w:tc>
      </w:tr>
      <w:tr w14:paraId="2A0D2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24" w:type="dxa"/>
            <w:tcBorders>
              <w:left w:val="single" w:color="000000" w:sz="6" w:space="0"/>
              <w:bottom w:val="single" w:color="000000" w:sz="6" w:space="0"/>
            </w:tcBorders>
            <w:vAlign w:val="top"/>
          </w:tcPr>
          <w:p w14:paraId="50B7117F">
            <w:pPr>
              <w:rPr>
                <w:rFonts w:ascii="Arial"/>
                <w:color w:val="auto"/>
                <w:sz w:val="21"/>
                <w:highlight w:val="none"/>
              </w:rPr>
            </w:pPr>
          </w:p>
        </w:tc>
        <w:tc>
          <w:tcPr>
            <w:tcW w:w="2125" w:type="dxa"/>
            <w:tcBorders>
              <w:bottom w:val="single" w:color="000000" w:sz="6" w:space="0"/>
            </w:tcBorders>
            <w:vAlign w:val="top"/>
          </w:tcPr>
          <w:p w14:paraId="4C415204">
            <w:pPr>
              <w:rPr>
                <w:rFonts w:ascii="Arial"/>
                <w:color w:val="auto"/>
                <w:sz w:val="21"/>
                <w:highlight w:val="none"/>
              </w:rPr>
            </w:pPr>
          </w:p>
        </w:tc>
        <w:tc>
          <w:tcPr>
            <w:tcW w:w="2128" w:type="dxa"/>
            <w:tcBorders>
              <w:bottom w:val="single" w:color="000000" w:sz="6" w:space="0"/>
            </w:tcBorders>
            <w:vAlign w:val="top"/>
          </w:tcPr>
          <w:p w14:paraId="1C3F026D">
            <w:pPr>
              <w:rPr>
                <w:rFonts w:ascii="Arial"/>
                <w:color w:val="auto"/>
                <w:sz w:val="21"/>
                <w:highlight w:val="none"/>
              </w:rPr>
            </w:pPr>
          </w:p>
        </w:tc>
        <w:tc>
          <w:tcPr>
            <w:tcW w:w="1327" w:type="dxa"/>
            <w:tcBorders>
              <w:bottom w:val="single" w:color="000000" w:sz="6" w:space="0"/>
            </w:tcBorders>
            <w:vAlign w:val="top"/>
          </w:tcPr>
          <w:p w14:paraId="6AE0C206">
            <w:pPr>
              <w:rPr>
                <w:rFonts w:ascii="Arial"/>
                <w:color w:val="auto"/>
                <w:sz w:val="21"/>
                <w:highlight w:val="none"/>
              </w:rPr>
            </w:pPr>
          </w:p>
        </w:tc>
        <w:tc>
          <w:tcPr>
            <w:tcW w:w="1596" w:type="dxa"/>
            <w:tcBorders>
              <w:bottom w:val="single" w:color="000000" w:sz="6" w:space="0"/>
            </w:tcBorders>
            <w:vAlign w:val="top"/>
          </w:tcPr>
          <w:p w14:paraId="746B7B98">
            <w:pPr>
              <w:rPr>
                <w:rFonts w:ascii="Arial"/>
                <w:color w:val="auto"/>
                <w:sz w:val="21"/>
                <w:highlight w:val="none"/>
              </w:rPr>
            </w:pPr>
          </w:p>
        </w:tc>
        <w:tc>
          <w:tcPr>
            <w:tcW w:w="1009" w:type="dxa"/>
            <w:tcBorders>
              <w:bottom w:val="single" w:color="000000" w:sz="6" w:space="0"/>
              <w:right w:val="single" w:color="000000" w:sz="6" w:space="0"/>
            </w:tcBorders>
            <w:vAlign w:val="top"/>
          </w:tcPr>
          <w:p w14:paraId="57D28656">
            <w:pPr>
              <w:rPr>
                <w:rFonts w:ascii="Arial"/>
                <w:color w:val="auto"/>
                <w:sz w:val="21"/>
                <w:highlight w:val="none"/>
              </w:rPr>
            </w:pPr>
          </w:p>
        </w:tc>
      </w:tr>
    </w:tbl>
    <w:p w14:paraId="0A9AB076">
      <w:pPr>
        <w:spacing w:before="30" w:line="211" w:lineRule="auto"/>
        <w:rPr>
          <w:rFonts w:ascii="宋体" w:hAnsi="宋体" w:eastAsia="宋体" w:cs="宋体"/>
          <w:color w:val="auto"/>
          <w:sz w:val="22"/>
          <w:szCs w:val="22"/>
          <w:highlight w:val="none"/>
        </w:rPr>
      </w:pPr>
      <w:r>
        <w:rPr>
          <w:rFonts w:ascii="宋体" w:hAnsi="宋体" w:eastAsia="宋体" w:cs="宋体"/>
          <w:i/>
          <w:iCs/>
          <w:color w:val="auto"/>
          <w:spacing w:val="-7"/>
          <w:sz w:val="22"/>
          <w:szCs w:val="22"/>
          <w:highlight w:val="none"/>
        </w:rPr>
        <w:t>注：无零星工作项目的，本表删除。</w:t>
      </w:r>
    </w:p>
    <w:p w14:paraId="5CA64A3A">
      <w:pPr>
        <w:spacing w:line="211" w:lineRule="auto"/>
        <w:rPr>
          <w:rFonts w:ascii="宋体" w:hAnsi="宋体" w:eastAsia="宋体" w:cs="宋体"/>
          <w:color w:val="auto"/>
          <w:sz w:val="22"/>
          <w:szCs w:val="22"/>
          <w:highlight w:val="none"/>
        </w:rPr>
        <w:sectPr>
          <w:pgSz w:w="11905" w:h="16843"/>
          <w:pgMar w:top="1429" w:right="1361" w:bottom="1253" w:left="1621" w:header="0" w:footer="1094" w:gutter="0"/>
          <w:pgNumType w:fmt="decimal"/>
          <w:cols w:space="0" w:num="1"/>
          <w:rtlGutter w:val="0"/>
          <w:docGrid w:linePitch="0" w:charSpace="0"/>
        </w:sectPr>
      </w:pPr>
    </w:p>
    <w:p w14:paraId="628AF6CC">
      <w:pPr>
        <w:spacing w:before="48" w:line="218" w:lineRule="auto"/>
        <w:ind w:left="3201"/>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招标人供应材料价格表</w:t>
      </w:r>
    </w:p>
    <w:p w14:paraId="11ED960F">
      <w:pPr>
        <w:spacing w:before="177" w:line="221" w:lineRule="auto"/>
        <w:ind w:left="13"/>
        <w:rPr>
          <w:rFonts w:ascii="宋体" w:hAnsi="宋体" w:eastAsia="宋体" w:cs="宋体"/>
          <w:color w:val="auto"/>
          <w:sz w:val="21"/>
          <w:szCs w:val="21"/>
          <w:highlight w:val="none"/>
        </w:rPr>
      </w:pPr>
      <w:r>
        <w:rPr>
          <w:rFonts w:ascii="宋体" w:hAnsi="宋体" w:eastAsia="宋体" w:cs="宋体"/>
          <w:color w:val="auto"/>
          <w:sz w:val="21"/>
          <w:szCs w:val="21"/>
          <w:highlight w:val="none"/>
        </w:rPr>
        <w:t>项目及标段名称：</w:t>
      </w:r>
      <w:r>
        <w:rPr>
          <w:rFonts w:ascii="宋体" w:hAnsi="宋体" w:eastAsia="宋体" w:cs="宋体"/>
          <w:color w:val="auto"/>
          <w:sz w:val="21"/>
          <w:szCs w:val="21"/>
          <w:highlight w:val="none"/>
          <w:u w:val="single" w:color="auto"/>
        </w:rPr>
        <w:t xml:space="preserve">                                </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页共</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w:t>
      </w:r>
    </w:p>
    <w:p w14:paraId="0B3A2D11">
      <w:pPr>
        <w:spacing w:line="127" w:lineRule="exact"/>
        <w:rPr>
          <w:color w:val="auto"/>
          <w:highlight w:val="none"/>
        </w:rPr>
      </w:pPr>
    </w:p>
    <w:tbl>
      <w:tblPr>
        <w:tblStyle w:val="32"/>
        <w:tblW w:w="9008"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1394"/>
        <w:gridCol w:w="1577"/>
        <w:gridCol w:w="1193"/>
        <w:gridCol w:w="1473"/>
        <w:gridCol w:w="1557"/>
        <w:gridCol w:w="987"/>
      </w:tblGrid>
      <w:tr w14:paraId="17D37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827" w:type="dxa"/>
            <w:tcBorders>
              <w:top w:val="single" w:color="000000" w:sz="6" w:space="0"/>
              <w:left w:val="single" w:color="000000" w:sz="6" w:space="0"/>
            </w:tcBorders>
            <w:vAlign w:val="top"/>
          </w:tcPr>
          <w:p w14:paraId="188E03A5">
            <w:pPr>
              <w:pStyle w:val="33"/>
              <w:spacing w:before="221" w:line="222" w:lineRule="auto"/>
              <w:ind w:left="198"/>
              <w:rPr>
                <w:color w:val="auto"/>
                <w:sz w:val="21"/>
                <w:szCs w:val="21"/>
                <w:highlight w:val="none"/>
              </w:rPr>
            </w:pPr>
            <w:r>
              <w:rPr>
                <w:color w:val="auto"/>
                <w:spacing w:val="-2"/>
                <w:sz w:val="21"/>
                <w:szCs w:val="21"/>
                <w:highlight w:val="none"/>
              </w:rPr>
              <w:t>序号</w:t>
            </w:r>
          </w:p>
        </w:tc>
        <w:tc>
          <w:tcPr>
            <w:tcW w:w="1394" w:type="dxa"/>
            <w:tcBorders>
              <w:top w:val="single" w:color="000000" w:sz="6" w:space="0"/>
            </w:tcBorders>
            <w:vAlign w:val="top"/>
          </w:tcPr>
          <w:p w14:paraId="6BF2E6EF">
            <w:pPr>
              <w:pStyle w:val="33"/>
              <w:spacing w:before="220" w:line="220" w:lineRule="auto"/>
              <w:ind w:left="275"/>
              <w:rPr>
                <w:color w:val="auto"/>
                <w:sz w:val="21"/>
                <w:szCs w:val="21"/>
                <w:highlight w:val="none"/>
              </w:rPr>
            </w:pPr>
            <w:r>
              <w:rPr>
                <w:color w:val="auto"/>
                <w:spacing w:val="-2"/>
                <w:sz w:val="21"/>
                <w:szCs w:val="21"/>
                <w:highlight w:val="none"/>
              </w:rPr>
              <w:t>材料名称</w:t>
            </w:r>
          </w:p>
        </w:tc>
        <w:tc>
          <w:tcPr>
            <w:tcW w:w="1577" w:type="dxa"/>
            <w:tcBorders>
              <w:top w:val="single" w:color="000000" w:sz="6" w:space="0"/>
            </w:tcBorders>
            <w:vAlign w:val="top"/>
          </w:tcPr>
          <w:p w14:paraId="5DC64BA1">
            <w:pPr>
              <w:pStyle w:val="33"/>
              <w:spacing w:before="220" w:line="221" w:lineRule="auto"/>
              <w:ind w:left="372"/>
              <w:rPr>
                <w:color w:val="auto"/>
                <w:sz w:val="21"/>
                <w:szCs w:val="21"/>
                <w:highlight w:val="none"/>
              </w:rPr>
            </w:pPr>
            <w:r>
              <w:rPr>
                <w:color w:val="auto"/>
                <w:spacing w:val="-2"/>
                <w:sz w:val="21"/>
                <w:szCs w:val="21"/>
                <w:highlight w:val="none"/>
              </w:rPr>
              <w:t>规格型号</w:t>
            </w:r>
          </w:p>
        </w:tc>
        <w:tc>
          <w:tcPr>
            <w:tcW w:w="1193" w:type="dxa"/>
            <w:tcBorders>
              <w:top w:val="single" w:color="000000" w:sz="6" w:space="0"/>
            </w:tcBorders>
            <w:vAlign w:val="top"/>
          </w:tcPr>
          <w:p w14:paraId="7FC835EA">
            <w:pPr>
              <w:pStyle w:val="33"/>
              <w:spacing w:before="221" w:line="221" w:lineRule="auto"/>
              <w:ind w:left="181"/>
              <w:rPr>
                <w:color w:val="auto"/>
                <w:sz w:val="21"/>
                <w:szCs w:val="21"/>
                <w:highlight w:val="none"/>
              </w:rPr>
            </w:pPr>
            <w:r>
              <w:rPr>
                <w:color w:val="auto"/>
                <w:spacing w:val="-2"/>
                <w:sz w:val="21"/>
                <w:szCs w:val="21"/>
                <w:highlight w:val="none"/>
              </w:rPr>
              <w:t>计量单位</w:t>
            </w:r>
          </w:p>
        </w:tc>
        <w:tc>
          <w:tcPr>
            <w:tcW w:w="1473" w:type="dxa"/>
            <w:tcBorders>
              <w:top w:val="single" w:color="000000" w:sz="6" w:space="0"/>
            </w:tcBorders>
            <w:vAlign w:val="top"/>
          </w:tcPr>
          <w:p w14:paraId="00BC5342">
            <w:pPr>
              <w:pStyle w:val="33"/>
              <w:spacing w:before="221" w:line="219" w:lineRule="auto"/>
              <w:ind w:left="114"/>
              <w:rPr>
                <w:color w:val="auto"/>
                <w:sz w:val="21"/>
                <w:szCs w:val="21"/>
                <w:highlight w:val="none"/>
              </w:rPr>
            </w:pPr>
            <w:r>
              <w:rPr>
                <w:color w:val="auto"/>
                <w:spacing w:val="-3"/>
                <w:sz w:val="21"/>
                <w:szCs w:val="21"/>
                <w:highlight w:val="none"/>
              </w:rPr>
              <w:t>供应价（元）</w:t>
            </w:r>
          </w:p>
        </w:tc>
        <w:tc>
          <w:tcPr>
            <w:tcW w:w="1557" w:type="dxa"/>
            <w:tcBorders>
              <w:top w:val="single" w:color="000000" w:sz="6" w:space="0"/>
            </w:tcBorders>
            <w:vAlign w:val="top"/>
          </w:tcPr>
          <w:p w14:paraId="3F3472EE">
            <w:pPr>
              <w:pStyle w:val="33"/>
              <w:spacing w:before="220" w:line="220" w:lineRule="auto"/>
              <w:ind w:left="367"/>
              <w:rPr>
                <w:color w:val="auto"/>
                <w:sz w:val="21"/>
                <w:szCs w:val="21"/>
                <w:highlight w:val="none"/>
              </w:rPr>
            </w:pPr>
            <w:r>
              <w:rPr>
                <w:color w:val="auto"/>
                <w:spacing w:val="-2"/>
                <w:sz w:val="21"/>
                <w:szCs w:val="21"/>
                <w:highlight w:val="none"/>
              </w:rPr>
              <w:t>供应条件</w:t>
            </w:r>
          </w:p>
        </w:tc>
        <w:tc>
          <w:tcPr>
            <w:tcW w:w="987" w:type="dxa"/>
            <w:tcBorders>
              <w:top w:val="single" w:color="000000" w:sz="6" w:space="0"/>
              <w:right w:val="single" w:color="000000" w:sz="6" w:space="0"/>
            </w:tcBorders>
            <w:vAlign w:val="top"/>
          </w:tcPr>
          <w:p w14:paraId="42688315">
            <w:pPr>
              <w:pStyle w:val="33"/>
              <w:spacing w:before="221" w:line="222" w:lineRule="auto"/>
              <w:ind w:left="290"/>
              <w:rPr>
                <w:color w:val="auto"/>
                <w:sz w:val="21"/>
                <w:szCs w:val="21"/>
                <w:highlight w:val="none"/>
              </w:rPr>
            </w:pPr>
            <w:r>
              <w:rPr>
                <w:color w:val="auto"/>
                <w:spacing w:val="-3"/>
                <w:sz w:val="21"/>
                <w:szCs w:val="21"/>
                <w:highlight w:val="none"/>
              </w:rPr>
              <w:t>备注</w:t>
            </w:r>
          </w:p>
        </w:tc>
      </w:tr>
      <w:tr w14:paraId="638E56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7D546E61">
            <w:pPr>
              <w:rPr>
                <w:rFonts w:ascii="Arial"/>
                <w:color w:val="auto"/>
                <w:sz w:val="21"/>
                <w:highlight w:val="none"/>
              </w:rPr>
            </w:pPr>
          </w:p>
        </w:tc>
        <w:tc>
          <w:tcPr>
            <w:tcW w:w="1394" w:type="dxa"/>
            <w:vAlign w:val="top"/>
          </w:tcPr>
          <w:p w14:paraId="233E040C">
            <w:pPr>
              <w:rPr>
                <w:rFonts w:ascii="Arial"/>
                <w:color w:val="auto"/>
                <w:sz w:val="21"/>
                <w:highlight w:val="none"/>
              </w:rPr>
            </w:pPr>
          </w:p>
        </w:tc>
        <w:tc>
          <w:tcPr>
            <w:tcW w:w="1577" w:type="dxa"/>
            <w:vAlign w:val="top"/>
          </w:tcPr>
          <w:p w14:paraId="06AE1E87">
            <w:pPr>
              <w:rPr>
                <w:rFonts w:ascii="Arial"/>
                <w:color w:val="auto"/>
                <w:sz w:val="21"/>
                <w:highlight w:val="none"/>
              </w:rPr>
            </w:pPr>
          </w:p>
        </w:tc>
        <w:tc>
          <w:tcPr>
            <w:tcW w:w="1193" w:type="dxa"/>
            <w:vAlign w:val="top"/>
          </w:tcPr>
          <w:p w14:paraId="4F31AFF0">
            <w:pPr>
              <w:rPr>
                <w:rFonts w:ascii="Arial"/>
                <w:color w:val="auto"/>
                <w:sz w:val="21"/>
                <w:highlight w:val="none"/>
              </w:rPr>
            </w:pPr>
          </w:p>
        </w:tc>
        <w:tc>
          <w:tcPr>
            <w:tcW w:w="1473" w:type="dxa"/>
            <w:vAlign w:val="top"/>
          </w:tcPr>
          <w:p w14:paraId="71415AE5">
            <w:pPr>
              <w:rPr>
                <w:rFonts w:ascii="Arial"/>
                <w:color w:val="auto"/>
                <w:sz w:val="21"/>
                <w:highlight w:val="none"/>
              </w:rPr>
            </w:pPr>
          </w:p>
        </w:tc>
        <w:tc>
          <w:tcPr>
            <w:tcW w:w="1557" w:type="dxa"/>
            <w:vAlign w:val="top"/>
          </w:tcPr>
          <w:p w14:paraId="3850EFEC">
            <w:pPr>
              <w:rPr>
                <w:rFonts w:ascii="Arial"/>
                <w:color w:val="auto"/>
                <w:sz w:val="21"/>
                <w:highlight w:val="none"/>
              </w:rPr>
            </w:pPr>
          </w:p>
        </w:tc>
        <w:tc>
          <w:tcPr>
            <w:tcW w:w="987" w:type="dxa"/>
            <w:tcBorders>
              <w:right w:val="single" w:color="000000" w:sz="6" w:space="0"/>
            </w:tcBorders>
            <w:vAlign w:val="top"/>
          </w:tcPr>
          <w:p w14:paraId="04583AB0">
            <w:pPr>
              <w:rPr>
                <w:rFonts w:ascii="Arial"/>
                <w:color w:val="auto"/>
                <w:sz w:val="21"/>
                <w:highlight w:val="none"/>
              </w:rPr>
            </w:pPr>
          </w:p>
        </w:tc>
      </w:tr>
      <w:tr w14:paraId="123533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20F2C368">
            <w:pPr>
              <w:rPr>
                <w:rFonts w:ascii="Arial"/>
                <w:color w:val="auto"/>
                <w:sz w:val="21"/>
                <w:highlight w:val="none"/>
              </w:rPr>
            </w:pPr>
          </w:p>
        </w:tc>
        <w:tc>
          <w:tcPr>
            <w:tcW w:w="1394" w:type="dxa"/>
            <w:vAlign w:val="top"/>
          </w:tcPr>
          <w:p w14:paraId="52DA4FAB">
            <w:pPr>
              <w:rPr>
                <w:rFonts w:ascii="Arial"/>
                <w:color w:val="auto"/>
                <w:sz w:val="21"/>
                <w:highlight w:val="none"/>
              </w:rPr>
            </w:pPr>
          </w:p>
        </w:tc>
        <w:tc>
          <w:tcPr>
            <w:tcW w:w="1577" w:type="dxa"/>
            <w:vAlign w:val="top"/>
          </w:tcPr>
          <w:p w14:paraId="5A0E27CA">
            <w:pPr>
              <w:rPr>
                <w:rFonts w:ascii="Arial"/>
                <w:color w:val="auto"/>
                <w:sz w:val="21"/>
                <w:highlight w:val="none"/>
              </w:rPr>
            </w:pPr>
          </w:p>
        </w:tc>
        <w:tc>
          <w:tcPr>
            <w:tcW w:w="1193" w:type="dxa"/>
            <w:vAlign w:val="top"/>
          </w:tcPr>
          <w:p w14:paraId="22A14EAE">
            <w:pPr>
              <w:rPr>
                <w:rFonts w:ascii="Arial"/>
                <w:color w:val="auto"/>
                <w:sz w:val="21"/>
                <w:highlight w:val="none"/>
              </w:rPr>
            </w:pPr>
          </w:p>
        </w:tc>
        <w:tc>
          <w:tcPr>
            <w:tcW w:w="1473" w:type="dxa"/>
            <w:vAlign w:val="top"/>
          </w:tcPr>
          <w:p w14:paraId="3A59236B">
            <w:pPr>
              <w:rPr>
                <w:rFonts w:ascii="Arial"/>
                <w:color w:val="auto"/>
                <w:sz w:val="21"/>
                <w:highlight w:val="none"/>
              </w:rPr>
            </w:pPr>
          </w:p>
        </w:tc>
        <w:tc>
          <w:tcPr>
            <w:tcW w:w="1557" w:type="dxa"/>
            <w:vAlign w:val="top"/>
          </w:tcPr>
          <w:p w14:paraId="53A1EEC2">
            <w:pPr>
              <w:rPr>
                <w:rFonts w:ascii="Arial"/>
                <w:color w:val="auto"/>
                <w:sz w:val="21"/>
                <w:highlight w:val="none"/>
              </w:rPr>
            </w:pPr>
          </w:p>
        </w:tc>
        <w:tc>
          <w:tcPr>
            <w:tcW w:w="987" w:type="dxa"/>
            <w:tcBorders>
              <w:right w:val="single" w:color="000000" w:sz="6" w:space="0"/>
            </w:tcBorders>
            <w:vAlign w:val="top"/>
          </w:tcPr>
          <w:p w14:paraId="7B629D03">
            <w:pPr>
              <w:rPr>
                <w:rFonts w:ascii="Arial"/>
                <w:color w:val="auto"/>
                <w:sz w:val="21"/>
                <w:highlight w:val="none"/>
              </w:rPr>
            </w:pPr>
          </w:p>
        </w:tc>
      </w:tr>
      <w:tr w14:paraId="2ED7AE6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146C0D0F">
            <w:pPr>
              <w:rPr>
                <w:rFonts w:ascii="Arial"/>
                <w:color w:val="auto"/>
                <w:sz w:val="21"/>
                <w:highlight w:val="none"/>
              </w:rPr>
            </w:pPr>
          </w:p>
        </w:tc>
        <w:tc>
          <w:tcPr>
            <w:tcW w:w="1394" w:type="dxa"/>
            <w:vAlign w:val="top"/>
          </w:tcPr>
          <w:p w14:paraId="53CD15CC">
            <w:pPr>
              <w:rPr>
                <w:rFonts w:ascii="Arial"/>
                <w:color w:val="auto"/>
                <w:sz w:val="21"/>
                <w:highlight w:val="none"/>
              </w:rPr>
            </w:pPr>
          </w:p>
        </w:tc>
        <w:tc>
          <w:tcPr>
            <w:tcW w:w="1577" w:type="dxa"/>
            <w:vAlign w:val="top"/>
          </w:tcPr>
          <w:p w14:paraId="2C5C499C">
            <w:pPr>
              <w:rPr>
                <w:rFonts w:ascii="Arial"/>
                <w:color w:val="auto"/>
                <w:sz w:val="21"/>
                <w:highlight w:val="none"/>
              </w:rPr>
            </w:pPr>
          </w:p>
        </w:tc>
        <w:tc>
          <w:tcPr>
            <w:tcW w:w="1193" w:type="dxa"/>
            <w:vAlign w:val="top"/>
          </w:tcPr>
          <w:p w14:paraId="21ACCDFB">
            <w:pPr>
              <w:rPr>
                <w:rFonts w:ascii="Arial"/>
                <w:color w:val="auto"/>
                <w:sz w:val="21"/>
                <w:highlight w:val="none"/>
              </w:rPr>
            </w:pPr>
          </w:p>
        </w:tc>
        <w:tc>
          <w:tcPr>
            <w:tcW w:w="1473" w:type="dxa"/>
            <w:vAlign w:val="top"/>
          </w:tcPr>
          <w:p w14:paraId="073051A1">
            <w:pPr>
              <w:rPr>
                <w:rFonts w:ascii="Arial"/>
                <w:color w:val="auto"/>
                <w:sz w:val="21"/>
                <w:highlight w:val="none"/>
              </w:rPr>
            </w:pPr>
          </w:p>
        </w:tc>
        <w:tc>
          <w:tcPr>
            <w:tcW w:w="1557" w:type="dxa"/>
            <w:vAlign w:val="top"/>
          </w:tcPr>
          <w:p w14:paraId="618BCBE0">
            <w:pPr>
              <w:rPr>
                <w:rFonts w:ascii="Arial"/>
                <w:color w:val="auto"/>
                <w:sz w:val="21"/>
                <w:highlight w:val="none"/>
              </w:rPr>
            </w:pPr>
          </w:p>
        </w:tc>
        <w:tc>
          <w:tcPr>
            <w:tcW w:w="987" w:type="dxa"/>
            <w:tcBorders>
              <w:right w:val="single" w:color="000000" w:sz="6" w:space="0"/>
            </w:tcBorders>
            <w:vAlign w:val="top"/>
          </w:tcPr>
          <w:p w14:paraId="7978097C">
            <w:pPr>
              <w:rPr>
                <w:rFonts w:ascii="Arial"/>
                <w:color w:val="auto"/>
                <w:sz w:val="21"/>
                <w:highlight w:val="none"/>
              </w:rPr>
            </w:pPr>
          </w:p>
        </w:tc>
      </w:tr>
      <w:tr w14:paraId="609D8F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7" w:type="dxa"/>
            <w:tcBorders>
              <w:left w:val="single" w:color="000000" w:sz="6" w:space="0"/>
            </w:tcBorders>
            <w:vAlign w:val="top"/>
          </w:tcPr>
          <w:p w14:paraId="5DDD3733">
            <w:pPr>
              <w:rPr>
                <w:rFonts w:ascii="Arial"/>
                <w:color w:val="auto"/>
                <w:sz w:val="21"/>
                <w:highlight w:val="none"/>
              </w:rPr>
            </w:pPr>
          </w:p>
        </w:tc>
        <w:tc>
          <w:tcPr>
            <w:tcW w:w="1394" w:type="dxa"/>
            <w:vAlign w:val="top"/>
          </w:tcPr>
          <w:p w14:paraId="0B9BEC88">
            <w:pPr>
              <w:rPr>
                <w:rFonts w:ascii="Arial"/>
                <w:color w:val="auto"/>
                <w:sz w:val="21"/>
                <w:highlight w:val="none"/>
              </w:rPr>
            </w:pPr>
          </w:p>
        </w:tc>
        <w:tc>
          <w:tcPr>
            <w:tcW w:w="1577" w:type="dxa"/>
            <w:vAlign w:val="top"/>
          </w:tcPr>
          <w:p w14:paraId="3D8A7B37">
            <w:pPr>
              <w:rPr>
                <w:rFonts w:ascii="Arial"/>
                <w:color w:val="auto"/>
                <w:sz w:val="21"/>
                <w:highlight w:val="none"/>
              </w:rPr>
            </w:pPr>
          </w:p>
        </w:tc>
        <w:tc>
          <w:tcPr>
            <w:tcW w:w="1193" w:type="dxa"/>
            <w:vAlign w:val="top"/>
          </w:tcPr>
          <w:p w14:paraId="18790529">
            <w:pPr>
              <w:rPr>
                <w:rFonts w:ascii="Arial"/>
                <w:color w:val="auto"/>
                <w:sz w:val="21"/>
                <w:highlight w:val="none"/>
              </w:rPr>
            </w:pPr>
          </w:p>
        </w:tc>
        <w:tc>
          <w:tcPr>
            <w:tcW w:w="1473" w:type="dxa"/>
            <w:vAlign w:val="top"/>
          </w:tcPr>
          <w:p w14:paraId="2B4DD2BC">
            <w:pPr>
              <w:rPr>
                <w:rFonts w:ascii="Arial"/>
                <w:color w:val="auto"/>
                <w:sz w:val="21"/>
                <w:highlight w:val="none"/>
              </w:rPr>
            </w:pPr>
          </w:p>
        </w:tc>
        <w:tc>
          <w:tcPr>
            <w:tcW w:w="1557" w:type="dxa"/>
            <w:vAlign w:val="top"/>
          </w:tcPr>
          <w:p w14:paraId="5996A896">
            <w:pPr>
              <w:rPr>
                <w:rFonts w:ascii="Arial"/>
                <w:color w:val="auto"/>
                <w:sz w:val="21"/>
                <w:highlight w:val="none"/>
              </w:rPr>
            </w:pPr>
          </w:p>
        </w:tc>
        <w:tc>
          <w:tcPr>
            <w:tcW w:w="987" w:type="dxa"/>
            <w:tcBorders>
              <w:right w:val="single" w:color="000000" w:sz="6" w:space="0"/>
            </w:tcBorders>
            <w:vAlign w:val="top"/>
          </w:tcPr>
          <w:p w14:paraId="74888FA3">
            <w:pPr>
              <w:rPr>
                <w:rFonts w:ascii="Arial"/>
                <w:color w:val="auto"/>
                <w:sz w:val="21"/>
                <w:highlight w:val="none"/>
              </w:rPr>
            </w:pPr>
          </w:p>
        </w:tc>
      </w:tr>
      <w:tr w14:paraId="537F69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163F2E8F">
            <w:pPr>
              <w:rPr>
                <w:rFonts w:ascii="Arial"/>
                <w:color w:val="auto"/>
                <w:sz w:val="21"/>
                <w:highlight w:val="none"/>
              </w:rPr>
            </w:pPr>
          </w:p>
        </w:tc>
        <w:tc>
          <w:tcPr>
            <w:tcW w:w="1394" w:type="dxa"/>
            <w:vAlign w:val="top"/>
          </w:tcPr>
          <w:p w14:paraId="10250A49">
            <w:pPr>
              <w:rPr>
                <w:rFonts w:ascii="Arial"/>
                <w:color w:val="auto"/>
                <w:sz w:val="21"/>
                <w:highlight w:val="none"/>
              </w:rPr>
            </w:pPr>
          </w:p>
        </w:tc>
        <w:tc>
          <w:tcPr>
            <w:tcW w:w="1577" w:type="dxa"/>
            <w:vAlign w:val="top"/>
          </w:tcPr>
          <w:p w14:paraId="3B4077BD">
            <w:pPr>
              <w:rPr>
                <w:rFonts w:ascii="Arial"/>
                <w:color w:val="auto"/>
                <w:sz w:val="21"/>
                <w:highlight w:val="none"/>
              </w:rPr>
            </w:pPr>
          </w:p>
        </w:tc>
        <w:tc>
          <w:tcPr>
            <w:tcW w:w="1193" w:type="dxa"/>
            <w:vAlign w:val="top"/>
          </w:tcPr>
          <w:p w14:paraId="64AA99B6">
            <w:pPr>
              <w:rPr>
                <w:rFonts w:ascii="Arial"/>
                <w:color w:val="auto"/>
                <w:sz w:val="21"/>
                <w:highlight w:val="none"/>
              </w:rPr>
            </w:pPr>
          </w:p>
        </w:tc>
        <w:tc>
          <w:tcPr>
            <w:tcW w:w="1473" w:type="dxa"/>
            <w:vAlign w:val="top"/>
          </w:tcPr>
          <w:p w14:paraId="1340E86D">
            <w:pPr>
              <w:rPr>
                <w:rFonts w:ascii="Arial"/>
                <w:color w:val="auto"/>
                <w:sz w:val="21"/>
                <w:highlight w:val="none"/>
              </w:rPr>
            </w:pPr>
          </w:p>
        </w:tc>
        <w:tc>
          <w:tcPr>
            <w:tcW w:w="1557" w:type="dxa"/>
            <w:vAlign w:val="top"/>
          </w:tcPr>
          <w:p w14:paraId="642AC160">
            <w:pPr>
              <w:rPr>
                <w:rFonts w:ascii="Arial"/>
                <w:color w:val="auto"/>
                <w:sz w:val="21"/>
                <w:highlight w:val="none"/>
              </w:rPr>
            </w:pPr>
          </w:p>
        </w:tc>
        <w:tc>
          <w:tcPr>
            <w:tcW w:w="987" w:type="dxa"/>
            <w:tcBorders>
              <w:right w:val="single" w:color="000000" w:sz="6" w:space="0"/>
            </w:tcBorders>
            <w:vAlign w:val="top"/>
          </w:tcPr>
          <w:p w14:paraId="75771C08">
            <w:pPr>
              <w:rPr>
                <w:rFonts w:ascii="Arial"/>
                <w:color w:val="auto"/>
                <w:sz w:val="21"/>
                <w:highlight w:val="none"/>
              </w:rPr>
            </w:pPr>
          </w:p>
        </w:tc>
      </w:tr>
      <w:tr w14:paraId="1E363A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2617D024">
            <w:pPr>
              <w:rPr>
                <w:rFonts w:ascii="Arial"/>
                <w:color w:val="auto"/>
                <w:sz w:val="21"/>
                <w:highlight w:val="none"/>
              </w:rPr>
            </w:pPr>
          </w:p>
        </w:tc>
        <w:tc>
          <w:tcPr>
            <w:tcW w:w="1394" w:type="dxa"/>
            <w:vAlign w:val="top"/>
          </w:tcPr>
          <w:p w14:paraId="3E1FFB3D">
            <w:pPr>
              <w:rPr>
                <w:rFonts w:ascii="Arial"/>
                <w:color w:val="auto"/>
                <w:sz w:val="21"/>
                <w:highlight w:val="none"/>
              </w:rPr>
            </w:pPr>
          </w:p>
        </w:tc>
        <w:tc>
          <w:tcPr>
            <w:tcW w:w="1577" w:type="dxa"/>
            <w:vAlign w:val="top"/>
          </w:tcPr>
          <w:p w14:paraId="752949AA">
            <w:pPr>
              <w:rPr>
                <w:rFonts w:ascii="Arial"/>
                <w:color w:val="auto"/>
                <w:sz w:val="21"/>
                <w:highlight w:val="none"/>
              </w:rPr>
            </w:pPr>
          </w:p>
        </w:tc>
        <w:tc>
          <w:tcPr>
            <w:tcW w:w="1193" w:type="dxa"/>
            <w:vAlign w:val="top"/>
          </w:tcPr>
          <w:p w14:paraId="75220608">
            <w:pPr>
              <w:rPr>
                <w:rFonts w:ascii="Arial"/>
                <w:color w:val="auto"/>
                <w:sz w:val="21"/>
                <w:highlight w:val="none"/>
              </w:rPr>
            </w:pPr>
          </w:p>
        </w:tc>
        <w:tc>
          <w:tcPr>
            <w:tcW w:w="1473" w:type="dxa"/>
            <w:vAlign w:val="top"/>
          </w:tcPr>
          <w:p w14:paraId="75E5319D">
            <w:pPr>
              <w:rPr>
                <w:rFonts w:ascii="Arial"/>
                <w:color w:val="auto"/>
                <w:sz w:val="21"/>
                <w:highlight w:val="none"/>
              </w:rPr>
            </w:pPr>
          </w:p>
        </w:tc>
        <w:tc>
          <w:tcPr>
            <w:tcW w:w="1557" w:type="dxa"/>
            <w:vAlign w:val="top"/>
          </w:tcPr>
          <w:p w14:paraId="23E942FF">
            <w:pPr>
              <w:rPr>
                <w:rFonts w:ascii="Arial"/>
                <w:color w:val="auto"/>
                <w:sz w:val="21"/>
                <w:highlight w:val="none"/>
              </w:rPr>
            </w:pPr>
          </w:p>
        </w:tc>
        <w:tc>
          <w:tcPr>
            <w:tcW w:w="987" w:type="dxa"/>
            <w:tcBorders>
              <w:right w:val="single" w:color="000000" w:sz="6" w:space="0"/>
            </w:tcBorders>
            <w:vAlign w:val="top"/>
          </w:tcPr>
          <w:p w14:paraId="19301753">
            <w:pPr>
              <w:rPr>
                <w:rFonts w:ascii="Arial"/>
                <w:color w:val="auto"/>
                <w:sz w:val="21"/>
                <w:highlight w:val="none"/>
              </w:rPr>
            </w:pPr>
          </w:p>
        </w:tc>
      </w:tr>
      <w:tr w14:paraId="2B0704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20E55997">
            <w:pPr>
              <w:rPr>
                <w:rFonts w:ascii="Arial"/>
                <w:color w:val="auto"/>
                <w:sz w:val="21"/>
                <w:highlight w:val="none"/>
              </w:rPr>
            </w:pPr>
          </w:p>
        </w:tc>
        <w:tc>
          <w:tcPr>
            <w:tcW w:w="1394" w:type="dxa"/>
            <w:vAlign w:val="top"/>
          </w:tcPr>
          <w:p w14:paraId="5543D608">
            <w:pPr>
              <w:rPr>
                <w:rFonts w:ascii="Arial"/>
                <w:color w:val="auto"/>
                <w:sz w:val="21"/>
                <w:highlight w:val="none"/>
              </w:rPr>
            </w:pPr>
          </w:p>
        </w:tc>
        <w:tc>
          <w:tcPr>
            <w:tcW w:w="1577" w:type="dxa"/>
            <w:vAlign w:val="top"/>
          </w:tcPr>
          <w:p w14:paraId="549B2DCD">
            <w:pPr>
              <w:rPr>
                <w:rFonts w:ascii="Arial"/>
                <w:color w:val="auto"/>
                <w:sz w:val="21"/>
                <w:highlight w:val="none"/>
              </w:rPr>
            </w:pPr>
          </w:p>
        </w:tc>
        <w:tc>
          <w:tcPr>
            <w:tcW w:w="1193" w:type="dxa"/>
            <w:vAlign w:val="top"/>
          </w:tcPr>
          <w:p w14:paraId="21DB7594">
            <w:pPr>
              <w:rPr>
                <w:rFonts w:ascii="Arial"/>
                <w:color w:val="auto"/>
                <w:sz w:val="21"/>
                <w:highlight w:val="none"/>
              </w:rPr>
            </w:pPr>
          </w:p>
        </w:tc>
        <w:tc>
          <w:tcPr>
            <w:tcW w:w="1473" w:type="dxa"/>
            <w:vAlign w:val="top"/>
          </w:tcPr>
          <w:p w14:paraId="710C3E68">
            <w:pPr>
              <w:rPr>
                <w:rFonts w:ascii="Arial"/>
                <w:color w:val="auto"/>
                <w:sz w:val="21"/>
                <w:highlight w:val="none"/>
              </w:rPr>
            </w:pPr>
          </w:p>
        </w:tc>
        <w:tc>
          <w:tcPr>
            <w:tcW w:w="1557" w:type="dxa"/>
            <w:vAlign w:val="top"/>
          </w:tcPr>
          <w:p w14:paraId="749EBE0E">
            <w:pPr>
              <w:rPr>
                <w:rFonts w:ascii="Arial"/>
                <w:color w:val="auto"/>
                <w:sz w:val="21"/>
                <w:highlight w:val="none"/>
              </w:rPr>
            </w:pPr>
          </w:p>
        </w:tc>
        <w:tc>
          <w:tcPr>
            <w:tcW w:w="987" w:type="dxa"/>
            <w:tcBorders>
              <w:right w:val="single" w:color="000000" w:sz="6" w:space="0"/>
            </w:tcBorders>
            <w:vAlign w:val="top"/>
          </w:tcPr>
          <w:p w14:paraId="4A10FF38">
            <w:pPr>
              <w:rPr>
                <w:rFonts w:ascii="Arial"/>
                <w:color w:val="auto"/>
                <w:sz w:val="21"/>
                <w:highlight w:val="none"/>
              </w:rPr>
            </w:pPr>
          </w:p>
        </w:tc>
      </w:tr>
      <w:tr w14:paraId="2B30F7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66E6E512">
            <w:pPr>
              <w:rPr>
                <w:rFonts w:ascii="Arial"/>
                <w:color w:val="auto"/>
                <w:sz w:val="21"/>
                <w:highlight w:val="none"/>
              </w:rPr>
            </w:pPr>
          </w:p>
        </w:tc>
        <w:tc>
          <w:tcPr>
            <w:tcW w:w="1394" w:type="dxa"/>
            <w:vAlign w:val="top"/>
          </w:tcPr>
          <w:p w14:paraId="4B5B3C0C">
            <w:pPr>
              <w:rPr>
                <w:rFonts w:ascii="Arial"/>
                <w:color w:val="auto"/>
                <w:sz w:val="21"/>
                <w:highlight w:val="none"/>
              </w:rPr>
            </w:pPr>
          </w:p>
        </w:tc>
        <w:tc>
          <w:tcPr>
            <w:tcW w:w="1577" w:type="dxa"/>
            <w:vAlign w:val="top"/>
          </w:tcPr>
          <w:p w14:paraId="1F39BAA5">
            <w:pPr>
              <w:rPr>
                <w:rFonts w:ascii="Arial"/>
                <w:color w:val="auto"/>
                <w:sz w:val="21"/>
                <w:highlight w:val="none"/>
              </w:rPr>
            </w:pPr>
          </w:p>
        </w:tc>
        <w:tc>
          <w:tcPr>
            <w:tcW w:w="1193" w:type="dxa"/>
            <w:vAlign w:val="top"/>
          </w:tcPr>
          <w:p w14:paraId="386BAA7F">
            <w:pPr>
              <w:rPr>
                <w:rFonts w:ascii="Arial"/>
                <w:color w:val="auto"/>
                <w:sz w:val="21"/>
                <w:highlight w:val="none"/>
              </w:rPr>
            </w:pPr>
          </w:p>
        </w:tc>
        <w:tc>
          <w:tcPr>
            <w:tcW w:w="1473" w:type="dxa"/>
            <w:vAlign w:val="top"/>
          </w:tcPr>
          <w:p w14:paraId="69BE5DBF">
            <w:pPr>
              <w:rPr>
                <w:rFonts w:ascii="Arial"/>
                <w:color w:val="auto"/>
                <w:sz w:val="21"/>
                <w:highlight w:val="none"/>
              </w:rPr>
            </w:pPr>
          </w:p>
        </w:tc>
        <w:tc>
          <w:tcPr>
            <w:tcW w:w="1557" w:type="dxa"/>
            <w:vAlign w:val="top"/>
          </w:tcPr>
          <w:p w14:paraId="6997E846">
            <w:pPr>
              <w:rPr>
                <w:rFonts w:ascii="Arial"/>
                <w:color w:val="auto"/>
                <w:sz w:val="21"/>
                <w:highlight w:val="none"/>
              </w:rPr>
            </w:pPr>
          </w:p>
        </w:tc>
        <w:tc>
          <w:tcPr>
            <w:tcW w:w="987" w:type="dxa"/>
            <w:tcBorders>
              <w:right w:val="single" w:color="000000" w:sz="6" w:space="0"/>
            </w:tcBorders>
            <w:vAlign w:val="top"/>
          </w:tcPr>
          <w:p w14:paraId="2D5CB291">
            <w:pPr>
              <w:rPr>
                <w:rFonts w:ascii="Arial"/>
                <w:color w:val="auto"/>
                <w:sz w:val="21"/>
                <w:highlight w:val="none"/>
              </w:rPr>
            </w:pPr>
          </w:p>
        </w:tc>
      </w:tr>
      <w:tr w14:paraId="226671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228308BC">
            <w:pPr>
              <w:rPr>
                <w:rFonts w:ascii="Arial"/>
                <w:color w:val="auto"/>
                <w:sz w:val="21"/>
                <w:highlight w:val="none"/>
              </w:rPr>
            </w:pPr>
          </w:p>
        </w:tc>
        <w:tc>
          <w:tcPr>
            <w:tcW w:w="1394" w:type="dxa"/>
            <w:vAlign w:val="top"/>
          </w:tcPr>
          <w:p w14:paraId="27817563">
            <w:pPr>
              <w:rPr>
                <w:rFonts w:ascii="Arial"/>
                <w:color w:val="auto"/>
                <w:sz w:val="21"/>
                <w:highlight w:val="none"/>
              </w:rPr>
            </w:pPr>
          </w:p>
        </w:tc>
        <w:tc>
          <w:tcPr>
            <w:tcW w:w="1577" w:type="dxa"/>
            <w:vAlign w:val="top"/>
          </w:tcPr>
          <w:p w14:paraId="6BB729A4">
            <w:pPr>
              <w:rPr>
                <w:rFonts w:ascii="Arial"/>
                <w:color w:val="auto"/>
                <w:sz w:val="21"/>
                <w:highlight w:val="none"/>
              </w:rPr>
            </w:pPr>
          </w:p>
        </w:tc>
        <w:tc>
          <w:tcPr>
            <w:tcW w:w="1193" w:type="dxa"/>
            <w:vAlign w:val="top"/>
          </w:tcPr>
          <w:p w14:paraId="22FCEAAB">
            <w:pPr>
              <w:rPr>
                <w:rFonts w:ascii="Arial"/>
                <w:color w:val="auto"/>
                <w:sz w:val="21"/>
                <w:highlight w:val="none"/>
              </w:rPr>
            </w:pPr>
          </w:p>
        </w:tc>
        <w:tc>
          <w:tcPr>
            <w:tcW w:w="1473" w:type="dxa"/>
            <w:vAlign w:val="top"/>
          </w:tcPr>
          <w:p w14:paraId="198F0977">
            <w:pPr>
              <w:rPr>
                <w:rFonts w:ascii="Arial"/>
                <w:color w:val="auto"/>
                <w:sz w:val="21"/>
                <w:highlight w:val="none"/>
              </w:rPr>
            </w:pPr>
          </w:p>
        </w:tc>
        <w:tc>
          <w:tcPr>
            <w:tcW w:w="1557" w:type="dxa"/>
            <w:vAlign w:val="top"/>
          </w:tcPr>
          <w:p w14:paraId="094366D1">
            <w:pPr>
              <w:rPr>
                <w:rFonts w:ascii="Arial"/>
                <w:color w:val="auto"/>
                <w:sz w:val="21"/>
                <w:highlight w:val="none"/>
              </w:rPr>
            </w:pPr>
          </w:p>
        </w:tc>
        <w:tc>
          <w:tcPr>
            <w:tcW w:w="987" w:type="dxa"/>
            <w:tcBorders>
              <w:right w:val="single" w:color="000000" w:sz="6" w:space="0"/>
            </w:tcBorders>
            <w:vAlign w:val="top"/>
          </w:tcPr>
          <w:p w14:paraId="20D34533">
            <w:pPr>
              <w:rPr>
                <w:rFonts w:ascii="Arial"/>
                <w:color w:val="auto"/>
                <w:sz w:val="21"/>
                <w:highlight w:val="none"/>
              </w:rPr>
            </w:pPr>
          </w:p>
        </w:tc>
      </w:tr>
      <w:tr w14:paraId="268BF8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27" w:type="dxa"/>
            <w:tcBorders>
              <w:left w:val="single" w:color="000000" w:sz="6" w:space="0"/>
            </w:tcBorders>
            <w:vAlign w:val="top"/>
          </w:tcPr>
          <w:p w14:paraId="04685661">
            <w:pPr>
              <w:rPr>
                <w:rFonts w:ascii="Arial"/>
                <w:color w:val="auto"/>
                <w:sz w:val="21"/>
                <w:highlight w:val="none"/>
              </w:rPr>
            </w:pPr>
          </w:p>
        </w:tc>
        <w:tc>
          <w:tcPr>
            <w:tcW w:w="1394" w:type="dxa"/>
            <w:vAlign w:val="top"/>
          </w:tcPr>
          <w:p w14:paraId="1DF07790">
            <w:pPr>
              <w:rPr>
                <w:rFonts w:ascii="Arial"/>
                <w:color w:val="auto"/>
                <w:sz w:val="21"/>
                <w:highlight w:val="none"/>
              </w:rPr>
            </w:pPr>
          </w:p>
        </w:tc>
        <w:tc>
          <w:tcPr>
            <w:tcW w:w="1577" w:type="dxa"/>
            <w:vAlign w:val="top"/>
          </w:tcPr>
          <w:p w14:paraId="6F6EB18C">
            <w:pPr>
              <w:rPr>
                <w:rFonts w:ascii="Arial"/>
                <w:color w:val="auto"/>
                <w:sz w:val="21"/>
                <w:highlight w:val="none"/>
              </w:rPr>
            </w:pPr>
          </w:p>
        </w:tc>
        <w:tc>
          <w:tcPr>
            <w:tcW w:w="1193" w:type="dxa"/>
            <w:vAlign w:val="top"/>
          </w:tcPr>
          <w:p w14:paraId="6B788139">
            <w:pPr>
              <w:rPr>
                <w:rFonts w:ascii="Arial"/>
                <w:color w:val="auto"/>
                <w:sz w:val="21"/>
                <w:highlight w:val="none"/>
              </w:rPr>
            </w:pPr>
          </w:p>
        </w:tc>
        <w:tc>
          <w:tcPr>
            <w:tcW w:w="1473" w:type="dxa"/>
            <w:vAlign w:val="top"/>
          </w:tcPr>
          <w:p w14:paraId="01F39A75">
            <w:pPr>
              <w:rPr>
                <w:rFonts w:ascii="Arial"/>
                <w:color w:val="auto"/>
                <w:sz w:val="21"/>
                <w:highlight w:val="none"/>
              </w:rPr>
            </w:pPr>
          </w:p>
        </w:tc>
        <w:tc>
          <w:tcPr>
            <w:tcW w:w="1557" w:type="dxa"/>
            <w:vAlign w:val="top"/>
          </w:tcPr>
          <w:p w14:paraId="414029A2">
            <w:pPr>
              <w:rPr>
                <w:rFonts w:ascii="Arial"/>
                <w:color w:val="auto"/>
                <w:sz w:val="21"/>
                <w:highlight w:val="none"/>
              </w:rPr>
            </w:pPr>
          </w:p>
        </w:tc>
        <w:tc>
          <w:tcPr>
            <w:tcW w:w="987" w:type="dxa"/>
            <w:tcBorders>
              <w:right w:val="single" w:color="000000" w:sz="6" w:space="0"/>
            </w:tcBorders>
            <w:vAlign w:val="top"/>
          </w:tcPr>
          <w:p w14:paraId="1CD70DB7">
            <w:pPr>
              <w:rPr>
                <w:rFonts w:ascii="Arial"/>
                <w:color w:val="auto"/>
                <w:sz w:val="21"/>
                <w:highlight w:val="none"/>
              </w:rPr>
            </w:pPr>
          </w:p>
        </w:tc>
      </w:tr>
      <w:tr w14:paraId="438CFB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top"/>
          </w:tcPr>
          <w:p w14:paraId="6D9A9F1B">
            <w:pPr>
              <w:rPr>
                <w:rFonts w:ascii="Arial"/>
                <w:color w:val="auto"/>
                <w:sz w:val="21"/>
                <w:highlight w:val="none"/>
              </w:rPr>
            </w:pPr>
          </w:p>
        </w:tc>
        <w:tc>
          <w:tcPr>
            <w:tcW w:w="1394" w:type="dxa"/>
            <w:vAlign w:val="top"/>
          </w:tcPr>
          <w:p w14:paraId="26DBEBDE">
            <w:pPr>
              <w:rPr>
                <w:rFonts w:ascii="Arial"/>
                <w:color w:val="auto"/>
                <w:sz w:val="21"/>
                <w:highlight w:val="none"/>
              </w:rPr>
            </w:pPr>
          </w:p>
        </w:tc>
        <w:tc>
          <w:tcPr>
            <w:tcW w:w="1577" w:type="dxa"/>
            <w:vAlign w:val="top"/>
          </w:tcPr>
          <w:p w14:paraId="5FE3DDA1">
            <w:pPr>
              <w:rPr>
                <w:rFonts w:ascii="Arial"/>
                <w:color w:val="auto"/>
                <w:sz w:val="21"/>
                <w:highlight w:val="none"/>
              </w:rPr>
            </w:pPr>
          </w:p>
        </w:tc>
        <w:tc>
          <w:tcPr>
            <w:tcW w:w="1193" w:type="dxa"/>
            <w:vAlign w:val="top"/>
          </w:tcPr>
          <w:p w14:paraId="0334E649">
            <w:pPr>
              <w:rPr>
                <w:rFonts w:ascii="Arial"/>
                <w:color w:val="auto"/>
                <w:sz w:val="21"/>
                <w:highlight w:val="none"/>
              </w:rPr>
            </w:pPr>
          </w:p>
        </w:tc>
        <w:tc>
          <w:tcPr>
            <w:tcW w:w="1473" w:type="dxa"/>
            <w:vAlign w:val="top"/>
          </w:tcPr>
          <w:p w14:paraId="7A83EB19">
            <w:pPr>
              <w:rPr>
                <w:rFonts w:ascii="Arial"/>
                <w:color w:val="auto"/>
                <w:sz w:val="21"/>
                <w:highlight w:val="none"/>
              </w:rPr>
            </w:pPr>
          </w:p>
        </w:tc>
        <w:tc>
          <w:tcPr>
            <w:tcW w:w="1557" w:type="dxa"/>
            <w:vAlign w:val="top"/>
          </w:tcPr>
          <w:p w14:paraId="787C2361">
            <w:pPr>
              <w:rPr>
                <w:rFonts w:ascii="Arial"/>
                <w:color w:val="auto"/>
                <w:sz w:val="21"/>
                <w:highlight w:val="none"/>
              </w:rPr>
            </w:pPr>
          </w:p>
        </w:tc>
        <w:tc>
          <w:tcPr>
            <w:tcW w:w="987" w:type="dxa"/>
            <w:tcBorders>
              <w:right w:val="single" w:color="000000" w:sz="6" w:space="0"/>
            </w:tcBorders>
            <w:vAlign w:val="top"/>
          </w:tcPr>
          <w:p w14:paraId="65BC4AD1">
            <w:pPr>
              <w:rPr>
                <w:rFonts w:ascii="Arial"/>
                <w:color w:val="auto"/>
                <w:sz w:val="21"/>
                <w:highlight w:val="none"/>
              </w:rPr>
            </w:pPr>
          </w:p>
        </w:tc>
      </w:tr>
      <w:tr w14:paraId="748BEB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top"/>
          </w:tcPr>
          <w:p w14:paraId="59D62FA3">
            <w:pPr>
              <w:rPr>
                <w:rFonts w:ascii="Arial"/>
                <w:color w:val="auto"/>
                <w:sz w:val="21"/>
                <w:highlight w:val="none"/>
              </w:rPr>
            </w:pPr>
          </w:p>
        </w:tc>
        <w:tc>
          <w:tcPr>
            <w:tcW w:w="1394" w:type="dxa"/>
            <w:vAlign w:val="top"/>
          </w:tcPr>
          <w:p w14:paraId="1528016F">
            <w:pPr>
              <w:rPr>
                <w:rFonts w:ascii="Arial"/>
                <w:color w:val="auto"/>
                <w:sz w:val="21"/>
                <w:highlight w:val="none"/>
              </w:rPr>
            </w:pPr>
          </w:p>
        </w:tc>
        <w:tc>
          <w:tcPr>
            <w:tcW w:w="1577" w:type="dxa"/>
            <w:vAlign w:val="top"/>
          </w:tcPr>
          <w:p w14:paraId="614F9646">
            <w:pPr>
              <w:rPr>
                <w:rFonts w:ascii="Arial"/>
                <w:color w:val="auto"/>
                <w:sz w:val="21"/>
                <w:highlight w:val="none"/>
              </w:rPr>
            </w:pPr>
          </w:p>
        </w:tc>
        <w:tc>
          <w:tcPr>
            <w:tcW w:w="1193" w:type="dxa"/>
            <w:vAlign w:val="top"/>
          </w:tcPr>
          <w:p w14:paraId="1080E871">
            <w:pPr>
              <w:rPr>
                <w:rFonts w:ascii="Arial"/>
                <w:color w:val="auto"/>
                <w:sz w:val="21"/>
                <w:highlight w:val="none"/>
              </w:rPr>
            </w:pPr>
          </w:p>
        </w:tc>
        <w:tc>
          <w:tcPr>
            <w:tcW w:w="1473" w:type="dxa"/>
            <w:vAlign w:val="top"/>
          </w:tcPr>
          <w:p w14:paraId="01AD4BC8">
            <w:pPr>
              <w:rPr>
                <w:rFonts w:ascii="Arial"/>
                <w:color w:val="auto"/>
                <w:sz w:val="21"/>
                <w:highlight w:val="none"/>
              </w:rPr>
            </w:pPr>
          </w:p>
        </w:tc>
        <w:tc>
          <w:tcPr>
            <w:tcW w:w="1557" w:type="dxa"/>
            <w:vAlign w:val="top"/>
          </w:tcPr>
          <w:p w14:paraId="31170C8A">
            <w:pPr>
              <w:rPr>
                <w:rFonts w:ascii="Arial"/>
                <w:color w:val="auto"/>
                <w:sz w:val="21"/>
                <w:highlight w:val="none"/>
              </w:rPr>
            </w:pPr>
          </w:p>
        </w:tc>
        <w:tc>
          <w:tcPr>
            <w:tcW w:w="987" w:type="dxa"/>
            <w:tcBorders>
              <w:right w:val="single" w:color="000000" w:sz="6" w:space="0"/>
            </w:tcBorders>
            <w:vAlign w:val="top"/>
          </w:tcPr>
          <w:p w14:paraId="02388674">
            <w:pPr>
              <w:rPr>
                <w:rFonts w:ascii="Arial"/>
                <w:color w:val="auto"/>
                <w:sz w:val="21"/>
                <w:highlight w:val="none"/>
              </w:rPr>
            </w:pPr>
          </w:p>
        </w:tc>
      </w:tr>
      <w:tr w14:paraId="34F5CB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top"/>
          </w:tcPr>
          <w:p w14:paraId="1D8B119E">
            <w:pPr>
              <w:rPr>
                <w:rFonts w:ascii="Arial"/>
                <w:color w:val="auto"/>
                <w:sz w:val="21"/>
                <w:highlight w:val="none"/>
              </w:rPr>
            </w:pPr>
          </w:p>
        </w:tc>
        <w:tc>
          <w:tcPr>
            <w:tcW w:w="1394" w:type="dxa"/>
            <w:vAlign w:val="top"/>
          </w:tcPr>
          <w:p w14:paraId="5791E96A">
            <w:pPr>
              <w:rPr>
                <w:rFonts w:ascii="Arial"/>
                <w:color w:val="auto"/>
                <w:sz w:val="21"/>
                <w:highlight w:val="none"/>
              </w:rPr>
            </w:pPr>
          </w:p>
        </w:tc>
        <w:tc>
          <w:tcPr>
            <w:tcW w:w="1577" w:type="dxa"/>
            <w:vAlign w:val="top"/>
          </w:tcPr>
          <w:p w14:paraId="7A9B3603">
            <w:pPr>
              <w:rPr>
                <w:rFonts w:ascii="Arial"/>
                <w:color w:val="auto"/>
                <w:sz w:val="21"/>
                <w:highlight w:val="none"/>
              </w:rPr>
            </w:pPr>
          </w:p>
        </w:tc>
        <w:tc>
          <w:tcPr>
            <w:tcW w:w="1193" w:type="dxa"/>
            <w:vAlign w:val="top"/>
          </w:tcPr>
          <w:p w14:paraId="06F43972">
            <w:pPr>
              <w:rPr>
                <w:rFonts w:ascii="Arial"/>
                <w:color w:val="auto"/>
                <w:sz w:val="21"/>
                <w:highlight w:val="none"/>
              </w:rPr>
            </w:pPr>
          </w:p>
        </w:tc>
        <w:tc>
          <w:tcPr>
            <w:tcW w:w="1473" w:type="dxa"/>
            <w:vAlign w:val="top"/>
          </w:tcPr>
          <w:p w14:paraId="32A27D52">
            <w:pPr>
              <w:rPr>
                <w:rFonts w:ascii="Arial"/>
                <w:color w:val="auto"/>
                <w:sz w:val="21"/>
                <w:highlight w:val="none"/>
              </w:rPr>
            </w:pPr>
          </w:p>
        </w:tc>
        <w:tc>
          <w:tcPr>
            <w:tcW w:w="1557" w:type="dxa"/>
            <w:vAlign w:val="top"/>
          </w:tcPr>
          <w:p w14:paraId="0C435205">
            <w:pPr>
              <w:rPr>
                <w:rFonts w:ascii="Arial"/>
                <w:color w:val="auto"/>
                <w:sz w:val="21"/>
                <w:highlight w:val="none"/>
              </w:rPr>
            </w:pPr>
          </w:p>
        </w:tc>
        <w:tc>
          <w:tcPr>
            <w:tcW w:w="987" w:type="dxa"/>
            <w:tcBorders>
              <w:right w:val="single" w:color="000000" w:sz="6" w:space="0"/>
            </w:tcBorders>
            <w:vAlign w:val="top"/>
          </w:tcPr>
          <w:p w14:paraId="15E2AD8F">
            <w:pPr>
              <w:rPr>
                <w:rFonts w:ascii="Arial"/>
                <w:color w:val="auto"/>
                <w:sz w:val="21"/>
                <w:highlight w:val="none"/>
              </w:rPr>
            </w:pPr>
          </w:p>
        </w:tc>
      </w:tr>
      <w:tr w14:paraId="1C64B9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top"/>
          </w:tcPr>
          <w:p w14:paraId="4D8EEBC3">
            <w:pPr>
              <w:rPr>
                <w:rFonts w:ascii="Arial"/>
                <w:color w:val="auto"/>
                <w:sz w:val="21"/>
                <w:highlight w:val="none"/>
              </w:rPr>
            </w:pPr>
          </w:p>
        </w:tc>
        <w:tc>
          <w:tcPr>
            <w:tcW w:w="1394" w:type="dxa"/>
            <w:vAlign w:val="top"/>
          </w:tcPr>
          <w:p w14:paraId="0CEF1C41">
            <w:pPr>
              <w:rPr>
                <w:rFonts w:ascii="Arial"/>
                <w:color w:val="auto"/>
                <w:sz w:val="21"/>
                <w:highlight w:val="none"/>
              </w:rPr>
            </w:pPr>
          </w:p>
        </w:tc>
        <w:tc>
          <w:tcPr>
            <w:tcW w:w="1577" w:type="dxa"/>
            <w:vAlign w:val="top"/>
          </w:tcPr>
          <w:p w14:paraId="42DFB267">
            <w:pPr>
              <w:rPr>
                <w:rFonts w:ascii="Arial"/>
                <w:color w:val="auto"/>
                <w:sz w:val="21"/>
                <w:highlight w:val="none"/>
              </w:rPr>
            </w:pPr>
          </w:p>
        </w:tc>
        <w:tc>
          <w:tcPr>
            <w:tcW w:w="1193" w:type="dxa"/>
            <w:vAlign w:val="top"/>
          </w:tcPr>
          <w:p w14:paraId="7F48270C">
            <w:pPr>
              <w:rPr>
                <w:rFonts w:ascii="Arial"/>
                <w:color w:val="auto"/>
                <w:sz w:val="21"/>
                <w:highlight w:val="none"/>
              </w:rPr>
            </w:pPr>
          </w:p>
        </w:tc>
        <w:tc>
          <w:tcPr>
            <w:tcW w:w="1473" w:type="dxa"/>
            <w:vAlign w:val="top"/>
          </w:tcPr>
          <w:p w14:paraId="57DBF054">
            <w:pPr>
              <w:rPr>
                <w:rFonts w:ascii="Arial"/>
                <w:color w:val="auto"/>
                <w:sz w:val="21"/>
                <w:highlight w:val="none"/>
              </w:rPr>
            </w:pPr>
          </w:p>
        </w:tc>
        <w:tc>
          <w:tcPr>
            <w:tcW w:w="1557" w:type="dxa"/>
            <w:vAlign w:val="top"/>
          </w:tcPr>
          <w:p w14:paraId="645AC91C">
            <w:pPr>
              <w:rPr>
                <w:rFonts w:ascii="Arial"/>
                <w:color w:val="auto"/>
                <w:sz w:val="21"/>
                <w:highlight w:val="none"/>
              </w:rPr>
            </w:pPr>
          </w:p>
        </w:tc>
        <w:tc>
          <w:tcPr>
            <w:tcW w:w="987" w:type="dxa"/>
            <w:tcBorders>
              <w:right w:val="single" w:color="000000" w:sz="6" w:space="0"/>
            </w:tcBorders>
            <w:vAlign w:val="top"/>
          </w:tcPr>
          <w:p w14:paraId="3F69409D">
            <w:pPr>
              <w:rPr>
                <w:rFonts w:ascii="Arial"/>
                <w:color w:val="auto"/>
                <w:sz w:val="21"/>
                <w:highlight w:val="none"/>
              </w:rPr>
            </w:pPr>
          </w:p>
        </w:tc>
      </w:tr>
      <w:tr w14:paraId="74EEA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top"/>
          </w:tcPr>
          <w:p w14:paraId="3C920F8B">
            <w:pPr>
              <w:rPr>
                <w:rFonts w:ascii="Arial"/>
                <w:color w:val="auto"/>
                <w:sz w:val="21"/>
                <w:highlight w:val="none"/>
              </w:rPr>
            </w:pPr>
          </w:p>
        </w:tc>
        <w:tc>
          <w:tcPr>
            <w:tcW w:w="1394" w:type="dxa"/>
            <w:vAlign w:val="top"/>
          </w:tcPr>
          <w:p w14:paraId="1B9380E4">
            <w:pPr>
              <w:rPr>
                <w:rFonts w:ascii="Arial"/>
                <w:color w:val="auto"/>
                <w:sz w:val="21"/>
                <w:highlight w:val="none"/>
              </w:rPr>
            </w:pPr>
          </w:p>
        </w:tc>
        <w:tc>
          <w:tcPr>
            <w:tcW w:w="1577" w:type="dxa"/>
            <w:vAlign w:val="top"/>
          </w:tcPr>
          <w:p w14:paraId="1DCDA0C4">
            <w:pPr>
              <w:rPr>
                <w:rFonts w:ascii="Arial"/>
                <w:color w:val="auto"/>
                <w:sz w:val="21"/>
                <w:highlight w:val="none"/>
              </w:rPr>
            </w:pPr>
          </w:p>
        </w:tc>
        <w:tc>
          <w:tcPr>
            <w:tcW w:w="1193" w:type="dxa"/>
            <w:vAlign w:val="top"/>
          </w:tcPr>
          <w:p w14:paraId="555401F9">
            <w:pPr>
              <w:rPr>
                <w:rFonts w:ascii="Arial"/>
                <w:color w:val="auto"/>
                <w:sz w:val="21"/>
                <w:highlight w:val="none"/>
              </w:rPr>
            </w:pPr>
          </w:p>
        </w:tc>
        <w:tc>
          <w:tcPr>
            <w:tcW w:w="1473" w:type="dxa"/>
            <w:vAlign w:val="top"/>
          </w:tcPr>
          <w:p w14:paraId="58AE9517">
            <w:pPr>
              <w:rPr>
                <w:rFonts w:ascii="Arial"/>
                <w:color w:val="auto"/>
                <w:sz w:val="21"/>
                <w:highlight w:val="none"/>
              </w:rPr>
            </w:pPr>
          </w:p>
        </w:tc>
        <w:tc>
          <w:tcPr>
            <w:tcW w:w="1557" w:type="dxa"/>
            <w:vAlign w:val="top"/>
          </w:tcPr>
          <w:p w14:paraId="2E7F9A40">
            <w:pPr>
              <w:rPr>
                <w:rFonts w:ascii="Arial"/>
                <w:color w:val="auto"/>
                <w:sz w:val="21"/>
                <w:highlight w:val="none"/>
              </w:rPr>
            </w:pPr>
          </w:p>
        </w:tc>
        <w:tc>
          <w:tcPr>
            <w:tcW w:w="987" w:type="dxa"/>
            <w:tcBorders>
              <w:right w:val="single" w:color="000000" w:sz="6" w:space="0"/>
            </w:tcBorders>
            <w:vAlign w:val="top"/>
          </w:tcPr>
          <w:p w14:paraId="53BA5C11">
            <w:pPr>
              <w:rPr>
                <w:rFonts w:ascii="Arial"/>
                <w:color w:val="auto"/>
                <w:sz w:val="21"/>
                <w:highlight w:val="none"/>
              </w:rPr>
            </w:pPr>
          </w:p>
        </w:tc>
      </w:tr>
      <w:tr w14:paraId="427A1F4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827" w:type="dxa"/>
            <w:tcBorders>
              <w:left w:val="single" w:color="000000" w:sz="6" w:space="0"/>
            </w:tcBorders>
            <w:vAlign w:val="top"/>
          </w:tcPr>
          <w:p w14:paraId="41E67783">
            <w:pPr>
              <w:rPr>
                <w:rFonts w:ascii="Arial"/>
                <w:color w:val="auto"/>
                <w:sz w:val="21"/>
                <w:highlight w:val="none"/>
              </w:rPr>
            </w:pPr>
          </w:p>
        </w:tc>
        <w:tc>
          <w:tcPr>
            <w:tcW w:w="1394" w:type="dxa"/>
            <w:vAlign w:val="top"/>
          </w:tcPr>
          <w:p w14:paraId="0FA6BD2E">
            <w:pPr>
              <w:rPr>
                <w:rFonts w:ascii="Arial"/>
                <w:color w:val="auto"/>
                <w:sz w:val="21"/>
                <w:highlight w:val="none"/>
              </w:rPr>
            </w:pPr>
          </w:p>
        </w:tc>
        <w:tc>
          <w:tcPr>
            <w:tcW w:w="1577" w:type="dxa"/>
            <w:vAlign w:val="top"/>
          </w:tcPr>
          <w:p w14:paraId="0ADDD3BA">
            <w:pPr>
              <w:rPr>
                <w:rFonts w:ascii="Arial"/>
                <w:color w:val="auto"/>
                <w:sz w:val="21"/>
                <w:highlight w:val="none"/>
              </w:rPr>
            </w:pPr>
          </w:p>
        </w:tc>
        <w:tc>
          <w:tcPr>
            <w:tcW w:w="1193" w:type="dxa"/>
            <w:vAlign w:val="top"/>
          </w:tcPr>
          <w:p w14:paraId="1B213BFF">
            <w:pPr>
              <w:rPr>
                <w:rFonts w:ascii="Arial"/>
                <w:color w:val="auto"/>
                <w:sz w:val="21"/>
                <w:highlight w:val="none"/>
              </w:rPr>
            </w:pPr>
          </w:p>
        </w:tc>
        <w:tc>
          <w:tcPr>
            <w:tcW w:w="1473" w:type="dxa"/>
            <w:vAlign w:val="top"/>
          </w:tcPr>
          <w:p w14:paraId="06C630EF">
            <w:pPr>
              <w:rPr>
                <w:rFonts w:ascii="Arial"/>
                <w:color w:val="auto"/>
                <w:sz w:val="21"/>
                <w:highlight w:val="none"/>
              </w:rPr>
            </w:pPr>
          </w:p>
        </w:tc>
        <w:tc>
          <w:tcPr>
            <w:tcW w:w="1557" w:type="dxa"/>
            <w:vAlign w:val="top"/>
          </w:tcPr>
          <w:p w14:paraId="6389EC78">
            <w:pPr>
              <w:rPr>
                <w:rFonts w:ascii="Arial"/>
                <w:color w:val="auto"/>
                <w:sz w:val="21"/>
                <w:highlight w:val="none"/>
              </w:rPr>
            </w:pPr>
          </w:p>
        </w:tc>
        <w:tc>
          <w:tcPr>
            <w:tcW w:w="987" w:type="dxa"/>
            <w:tcBorders>
              <w:right w:val="single" w:color="000000" w:sz="6" w:space="0"/>
            </w:tcBorders>
            <w:vAlign w:val="top"/>
          </w:tcPr>
          <w:p w14:paraId="5CDA3E4F">
            <w:pPr>
              <w:rPr>
                <w:rFonts w:ascii="Arial"/>
                <w:color w:val="auto"/>
                <w:sz w:val="21"/>
                <w:highlight w:val="none"/>
              </w:rPr>
            </w:pPr>
          </w:p>
        </w:tc>
      </w:tr>
      <w:tr w14:paraId="14C6C1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827" w:type="dxa"/>
            <w:tcBorders>
              <w:left w:val="single" w:color="000000" w:sz="6" w:space="0"/>
            </w:tcBorders>
            <w:vAlign w:val="top"/>
          </w:tcPr>
          <w:p w14:paraId="6B1D6699">
            <w:pPr>
              <w:rPr>
                <w:rFonts w:ascii="Arial"/>
                <w:color w:val="auto"/>
                <w:sz w:val="21"/>
                <w:highlight w:val="none"/>
              </w:rPr>
            </w:pPr>
          </w:p>
        </w:tc>
        <w:tc>
          <w:tcPr>
            <w:tcW w:w="1394" w:type="dxa"/>
            <w:vAlign w:val="top"/>
          </w:tcPr>
          <w:p w14:paraId="05AA8515">
            <w:pPr>
              <w:rPr>
                <w:rFonts w:ascii="Arial"/>
                <w:color w:val="auto"/>
                <w:sz w:val="21"/>
                <w:highlight w:val="none"/>
              </w:rPr>
            </w:pPr>
          </w:p>
        </w:tc>
        <w:tc>
          <w:tcPr>
            <w:tcW w:w="1577" w:type="dxa"/>
            <w:vAlign w:val="top"/>
          </w:tcPr>
          <w:p w14:paraId="5E436BD3">
            <w:pPr>
              <w:rPr>
                <w:rFonts w:ascii="Arial"/>
                <w:color w:val="auto"/>
                <w:sz w:val="21"/>
                <w:highlight w:val="none"/>
              </w:rPr>
            </w:pPr>
          </w:p>
        </w:tc>
        <w:tc>
          <w:tcPr>
            <w:tcW w:w="1193" w:type="dxa"/>
            <w:vAlign w:val="top"/>
          </w:tcPr>
          <w:p w14:paraId="547CAAFE">
            <w:pPr>
              <w:rPr>
                <w:rFonts w:ascii="Arial"/>
                <w:color w:val="auto"/>
                <w:sz w:val="21"/>
                <w:highlight w:val="none"/>
              </w:rPr>
            </w:pPr>
          </w:p>
        </w:tc>
        <w:tc>
          <w:tcPr>
            <w:tcW w:w="1473" w:type="dxa"/>
            <w:vAlign w:val="top"/>
          </w:tcPr>
          <w:p w14:paraId="627CCC9C">
            <w:pPr>
              <w:rPr>
                <w:rFonts w:ascii="Arial"/>
                <w:color w:val="auto"/>
                <w:sz w:val="21"/>
                <w:highlight w:val="none"/>
              </w:rPr>
            </w:pPr>
          </w:p>
        </w:tc>
        <w:tc>
          <w:tcPr>
            <w:tcW w:w="1557" w:type="dxa"/>
            <w:vAlign w:val="top"/>
          </w:tcPr>
          <w:p w14:paraId="70B66025">
            <w:pPr>
              <w:rPr>
                <w:rFonts w:ascii="Arial"/>
                <w:color w:val="auto"/>
                <w:sz w:val="21"/>
                <w:highlight w:val="none"/>
              </w:rPr>
            </w:pPr>
          </w:p>
        </w:tc>
        <w:tc>
          <w:tcPr>
            <w:tcW w:w="987" w:type="dxa"/>
            <w:tcBorders>
              <w:right w:val="single" w:color="000000" w:sz="6" w:space="0"/>
            </w:tcBorders>
            <w:vAlign w:val="top"/>
          </w:tcPr>
          <w:p w14:paraId="042E274D">
            <w:pPr>
              <w:rPr>
                <w:rFonts w:ascii="Arial"/>
                <w:color w:val="auto"/>
                <w:sz w:val="21"/>
                <w:highlight w:val="none"/>
              </w:rPr>
            </w:pPr>
          </w:p>
        </w:tc>
      </w:tr>
      <w:tr w14:paraId="14527E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827" w:type="dxa"/>
            <w:tcBorders>
              <w:left w:val="single" w:color="000000" w:sz="6" w:space="0"/>
              <w:bottom w:val="single" w:color="000000" w:sz="6" w:space="0"/>
            </w:tcBorders>
            <w:vAlign w:val="top"/>
          </w:tcPr>
          <w:p w14:paraId="2D5AF69F">
            <w:pPr>
              <w:rPr>
                <w:rFonts w:ascii="Arial"/>
                <w:color w:val="auto"/>
                <w:sz w:val="21"/>
                <w:highlight w:val="none"/>
              </w:rPr>
            </w:pPr>
          </w:p>
        </w:tc>
        <w:tc>
          <w:tcPr>
            <w:tcW w:w="1394" w:type="dxa"/>
            <w:tcBorders>
              <w:bottom w:val="single" w:color="000000" w:sz="6" w:space="0"/>
            </w:tcBorders>
            <w:vAlign w:val="top"/>
          </w:tcPr>
          <w:p w14:paraId="5E1111DF">
            <w:pPr>
              <w:rPr>
                <w:rFonts w:ascii="Arial"/>
                <w:color w:val="auto"/>
                <w:sz w:val="21"/>
                <w:highlight w:val="none"/>
              </w:rPr>
            </w:pPr>
          </w:p>
        </w:tc>
        <w:tc>
          <w:tcPr>
            <w:tcW w:w="1577" w:type="dxa"/>
            <w:tcBorders>
              <w:bottom w:val="single" w:color="000000" w:sz="6" w:space="0"/>
            </w:tcBorders>
            <w:vAlign w:val="top"/>
          </w:tcPr>
          <w:p w14:paraId="5330C5E2">
            <w:pPr>
              <w:rPr>
                <w:rFonts w:ascii="Arial"/>
                <w:color w:val="auto"/>
                <w:sz w:val="21"/>
                <w:highlight w:val="none"/>
              </w:rPr>
            </w:pPr>
          </w:p>
        </w:tc>
        <w:tc>
          <w:tcPr>
            <w:tcW w:w="1193" w:type="dxa"/>
            <w:tcBorders>
              <w:bottom w:val="single" w:color="000000" w:sz="6" w:space="0"/>
            </w:tcBorders>
            <w:vAlign w:val="top"/>
          </w:tcPr>
          <w:p w14:paraId="4CC00BC7">
            <w:pPr>
              <w:rPr>
                <w:rFonts w:ascii="Arial"/>
                <w:color w:val="auto"/>
                <w:sz w:val="21"/>
                <w:highlight w:val="none"/>
              </w:rPr>
            </w:pPr>
          </w:p>
        </w:tc>
        <w:tc>
          <w:tcPr>
            <w:tcW w:w="1473" w:type="dxa"/>
            <w:tcBorders>
              <w:bottom w:val="single" w:color="000000" w:sz="6" w:space="0"/>
            </w:tcBorders>
            <w:vAlign w:val="top"/>
          </w:tcPr>
          <w:p w14:paraId="6D9DA84B">
            <w:pPr>
              <w:rPr>
                <w:rFonts w:ascii="Arial"/>
                <w:color w:val="auto"/>
                <w:sz w:val="21"/>
                <w:highlight w:val="none"/>
              </w:rPr>
            </w:pPr>
          </w:p>
        </w:tc>
        <w:tc>
          <w:tcPr>
            <w:tcW w:w="1557" w:type="dxa"/>
            <w:tcBorders>
              <w:bottom w:val="single" w:color="000000" w:sz="6" w:space="0"/>
            </w:tcBorders>
            <w:vAlign w:val="top"/>
          </w:tcPr>
          <w:p w14:paraId="21D8611E">
            <w:pPr>
              <w:rPr>
                <w:rFonts w:ascii="Arial"/>
                <w:color w:val="auto"/>
                <w:sz w:val="21"/>
                <w:highlight w:val="none"/>
              </w:rPr>
            </w:pPr>
          </w:p>
        </w:tc>
        <w:tc>
          <w:tcPr>
            <w:tcW w:w="987" w:type="dxa"/>
            <w:tcBorders>
              <w:bottom w:val="single" w:color="000000" w:sz="6" w:space="0"/>
              <w:right w:val="single" w:color="000000" w:sz="6" w:space="0"/>
            </w:tcBorders>
            <w:vAlign w:val="top"/>
          </w:tcPr>
          <w:p w14:paraId="1E882C4B">
            <w:pPr>
              <w:rPr>
                <w:rFonts w:ascii="Arial"/>
                <w:color w:val="auto"/>
                <w:sz w:val="21"/>
                <w:highlight w:val="none"/>
              </w:rPr>
            </w:pPr>
          </w:p>
        </w:tc>
      </w:tr>
    </w:tbl>
    <w:p w14:paraId="7E9012CB">
      <w:pPr>
        <w:spacing w:before="30" w:line="211" w:lineRule="auto"/>
        <w:rPr>
          <w:rFonts w:ascii="宋体" w:hAnsi="宋体" w:eastAsia="宋体" w:cs="宋体"/>
          <w:color w:val="auto"/>
          <w:sz w:val="22"/>
          <w:szCs w:val="22"/>
          <w:highlight w:val="none"/>
        </w:rPr>
      </w:pPr>
      <w:r>
        <w:rPr>
          <w:rFonts w:ascii="宋体" w:hAnsi="宋体" w:eastAsia="宋体" w:cs="宋体"/>
          <w:i/>
          <w:iCs/>
          <w:color w:val="auto"/>
          <w:spacing w:val="-6"/>
          <w:sz w:val="22"/>
          <w:szCs w:val="22"/>
          <w:highlight w:val="none"/>
        </w:rPr>
        <w:t>注：招标人不供应材料的，本表删除。</w:t>
      </w:r>
    </w:p>
    <w:p w14:paraId="50BF35D4">
      <w:pPr>
        <w:spacing w:line="211" w:lineRule="auto"/>
        <w:rPr>
          <w:rFonts w:ascii="宋体" w:hAnsi="宋体" w:eastAsia="宋体" w:cs="宋体"/>
          <w:color w:val="auto"/>
          <w:sz w:val="22"/>
          <w:szCs w:val="22"/>
          <w:highlight w:val="none"/>
        </w:rPr>
        <w:sectPr>
          <w:pgSz w:w="11905" w:h="16843"/>
          <w:pgMar w:top="1429" w:right="1361" w:bottom="1253" w:left="1621" w:header="0" w:footer="1094" w:gutter="0"/>
          <w:pgNumType w:fmt="decimal"/>
          <w:cols w:space="0" w:num="1"/>
          <w:rtlGutter w:val="0"/>
          <w:docGrid w:linePitch="0" w:charSpace="0"/>
        </w:sectPr>
      </w:pPr>
    </w:p>
    <w:p w14:paraId="71CA9582">
      <w:pPr>
        <w:spacing w:before="47" w:line="219" w:lineRule="auto"/>
        <w:ind w:left="3201"/>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招标人提供施工设施表</w:t>
      </w:r>
    </w:p>
    <w:p w14:paraId="39E9584F">
      <w:pPr>
        <w:spacing w:before="176" w:line="221" w:lineRule="auto"/>
        <w:ind w:left="13"/>
        <w:rPr>
          <w:rFonts w:ascii="宋体" w:hAnsi="宋体" w:eastAsia="宋体" w:cs="宋体"/>
          <w:color w:val="auto"/>
          <w:sz w:val="21"/>
          <w:szCs w:val="21"/>
          <w:highlight w:val="none"/>
        </w:rPr>
      </w:pPr>
      <w:r>
        <w:rPr>
          <w:rFonts w:ascii="宋体" w:hAnsi="宋体" w:eastAsia="宋体" w:cs="宋体"/>
          <w:color w:val="auto"/>
          <w:sz w:val="21"/>
          <w:szCs w:val="21"/>
          <w:highlight w:val="none"/>
        </w:rPr>
        <w:t>项目及标段名称：</w:t>
      </w:r>
      <w:r>
        <w:rPr>
          <w:rFonts w:ascii="宋体" w:hAnsi="宋体" w:eastAsia="宋体" w:cs="宋体"/>
          <w:color w:val="auto"/>
          <w:sz w:val="21"/>
          <w:szCs w:val="21"/>
          <w:highlight w:val="none"/>
          <w:u w:val="single" w:color="auto"/>
        </w:rPr>
        <w:t xml:space="preserve">                                </w:t>
      </w:r>
      <w:r>
        <w:rPr>
          <w:rFonts w:ascii="宋体" w:hAnsi="宋体" w:eastAsia="宋体" w:cs="宋体"/>
          <w:color w:val="auto"/>
          <w:spacing w:val="-1"/>
          <w:sz w:val="21"/>
          <w:szCs w:val="21"/>
          <w:highlight w:val="none"/>
          <w:u w:val="single" w:color="auto"/>
        </w:rPr>
        <w:t xml:space="preserve">    </w:t>
      </w:r>
      <w:r>
        <w:rPr>
          <w:rFonts w:ascii="宋体" w:hAnsi="宋体" w:eastAsia="宋体" w:cs="宋体"/>
          <w:color w:val="auto"/>
          <w:spacing w:val="-1"/>
          <w:sz w:val="21"/>
          <w:szCs w:val="21"/>
          <w:highlight w:val="none"/>
        </w:rPr>
        <w:t xml:space="preserve">                 第</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页共</w:t>
      </w:r>
      <w:r>
        <w:rPr>
          <w:rFonts w:ascii="宋体" w:hAnsi="宋体" w:eastAsia="宋体" w:cs="宋体"/>
          <w:color w:val="auto"/>
          <w:spacing w:val="4"/>
          <w:sz w:val="21"/>
          <w:szCs w:val="21"/>
          <w:highlight w:val="none"/>
        </w:rPr>
        <w:t xml:space="preserve">   </w:t>
      </w:r>
      <w:r>
        <w:rPr>
          <w:rFonts w:ascii="宋体" w:hAnsi="宋体" w:eastAsia="宋体" w:cs="宋体"/>
          <w:color w:val="auto"/>
          <w:spacing w:val="-1"/>
          <w:sz w:val="21"/>
          <w:szCs w:val="21"/>
          <w:highlight w:val="none"/>
        </w:rPr>
        <w:t>页</w:t>
      </w:r>
    </w:p>
    <w:p w14:paraId="001C4E67">
      <w:pPr>
        <w:spacing w:line="127" w:lineRule="exact"/>
        <w:rPr>
          <w:color w:val="auto"/>
          <w:highlight w:val="none"/>
        </w:rPr>
      </w:pPr>
    </w:p>
    <w:tbl>
      <w:tblPr>
        <w:tblStyle w:val="32"/>
        <w:tblW w:w="9008" w:type="dxa"/>
        <w:tblInd w:w="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363"/>
        <w:gridCol w:w="2784"/>
        <w:gridCol w:w="1215"/>
        <w:gridCol w:w="1696"/>
        <w:gridCol w:w="1950"/>
      </w:tblGrid>
      <w:tr w14:paraId="6FEC7D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4" w:hRule="atLeast"/>
        </w:trPr>
        <w:tc>
          <w:tcPr>
            <w:tcW w:w="1363" w:type="dxa"/>
            <w:tcBorders>
              <w:top w:val="single" w:color="000000" w:sz="6" w:space="0"/>
              <w:left w:val="single" w:color="000000" w:sz="6" w:space="0"/>
            </w:tcBorders>
            <w:vAlign w:val="top"/>
          </w:tcPr>
          <w:p w14:paraId="6AE396E4">
            <w:pPr>
              <w:pStyle w:val="33"/>
              <w:spacing w:before="221" w:line="222" w:lineRule="auto"/>
              <w:ind w:left="469"/>
              <w:rPr>
                <w:color w:val="auto"/>
                <w:sz w:val="21"/>
                <w:szCs w:val="21"/>
                <w:highlight w:val="none"/>
              </w:rPr>
            </w:pPr>
            <w:r>
              <w:rPr>
                <w:color w:val="auto"/>
                <w:spacing w:val="-2"/>
                <w:sz w:val="21"/>
                <w:szCs w:val="21"/>
                <w:highlight w:val="none"/>
              </w:rPr>
              <w:t>序号</w:t>
            </w:r>
          </w:p>
        </w:tc>
        <w:tc>
          <w:tcPr>
            <w:tcW w:w="2784" w:type="dxa"/>
            <w:tcBorders>
              <w:top w:val="single" w:color="000000" w:sz="6" w:space="0"/>
            </w:tcBorders>
            <w:vAlign w:val="top"/>
          </w:tcPr>
          <w:p w14:paraId="0DFFB547">
            <w:pPr>
              <w:pStyle w:val="33"/>
              <w:spacing w:before="221" w:line="221" w:lineRule="auto"/>
              <w:ind w:left="978"/>
              <w:rPr>
                <w:color w:val="auto"/>
                <w:sz w:val="21"/>
                <w:szCs w:val="21"/>
                <w:highlight w:val="none"/>
              </w:rPr>
            </w:pPr>
            <w:r>
              <w:rPr>
                <w:color w:val="auto"/>
                <w:spacing w:val="-3"/>
                <w:sz w:val="21"/>
                <w:szCs w:val="21"/>
                <w:highlight w:val="none"/>
              </w:rPr>
              <w:t>项目名称</w:t>
            </w:r>
          </w:p>
        </w:tc>
        <w:tc>
          <w:tcPr>
            <w:tcW w:w="1215" w:type="dxa"/>
            <w:tcBorders>
              <w:top w:val="single" w:color="000000" w:sz="6" w:space="0"/>
            </w:tcBorders>
            <w:vAlign w:val="top"/>
          </w:tcPr>
          <w:p w14:paraId="519240F5">
            <w:pPr>
              <w:pStyle w:val="33"/>
              <w:spacing w:before="221" w:line="221" w:lineRule="auto"/>
              <w:ind w:left="192"/>
              <w:rPr>
                <w:color w:val="auto"/>
                <w:sz w:val="21"/>
                <w:szCs w:val="21"/>
                <w:highlight w:val="none"/>
              </w:rPr>
            </w:pPr>
            <w:r>
              <w:rPr>
                <w:color w:val="auto"/>
                <w:spacing w:val="-2"/>
                <w:sz w:val="21"/>
                <w:szCs w:val="21"/>
                <w:highlight w:val="none"/>
              </w:rPr>
              <w:t>计量单位</w:t>
            </w:r>
          </w:p>
        </w:tc>
        <w:tc>
          <w:tcPr>
            <w:tcW w:w="1696" w:type="dxa"/>
            <w:tcBorders>
              <w:top w:val="single" w:color="000000" w:sz="6" w:space="0"/>
            </w:tcBorders>
            <w:vAlign w:val="top"/>
          </w:tcPr>
          <w:p w14:paraId="1CC79AE6">
            <w:pPr>
              <w:pStyle w:val="33"/>
              <w:spacing w:before="220" w:line="221" w:lineRule="auto"/>
              <w:ind w:left="647"/>
              <w:rPr>
                <w:color w:val="auto"/>
                <w:sz w:val="21"/>
                <w:szCs w:val="21"/>
                <w:highlight w:val="none"/>
              </w:rPr>
            </w:pPr>
            <w:r>
              <w:rPr>
                <w:color w:val="auto"/>
                <w:spacing w:val="-2"/>
                <w:sz w:val="21"/>
                <w:szCs w:val="21"/>
                <w:highlight w:val="none"/>
              </w:rPr>
              <w:t>数量</w:t>
            </w:r>
          </w:p>
        </w:tc>
        <w:tc>
          <w:tcPr>
            <w:tcW w:w="1950" w:type="dxa"/>
            <w:tcBorders>
              <w:top w:val="single" w:color="000000" w:sz="6" w:space="0"/>
              <w:right w:val="single" w:color="000000" w:sz="6" w:space="0"/>
            </w:tcBorders>
            <w:vAlign w:val="top"/>
          </w:tcPr>
          <w:p w14:paraId="39A4E7FA">
            <w:pPr>
              <w:pStyle w:val="33"/>
              <w:spacing w:before="221" w:line="222" w:lineRule="auto"/>
              <w:ind w:left="773"/>
              <w:rPr>
                <w:color w:val="auto"/>
                <w:sz w:val="21"/>
                <w:szCs w:val="21"/>
                <w:highlight w:val="none"/>
              </w:rPr>
            </w:pPr>
            <w:r>
              <w:rPr>
                <w:color w:val="auto"/>
                <w:spacing w:val="-3"/>
                <w:sz w:val="21"/>
                <w:szCs w:val="21"/>
                <w:highlight w:val="none"/>
              </w:rPr>
              <w:t>备注</w:t>
            </w:r>
          </w:p>
        </w:tc>
      </w:tr>
      <w:tr w14:paraId="653837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5F6D332C">
            <w:pPr>
              <w:rPr>
                <w:rFonts w:ascii="Arial"/>
                <w:color w:val="auto"/>
                <w:sz w:val="21"/>
                <w:highlight w:val="none"/>
              </w:rPr>
            </w:pPr>
          </w:p>
        </w:tc>
        <w:tc>
          <w:tcPr>
            <w:tcW w:w="2784" w:type="dxa"/>
            <w:vAlign w:val="top"/>
          </w:tcPr>
          <w:p w14:paraId="616AA905">
            <w:pPr>
              <w:rPr>
                <w:rFonts w:ascii="Arial"/>
                <w:color w:val="auto"/>
                <w:sz w:val="21"/>
                <w:highlight w:val="none"/>
              </w:rPr>
            </w:pPr>
          </w:p>
        </w:tc>
        <w:tc>
          <w:tcPr>
            <w:tcW w:w="1215" w:type="dxa"/>
            <w:vAlign w:val="top"/>
          </w:tcPr>
          <w:p w14:paraId="41F77DF0">
            <w:pPr>
              <w:rPr>
                <w:rFonts w:ascii="Arial"/>
                <w:color w:val="auto"/>
                <w:sz w:val="21"/>
                <w:highlight w:val="none"/>
              </w:rPr>
            </w:pPr>
          </w:p>
        </w:tc>
        <w:tc>
          <w:tcPr>
            <w:tcW w:w="1696" w:type="dxa"/>
            <w:vAlign w:val="top"/>
          </w:tcPr>
          <w:p w14:paraId="12847DFB">
            <w:pPr>
              <w:rPr>
                <w:rFonts w:ascii="Arial"/>
                <w:color w:val="auto"/>
                <w:sz w:val="21"/>
                <w:highlight w:val="none"/>
              </w:rPr>
            </w:pPr>
          </w:p>
        </w:tc>
        <w:tc>
          <w:tcPr>
            <w:tcW w:w="1950" w:type="dxa"/>
            <w:tcBorders>
              <w:right w:val="single" w:color="000000" w:sz="6" w:space="0"/>
            </w:tcBorders>
            <w:vAlign w:val="top"/>
          </w:tcPr>
          <w:p w14:paraId="19E2ED5A">
            <w:pPr>
              <w:rPr>
                <w:rFonts w:ascii="Arial"/>
                <w:color w:val="auto"/>
                <w:sz w:val="21"/>
                <w:highlight w:val="none"/>
              </w:rPr>
            </w:pPr>
          </w:p>
        </w:tc>
      </w:tr>
      <w:tr w14:paraId="660838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5B6F3387">
            <w:pPr>
              <w:rPr>
                <w:rFonts w:ascii="Arial"/>
                <w:color w:val="auto"/>
                <w:sz w:val="21"/>
                <w:highlight w:val="none"/>
              </w:rPr>
            </w:pPr>
          </w:p>
        </w:tc>
        <w:tc>
          <w:tcPr>
            <w:tcW w:w="2784" w:type="dxa"/>
            <w:vAlign w:val="top"/>
          </w:tcPr>
          <w:p w14:paraId="0207D499">
            <w:pPr>
              <w:rPr>
                <w:rFonts w:ascii="Arial"/>
                <w:color w:val="auto"/>
                <w:sz w:val="21"/>
                <w:highlight w:val="none"/>
              </w:rPr>
            </w:pPr>
          </w:p>
        </w:tc>
        <w:tc>
          <w:tcPr>
            <w:tcW w:w="1215" w:type="dxa"/>
            <w:vAlign w:val="top"/>
          </w:tcPr>
          <w:p w14:paraId="31278849">
            <w:pPr>
              <w:rPr>
                <w:rFonts w:ascii="Arial"/>
                <w:color w:val="auto"/>
                <w:sz w:val="21"/>
                <w:highlight w:val="none"/>
              </w:rPr>
            </w:pPr>
          </w:p>
        </w:tc>
        <w:tc>
          <w:tcPr>
            <w:tcW w:w="1696" w:type="dxa"/>
            <w:vAlign w:val="top"/>
          </w:tcPr>
          <w:p w14:paraId="3E1F5203">
            <w:pPr>
              <w:rPr>
                <w:rFonts w:ascii="Arial"/>
                <w:color w:val="auto"/>
                <w:sz w:val="21"/>
                <w:highlight w:val="none"/>
              </w:rPr>
            </w:pPr>
          </w:p>
        </w:tc>
        <w:tc>
          <w:tcPr>
            <w:tcW w:w="1950" w:type="dxa"/>
            <w:tcBorders>
              <w:right w:val="single" w:color="000000" w:sz="6" w:space="0"/>
            </w:tcBorders>
            <w:vAlign w:val="top"/>
          </w:tcPr>
          <w:p w14:paraId="415039F6">
            <w:pPr>
              <w:rPr>
                <w:rFonts w:ascii="Arial"/>
                <w:color w:val="auto"/>
                <w:sz w:val="21"/>
                <w:highlight w:val="none"/>
              </w:rPr>
            </w:pPr>
          </w:p>
        </w:tc>
      </w:tr>
      <w:tr w14:paraId="439048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30A15C31">
            <w:pPr>
              <w:rPr>
                <w:rFonts w:ascii="Arial"/>
                <w:color w:val="auto"/>
                <w:sz w:val="21"/>
                <w:highlight w:val="none"/>
              </w:rPr>
            </w:pPr>
          </w:p>
        </w:tc>
        <w:tc>
          <w:tcPr>
            <w:tcW w:w="2784" w:type="dxa"/>
            <w:vAlign w:val="top"/>
          </w:tcPr>
          <w:p w14:paraId="5E02F02C">
            <w:pPr>
              <w:rPr>
                <w:rFonts w:ascii="Arial"/>
                <w:color w:val="auto"/>
                <w:sz w:val="21"/>
                <w:highlight w:val="none"/>
              </w:rPr>
            </w:pPr>
          </w:p>
        </w:tc>
        <w:tc>
          <w:tcPr>
            <w:tcW w:w="1215" w:type="dxa"/>
            <w:vAlign w:val="top"/>
          </w:tcPr>
          <w:p w14:paraId="579C0F73">
            <w:pPr>
              <w:rPr>
                <w:rFonts w:ascii="Arial"/>
                <w:color w:val="auto"/>
                <w:sz w:val="21"/>
                <w:highlight w:val="none"/>
              </w:rPr>
            </w:pPr>
          </w:p>
        </w:tc>
        <w:tc>
          <w:tcPr>
            <w:tcW w:w="1696" w:type="dxa"/>
            <w:vAlign w:val="top"/>
          </w:tcPr>
          <w:p w14:paraId="129B553A">
            <w:pPr>
              <w:rPr>
                <w:rFonts w:ascii="Arial"/>
                <w:color w:val="auto"/>
                <w:sz w:val="21"/>
                <w:highlight w:val="none"/>
              </w:rPr>
            </w:pPr>
          </w:p>
        </w:tc>
        <w:tc>
          <w:tcPr>
            <w:tcW w:w="1950" w:type="dxa"/>
            <w:tcBorders>
              <w:right w:val="single" w:color="000000" w:sz="6" w:space="0"/>
            </w:tcBorders>
            <w:vAlign w:val="top"/>
          </w:tcPr>
          <w:p w14:paraId="7D1AEF25">
            <w:pPr>
              <w:rPr>
                <w:rFonts w:ascii="Arial"/>
                <w:color w:val="auto"/>
                <w:sz w:val="21"/>
                <w:highlight w:val="none"/>
              </w:rPr>
            </w:pPr>
          </w:p>
        </w:tc>
      </w:tr>
      <w:tr w14:paraId="0ED181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top"/>
          </w:tcPr>
          <w:p w14:paraId="7468EE28">
            <w:pPr>
              <w:rPr>
                <w:rFonts w:ascii="Arial"/>
                <w:color w:val="auto"/>
                <w:sz w:val="21"/>
                <w:highlight w:val="none"/>
              </w:rPr>
            </w:pPr>
          </w:p>
        </w:tc>
        <w:tc>
          <w:tcPr>
            <w:tcW w:w="2784" w:type="dxa"/>
            <w:vAlign w:val="top"/>
          </w:tcPr>
          <w:p w14:paraId="03DF1564">
            <w:pPr>
              <w:rPr>
                <w:rFonts w:ascii="Arial"/>
                <w:color w:val="auto"/>
                <w:sz w:val="21"/>
                <w:highlight w:val="none"/>
              </w:rPr>
            </w:pPr>
          </w:p>
        </w:tc>
        <w:tc>
          <w:tcPr>
            <w:tcW w:w="1215" w:type="dxa"/>
            <w:vAlign w:val="top"/>
          </w:tcPr>
          <w:p w14:paraId="06185044">
            <w:pPr>
              <w:rPr>
                <w:rFonts w:ascii="Arial"/>
                <w:color w:val="auto"/>
                <w:sz w:val="21"/>
                <w:highlight w:val="none"/>
              </w:rPr>
            </w:pPr>
          </w:p>
        </w:tc>
        <w:tc>
          <w:tcPr>
            <w:tcW w:w="1696" w:type="dxa"/>
            <w:vAlign w:val="top"/>
          </w:tcPr>
          <w:p w14:paraId="515B2649">
            <w:pPr>
              <w:rPr>
                <w:rFonts w:ascii="Arial"/>
                <w:color w:val="auto"/>
                <w:sz w:val="21"/>
                <w:highlight w:val="none"/>
              </w:rPr>
            </w:pPr>
          </w:p>
        </w:tc>
        <w:tc>
          <w:tcPr>
            <w:tcW w:w="1950" w:type="dxa"/>
            <w:tcBorders>
              <w:right w:val="single" w:color="000000" w:sz="6" w:space="0"/>
            </w:tcBorders>
            <w:vAlign w:val="top"/>
          </w:tcPr>
          <w:p w14:paraId="06678A1E">
            <w:pPr>
              <w:rPr>
                <w:rFonts w:ascii="Arial"/>
                <w:color w:val="auto"/>
                <w:sz w:val="21"/>
                <w:highlight w:val="none"/>
              </w:rPr>
            </w:pPr>
          </w:p>
        </w:tc>
      </w:tr>
      <w:tr w14:paraId="1963E5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496F550E">
            <w:pPr>
              <w:rPr>
                <w:rFonts w:ascii="Arial"/>
                <w:color w:val="auto"/>
                <w:sz w:val="21"/>
                <w:highlight w:val="none"/>
              </w:rPr>
            </w:pPr>
          </w:p>
        </w:tc>
        <w:tc>
          <w:tcPr>
            <w:tcW w:w="2784" w:type="dxa"/>
            <w:vAlign w:val="top"/>
          </w:tcPr>
          <w:p w14:paraId="220458DA">
            <w:pPr>
              <w:rPr>
                <w:rFonts w:ascii="Arial"/>
                <w:color w:val="auto"/>
                <w:sz w:val="21"/>
                <w:highlight w:val="none"/>
              </w:rPr>
            </w:pPr>
          </w:p>
        </w:tc>
        <w:tc>
          <w:tcPr>
            <w:tcW w:w="1215" w:type="dxa"/>
            <w:vAlign w:val="top"/>
          </w:tcPr>
          <w:p w14:paraId="087E6235">
            <w:pPr>
              <w:rPr>
                <w:rFonts w:ascii="Arial"/>
                <w:color w:val="auto"/>
                <w:sz w:val="21"/>
                <w:highlight w:val="none"/>
              </w:rPr>
            </w:pPr>
          </w:p>
        </w:tc>
        <w:tc>
          <w:tcPr>
            <w:tcW w:w="1696" w:type="dxa"/>
            <w:vAlign w:val="top"/>
          </w:tcPr>
          <w:p w14:paraId="18DB1BDB">
            <w:pPr>
              <w:rPr>
                <w:rFonts w:ascii="Arial"/>
                <w:color w:val="auto"/>
                <w:sz w:val="21"/>
                <w:highlight w:val="none"/>
              </w:rPr>
            </w:pPr>
          </w:p>
        </w:tc>
        <w:tc>
          <w:tcPr>
            <w:tcW w:w="1950" w:type="dxa"/>
            <w:tcBorders>
              <w:right w:val="single" w:color="000000" w:sz="6" w:space="0"/>
            </w:tcBorders>
            <w:vAlign w:val="top"/>
          </w:tcPr>
          <w:p w14:paraId="1759913B">
            <w:pPr>
              <w:rPr>
                <w:rFonts w:ascii="Arial"/>
                <w:color w:val="auto"/>
                <w:sz w:val="21"/>
                <w:highlight w:val="none"/>
              </w:rPr>
            </w:pPr>
          </w:p>
        </w:tc>
      </w:tr>
      <w:tr w14:paraId="2D8C24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1E36E131">
            <w:pPr>
              <w:rPr>
                <w:rFonts w:ascii="Arial"/>
                <w:color w:val="auto"/>
                <w:sz w:val="21"/>
                <w:highlight w:val="none"/>
              </w:rPr>
            </w:pPr>
          </w:p>
        </w:tc>
        <w:tc>
          <w:tcPr>
            <w:tcW w:w="2784" w:type="dxa"/>
            <w:vAlign w:val="top"/>
          </w:tcPr>
          <w:p w14:paraId="38FF8387">
            <w:pPr>
              <w:rPr>
                <w:rFonts w:ascii="Arial"/>
                <w:color w:val="auto"/>
                <w:sz w:val="21"/>
                <w:highlight w:val="none"/>
              </w:rPr>
            </w:pPr>
          </w:p>
        </w:tc>
        <w:tc>
          <w:tcPr>
            <w:tcW w:w="1215" w:type="dxa"/>
            <w:vAlign w:val="top"/>
          </w:tcPr>
          <w:p w14:paraId="57B2D200">
            <w:pPr>
              <w:rPr>
                <w:rFonts w:ascii="Arial"/>
                <w:color w:val="auto"/>
                <w:sz w:val="21"/>
                <w:highlight w:val="none"/>
              </w:rPr>
            </w:pPr>
          </w:p>
        </w:tc>
        <w:tc>
          <w:tcPr>
            <w:tcW w:w="1696" w:type="dxa"/>
            <w:vAlign w:val="top"/>
          </w:tcPr>
          <w:p w14:paraId="49C37756">
            <w:pPr>
              <w:rPr>
                <w:rFonts w:ascii="Arial"/>
                <w:color w:val="auto"/>
                <w:sz w:val="21"/>
                <w:highlight w:val="none"/>
              </w:rPr>
            </w:pPr>
          </w:p>
        </w:tc>
        <w:tc>
          <w:tcPr>
            <w:tcW w:w="1950" w:type="dxa"/>
            <w:tcBorders>
              <w:right w:val="single" w:color="000000" w:sz="6" w:space="0"/>
            </w:tcBorders>
            <w:vAlign w:val="top"/>
          </w:tcPr>
          <w:p w14:paraId="19BBFB86">
            <w:pPr>
              <w:rPr>
                <w:rFonts w:ascii="Arial"/>
                <w:color w:val="auto"/>
                <w:sz w:val="21"/>
                <w:highlight w:val="none"/>
              </w:rPr>
            </w:pPr>
          </w:p>
        </w:tc>
      </w:tr>
      <w:tr w14:paraId="389B0B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7DFEC428">
            <w:pPr>
              <w:rPr>
                <w:rFonts w:ascii="Arial"/>
                <w:color w:val="auto"/>
                <w:sz w:val="21"/>
                <w:highlight w:val="none"/>
              </w:rPr>
            </w:pPr>
          </w:p>
        </w:tc>
        <w:tc>
          <w:tcPr>
            <w:tcW w:w="2784" w:type="dxa"/>
            <w:vAlign w:val="top"/>
          </w:tcPr>
          <w:p w14:paraId="16A79C85">
            <w:pPr>
              <w:rPr>
                <w:rFonts w:ascii="Arial"/>
                <w:color w:val="auto"/>
                <w:sz w:val="21"/>
                <w:highlight w:val="none"/>
              </w:rPr>
            </w:pPr>
          </w:p>
        </w:tc>
        <w:tc>
          <w:tcPr>
            <w:tcW w:w="1215" w:type="dxa"/>
            <w:vAlign w:val="top"/>
          </w:tcPr>
          <w:p w14:paraId="531316A4">
            <w:pPr>
              <w:rPr>
                <w:rFonts w:ascii="Arial"/>
                <w:color w:val="auto"/>
                <w:sz w:val="21"/>
                <w:highlight w:val="none"/>
              </w:rPr>
            </w:pPr>
          </w:p>
        </w:tc>
        <w:tc>
          <w:tcPr>
            <w:tcW w:w="1696" w:type="dxa"/>
            <w:vAlign w:val="top"/>
          </w:tcPr>
          <w:p w14:paraId="128040E7">
            <w:pPr>
              <w:rPr>
                <w:rFonts w:ascii="Arial"/>
                <w:color w:val="auto"/>
                <w:sz w:val="21"/>
                <w:highlight w:val="none"/>
              </w:rPr>
            </w:pPr>
          </w:p>
        </w:tc>
        <w:tc>
          <w:tcPr>
            <w:tcW w:w="1950" w:type="dxa"/>
            <w:tcBorders>
              <w:right w:val="single" w:color="000000" w:sz="6" w:space="0"/>
            </w:tcBorders>
            <w:vAlign w:val="top"/>
          </w:tcPr>
          <w:p w14:paraId="76675BF3">
            <w:pPr>
              <w:rPr>
                <w:rFonts w:ascii="Arial"/>
                <w:color w:val="auto"/>
                <w:sz w:val="21"/>
                <w:highlight w:val="none"/>
              </w:rPr>
            </w:pPr>
          </w:p>
        </w:tc>
      </w:tr>
      <w:tr w14:paraId="747A8F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46FFAC55">
            <w:pPr>
              <w:rPr>
                <w:rFonts w:ascii="Arial"/>
                <w:color w:val="auto"/>
                <w:sz w:val="21"/>
                <w:highlight w:val="none"/>
              </w:rPr>
            </w:pPr>
          </w:p>
        </w:tc>
        <w:tc>
          <w:tcPr>
            <w:tcW w:w="2784" w:type="dxa"/>
            <w:vAlign w:val="top"/>
          </w:tcPr>
          <w:p w14:paraId="3B3B845D">
            <w:pPr>
              <w:rPr>
                <w:rFonts w:ascii="Arial"/>
                <w:color w:val="auto"/>
                <w:sz w:val="21"/>
                <w:highlight w:val="none"/>
              </w:rPr>
            </w:pPr>
          </w:p>
        </w:tc>
        <w:tc>
          <w:tcPr>
            <w:tcW w:w="1215" w:type="dxa"/>
            <w:vAlign w:val="top"/>
          </w:tcPr>
          <w:p w14:paraId="52D30528">
            <w:pPr>
              <w:rPr>
                <w:rFonts w:ascii="Arial"/>
                <w:color w:val="auto"/>
                <w:sz w:val="21"/>
                <w:highlight w:val="none"/>
              </w:rPr>
            </w:pPr>
          </w:p>
        </w:tc>
        <w:tc>
          <w:tcPr>
            <w:tcW w:w="1696" w:type="dxa"/>
            <w:vAlign w:val="top"/>
          </w:tcPr>
          <w:p w14:paraId="1A0FF7A7">
            <w:pPr>
              <w:rPr>
                <w:rFonts w:ascii="Arial"/>
                <w:color w:val="auto"/>
                <w:sz w:val="21"/>
                <w:highlight w:val="none"/>
              </w:rPr>
            </w:pPr>
          </w:p>
        </w:tc>
        <w:tc>
          <w:tcPr>
            <w:tcW w:w="1950" w:type="dxa"/>
            <w:tcBorders>
              <w:right w:val="single" w:color="000000" w:sz="6" w:space="0"/>
            </w:tcBorders>
            <w:vAlign w:val="top"/>
          </w:tcPr>
          <w:p w14:paraId="2C0E98BA">
            <w:pPr>
              <w:rPr>
                <w:rFonts w:ascii="Arial"/>
                <w:color w:val="auto"/>
                <w:sz w:val="21"/>
                <w:highlight w:val="none"/>
              </w:rPr>
            </w:pPr>
          </w:p>
        </w:tc>
      </w:tr>
      <w:tr w14:paraId="52CB17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51CBED07">
            <w:pPr>
              <w:rPr>
                <w:rFonts w:ascii="Arial"/>
                <w:color w:val="auto"/>
                <w:sz w:val="21"/>
                <w:highlight w:val="none"/>
              </w:rPr>
            </w:pPr>
          </w:p>
        </w:tc>
        <w:tc>
          <w:tcPr>
            <w:tcW w:w="2784" w:type="dxa"/>
            <w:vAlign w:val="top"/>
          </w:tcPr>
          <w:p w14:paraId="02628BF9">
            <w:pPr>
              <w:rPr>
                <w:rFonts w:ascii="Arial"/>
                <w:color w:val="auto"/>
                <w:sz w:val="21"/>
                <w:highlight w:val="none"/>
              </w:rPr>
            </w:pPr>
          </w:p>
        </w:tc>
        <w:tc>
          <w:tcPr>
            <w:tcW w:w="1215" w:type="dxa"/>
            <w:vAlign w:val="top"/>
          </w:tcPr>
          <w:p w14:paraId="09461301">
            <w:pPr>
              <w:rPr>
                <w:rFonts w:ascii="Arial"/>
                <w:color w:val="auto"/>
                <w:sz w:val="21"/>
                <w:highlight w:val="none"/>
              </w:rPr>
            </w:pPr>
          </w:p>
        </w:tc>
        <w:tc>
          <w:tcPr>
            <w:tcW w:w="1696" w:type="dxa"/>
            <w:vAlign w:val="top"/>
          </w:tcPr>
          <w:p w14:paraId="04CF7220">
            <w:pPr>
              <w:rPr>
                <w:rFonts w:ascii="Arial"/>
                <w:color w:val="auto"/>
                <w:sz w:val="21"/>
                <w:highlight w:val="none"/>
              </w:rPr>
            </w:pPr>
          </w:p>
        </w:tc>
        <w:tc>
          <w:tcPr>
            <w:tcW w:w="1950" w:type="dxa"/>
            <w:tcBorders>
              <w:right w:val="single" w:color="000000" w:sz="6" w:space="0"/>
            </w:tcBorders>
            <w:vAlign w:val="top"/>
          </w:tcPr>
          <w:p w14:paraId="129080B3">
            <w:pPr>
              <w:rPr>
                <w:rFonts w:ascii="Arial"/>
                <w:color w:val="auto"/>
                <w:sz w:val="21"/>
                <w:highlight w:val="none"/>
              </w:rPr>
            </w:pPr>
          </w:p>
        </w:tc>
      </w:tr>
      <w:tr w14:paraId="2F3C1E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363" w:type="dxa"/>
            <w:tcBorders>
              <w:left w:val="single" w:color="000000" w:sz="6" w:space="0"/>
            </w:tcBorders>
            <w:vAlign w:val="top"/>
          </w:tcPr>
          <w:p w14:paraId="19C88095">
            <w:pPr>
              <w:rPr>
                <w:rFonts w:ascii="Arial"/>
                <w:color w:val="auto"/>
                <w:sz w:val="21"/>
                <w:highlight w:val="none"/>
              </w:rPr>
            </w:pPr>
          </w:p>
        </w:tc>
        <w:tc>
          <w:tcPr>
            <w:tcW w:w="2784" w:type="dxa"/>
            <w:vAlign w:val="top"/>
          </w:tcPr>
          <w:p w14:paraId="7BA969BD">
            <w:pPr>
              <w:rPr>
                <w:rFonts w:ascii="Arial"/>
                <w:color w:val="auto"/>
                <w:sz w:val="21"/>
                <w:highlight w:val="none"/>
              </w:rPr>
            </w:pPr>
          </w:p>
        </w:tc>
        <w:tc>
          <w:tcPr>
            <w:tcW w:w="1215" w:type="dxa"/>
            <w:vAlign w:val="top"/>
          </w:tcPr>
          <w:p w14:paraId="2BAA9910">
            <w:pPr>
              <w:rPr>
                <w:rFonts w:ascii="Arial"/>
                <w:color w:val="auto"/>
                <w:sz w:val="21"/>
                <w:highlight w:val="none"/>
              </w:rPr>
            </w:pPr>
          </w:p>
        </w:tc>
        <w:tc>
          <w:tcPr>
            <w:tcW w:w="1696" w:type="dxa"/>
            <w:vAlign w:val="top"/>
          </w:tcPr>
          <w:p w14:paraId="69900257">
            <w:pPr>
              <w:rPr>
                <w:rFonts w:ascii="Arial"/>
                <w:color w:val="auto"/>
                <w:sz w:val="21"/>
                <w:highlight w:val="none"/>
              </w:rPr>
            </w:pPr>
          </w:p>
        </w:tc>
        <w:tc>
          <w:tcPr>
            <w:tcW w:w="1950" w:type="dxa"/>
            <w:tcBorders>
              <w:right w:val="single" w:color="000000" w:sz="6" w:space="0"/>
            </w:tcBorders>
            <w:vAlign w:val="top"/>
          </w:tcPr>
          <w:p w14:paraId="33FE91AE">
            <w:pPr>
              <w:rPr>
                <w:rFonts w:ascii="Arial"/>
                <w:color w:val="auto"/>
                <w:sz w:val="21"/>
                <w:highlight w:val="none"/>
              </w:rPr>
            </w:pPr>
          </w:p>
        </w:tc>
      </w:tr>
      <w:tr w14:paraId="6D2E9D6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4ACDD4CF">
            <w:pPr>
              <w:rPr>
                <w:rFonts w:ascii="Arial"/>
                <w:color w:val="auto"/>
                <w:sz w:val="21"/>
                <w:highlight w:val="none"/>
              </w:rPr>
            </w:pPr>
          </w:p>
        </w:tc>
        <w:tc>
          <w:tcPr>
            <w:tcW w:w="2784" w:type="dxa"/>
            <w:vAlign w:val="top"/>
          </w:tcPr>
          <w:p w14:paraId="11851193">
            <w:pPr>
              <w:rPr>
                <w:rFonts w:ascii="Arial"/>
                <w:color w:val="auto"/>
                <w:sz w:val="21"/>
                <w:highlight w:val="none"/>
              </w:rPr>
            </w:pPr>
          </w:p>
        </w:tc>
        <w:tc>
          <w:tcPr>
            <w:tcW w:w="1215" w:type="dxa"/>
            <w:vAlign w:val="top"/>
          </w:tcPr>
          <w:p w14:paraId="6019046A">
            <w:pPr>
              <w:rPr>
                <w:rFonts w:ascii="Arial"/>
                <w:color w:val="auto"/>
                <w:sz w:val="21"/>
                <w:highlight w:val="none"/>
              </w:rPr>
            </w:pPr>
          </w:p>
        </w:tc>
        <w:tc>
          <w:tcPr>
            <w:tcW w:w="1696" w:type="dxa"/>
            <w:vAlign w:val="top"/>
          </w:tcPr>
          <w:p w14:paraId="54BD1E79">
            <w:pPr>
              <w:rPr>
                <w:rFonts w:ascii="Arial"/>
                <w:color w:val="auto"/>
                <w:sz w:val="21"/>
                <w:highlight w:val="none"/>
              </w:rPr>
            </w:pPr>
          </w:p>
        </w:tc>
        <w:tc>
          <w:tcPr>
            <w:tcW w:w="1950" w:type="dxa"/>
            <w:tcBorders>
              <w:right w:val="single" w:color="000000" w:sz="6" w:space="0"/>
            </w:tcBorders>
            <w:vAlign w:val="top"/>
          </w:tcPr>
          <w:p w14:paraId="74DEE5E0">
            <w:pPr>
              <w:rPr>
                <w:rFonts w:ascii="Arial"/>
                <w:color w:val="auto"/>
                <w:sz w:val="21"/>
                <w:highlight w:val="none"/>
              </w:rPr>
            </w:pPr>
          </w:p>
        </w:tc>
      </w:tr>
      <w:tr w14:paraId="4AAADD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15F242BD">
            <w:pPr>
              <w:rPr>
                <w:rFonts w:ascii="Arial"/>
                <w:color w:val="auto"/>
                <w:sz w:val="21"/>
                <w:highlight w:val="none"/>
              </w:rPr>
            </w:pPr>
          </w:p>
        </w:tc>
        <w:tc>
          <w:tcPr>
            <w:tcW w:w="2784" w:type="dxa"/>
            <w:vAlign w:val="top"/>
          </w:tcPr>
          <w:p w14:paraId="3D48FA33">
            <w:pPr>
              <w:rPr>
                <w:rFonts w:ascii="Arial"/>
                <w:color w:val="auto"/>
                <w:sz w:val="21"/>
                <w:highlight w:val="none"/>
              </w:rPr>
            </w:pPr>
          </w:p>
        </w:tc>
        <w:tc>
          <w:tcPr>
            <w:tcW w:w="1215" w:type="dxa"/>
            <w:vAlign w:val="top"/>
          </w:tcPr>
          <w:p w14:paraId="6F0DA9CF">
            <w:pPr>
              <w:rPr>
                <w:rFonts w:ascii="Arial"/>
                <w:color w:val="auto"/>
                <w:sz w:val="21"/>
                <w:highlight w:val="none"/>
              </w:rPr>
            </w:pPr>
          </w:p>
        </w:tc>
        <w:tc>
          <w:tcPr>
            <w:tcW w:w="1696" w:type="dxa"/>
            <w:vAlign w:val="top"/>
          </w:tcPr>
          <w:p w14:paraId="2F245A32">
            <w:pPr>
              <w:rPr>
                <w:rFonts w:ascii="Arial"/>
                <w:color w:val="auto"/>
                <w:sz w:val="21"/>
                <w:highlight w:val="none"/>
              </w:rPr>
            </w:pPr>
          </w:p>
        </w:tc>
        <w:tc>
          <w:tcPr>
            <w:tcW w:w="1950" w:type="dxa"/>
            <w:tcBorders>
              <w:right w:val="single" w:color="000000" w:sz="6" w:space="0"/>
            </w:tcBorders>
            <w:vAlign w:val="top"/>
          </w:tcPr>
          <w:p w14:paraId="56C7450C">
            <w:pPr>
              <w:rPr>
                <w:rFonts w:ascii="Arial"/>
                <w:color w:val="auto"/>
                <w:sz w:val="21"/>
                <w:highlight w:val="none"/>
              </w:rPr>
            </w:pPr>
          </w:p>
        </w:tc>
      </w:tr>
      <w:tr w14:paraId="3EB5EA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78A5C1C5">
            <w:pPr>
              <w:rPr>
                <w:rFonts w:ascii="Arial"/>
                <w:color w:val="auto"/>
                <w:sz w:val="21"/>
                <w:highlight w:val="none"/>
              </w:rPr>
            </w:pPr>
          </w:p>
        </w:tc>
        <w:tc>
          <w:tcPr>
            <w:tcW w:w="2784" w:type="dxa"/>
            <w:vAlign w:val="top"/>
          </w:tcPr>
          <w:p w14:paraId="1B797F36">
            <w:pPr>
              <w:rPr>
                <w:rFonts w:ascii="Arial"/>
                <w:color w:val="auto"/>
                <w:sz w:val="21"/>
                <w:highlight w:val="none"/>
              </w:rPr>
            </w:pPr>
          </w:p>
        </w:tc>
        <w:tc>
          <w:tcPr>
            <w:tcW w:w="1215" w:type="dxa"/>
            <w:vAlign w:val="top"/>
          </w:tcPr>
          <w:p w14:paraId="036090CA">
            <w:pPr>
              <w:rPr>
                <w:rFonts w:ascii="Arial"/>
                <w:color w:val="auto"/>
                <w:sz w:val="21"/>
                <w:highlight w:val="none"/>
              </w:rPr>
            </w:pPr>
          </w:p>
        </w:tc>
        <w:tc>
          <w:tcPr>
            <w:tcW w:w="1696" w:type="dxa"/>
            <w:vAlign w:val="top"/>
          </w:tcPr>
          <w:p w14:paraId="197F032B">
            <w:pPr>
              <w:rPr>
                <w:rFonts w:ascii="Arial"/>
                <w:color w:val="auto"/>
                <w:sz w:val="21"/>
                <w:highlight w:val="none"/>
              </w:rPr>
            </w:pPr>
          </w:p>
        </w:tc>
        <w:tc>
          <w:tcPr>
            <w:tcW w:w="1950" w:type="dxa"/>
            <w:tcBorders>
              <w:right w:val="single" w:color="000000" w:sz="6" w:space="0"/>
            </w:tcBorders>
            <w:vAlign w:val="top"/>
          </w:tcPr>
          <w:p w14:paraId="533C3442">
            <w:pPr>
              <w:rPr>
                <w:rFonts w:ascii="Arial"/>
                <w:color w:val="auto"/>
                <w:sz w:val="21"/>
                <w:highlight w:val="none"/>
              </w:rPr>
            </w:pPr>
          </w:p>
        </w:tc>
      </w:tr>
      <w:tr w14:paraId="16D62F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5E40B62E">
            <w:pPr>
              <w:rPr>
                <w:rFonts w:ascii="Arial"/>
                <w:color w:val="auto"/>
                <w:sz w:val="21"/>
                <w:highlight w:val="none"/>
              </w:rPr>
            </w:pPr>
          </w:p>
        </w:tc>
        <w:tc>
          <w:tcPr>
            <w:tcW w:w="2784" w:type="dxa"/>
            <w:vAlign w:val="top"/>
          </w:tcPr>
          <w:p w14:paraId="588CAD16">
            <w:pPr>
              <w:rPr>
                <w:rFonts w:ascii="Arial"/>
                <w:color w:val="auto"/>
                <w:sz w:val="21"/>
                <w:highlight w:val="none"/>
              </w:rPr>
            </w:pPr>
          </w:p>
        </w:tc>
        <w:tc>
          <w:tcPr>
            <w:tcW w:w="1215" w:type="dxa"/>
            <w:vAlign w:val="top"/>
          </w:tcPr>
          <w:p w14:paraId="0417F6B2">
            <w:pPr>
              <w:rPr>
                <w:rFonts w:ascii="Arial"/>
                <w:color w:val="auto"/>
                <w:sz w:val="21"/>
                <w:highlight w:val="none"/>
              </w:rPr>
            </w:pPr>
          </w:p>
        </w:tc>
        <w:tc>
          <w:tcPr>
            <w:tcW w:w="1696" w:type="dxa"/>
            <w:vAlign w:val="top"/>
          </w:tcPr>
          <w:p w14:paraId="64E60B07">
            <w:pPr>
              <w:rPr>
                <w:rFonts w:ascii="Arial"/>
                <w:color w:val="auto"/>
                <w:sz w:val="21"/>
                <w:highlight w:val="none"/>
              </w:rPr>
            </w:pPr>
          </w:p>
        </w:tc>
        <w:tc>
          <w:tcPr>
            <w:tcW w:w="1950" w:type="dxa"/>
            <w:tcBorders>
              <w:right w:val="single" w:color="000000" w:sz="6" w:space="0"/>
            </w:tcBorders>
            <w:vAlign w:val="top"/>
          </w:tcPr>
          <w:p w14:paraId="1F6CD92A">
            <w:pPr>
              <w:rPr>
                <w:rFonts w:ascii="Arial"/>
                <w:color w:val="auto"/>
                <w:sz w:val="21"/>
                <w:highlight w:val="none"/>
              </w:rPr>
            </w:pPr>
          </w:p>
        </w:tc>
      </w:tr>
      <w:tr w14:paraId="29E79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49EAEE51">
            <w:pPr>
              <w:rPr>
                <w:rFonts w:ascii="Arial"/>
                <w:color w:val="auto"/>
                <w:sz w:val="21"/>
                <w:highlight w:val="none"/>
              </w:rPr>
            </w:pPr>
          </w:p>
        </w:tc>
        <w:tc>
          <w:tcPr>
            <w:tcW w:w="2784" w:type="dxa"/>
            <w:vAlign w:val="top"/>
          </w:tcPr>
          <w:p w14:paraId="5215BBD9">
            <w:pPr>
              <w:rPr>
                <w:rFonts w:ascii="Arial"/>
                <w:color w:val="auto"/>
                <w:sz w:val="21"/>
                <w:highlight w:val="none"/>
              </w:rPr>
            </w:pPr>
          </w:p>
        </w:tc>
        <w:tc>
          <w:tcPr>
            <w:tcW w:w="1215" w:type="dxa"/>
            <w:vAlign w:val="top"/>
          </w:tcPr>
          <w:p w14:paraId="23EB8AE0">
            <w:pPr>
              <w:rPr>
                <w:rFonts w:ascii="Arial"/>
                <w:color w:val="auto"/>
                <w:sz w:val="21"/>
                <w:highlight w:val="none"/>
              </w:rPr>
            </w:pPr>
          </w:p>
        </w:tc>
        <w:tc>
          <w:tcPr>
            <w:tcW w:w="1696" w:type="dxa"/>
            <w:vAlign w:val="top"/>
          </w:tcPr>
          <w:p w14:paraId="0085A4A4">
            <w:pPr>
              <w:rPr>
                <w:rFonts w:ascii="Arial"/>
                <w:color w:val="auto"/>
                <w:sz w:val="21"/>
                <w:highlight w:val="none"/>
              </w:rPr>
            </w:pPr>
          </w:p>
        </w:tc>
        <w:tc>
          <w:tcPr>
            <w:tcW w:w="1950" w:type="dxa"/>
            <w:tcBorders>
              <w:right w:val="single" w:color="000000" w:sz="6" w:space="0"/>
            </w:tcBorders>
            <w:vAlign w:val="top"/>
          </w:tcPr>
          <w:p w14:paraId="48843AB7">
            <w:pPr>
              <w:rPr>
                <w:rFonts w:ascii="Arial"/>
                <w:color w:val="auto"/>
                <w:sz w:val="21"/>
                <w:highlight w:val="none"/>
              </w:rPr>
            </w:pPr>
          </w:p>
        </w:tc>
      </w:tr>
      <w:tr w14:paraId="46EB0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1363" w:type="dxa"/>
            <w:tcBorders>
              <w:left w:val="single" w:color="000000" w:sz="6" w:space="0"/>
            </w:tcBorders>
            <w:vAlign w:val="top"/>
          </w:tcPr>
          <w:p w14:paraId="0B7D87B9">
            <w:pPr>
              <w:rPr>
                <w:rFonts w:ascii="Arial"/>
                <w:color w:val="auto"/>
                <w:sz w:val="21"/>
                <w:highlight w:val="none"/>
              </w:rPr>
            </w:pPr>
          </w:p>
        </w:tc>
        <w:tc>
          <w:tcPr>
            <w:tcW w:w="2784" w:type="dxa"/>
            <w:vAlign w:val="top"/>
          </w:tcPr>
          <w:p w14:paraId="636E7259">
            <w:pPr>
              <w:rPr>
                <w:rFonts w:ascii="Arial"/>
                <w:color w:val="auto"/>
                <w:sz w:val="21"/>
                <w:highlight w:val="none"/>
              </w:rPr>
            </w:pPr>
          </w:p>
        </w:tc>
        <w:tc>
          <w:tcPr>
            <w:tcW w:w="1215" w:type="dxa"/>
            <w:vAlign w:val="top"/>
          </w:tcPr>
          <w:p w14:paraId="259FE7B6">
            <w:pPr>
              <w:rPr>
                <w:rFonts w:ascii="Arial"/>
                <w:color w:val="auto"/>
                <w:sz w:val="21"/>
                <w:highlight w:val="none"/>
              </w:rPr>
            </w:pPr>
          </w:p>
        </w:tc>
        <w:tc>
          <w:tcPr>
            <w:tcW w:w="1696" w:type="dxa"/>
            <w:vAlign w:val="top"/>
          </w:tcPr>
          <w:p w14:paraId="703AB440">
            <w:pPr>
              <w:rPr>
                <w:rFonts w:ascii="Arial"/>
                <w:color w:val="auto"/>
                <w:sz w:val="21"/>
                <w:highlight w:val="none"/>
              </w:rPr>
            </w:pPr>
          </w:p>
        </w:tc>
        <w:tc>
          <w:tcPr>
            <w:tcW w:w="1950" w:type="dxa"/>
            <w:tcBorders>
              <w:right w:val="single" w:color="000000" w:sz="6" w:space="0"/>
            </w:tcBorders>
            <w:vAlign w:val="top"/>
          </w:tcPr>
          <w:p w14:paraId="04DFC94E">
            <w:pPr>
              <w:rPr>
                <w:rFonts w:ascii="Arial"/>
                <w:color w:val="auto"/>
                <w:sz w:val="21"/>
                <w:highlight w:val="none"/>
              </w:rPr>
            </w:pPr>
          </w:p>
        </w:tc>
      </w:tr>
      <w:tr w14:paraId="37B1C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1363" w:type="dxa"/>
            <w:tcBorders>
              <w:left w:val="single" w:color="000000" w:sz="6" w:space="0"/>
            </w:tcBorders>
            <w:vAlign w:val="top"/>
          </w:tcPr>
          <w:p w14:paraId="53CCF6A9">
            <w:pPr>
              <w:rPr>
                <w:rFonts w:ascii="Arial"/>
                <w:color w:val="auto"/>
                <w:sz w:val="21"/>
                <w:highlight w:val="none"/>
              </w:rPr>
            </w:pPr>
          </w:p>
        </w:tc>
        <w:tc>
          <w:tcPr>
            <w:tcW w:w="2784" w:type="dxa"/>
            <w:vAlign w:val="top"/>
          </w:tcPr>
          <w:p w14:paraId="62597C61">
            <w:pPr>
              <w:rPr>
                <w:rFonts w:ascii="Arial"/>
                <w:color w:val="auto"/>
                <w:sz w:val="21"/>
                <w:highlight w:val="none"/>
              </w:rPr>
            </w:pPr>
          </w:p>
        </w:tc>
        <w:tc>
          <w:tcPr>
            <w:tcW w:w="1215" w:type="dxa"/>
            <w:vAlign w:val="top"/>
          </w:tcPr>
          <w:p w14:paraId="1F6E9E26">
            <w:pPr>
              <w:rPr>
                <w:rFonts w:ascii="Arial"/>
                <w:color w:val="auto"/>
                <w:sz w:val="21"/>
                <w:highlight w:val="none"/>
              </w:rPr>
            </w:pPr>
          </w:p>
        </w:tc>
        <w:tc>
          <w:tcPr>
            <w:tcW w:w="1696" w:type="dxa"/>
            <w:vAlign w:val="top"/>
          </w:tcPr>
          <w:p w14:paraId="09D57F93">
            <w:pPr>
              <w:rPr>
                <w:rFonts w:ascii="Arial"/>
                <w:color w:val="auto"/>
                <w:sz w:val="21"/>
                <w:highlight w:val="none"/>
              </w:rPr>
            </w:pPr>
          </w:p>
        </w:tc>
        <w:tc>
          <w:tcPr>
            <w:tcW w:w="1950" w:type="dxa"/>
            <w:tcBorders>
              <w:right w:val="single" w:color="000000" w:sz="6" w:space="0"/>
            </w:tcBorders>
            <w:vAlign w:val="top"/>
          </w:tcPr>
          <w:p w14:paraId="23BCCAAB">
            <w:pPr>
              <w:rPr>
                <w:rFonts w:ascii="Arial"/>
                <w:color w:val="auto"/>
                <w:sz w:val="21"/>
                <w:highlight w:val="none"/>
              </w:rPr>
            </w:pPr>
          </w:p>
        </w:tc>
      </w:tr>
      <w:tr w14:paraId="576162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1363" w:type="dxa"/>
            <w:tcBorders>
              <w:left w:val="single" w:color="000000" w:sz="6" w:space="0"/>
              <w:bottom w:val="single" w:color="000000" w:sz="6" w:space="0"/>
            </w:tcBorders>
            <w:vAlign w:val="top"/>
          </w:tcPr>
          <w:p w14:paraId="2870D856">
            <w:pPr>
              <w:rPr>
                <w:rFonts w:ascii="Arial"/>
                <w:color w:val="auto"/>
                <w:sz w:val="21"/>
                <w:highlight w:val="none"/>
              </w:rPr>
            </w:pPr>
          </w:p>
        </w:tc>
        <w:tc>
          <w:tcPr>
            <w:tcW w:w="2784" w:type="dxa"/>
            <w:tcBorders>
              <w:bottom w:val="single" w:color="000000" w:sz="6" w:space="0"/>
            </w:tcBorders>
            <w:vAlign w:val="top"/>
          </w:tcPr>
          <w:p w14:paraId="601B3D4E">
            <w:pPr>
              <w:rPr>
                <w:rFonts w:ascii="Arial"/>
                <w:color w:val="auto"/>
                <w:sz w:val="21"/>
                <w:highlight w:val="none"/>
              </w:rPr>
            </w:pPr>
          </w:p>
        </w:tc>
        <w:tc>
          <w:tcPr>
            <w:tcW w:w="1215" w:type="dxa"/>
            <w:tcBorders>
              <w:bottom w:val="single" w:color="000000" w:sz="6" w:space="0"/>
            </w:tcBorders>
            <w:vAlign w:val="top"/>
          </w:tcPr>
          <w:p w14:paraId="6B628993">
            <w:pPr>
              <w:rPr>
                <w:rFonts w:ascii="Arial"/>
                <w:color w:val="auto"/>
                <w:sz w:val="21"/>
                <w:highlight w:val="none"/>
              </w:rPr>
            </w:pPr>
          </w:p>
        </w:tc>
        <w:tc>
          <w:tcPr>
            <w:tcW w:w="1696" w:type="dxa"/>
            <w:tcBorders>
              <w:bottom w:val="single" w:color="000000" w:sz="6" w:space="0"/>
            </w:tcBorders>
            <w:vAlign w:val="top"/>
          </w:tcPr>
          <w:p w14:paraId="30306E03">
            <w:pPr>
              <w:rPr>
                <w:rFonts w:ascii="Arial"/>
                <w:color w:val="auto"/>
                <w:sz w:val="21"/>
                <w:highlight w:val="none"/>
              </w:rPr>
            </w:pPr>
          </w:p>
        </w:tc>
        <w:tc>
          <w:tcPr>
            <w:tcW w:w="1950" w:type="dxa"/>
            <w:tcBorders>
              <w:bottom w:val="single" w:color="000000" w:sz="6" w:space="0"/>
              <w:right w:val="single" w:color="000000" w:sz="6" w:space="0"/>
            </w:tcBorders>
            <w:vAlign w:val="top"/>
          </w:tcPr>
          <w:p w14:paraId="4268A48E">
            <w:pPr>
              <w:rPr>
                <w:rFonts w:ascii="Arial"/>
                <w:color w:val="auto"/>
                <w:sz w:val="21"/>
                <w:highlight w:val="none"/>
              </w:rPr>
            </w:pPr>
          </w:p>
        </w:tc>
      </w:tr>
    </w:tbl>
    <w:p w14:paraId="76022056">
      <w:pPr>
        <w:spacing w:before="30" w:line="211" w:lineRule="auto"/>
        <w:rPr>
          <w:rFonts w:ascii="宋体" w:hAnsi="宋体" w:eastAsia="宋体" w:cs="宋体"/>
          <w:color w:val="auto"/>
          <w:sz w:val="22"/>
          <w:szCs w:val="22"/>
          <w:highlight w:val="none"/>
        </w:rPr>
      </w:pPr>
      <w:r>
        <w:rPr>
          <w:rFonts w:ascii="宋体" w:hAnsi="宋体" w:eastAsia="宋体" w:cs="宋体"/>
          <w:i/>
          <w:iCs/>
          <w:color w:val="auto"/>
          <w:spacing w:val="-6"/>
          <w:sz w:val="22"/>
          <w:szCs w:val="22"/>
          <w:highlight w:val="none"/>
        </w:rPr>
        <w:t>注：招标人不提供施工设施的，本表删除。</w:t>
      </w:r>
    </w:p>
    <w:p w14:paraId="35628FFF">
      <w:pPr>
        <w:spacing w:line="211" w:lineRule="auto"/>
        <w:rPr>
          <w:rFonts w:ascii="宋体" w:hAnsi="宋体" w:eastAsia="宋体" w:cs="宋体"/>
          <w:color w:val="auto"/>
          <w:sz w:val="22"/>
          <w:szCs w:val="22"/>
          <w:highlight w:val="none"/>
        </w:rPr>
        <w:sectPr>
          <w:pgSz w:w="11905" w:h="16843"/>
          <w:pgMar w:top="1429" w:right="1361" w:bottom="1253" w:left="1621" w:header="0" w:footer="1094" w:gutter="0"/>
          <w:pgNumType w:fmt="decimal"/>
          <w:cols w:space="0" w:num="1"/>
          <w:rtlGutter w:val="0"/>
          <w:docGrid w:linePitch="0" w:charSpace="0"/>
        </w:sectPr>
      </w:pPr>
    </w:p>
    <w:p w14:paraId="6D0B8C51">
      <w:pPr>
        <w:pStyle w:val="3"/>
        <w:spacing w:line="243" w:lineRule="auto"/>
        <w:rPr>
          <w:color w:val="auto"/>
          <w:highlight w:val="none"/>
        </w:rPr>
      </w:pPr>
    </w:p>
    <w:p w14:paraId="76F69E6A">
      <w:pPr>
        <w:pStyle w:val="3"/>
        <w:spacing w:line="243" w:lineRule="auto"/>
        <w:rPr>
          <w:color w:val="auto"/>
          <w:highlight w:val="none"/>
        </w:rPr>
      </w:pPr>
    </w:p>
    <w:p w14:paraId="08F8BBED">
      <w:pPr>
        <w:pStyle w:val="3"/>
        <w:spacing w:line="243" w:lineRule="auto"/>
        <w:rPr>
          <w:color w:val="auto"/>
          <w:highlight w:val="none"/>
        </w:rPr>
      </w:pPr>
    </w:p>
    <w:p w14:paraId="24898AFD">
      <w:pPr>
        <w:pStyle w:val="3"/>
        <w:spacing w:line="243" w:lineRule="auto"/>
        <w:rPr>
          <w:color w:val="auto"/>
          <w:highlight w:val="none"/>
        </w:rPr>
      </w:pPr>
    </w:p>
    <w:p w14:paraId="6ACFC0DF">
      <w:pPr>
        <w:pStyle w:val="3"/>
        <w:spacing w:line="243" w:lineRule="auto"/>
        <w:rPr>
          <w:color w:val="auto"/>
          <w:highlight w:val="none"/>
        </w:rPr>
      </w:pPr>
    </w:p>
    <w:p w14:paraId="2A0B50B1">
      <w:pPr>
        <w:pStyle w:val="3"/>
        <w:spacing w:line="243" w:lineRule="auto"/>
        <w:rPr>
          <w:color w:val="auto"/>
          <w:highlight w:val="none"/>
        </w:rPr>
      </w:pPr>
    </w:p>
    <w:p w14:paraId="302A68E8">
      <w:pPr>
        <w:pStyle w:val="3"/>
        <w:spacing w:line="243" w:lineRule="auto"/>
        <w:rPr>
          <w:color w:val="auto"/>
          <w:highlight w:val="none"/>
        </w:rPr>
      </w:pPr>
    </w:p>
    <w:p w14:paraId="26AB93EE">
      <w:pPr>
        <w:pStyle w:val="3"/>
        <w:spacing w:line="243" w:lineRule="auto"/>
        <w:rPr>
          <w:color w:val="auto"/>
          <w:highlight w:val="none"/>
        </w:rPr>
      </w:pPr>
    </w:p>
    <w:p w14:paraId="25242352">
      <w:pPr>
        <w:pStyle w:val="3"/>
        <w:spacing w:line="243" w:lineRule="auto"/>
        <w:rPr>
          <w:color w:val="auto"/>
          <w:highlight w:val="none"/>
        </w:rPr>
      </w:pPr>
    </w:p>
    <w:p w14:paraId="5DA77916">
      <w:pPr>
        <w:pStyle w:val="3"/>
        <w:spacing w:line="243" w:lineRule="auto"/>
        <w:rPr>
          <w:color w:val="auto"/>
          <w:highlight w:val="none"/>
        </w:rPr>
      </w:pPr>
    </w:p>
    <w:p w14:paraId="664130F4">
      <w:pPr>
        <w:pStyle w:val="3"/>
        <w:spacing w:line="243" w:lineRule="auto"/>
        <w:rPr>
          <w:color w:val="auto"/>
          <w:highlight w:val="none"/>
        </w:rPr>
      </w:pPr>
    </w:p>
    <w:p w14:paraId="448A9A2E">
      <w:pPr>
        <w:pStyle w:val="3"/>
        <w:spacing w:line="243" w:lineRule="auto"/>
        <w:rPr>
          <w:color w:val="auto"/>
          <w:highlight w:val="none"/>
        </w:rPr>
      </w:pPr>
    </w:p>
    <w:p w14:paraId="4C3ADB39">
      <w:pPr>
        <w:pStyle w:val="3"/>
        <w:spacing w:line="243" w:lineRule="auto"/>
        <w:rPr>
          <w:color w:val="auto"/>
          <w:highlight w:val="none"/>
        </w:rPr>
      </w:pPr>
    </w:p>
    <w:p w14:paraId="109B2068">
      <w:pPr>
        <w:pStyle w:val="3"/>
        <w:spacing w:line="243" w:lineRule="auto"/>
        <w:rPr>
          <w:color w:val="auto"/>
          <w:highlight w:val="none"/>
        </w:rPr>
      </w:pPr>
    </w:p>
    <w:p w14:paraId="09AEAC30">
      <w:pPr>
        <w:pStyle w:val="3"/>
        <w:spacing w:line="243" w:lineRule="auto"/>
        <w:rPr>
          <w:color w:val="auto"/>
          <w:highlight w:val="none"/>
        </w:rPr>
      </w:pPr>
    </w:p>
    <w:p w14:paraId="1C316502">
      <w:pPr>
        <w:pStyle w:val="3"/>
        <w:spacing w:line="243" w:lineRule="auto"/>
        <w:rPr>
          <w:color w:val="auto"/>
          <w:highlight w:val="none"/>
        </w:rPr>
      </w:pPr>
    </w:p>
    <w:p w14:paraId="34593492">
      <w:pPr>
        <w:pStyle w:val="3"/>
        <w:spacing w:line="243" w:lineRule="auto"/>
        <w:rPr>
          <w:color w:val="auto"/>
          <w:highlight w:val="none"/>
        </w:rPr>
      </w:pPr>
    </w:p>
    <w:p w14:paraId="5EF89327">
      <w:pPr>
        <w:pStyle w:val="3"/>
        <w:spacing w:line="243" w:lineRule="auto"/>
        <w:rPr>
          <w:color w:val="auto"/>
          <w:highlight w:val="none"/>
        </w:rPr>
      </w:pPr>
    </w:p>
    <w:p w14:paraId="4855BC67">
      <w:pPr>
        <w:pStyle w:val="3"/>
        <w:spacing w:line="243" w:lineRule="auto"/>
        <w:rPr>
          <w:color w:val="auto"/>
          <w:highlight w:val="none"/>
        </w:rPr>
      </w:pPr>
    </w:p>
    <w:p w14:paraId="58A06767">
      <w:pPr>
        <w:pStyle w:val="3"/>
        <w:spacing w:line="243" w:lineRule="auto"/>
        <w:rPr>
          <w:color w:val="auto"/>
          <w:highlight w:val="none"/>
        </w:rPr>
      </w:pPr>
    </w:p>
    <w:p w14:paraId="67268232">
      <w:pPr>
        <w:pStyle w:val="3"/>
        <w:spacing w:line="243" w:lineRule="auto"/>
        <w:rPr>
          <w:color w:val="auto"/>
          <w:highlight w:val="none"/>
        </w:rPr>
      </w:pPr>
    </w:p>
    <w:p w14:paraId="65A4DF52">
      <w:pPr>
        <w:pStyle w:val="3"/>
        <w:spacing w:line="243" w:lineRule="auto"/>
        <w:rPr>
          <w:color w:val="auto"/>
          <w:highlight w:val="none"/>
        </w:rPr>
      </w:pPr>
    </w:p>
    <w:p w14:paraId="58C95E56">
      <w:pPr>
        <w:pStyle w:val="3"/>
        <w:spacing w:line="243" w:lineRule="auto"/>
        <w:rPr>
          <w:color w:val="auto"/>
          <w:highlight w:val="none"/>
        </w:rPr>
      </w:pPr>
    </w:p>
    <w:p w14:paraId="4B45EE6F">
      <w:pPr>
        <w:pStyle w:val="3"/>
        <w:spacing w:line="244" w:lineRule="auto"/>
        <w:rPr>
          <w:color w:val="auto"/>
          <w:highlight w:val="none"/>
        </w:rPr>
      </w:pPr>
    </w:p>
    <w:p w14:paraId="491F79B6">
      <w:pPr>
        <w:pStyle w:val="3"/>
        <w:spacing w:line="244" w:lineRule="auto"/>
        <w:rPr>
          <w:color w:val="auto"/>
          <w:highlight w:val="none"/>
        </w:rPr>
      </w:pPr>
    </w:p>
    <w:p w14:paraId="7C09BFA9">
      <w:pPr>
        <w:pStyle w:val="3"/>
        <w:spacing w:line="244" w:lineRule="auto"/>
        <w:rPr>
          <w:color w:val="auto"/>
          <w:highlight w:val="none"/>
        </w:rPr>
      </w:pPr>
    </w:p>
    <w:p w14:paraId="41CE57E7">
      <w:pPr>
        <w:spacing w:before="156" w:line="222" w:lineRule="auto"/>
        <w:ind w:left="3251"/>
        <w:outlineLvl w:val="0"/>
        <w:rPr>
          <w:rFonts w:ascii="黑体" w:hAnsi="黑体" w:eastAsia="黑体" w:cs="黑体"/>
          <w:color w:val="auto"/>
          <w:sz w:val="48"/>
          <w:szCs w:val="48"/>
          <w:highlight w:val="none"/>
        </w:rPr>
      </w:pPr>
      <w:bookmarkStart w:id="783" w:name="bookmark785"/>
      <w:bookmarkEnd w:id="783"/>
      <w:bookmarkStart w:id="784" w:name="bookmark786"/>
      <w:bookmarkEnd w:id="784"/>
      <w:bookmarkStart w:id="785" w:name="_Toc24784"/>
      <w:bookmarkStart w:id="786" w:name="_Toc11816"/>
      <w:r>
        <w:rPr>
          <w:rFonts w:ascii="黑体" w:hAnsi="黑体" w:eastAsia="黑体" w:cs="黑体"/>
          <w:b/>
          <w:bCs/>
          <w:color w:val="auto"/>
          <w:spacing w:val="-21"/>
          <w:sz w:val="48"/>
          <w:szCs w:val="48"/>
          <w:highlight w:val="none"/>
        </w:rPr>
        <w:t>第</w:t>
      </w:r>
      <w:r>
        <w:rPr>
          <w:rFonts w:ascii="黑体" w:hAnsi="黑体" w:eastAsia="黑体" w:cs="黑体"/>
          <w:color w:val="auto"/>
          <w:spacing w:val="30"/>
          <w:sz w:val="48"/>
          <w:szCs w:val="48"/>
          <w:highlight w:val="none"/>
        </w:rPr>
        <w:t xml:space="preserve"> </w:t>
      </w:r>
      <w:r>
        <w:rPr>
          <w:rFonts w:ascii="黑体" w:hAnsi="黑体" w:eastAsia="黑体" w:cs="黑体"/>
          <w:b/>
          <w:bCs/>
          <w:color w:val="auto"/>
          <w:spacing w:val="-21"/>
          <w:sz w:val="48"/>
          <w:szCs w:val="48"/>
          <w:highlight w:val="none"/>
        </w:rPr>
        <w:t>二</w:t>
      </w:r>
      <w:r>
        <w:rPr>
          <w:rFonts w:ascii="黑体" w:hAnsi="黑体" w:eastAsia="黑体" w:cs="黑体"/>
          <w:color w:val="auto"/>
          <w:spacing w:val="29"/>
          <w:sz w:val="48"/>
          <w:szCs w:val="48"/>
          <w:highlight w:val="none"/>
        </w:rPr>
        <w:t xml:space="preserve"> </w:t>
      </w:r>
      <w:r>
        <w:rPr>
          <w:rFonts w:ascii="黑体" w:hAnsi="黑体" w:eastAsia="黑体" w:cs="黑体"/>
          <w:b/>
          <w:bCs/>
          <w:color w:val="auto"/>
          <w:spacing w:val="-21"/>
          <w:sz w:val="48"/>
          <w:szCs w:val="48"/>
          <w:highlight w:val="none"/>
        </w:rPr>
        <w:t>卷</w:t>
      </w:r>
      <w:bookmarkEnd w:id="785"/>
      <w:bookmarkEnd w:id="786"/>
    </w:p>
    <w:p w14:paraId="3022E1ED">
      <w:pPr>
        <w:spacing w:line="222" w:lineRule="auto"/>
        <w:rPr>
          <w:rFonts w:ascii="黑体" w:hAnsi="黑体" w:eastAsia="黑体" w:cs="黑体"/>
          <w:color w:val="auto"/>
          <w:sz w:val="48"/>
          <w:szCs w:val="48"/>
          <w:highlight w:val="none"/>
        </w:rPr>
        <w:sectPr>
          <w:pgSz w:w="11905" w:h="16843"/>
          <w:pgMar w:top="1429" w:right="1361" w:bottom="1253" w:left="1621" w:header="0" w:footer="1094" w:gutter="0"/>
          <w:pgNumType w:fmt="decimal"/>
          <w:cols w:space="0" w:num="1"/>
          <w:rtlGutter w:val="0"/>
          <w:docGrid w:linePitch="0" w:charSpace="0"/>
        </w:sectPr>
      </w:pPr>
    </w:p>
    <w:p w14:paraId="0F75E4F3">
      <w:pPr>
        <w:spacing w:before="71" w:line="219" w:lineRule="auto"/>
        <w:ind w:left="1334"/>
        <w:outlineLvl w:val="0"/>
        <w:rPr>
          <w:rFonts w:ascii="宋体" w:hAnsi="宋体" w:eastAsia="宋体" w:cs="宋体"/>
          <w:color w:val="auto"/>
          <w:sz w:val="36"/>
          <w:szCs w:val="36"/>
          <w:highlight w:val="none"/>
        </w:rPr>
      </w:pPr>
      <w:bookmarkStart w:id="787" w:name="bookmark787"/>
      <w:bookmarkEnd w:id="787"/>
      <w:bookmarkStart w:id="788" w:name="bookmark788"/>
      <w:bookmarkEnd w:id="788"/>
      <w:bookmarkStart w:id="789" w:name="bookmark790"/>
      <w:bookmarkEnd w:id="789"/>
      <w:bookmarkStart w:id="790" w:name="_Toc9350"/>
      <w:bookmarkStart w:id="791" w:name="_Toc30423"/>
      <w:r>
        <w:rPr>
          <w:rFonts w:ascii="宋体" w:hAnsi="宋体" w:eastAsia="宋体" w:cs="宋体"/>
          <w:b/>
          <w:bCs/>
          <w:color w:val="auto"/>
          <w:spacing w:val="-3"/>
          <w:sz w:val="36"/>
          <w:szCs w:val="36"/>
          <w:highlight w:val="none"/>
        </w:rPr>
        <w:t>第六章</w:t>
      </w:r>
      <w:r>
        <w:rPr>
          <w:rFonts w:ascii="宋体" w:hAnsi="宋体" w:eastAsia="宋体" w:cs="宋体"/>
          <w:color w:val="auto"/>
          <w:spacing w:val="-3"/>
          <w:sz w:val="36"/>
          <w:szCs w:val="36"/>
          <w:highlight w:val="none"/>
        </w:rPr>
        <w:t xml:space="preserve">  </w:t>
      </w:r>
      <w:r>
        <w:rPr>
          <w:rFonts w:ascii="宋体" w:hAnsi="宋体" w:eastAsia="宋体" w:cs="宋体"/>
          <w:b/>
          <w:bCs/>
          <w:color w:val="auto"/>
          <w:spacing w:val="-3"/>
          <w:sz w:val="36"/>
          <w:szCs w:val="36"/>
          <w:highlight w:val="none"/>
        </w:rPr>
        <w:t>图纸（招标图纸）及其他资料</w:t>
      </w:r>
      <w:bookmarkEnd w:id="790"/>
      <w:bookmarkEnd w:id="791"/>
    </w:p>
    <w:p w14:paraId="7898BE92">
      <w:pPr>
        <w:pStyle w:val="3"/>
        <w:spacing w:line="352" w:lineRule="auto"/>
        <w:rPr>
          <w:color w:val="auto"/>
          <w:highlight w:val="none"/>
        </w:rPr>
      </w:pPr>
    </w:p>
    <w:p w14:paraId="41790046">
      <w:pPr>
        <w:pStyle w:val="3"/>
        <w:spacing w:line="353" w:lineRule="auto"/>
        <w:rPr>
          <w:color w:val="auto"/>
          <w:highlight w:val="none"/>
        </w:rPr>
      </w:pPr>
    </w:p>
    <w:p w14:paraId="2EDCD4AE">
      <w:pPr>
        <w:spacing w:before="91" w:line="220" w:lineRule="auto"/>
        <w:ind w:left="18"/>
        <w:outlineLvl w:val="1"/>
        <w:rPr>
          <w:rFonts w:ascii="宋体" w:hAnsi="宋体" w:eastAsia="宋体" w:cs="宋体"/>
          <w:color w:val="auto"/>
          <w:sz w:val="28"/>
          <w:szCs w:val="28"/>
          <w:highlight w:val="none"/>
        </w:rPr>
      </w:pPr>
      <w:bookmarkStart w:id="792" w:name="bookmark789"/>
      <w:bookmarkEnd w:id="792"/>
      <w:bookmarkStart w:id="793" w:name="_Toc29026"/>
      <w:bookmarkStart w:id="794" w:name="_Toc11211"/>
      <w:r>
        <w:rPr>
          <w:rFonts w:ascii="Times New Roman" w:hAnsi="Times New Roman" w:eastAsia="Times New Roman" w:cs="Times New Roman"/>
          <w:b/>
          <w:bCs/>
          <w:color w:val="auto"/>
          <w:spacing w:val="-11"/>
          <w:sz w:val="28"/>
          <w:szCs w:val="28"/>
          <w:highlight w:val="none"/>
        </w:rPr>
        <w:t>1</w:t>
      </w:r>
      <w:r>
        <w:rPr>
          <w:rFonts w:ascii="Times New Roman" w:hAnsi="Times New Roman" w:eastAsia="Times New Roman" w:cs="Times New Roman"/>
          <w:b/>
          <w:bCs/>
          <w:color w:val="auto"/>
          <w:spacing w:val="8"/>
          <w:sz w:val="28"/>
          <w:szCs w:val="28"/>
          <w:highlight w:val="none"/>
        </w:rPr>
        <w:t xml:space="preserve">  </w:t>
      </w:r>
      <w:r>
        <w:rPr>
          <w:rFonts w:ascii="宋体" w:hAnsi="宋体" w:eastAsia="宋体" w:cs="宋体"/>
          <w:b/>
          <w:bCs/>
          <w:color w:val="auto"/>
          <w:spacing w:val="-11"/>
          <w:sz w:val="28"/>
          <w:szCs w:val="28"/>
          <w:highlight w:val="none"/>
        </w:rPr>
        <w:t>说明</w:t>
      </w:r>
      <w:bookmarkEnd w:id="793"/>
      <w:bookmarkEnd w:id="794"/>
    </w:p>
    <w:p w14:paraId="589DE759">
      <w:pPr>
        <w:pStyle w:val="3"/>
        <w:spacing w:line="246" w:lineRule="auto"/>
        <w:rPr>
          <w:color w:val="auto"/>
          <w:highlight w:val="none"/>
        </w:rPr>
      </w:pPr>
    </w:p>
    <w:p w14:paraId="61143124">
      <w:pPr>
        <w:spacing w:before="78" w:line="350" w:lineRule="auto"/>
        <w:ind w:left="11" w:right="235" w:firstLine="479"/>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本招标文件所附的全部图纸及其它资料均为招标阶段的中间成果，仅供投标人在</w:t>
      </w:r>
      <w:r>
        <w:rPr>
          <w:rFonts w:ascii="宋体" w:hAnsi="宋体" w:eastAsia="宋体" w:cs="宋体"/>
          <w:color w:val="auto"/>
          <w:spacing w:val="-6"/>
          <w:sz w:val="24"/>
          <w:szCs w:val="24"/>
          <w:highlight w:val="none"/>
        </w:rPr>
        <w:t>编制投标文件时使用，不得作为施工的依据。否则，由此而造成的一切后果均由承包</w:t>
      </w:r>
      <w:r>
        <w:rPr>
          <w:rFonts w:ascii="宋体" w:hAnsi="宋体" w:eastAsia="宋体" w:cs="宋体"/>
          <w:color w:val="auto"/>
          <w:spacing w:val="-9"/>
          <w:sz w:val="24"/>
          <w:szCs w:val="24"/>
          <w:highlight w:val="none"/>
        </w:rPr>
        <w:t>人自负。</w:t>
      </w:r>
    </w:p>
    <w:p w14:paraId="502E8B22">
      <w:pPr>
        <w:spacing w:before="161" w:line="221" w:lineRule="auto"/>
        <w:ind w:left="6"/>
        <w:outlineLvl w:val="1"/>
        <w:rPr>
          <w:rFonts w:ascii="宋体" w:hAnsi="宋体" w:eastAsia="宋体" w:cs="宋体"/>
          <w:color w:val="auto"/>
          <w:sz w:val="28"/>
          <w:szCs w:val="28"/>
          <w:highlight w:val="none"/>
        </w:rPr>
      </w:pPr>
      <w:bookmarkStart w:id="795" w:name="bookmark791"/>
      <w:bookmarkEnd w:id="795"/>
      <w:bookmarkStart w:id="796" w:name="bookmark792"/>
      <w:bookmarkEnd w:id="796"/>
      <w:bookmarkStart w:id="797" w:name="_Toc27468"/>
      <w:bookmarkStart w:id="798" w:name="_Toc25551"/>
      <w:r>
        <w:rPr>
          <w:rFonts w:ascii="Times New Roman" w:hAnsi="Times New Roman" w:eastAsia="Times New Roman" w:cs="Times New Roman"/>
          <w:b/>
          <w:bCs/>
          <w:color w:val="auto"/>
          <w:spacing w:val="-7"/>
          <w:sz w:val="28"/>
          <w:szCs w:val="28"/>
          <w:highlight w:val="none"/>
        </w:rPr>
        <w:t>2</w:t>
      </w:r>
      <w:r>
        <w:rPr>
          <w:rFonts w:ascii="Times New Roman" w:hAnsi="Times New Roman" w:eastAsia="Times New Roman" w:cs="Times New Roman"/>
          <w:b/>
          <w:bCs/>
          <w:color w:val="auto"/>
          <w:spacing w:val="23"/>
          <w:sz w:val="28"/>
          <w:szCs w:val="28"/>
          <w:highlight w:val="none"/>
        </w:rPr>
        <w:t xml:space="preserve">  </w:t>
      </w:r>
      <w:r>
        <w:rPr>
          <w:rFonts w:ascii="宋体" w:hAnsi="宋体" w:eastAsia="宋体" w:cs="宋体"/>
          <w:b/>
          <w:bCs/>
          <w:color w:val="auto"/>
          <w:spacing w:val="-7"/>
          <w:sz w:val="28"/>
          <w:szCs w:val="28"/>
          <w:highlight w:val="none"/>
        </w:rPr>
        <w:t>图纸及其他资料目录</w:t>
      </w:r>
      <w:bookmarkEnd w:id="797"/>
      <w:bookmarkEnd w:id="798"/>
    </w:p>
    <w:p w14:paraId="6DADB773">
      <w:pPr>
        <w:spacing w:before="46"/>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4"/>
        <w:gridCol w:w="2437"/>
        <w:gridCol w:w="2032"/>
        <w:gridCol w:w="2573"/>
        <w:gridCol w:w="1033"/>
      </w:tblGrid>
      <w:tr w14:paraId="277AB9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2" w:hRule="atLeast"/>
        </w:trPr>
        <w:tc>
          <w:tcPr>
            <w:tcW w:w="934" w:type="dxa"/>
            <w:tcBorders>
              <w:top w:val="single" w:color="000000" w:sz="6" w:space="0"/>
              <w:left w:val="single" w:color="000000" w:sz="6" w:space="0"/>
            </w:tcBorders>
            <w:vAlign w:val="top"/>
          </w:tcPr>
          <w:p w14:paraId="43CA0CDC">
            <w:pPr>
              <w:pStyle w:val="33"/>
              <w:spacing w:before="235" w:line="222" w:lineRule="auto"/>
              <w:ind w:left="253"/>
              <w:rPr>
                <w:color w:val="auto"/>
                <w:sz w:val="21"/>
                <w:szCs w:val="21"/>
                <w:highlight w:val="none"/>
              </w:rPr>
            </w:pPr>
            <w:r>
              <w:rPr>
                <w:color w:val="auto"/>
                <w:spacing w:val="-2"/>
                <w:sz w:val="21"/>
                <w:szCs w:val="21"/>
                <w:highlight w:val="none"/>
              </w:rPr>
              <w:t>序号</w:t>
            </w:r>
          </w:p>
        </w:tc>
        <w:tc>
          <w:tcPr>
            <w:tcW w:w="2437" w:type="dxa"/>
            <w:tcBorders>
              <w:top w:val="single" w:color="000000" w:sz="6" w:space="0"/>
            </w:tcBorders>
            <w:vAlign w:val="top"/>
          </w:tcPr>
          <w:p w14:paraId="508F4B0E">
            <w:pPr>
              <w:pStyle w:val="33"/>
              <w:spacing w:before="235" w:line="221" w:lineRule="auto"/>
              <w:ind w:left="505"/>
              <w:rPr>
                <w:color w:val="auto"/>
                <w:sz w:val="21"/>
                <w:szCs w:val="21"/>
                <w:highlight w:val="none"/>
              </w:rPr>
            </w:pPr>
            <w:r>
              <w:rPr>
                <w:color w:val="auto"/>
                <w:spacing w:val="-4"/>
                <w:sz w:val="21"/>
                <w:szCs w:val="21"/>
                <w:highlight w:val="none"/>
              </w:rPr>
              <w:t>图名或资料名称</w:t>
            </w:r>
          </w:p>
        </w:tc>
        <w:tc>
          <w:tcPr>
            <w:tcW w:w="2032" w:type="dxa"/>
            <w:tcBorders>
              <w:top w:val="single" w:color="000000" w:sz="6" w:space="0"/>
            </w:tcBorders>
            <w:vAlign w:val="top"/>
          </w:tcPr>
          <w:p w14:paraId="4B320D9C">
            <w:pPr>
              <w:pStyle w:val="33"/>
              <w:spacing w:before="235" w:line="221" w:lineRule="auto"/>
              <w:ind w:left="305"/>
              <w:rPr>
                <w:color w:val="auto"/>
                <w:sz w:val="21"/>
                <w:szCs w:val="21"/>
                <w:highlight w:val="none"/>
              </w:rPr>
            </w:pPr>
            <w:r>
              <w:rPr>
                <w:color w:val="auto"/>
                <w:spacing w:val="-4"/>
                <w:sz w:val="21"/>
                <w:szCs w:val="21"/>
                <w:highlight w:val="none"/>
              </w:rPr>
              <w:t>图号或资料编号</w:t>
            </w:r>
          </w:p>
        </w:tc>
        <w:tc>
          <w:tcPr>
            <w:tcW w:w="2573" w:type="dxa"/>
            <w:tcBorders>
              <w:top w:val="single" w:color="000000" w:sz="6" w:space="0"/>
            </w:tcBorders>
            <w:vAlign w:val="top"/>
          </w:tcPr>
          <w:p w14:paraId="54366067">
            <w:pPr>
              <w:pStyle w:val="33"/>
              <w:spacing w:before="235" w:line="221" w:lineRule="auto"/>
              <w:ind w:left="368"/>
              <w:rPr>
                <w:color w:val="auto"/>
                <w:sz w:val="21"/>
                <w:szCs w:val="21"/>
                <w:highlight w:val="none"/>
              </w:rPr>
            </w:pPr>
            <w:r>
              <w:rPr>
                <w:color w:val="auto"/>
                <w:spacing w:val="-3"/>
                <w:sz w:val="21"/>
                <w:szCs w:val="21"/>
                <w:highlight w:val="none"/>
              </w:rPr>
              <w:t>出图日期或资料日期</w:t>
            </w:r>
          </w:p>
        </w:tc>
        <w:tc>
          <w:tcPr>
            <w:tcW w:w="1033" w:type="dxa"/>
            <w:tcBorders>
              <w:top w:val="single" w:color="000000" w:sz="6" w:space="0"/>
              <w:right w:val="single" w:color="000000" w:sz="6" w:space="0"/>
            </w:tcBorders>
            <w:vAlign w:val="top"/>
          </w:tcPr>
          <w:p w14:paraId="05622141">
            <w:pPr>
              <w:pStyle w:val="33"/>
              <w:spacing w:before="235" w:line="222" w:lineRule="auto"/>
              <w:ind w:left="314"/>
              <w:rPr>
                <w:color w:val="auto"/>
                <w:sz w:val="21"/>
                <w:szCs w:val="21"/>
                <w:highlight w:val="none"/>
              </w:rPr>
            </w:pPr>
            <w:r>
              <w:rPr>
                <w:color w:val="auto"/>
                <w:spacing w:val="-3"/>
                <w:sz w:val="21"/>
                <w:szCs w:val="21"/>
                <w:highlight w:val="none"/>
              </w:rPr>
              <w:t>备注</w:t>
            </w:r>
          </w:p>
        </w:tc>
      </w:tr>
      <w:tr w14:paraId="7E1985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934" w:type="dxa"/>
            <w:tcBorders>
              <w:left w:val="single" w:color="000000" w:sz="6" w:space="0"/>
            </w:tcBorders>
            <w:vAlign w:val="top"/>
          </w:tcPr>
          <w:p w14:paraId="53CE991E">
            <w:pPr>
              <w:rPr>
                <w:rFonts w:ascii="Arial"/>
                <w:color w:val="auto"/>
                <w:sz w:val="21"/>
                <w:highlight w:val="none"/>
              </w:rPr>
            </w:pPr>
          </w:p>
        </w:tc>
        <w:tc>
          <w:tcPr>
            <w:tcW w:w="2437" w:type="dxa"/>
            <w:vAlign w:val="top"/>
          </w:tcPr>
          <w:p w14:paraId="297AA328">
            <w:pPr>
              <w:rPr>
                <w:rFonts w:ascii="Arial"/>
                <w:color w:val="auto"/>
                <w:sz w:val="21"/>
                <w:highlight w:val="none"/>
              </w:rPr>
            </w:pPr>
          </w:p>
        </w:tc>
        <w:tc>
          <w:tcPr>
            <w:tcW w:w="2032" w:type="dxa"/>
            <w:vAlign w:val="top"/>
          </w:tcPr>
          <w:p w14:paraId="5A450716">
            <w:pPr>
              <w:rPr>
                <w:rFonts w:ascii="Arial"/>
                <w:color w:val="auto"/>
                <w:sz w:val="21"/>
                <w:highlight w:val="none"/>
              </w:rPr>
            </w:pPr>
          </w:p>
        </w:tc>
        <w:tc>
          <w:tcPr>
            <w:tcW w:w="2573" w:type="dxa"/>
            <w:vAlign w:val="top"/>
          </w:tcPr>
          <w:p w14:paraId="15957820">
            <w:pPr>
              <w:rPr>
                <w:rFonts w:ascii="Arial"/>
                <w:color w:val="auto"/>
                <w:sz w:val="21"/>
                <w:highlight w:val="none"/>
              </w:rPr>
            </w:pPr>
          </w:p>
        </w:tc>
        <w:tc>
          <w:tcPr>
            <w:tcW w:w="1033" w:type="dxa"/>
            <w:tcBorders>
              <w:right w:val="single" w:color="000000" w:sz="6" w:space="0"/>
            </w:tcBorders>
            <w:vAlign w:val="top"/>
          </w:tcPr>
          <w:p w14:paraId="404BF200">
            <w:pPr>
              <w:rPr>
                <w:rFonts w:ascii="Arial"/>
                <w:color w:val="auto"/>
                <w:sz w:val="21"/>
                <w:highlight w:val="none"/>
              </w:rPr>
            </w:pPr>
          </w:p>
        </w:tc>
      </w:tr>
      <w:tr w14:paraId="69724F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34" w:type="dxa"/>
            <w:tcBorders>
              <w:left w:val="single" w:color="000000" w:sz="6" w:space="0"/>
            </w:tcBorders>
            <w:vAlign w:val="top"/>
          </w:tcPr>
          <w:p w14:paraId="461CD670">
            <w:pPr>
              <w:rPr>
                <w:rFonts w:ascii="Arial"/>
                <w:color w:val="auto"/>
                <w:sz w:val="21"/>
                <w:highlight w:val="none"/>
              </w:rPr>
            </w:pPr>
          </w:p>
        </w:tc>
        <w:tc>
          <w:tcPr>
            <w:tcW w:w="2437" w:type="dxa"/>
            <w:vAlign w:val="top"/>
          </w:tcPr>
          <w:p w14:paraId="37FC6E20">
            <w:pPr>
              <w:rPr>
                <w:rFonts w:ascii="Arial"/>
                <w:color w:val="auto"/>
                <w:sz w:val="21"/>
                <w:highlight w:val="none"/>
              </w:rPr>
            </w:pPr>
          </w:p>
        </w:tc>
        <w:tc>
          <w:tcPr>
            <w:tcW w:w="2032" w:type="dxa"/>
            <w:vAlign w:val="top"/>
          </w:tcPr>
          <w:p w14:paraId="0C07E586">
            <w:pPr>
              <w:rPr>
                <w:rFonts w:ascii="Arial"/>
                <w:color w:val="auto"/>
                <w:sz w:val="21"/>
                <w:highlight w:val="none"/>
              </w:rPr>
            </w:pPr>
          </w:p>
        </w:tc>
        <w:tc>
          <w:tcPr>
            <w:tcW w:w="2573" w:type="dxa"/>
            <w:vAlign w:val="top"/>
          </w:tcPr>
          <w:p w14:paraId="7C661E49">
            <w:pPr>
              <w:rPr>
                <w:rFonts w:ascii="Arial"/>
                <w:color w:val="auto"/>
                <w:sz w:val="21"/>
                <w:highlight w:val="none"/>
              </w:rPr>
            </w:pPr>
          </w:p>
        </w:tc>
        <w:tc>
          <w:tcPr>
            <w:tcW w:w="1033" w:type="dxa"/>
            <w:tcBorders>
              <w:right w:val="single" w:color="000000" w:sz="6" w:space="0"/>
            </w:tcBorders>
            <w:vAlign w:val="top"/>
          </w:tcPr>
          <w:p w14:paraId="6E3CDFFD">
            <w:pPr>
              <w:rPr>
                <w:rFonts w:ascii="Arial"/>
                <w:color w:val="auto"/>
                <w:sz w:val="21"/>
                <w:highlight w:val="none"/>
              </w:rPr>
            </w:pPr>
          </w:p>
        </w:tc>
      </w:tr>
      <w:tr w14:paraId="3B25F8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34" w:type="dxa"/>
            <w:tcBorders>
              <w:left w:val="single" w:color="000000" w:sz="6" w:space="0"/>
            </w:tcBorders>
            <w:vAlign w:val="top"/>
          </w:tcPr>
          <w:p w14:paraId="00604FCF">
            <w:pPr>
              <w:rPr>
                <w:rFonts w:ascii="Arial"/>
                <w:color w:val="auto"/>
                <w:sz w:val="21"/>
                <w:highlight w:val="none"/>
              </w:rPr>
            </w:pPr>
          </w:p>
        </w:tc>
        <w:tc>
          <w:tcPr>
            <w:tcW w:w="2437" w:type="dxa"/>
            <w:vAlign w:val="top"/>
          </w:tcPr>
          <w:p w14:paraId="5B897C1F">
            <w:pPr>
              <w:rPr>
                <w:rFonts w:ascii="Arial"/>
                <w:color w:val="auto"/>
                <w:sz w:val="21"/>
                <w:highlight w:val="none"/>
              </w:rPr>
            </w:pPr>
          </w:p>
        </w:tc>
        <w:tc>
          <w:tcPr>
            <w:tcW w:w="2032" w:type="dxa"/>
            <w:vAlign w:val="top"/>
          </w:tcPr>
          <w:p w14:paraId="365C077A">
            <w:pPr>
              <w:rPr>
                <w:rFonts w:ascii="Arial"/>
                <w:color w:val="auto"/>
                <w:sz w:val="21"/>
                <w:highlight w:val="none"/>
              </w:rPr>
            </w:pPr>
          </w:p>
        </w:tc>
        <w:tc>
          <w:tcPr>
            <w:tcW w:w="2573" w:type="dxa"/>
            <w:vAlign w:val="top"/>
          </w:tcPr>
          <w:p w14:paraId="607DABAF">
            <w:pPr>
              <w:rPr>
                <w:rFonts w:ascii="Arial"/>
                <w:color w:val="auto"/>
                <w:sz w:val="21"/>
                <w:highlight w:val="none"/>
              </w:rPr>
            </w:pPr>
          </w:p>
        </w:tc>
        <w:tc>
          <w:tcPr>
            <w:tcW w:w="1033" w:type="dxa"/>
            <w:tcBorders>
              <w:right w:val="single" w:color="000000" w:sz="6" w:space="0"/>
            </w:tcBorders>
            <w:vAlign w:val="top"/>
          </w:tcPr>
          <w:p w14:paraId="67D081FD">
            <w:pPr>
              <w:rPr>
                <w:rFonts w:ascii="Arial"/>
                <w:color w:val="auto"/>
                <w:sz w:val="21"/>
                <w:highlight w:val="none"/>
              </w:rPr>
            </w:pPr>
          </w:p>
        </w:tc>
      </w:tr>
      <w:tr w14:paraId="70309E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934" w:type="dxa"/>
            <w:tcBorders>
              <w:left w:val="single" w:color="000000" w:sz="6" w:space="0"/>
            </w:tcBorders>
            <w:vAlign w:val="top"/>
          </w:tcPr>
          <w:p w14:paraId="7D070485">
            <w:pPr>
              <w:rPr>
                <w:rFonts w:ascii="Arial"/>
                <w:color w:val="auto"/>
                <w:sz w:val="21"/>
                <w:highlight w:val="none"/>
              </w:rPr>
            </w:pPr>
          </w:p>
        </w:tc>
        <w:tc>
          <w:tcPr>
            <w:tcW w:w="2437" w:type="dxa"/>
            <w:vAlign w:val="top"/>
          </w:tcPr>
          <w:p w14:paraId="1F2C59D0">
            <w:pPr>
              <w:rPr>
                <w:rFonts w:ascii="Arial"/>
                <w:color w:val="auto"/>
                <w:sz w:val="21"/>
                <w:highlight w:val="none"/>
              </w:rPr>
            </w:pPr>
          </w:p>
        </w:tc>
        <w:tc>
          <w:tcPr>
            <w:tcW w:w="2032" w:type="dxa"/>
            <w:vAlign w:val="top"/>
          </w:tcPr>
          <w:p w14:paraId="0513927E">
            <w:pPr>
              <w:rPr>
                <w:rFonts w:ascii="Arial"/>
                <w:color w:val="auto"/>
                <w:sz w:val="21"/>
                <w:highlight w:val="none"/>
              </w:rPr>
            </w:pPr>
          </w:p>
        </w:tc>
        <w:tc>
          <w:tcPr>
            <w:tcW w:w="2573" w:type="dxa"/>
            <w:vAlign w:val="top"/>
          </w:tcPr>
          <w:p w14:paraId="7B6A256D">
            <w:pPr>
              <w:rPr>
                <w:rFonts w:ascii="Arial"/>
                <w:color w:val="auto"/>
                <w:sz w:val="21"/>
                <w:highlight w:val="none"/>
              </w:rPr>
            </w:pPr>
          </w:p>
        </w:tc>
        <w:tc>
          <w:tcPr>
            <w:tcW w:w="1033" w:type="dxa"/>
            <w:tcBorders>
              <w:right w:val="single" w:color="000000" w:sz="6" w:space="0"/>
            </w:tcBorders>
            <w:vAlign w:val="top"/>
          </w:tcPr>
          <w:p w14:paraId="0154EFC8">
            <w:pPr>
              <w:rPr>
                <w:rFonts w:ascii="Arial"/>
                <w:color w:val="auto"/>
                <w:sz w:val="21"/>
                <w:highlight w:val="none"/>
              </w:rPr>
            </w:pPr>
          </w:p>
        </w:tc>
      </w:tr>
      <w:tr w14:paraId="5A01D2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7" w:hRule="atLeast"/>
        </w:trPr>
        <w:tc>
          <w:tcPr>
            <w:tcW w:w="934" w:type="dxa"/>
            <w:tcBorders>
              <w:left w:val="single" w:color="000000" w:sz="6" w:space="0"/>
            </w:tcBorders>
            <w:vAlign w:val="top"/>
          </w:tcPr>
          <w:p w14:paraId="19588AEA">
            <w:pPr>
              <w:rPr>
                <w:rFonts w:ascii="Arial"/>
                <w:color w:val="auto"/>
                <w:sz w:val="21"/>
                <w:highlight w:val="none"/>
              </w:rPr>
            </w:pPr>
          </w:p>
        </w:tc>
        <w:tc>
          <w:tcPr>
            <w:tcW w:w="2437" w:type="dxa"/>
            <w:vAlign w:val="top"/>
          </w:tcPr>
          <w:p w14:paraId="5B427642">
            <w:pPr>
              <w:rPr>
                <w:rFonts w:ascii="Arial"/>
                <w:color w:val="auto"/>
                <w:sz w:val="21"/>
                <w:highlight w:val="none"/>
              </w:rPr>
            </w:pPr>
          </w:p>
        </w:tc>
        <w:tc>
          <w:tcPr>
            <w:tcW w:w="2032" w:type="dxa"/>
            <w:vAlign w:val="top"/>
          </w:tcPr>
          <w:p w14:paraId="5B6CB385">
            <w:pPr>
              <w:rPr>
                <w:rFonts w:ascii="Arial"/>
                <w:color w:val="auto"/>
                <w:sz w:val="21"/>
                <w:highlight w:val="none"/>
              </w:rPr>
            </w:pPr>
          </w:p>
        </w:tc>
        <w:tc>
          <w:tcPr>
            <w:tcW w:w="2573" w:type="dxa"/>
            <w:vAlign w:val="top"/>
          </w:tcPr>
          <w:p w14:paraId="5284ECE2">
            <w:pPr>
              <w:rPr>
                <w:rFonts w:ascii="Arial"/>
                <w:color w:val="auto"/>
                <w:sz w:val="21"/>
                <w:highlight w:val="none"/>
              </w:rPr>
            </w:pPr>
          </w:p>
        </w:tc>
        <w:tc>
          <w:tcPr>
            <w:tcW w:w="1033" w:type="dxa"/>
            <w:tcBorders>
              <w:right w:val="single" w:color="000000" w:sz="6" w:space="0"/>
            </w:tcBorders>
            <w:vAlign w:val="top"/>
          </w:tcPr>
          <w:p w14:paraId="52DCD04B">
            <w:pPr>
              <w:rPr>
                <w:rFonts w:ascii="Arial"/>
                <w:color w:val="auto"/>
                <w:sz w:val="21"/>
                <w:highlight w:val="none"/>
              </w:rPr>
            </w:pPr>
          </w:p>
        </w:tc>
      </w:tr>
      <w:tr w14:paraId="327645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934" w:type="dxa"/>
            <w:tcBorders>
              <w:left w:val="single" w:color="000000" w:sz="6" w:space="0"/>
            </w:tcBorders>
            <w:vAlign w:val="top"/>
          </w:tcPr>
          <w:p w14:paraId="37BB2F7B">
            <w:pPr>
              <w:rPr>
                <w:rFonts w:ascii="Arial"/>
                <w:color w:val="auto"/>
                <w:sz w:val="21"/>
                <w:highlight w:val="none"/>
              </w:rPr>
            </w:pPr>
          </w:p>
        </w:tc>
        <w:tc>
          <w:tcPr>
            <w:tcW w:w="2437" w:type="dxa"/>
            <w:vAlign w:val="top"/>
          </w:tcPr>
          <w:p w14:paraId="152FDBB3">
            <w:pPr>
              <w:rPr>
                <w:rFonts w:ascii="Arial"/>
                <w:color w:val="auto"/>
                <w:sz w:val="21"/>
                <w:highlight w:val="none"/>
              </w:rPr>
            </w:pPr>
          </w:p>
        </w:tc>
        <w:tc>
          <w:tcPr>
            <w:tcW w:w="2032" w:type="dxa"/>
            <w:vAlign w:val="top"/>
          </w:tcPr>
          <w:p w14:paraId="3691451B">
            <w:pPr>
              <w:rPr>
                <w:rFonts w:ascii="Arial"/>
                <w:color w:val="auto"/>
                <w:sz w:val="21"/>
                <w:highlight w:val="none"/>
              </w:rPr>
            </w:pPr>
          </w:p>
        </w:tc>
        <w:tc>
          <w:tcPr>
            <w:tcW w:w="2573" w:type="dxa"/>
            <w:vAlign w:val="top"/>
          </w:tcPr>
          <w:p w14:paraId="03B3204C">
            <w:pPr>
              <w:rPr>
                <w:rFonts w:ascii="Arial"/>
                <w:color w:val="auto"/>
                <w:sz w:val="21"/>
                <w:highlight w:val="none"/>
              </w:rPr>
            </w:pPr>
          </w:p>
        </w:tc>
        <w:tc>
          <w:tcPr>
            <w:tcW w:w="1033" w:type="dxa"/>
            <w:tcBorders>
              <w:right w:val="single" w:color="000000" w:sz="6" w:space="0"/>
            </w:tcBorders>
            <w:vAlign w:val="top"/>
          </w:tcPr>
          <w:p w14:paraId="229E5F63">
            <w:pPr>
              <w:rPr>
                <w:rFonts w:ascii="Arial"/>
                <w:color w:val="auto"/>
                <w:sz w:val="21"/>
                <w:highlight w:val="none"/>
              </w:rPr>
            </w:pPr>
          </w:p>
        </w:tc>
      </w:tr>
      <w:tr w14:paraId="1AB682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934" w:type="dxa"/>
            <w:tcBorders>
              <w:left w:val="single" w:color="000000" w:sz="6" w:space="0"/>
            </w:tcBorders>
            <w:vAlign w:val="top"/>
          </w:tcPr>
          <w:p w14:paraId="7B180065">
            <w:pPr>
              <w:rPr>
                <w:rFonts w:ascii="Arial"/>
                <w:color w:val="auto"/>
                <w:sz w:val="21"/>
                <w:highlight w:val="none"/>
              </w:rPr>
            </w:pPr>
          </w:p>
        </w:tc>
        <w:tc>
          <w:tcPr>
            <w:tcW w:w="2437" w:type="dxa"/>
            <w:vAlign w:val="top"/>
          </w:tcPr>
          <w:p w14:paraId="40A07A64">
            <w:pPr>
              <w:rPr>
                <w:rFonts w:ascii="Arial"/>
                <w:color w:val="auto"/>
                <w:sz w:val="21"/>
                <w:highlight w:val="none"/>
              </w:rPr>
            </w:pPr>
          </w:p>
        </w:tc>
        <w:tc>
          <w:tcPr>
            <w:tcW w:w="2032" w:type="dxa"/>
            <w:vAlign w:val="top"/>
          </w:tcPr>
          <w:p w14:paraId="59CD7521">
            <w:pPr>
              <w:rPr>
                <w:rFonts w:ascii="Arial"/>
                <w:color w:val="auto"/>
                <w:sz w:val="21"/>
                <w:highlight w:val="none"/>
              </w:rPr>
            </w:pPr>
          </w:p>
        </w:tc>
        <w:tc>
          <w:tcPr>
            <w:tcW w:w="2573" w:type="dxa"/>
            <w:vAlign w:val="top"/>
          </w:tcPr>
          <w:p w14:paraId="0570E15F">
            <w:pPr>
              <w:rPr>
                <w:rFonts w:ascii="Arial"/>
                <w:color w:val="auto"/>
                <w:sz w:val="21"/>
                <w:highlight w:val="none"/>
              </w:rPr>
            </w:pPr>
          </w:p>
        </w:tc>
        <w:tc>
          <w:tcPr>
            <w:tcW w:w="1033" w:type="dxa"/>
            <w:tcBorders>
              <w:right w:val="single" w:color="000000" w:sz="6" w:space="0"/>
            </w:tcBorders>
            <w:vAlign w:val="top"/>
          </w:tcPr>
          <w:p w14:paraId="697F1DB3">
            <w:pPr>
              <w:rPr>
                <w:rFonts w:ascii="Arial"/>
                <w:color w:val="auto"/>
                <w:sz w:val="21"/>
                <w:highlight w:val="none"/>
              </w:rPr>
            </w:pPr>
          </w:p>
        </w:tc>
      </w:tr>
      <w:tr w14:paraId="047C86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78" w:hRule="atLeast"/>
        </w:trPr>
        <w:tc>
          <w:tcPr>
            <w:tcW w:w="934" w:type="dxa"/>
            <w:tcBorders>
              <w:left w:val="single" w:color="000000" w:sz="6" w:space="0"/>
            </w:tcBorders>
            <w:vAlign w:val="top"/>
          </w:tcPr>
          <w:p w14:paraId="0B2200B7">
            <w:pPr>
              <w:rPr>
                <w:rFonts w:ascii="Arial"/>
                <w:color w:val="auto"/>
                <w:sz w:val="21"/>
                <w:highlight w:val="none"/>
              </w:rPr>
            </w:pPr>
          </w:p>
        </w:tc>
        <w:tc>
          <w:tcPr>
            <w:tcW w:w="2437" w:type="dxa"/>
            <w:vAlign w:val="top"/>
          </w:tcPr>
          <w:p w14:paraId="1C5E2450">
            <w:pPr>
              <w:rPr>
                <w:rFonts w:ascii="Arial"/>
                <w:color w:val="auto"/>
                <w:sz w:val="21"/>
                <w:highlight w:val="none"/>
              </w:rPr>
            </w:pPr>
          </w:p>
        </w:tc>
        <w:tc>
          <w:tcPr>
            <w:tcW w:w="2032" w:type="dxa"/>
            <w:vAlign w:val="top"/>
          </w:tcPr>
          <w:p w14:paraId="7C3E4E00">
            <w:pPr>
              <w:rPr>
                <w:rFonts w:ascii="Arial"/>
                <w:color w:val="auto"/>
                <w:sz w:val="21"/>
                <w:highlight w:val="none"/>
              </w:rPr>
            </w:pPr>
          </w:p>
        </w:tc>
        <w:tc>
          <w:tcPr>
            <w:tcW w:w="2573" w:type="dxa"/>
            <w:vAlign w:val="top"/>
          </w:tcPr>
          <w:p w14:paraId="56A190A5">
            <w:pPr>
              <w:rPr>
                <w:rFonts w:ascii="Arial"/>
                <w:color w:val="auto"/>
                <w:sz w:val="21"/>
                <w:highlight w:val="none"/>
              </w:rPr>
            </w:pPr>
          </w:p>
        </w:tc>
        <w:tc>
          <w:tcPr>
            <w:tcW w:w="1033" w:type="dxa"/>
            <w:tcBorders>
              <w:right w:val="single" w:color="000000" w:sz="6" w:space="0"/>
            </w:tcBorders>
            <w:vAlign w:val="top"/>
          </w:tcPr>
          <w:p w14:paraId="1C70F6E5">
            <w:pPr>
              <w:rPr>
                <w:rFonts w:ascii="Arial"/>
                <w:color w:val="auto"/>
                <w:sz w:val="21"/>
                <w:highlight w:val="none"/>
              </w:rPr>
            </w:pPr>
          </w:p>
        </w:tc>
      </w:tr>
      <w:tr w14:paraId="17B71C5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94" w:hRule="atLeast"/>
        </w:trPr>
        <w:tc>
          <w:tcPr>
            <w:tcW w:w="934" w:type="dxa"/>
            <w:tcBorders>
              <w:left w:val="single" w:color="000000" w:sz="6" w:space="0"/>
              <w:bottom w:val="single" w:color="000000" w:sz="6" w:space="0"/>
            </w:tcBorders>
            <w:vAlign w:val="top"/>
          </w:tcPr>
          <w:p w14:paraId="093A2379">
            <w:pPr>
              <w:rPr>
                <w:rFonts w:ascii="Arial"/>
                <w:color w:val="auto"/>
                <w:sz w:val="21"/>
                <w:highlight w:val="none"/>
              </w:rPr>
            </w:pPr>
          </w:p>
        </w:tc>
        <w:tc>
          <w:tcPr>
            <w:tcW w:w="2437" w:type="dxa"/>
            <w:tcBorders>
              <w:bottom w:val="single" w:color="000000" w:sz="6" w:space="0"/>
            </w:tcBorders>
            <w:vAlign w:val="top"/>
          </w:tcPr>
          <w:p w14:paraId="56A39C72">
            <w:pPr>
              <w:rPr>
                <w:rFonts w:ascii="Arial"/>
                <w:color w:val="auto"/>
                <w:sz w:val="21"/>
                <w:highlight w:val="none"/>
              </w:rPr>
            </w:pPr>
          </w:p>
        </w:tc>
        <w:tc>
          <w:tcPr>
            <w:tcW w:w="2032" w:type="dxa"/>
            <w:tcBorders>
              <w:bottom w:val="single" w:color="000000" w:sz="6" w:space="0"/>
            </w:tcBorders>
            <w:vAlign w:val="top"/>
          </w:tcPr>
          <w:p w14:paraId="4CA045C3">
            <w:pPr>
              <w:rPr>
                <w:rFonts w:ascii="Arial"/>
                <w:color w:val="auto"/>
                <w:sz w:val="21"/>
                <w:highlight w:val="none"/>
              </w:rPr>
            </w:pPr>
          </w:p>
        </w:tc>
        <w:tc>
          <w:tcPr>
            <w:tcW w:w="2573" w:type="dxa"/>
            <w:tcBorders>
              <w:bottom w:val="single" w:color="000000" w:sz="6" w:space="0"/>
            </w:tcBorders>
            <w:vAlign w:val="top"/>
          </w:tcPr>
          <w:p w14:paraId="5E6ABB92">
            <w:pPr>
              <w:rPr>
                <w:rFonts w:ascii="Arial"/>
                <w:color w:val="auto"/>
                <w:sz w:val="21"/>
                <w:highlight w:val="none"/>
              </w:rPr>
            </w:pPr>
          </w:p>
        </w:tc>
        <w:tc>
          <w:tcPr>
            <w:tcW w:w="1033" w:type="dxa"/>
            <w:tcBorders>
              <w:bottom w:val="single" w:color="000000" w:sz="6" w:space="0"/>
              <w:right w:val="single" w:color="000000" w:sz="6" w:space="0"/>
            </w:tcBorders>
            <w:vAlign w:val="top"/>
          </w:tcPr>
          <w:p w14:paraId="4EC109CF">
            <w:pPr>
              <w:rPr>
                <w:rFonts w:ascii="Arial"/>
                <w:color w:val="auto"/>
                <w:sz w:val="21"/>
                <w:highlight w:val="none"/>
              </w:rPr>
            </w:pPr>
          </w:p>
        </w:tc>
      </w:tr>
    </w:tbl>
    <w:p w14:paraId="5643A730">
      <w:pPr>
        <w:pStyle w:val="3"/>
        <w:spacing w:line="241" w:lineRule="auto"/>
        <w:rPr>
          <w:color w:val="auto"/>
          <w:highlight w:val="none"/>
        </w:rPr>
      </w:pPr>
    </w:p>
    <w:p w14:paraId="60C8B26E">
      <w:pPr>
        <w:pStyle w:val="3"/>
        <w:spacing w:line="241" w:lineRule="auto"/>
        <w:rPr>
          <w:color w:val="auto"/>
          <w:highlight w:val="none"/>
        </w:rPr>
      </w:pPr>
    </w:p>
    <w:p w14:paraId="22DF2EED">
      <w:pPr>
        <w:spacing w:before="92" w:line="221" w:lineRule="auto"/>
        <w:ind w:left="4"/>
        <w:outlineLvl w:val="1"/>
        <w:rPr>
          <w:rFonts w:ascii="宋体" w:hAnsi="宋体" w:eastAsia="宋体" w:cs="宋体"/>
          <w:color w:val="auto"/>
          <w:sz w:val="28"/>
          <w:szCs w:val="28"/>
          <w:highlight w:val="none"/>
        </w:rPr>
      </w:pPr>
      <w:bookmarkStart w:id="799" w:name="bookmark794"/>
      <w:bookmarkEnd w:id="799"/>
      <w:bookmarkStart w:id="800" w:name="bookmark793"/>
      <w:bookmarkEnd w:id="800"/>
      <w:bookmarkStart w:id="801" w:name="_Toc8858"/>
      <w:bookmarkStart w:id="802" w:name="_Toc27509"/>
      <w:r>
        <w:rPr>
          <w:rFonts w:ascii="Times New Roman" w:hAnsi="Times New Roman" w:eastAsia="Times New Roman" w:cs="Times New Roman"/>
          <w:b/>
          <w:bCs/>
          <w:color w:val="auto"/>
          <w:spacing w:val="-7"/>
          <w:sz w:val="28"/>
          <w:szCs w:val="28"/>
          <w:highlight w:val="none"/>
        </w:rPr>
        <w:t>3</w:t>
      </w:r>
      <w:r>
        <w:rPr>
          <w:rFonts w:ascii="Times New Roman" w:hAnsi="Times New Roman" w:eastAsia="Times New Roman" w:cs="Times New Roman"/>
          <w:b/>
          <w:bCs/>
          <w:color w:val="auto"/>
          <w:spacing w:val="19"/>
          <w:sz w:val="28"/>
          <w:szCs w:val="28"/>
          <w:highlight w:val="none"/>
        </w:rPr>
        <w:t xml:space="preserve">  </w:t>
      </w:r>
      <w:r>
        <w:rPr>
          <w:rFonts w:ascii="宋体" w:hAnsi="宋体" w:eastAsia="宋体" w:cs="宋体"/>
          <w:b/>
          <w:bCs/>
          <w:color w:val="auto"/>
          <w:spacing w:val="-7"/>
          <w:sz w:val="28"/>
          <w:szCs w:val="28"/>
          <w:highlight w:val="none"/>
        </w:rPr>
        <w:t>图纸及其他资料</w:t>
      </w:r>
      <w:bookmarkEnd w:id="801"/>
      <w:bookmarkEnd w:id="802"/>
    </w:p>
    <w:p w14:paraId="52629944">
      <w:pPr>
        <w:pStyle w:val="3"/>
        <w:spacing w:line="244" w:lineRule="auto"/>
        <w:rPr>
          <w:color w:val="auto"/>
          <w:highlight w:val="none"/>
        </w:rPr>
      </w:pPr>
    </w:p>
    <w:p w14:paraId="2AEBF074">
      <w:pPr>
        <w:spacing w:before="78" w:line="221" w:lineRule="auto"/>
        <w:ind w:left="495"/>
        <w:rPr>
          <w:rFonts w:ascii="宋体" w:hAnsi="宋体" w:eastAsia="宋体" w:cs="宋体"/>
          <w:color w:val="auto"/>
          <w:sz w:val="24"/>
          <w:szCs w:val="24"/>
          <w:highlight w:val="none"/>
        </w:rPr>
      </w:pPr>
      <w:r>
        <w:rPr>
          <w:rFonts w:ascii="宋体" w:hAnsi="宋体" w:eastAsia="宋体" w:cs="宋体"/>
          <w:color w:val="auto"/>
          <w:spacing w:val="-12"/>
          <w:sz w:val="24"/>
          <w:szCs w:val="24"/>
          <w:highlight w:val="none"/>
        </w:rPr>
        <w:t>另册。</w:t>
      </w:r>
    </w:p>
    <w:p w14:paraId="78ABF980">
      <w:pPr>
        <w:spacing w:line="221"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39B2AAB">
      <w:pPr>
        <w:pStyle w:val="3"/>
        <w:spacing w:line="244" w:lineRule="auto"/>
        <w:rPr>
          <w:color w:val="auto"/>
          <w:highlight w:val="none"/>
        </w:rPr>
      </w:pPr>
    </w:p>
    <w:p w14:paraId="63D73641">
      <w:pPr>
        <w:spacing w:before="156" w:line="222" w:lineRule="auto"/>
        <w:ind w:left="3251"/>
        <w:outlineLvl w:val="0"/>
        <w:rPr>
          <w:rFonts w:ascii="黑体" w:hAnsi="黑体" w:eastAsia="黑体" w:cs="黑体"/>
          <w:color w:val="auto"/>
          <w:sz w:val="48"/>
          <w:szCs w:val="48"/>
          <w:highlight w:val="none"/>
        </w:rPr>
      </w:pPr>
      <w:bookmarkStart w:id="803" w:name="bookmark795"/>
      <w:bookmarkEnd w:id="803"/>
      <w:bookmarkStart w:id="804" w:name="bookmark796"/>
      <w:bookmarkEnd w:id="804"/>
      <w:bookmarkStart w:id="805" w:name="_Toc10370"/>
      <w:bookmarkStart w:id="806" w:name="_Toc14813"/>
      <w:r>
        <w:rPr>
          <w:rFonts w:ascii="黑体" w:hAnsi="黑体" w:eastAsia="黑体" w:cs="黑体"/>
          <w:b/>
          <w:bCs/>
          <w:color w:val="auto"/>
          <w:spacing w:val="-21"/>
          <w:sz w:val="48"/>
          <w:szCs w:val="48"/>
          <w:highlight w:val="none"/>
        </w:rPr>
        <w:t>第</w:t>
      </w:r>
      <w:r>
        <w:rPr>
          <w:rFonts w:ascii="黑体" w:hAnsi="黑体" w:eastAsia="黑体" w:cs="黑体"/>
          <w:color w:val="auto"/>
          <w:spacing w:val="30"/>
          <w:sz w:val="48"/>
          <w:szCs w:val="48"/>
          <w:highlight w:val="none"/>
        </w:rPr>
        <w:t xml:space="preserve"> </w:t>
      </w:r>
      <w:r>
        <w:rPr>
          <w:rFonts w:ascii="黑体" w:hAnsi="黑体" w:eastAsia="黑体" w:cs="黑体"/>
          <w:b/>
          <w:bCs/>
          <w:color w:val="auto"/>
          <w:spacing w:val="-21"/>
          <w:sz w:val="48"/>
          <w:szCs w:val="48"/>
          <w:highlight w:val="none"/>
        </w:rPr>
        <w:t>三</w:t>
      </w:r>
      <w:r>
        <w:rPr>
          <w:rFonts w:ascii="黑体" w:hAnsi="黑体" w:eastAsia="黑体" w:cs="黑体"/>
          <w:color w:val="auto"/>
          <w:spacing w:val="29"/>
          <w:sz w:val="48"/>
          <w:szCs w:val="48"/>
          <w:highlight w:val="none"/>
        </w:rPr>
        <w:t xml:space="preserve"> </w:t>
      </w:r>
      <w:r>
        <w:rPr>
          <w:rFonts w:ascii="黑体" w:hAnsi="黑体" w:eastAsia="黑体" w:cs="黑体"/>
          <w:b/>
          <w:bCs/>
          <w:color w:val="auto"/>
          <w:spacing w:val="-21"/>
          <w:sz w:val="48"/>
          <w:szCs w:val="48"/>
          <w:highlight w:val="none"/>
        </w:rPr>
        <w:t>卷</w:t>
      </w:r>
      <w:bookmarkEnd w:id="805"/>
      <w:bookmarkEnd w:id="806"/>
    </w:p>
    <w:p w14:paraId="00347631">
      <w:pPr>
        <w:spacing w:line="222" w:lineRule="auto"/>
        <w:rPr>
          <w:rFonts w:ascii="黑体" w:hAnsi="黑体" w:eastAsia="黑体" w:cs="黑体"/>
          <w:color w:val="auto"/>
          <w:sz w:val="48"/>
          <w:szCs w:val="48"/>
          <w:highlight w:val="none"/>
        </w:rPr>
      </w:pPr>
    </w:p>
    <w:p w14:paraId="063F5172">
      <w:pPr>
        <w:spacing w:before="71" w:line="219" w:lineRule="auto"/>
        <w:ind w:left="974"/>
        <w:outlineLvl w:val="0"/>
        <w:rPr>
          <w:rFonts w:ascii="宋体" w:hAnsi="宋体" w:eastAsia="宋体" w:cs="宋体"/>
          <w:color w:val="auto"/>
          <w:sz w:val="36"/>
          <w:szCs w:val="36"/>
          <w:highlight w:val="none"/>
        </w:rPr>
      </w:pPr>
      <w:bookmarkStart w:id="807" w:name="bookmark800"/>
      <w:bookmarkEnd w:id="807"/>
      <w:bookmarkStart w:id="808" w:name="bookmark797"/>
      <w:bookmarkEnd w:id="808"/>
      <w:bookmarkStart w:id="809" w:name="bookmark798"/>
      <w:bookmarkEnd w:id="809"/>
      <w:bookmarkStart w:id="810" w:name="bookmark802"/>
      <w:bookmarkEnd w:id="810"/>
      <w:bookmarkStart w:id="811" w:name="_Toc642"/>
      <w:bookmarkStart w:id="812" w:name="_Toc331"/>
      <w:r>
        <w:rPr>
          <w:rFonts w:ascii="宋体" w:hAnsi="宋体" w:eastAsia="宋体" w:cs="宋体"/>
          <w:b/>
          <w:bCs/>
          <w:color w:val="auto"/>
          <w:spacing w:val="-3"/>
          <w:sz w:val="36"/>
          <w:szCs w:val="36"/>
          <w:highlight w:val="none"/>
        </w:rPr>
        <w:t>第七章</w:t>
      </w:r>
      <w:r>
        <w:rPr>
          <w:rFonts w:ascii="宋体" w:hAnsi="宋体" w:eastAsia="宋体" w:cs="宋体"/>
          <w:color w:val="auto"/>
          <w:spacing w:val="-3"/>
          <w:sz w:val="36"/>
          <w:szCs w:val="36"/>
          <w:highlight w:val="none"/>
        </w:rPr>
        <w:t xml:space="preserve">  </w:t>
      </w:r>
      <w:r>
        <w:rPr>
          <w:rFonts w:ascii="宋体" w:hAnsi="宋体" w:eastAsia="宋体" w:cs="宋体"/>
          <w:b/>
          <w:bCs/>
          <w:color w:val="auto"/>
          <w:spacing w:val="-3"/>
          <w:sz w:val="36"/>
          <w:szCs w:val="36"/>
          <w:highlight w:val="none"/>
        </w:rPr>
        <w:t>技术标准和要求（合同技术条款）</w:t>
      </w:r>
      <w:bookmarkEnd w:id="811"/>
      <w:bookmarkEnd w:id="812"/>
    </w:p>
    <w:p w14:paraId="05F3E98C">
      <w:pPr>
        <w:pStyle w:val="3"/>
        <w:spacing w:line="244" w:lineRule="auto"/>
        <w:rPr>
          <w:color w:val="auto"/>
          <w:highlight w:val="none"/>
        </w:rPr>
      </w:pPr>
      <w:bookmarkStart w:id="813" w:name="bookmark799"/>
      <w:bookmarkEnd w:id="813"/>
    </w:p>
    <w:p w14:paraId="22E56476">
      <w:pPr>
        <w:pStyle w:val="13"/>
        <w:rPr>
          <w:color w:val="auto"/>
          <w:highlight w:val="none"/>
        </w:rPr>
      </w:pPr>
      <w:r>
        <w:rPr>
          <w:rFonts w:hint="eastAsia" w:cs="宋体"/>
          <w:b/>
          <w:bCs/>
          <w:color w:val="auto"/>
          <w:spacing w:val="6"/>
          <w:sz w:val="31"/>
          <w:szCs w:val="31"/>
          <w:highlight w:val="none"/>
          <w:lang w:val="en-US" w:eastAsia="zh-CN"/>
        </w:rPr>
        <w:t>通篇使用</w:t>
      </w:r>
      <w:r>
        <w:rPr>
          <w:rFonts w:hint="eastAsia" w:cs="宋体"/>
          <w:b/>
          <w:bCs/>
          <w:color w:val="auto"/>
          <w:spacing w:val="6"/>
          <w:sz w:val="31"/>
          <w:szCs w:val="31"/>
          <w:highlight w:val="none"/>
          <w:lang w:eastAsia="zh-CN"/>
        </w:rPr>
        <w:t>《浙江省水利水电工程施工招标文件示范文本（2025年）第</w:t>
      </w:r>
      <w:r>
        <w:rPr>
          <w:rFonts w:hint="eastAsia" w:cs="宋体"/>
          <w:b/>
          <w:bCs/>
          <w:color w:val="auto"/>
          <w:spacing w:val="6"/>
          <w:sz w:val="31"/>
          <w:szCs w:val="31"/>
          <w:highlight w:val="none"/>
          <w:lang w:val="en-US" w:eastAsia="zh-CN"/>
        </w:rPr>
        <w:t>七</w:t>
      </w:r>
      <w:r>
        <w:rPr>
          <w:rFonts w:hint="eastAsia" w:cs="宋体"/>
          <w:b/>
          <w:bCs/>
          <w:color w:val="auto"/>
          <w:spacing w:val="6"/>
          <w:sz w:val="31"/>
          <w:szCs w:val="31"/>
          <w:highlight w:val="none"/>
          <w:lang w:eastAsia="zh-CN"/>
        </w:rPr>
        <w:t>章</w:t>
      </w:r>
      <w:r>
        <w:rPr>
          <w:rFonts w:hint="eastAsia" w:cs="宋体"/>
          <w:b/>
          <w:bCs/>
          <w:color w:val="auto"/>
          <w:spacing w:val="6"/>
          <w:sz w:val="31"/>
          <w:szCs w:val="31"/>
          <w:highlight w:val="none"/>
          <w:lang w:val="en-US" w:eastAsia="zh-CN"/>
        </w:rPr>
        <w:t xml:space="preserve"> 技术标准和要求（合同技术条款）</w:t>
      </w:r>
    </w:p>
    <w:p w14:paraId="11670081">
      <w:pPr>
        <w:rPr>
          <w:color w:val="auto"/>
          <w:highlight w:val="none"/>
        </w:rPr>
      </w:pPr>
    </w:p>
    <w:p w14:paraId="57D51AB5">
      <w:pPr>
        <w:pStyle w:val="17"/>
        <w:rPr>
          <w:color w:val="auto"/>
          <w:highlight w:val="none"/>
        </w:rPr>
      </w:pPr>
    </w:p>
    <w:p w14:paraId="48A226CA">
      <w:pPr>
        <w:pStyle w:val="3"/>
        <w:spacing w:line="245" w:lineRule="auto"/>
        <w:rPr>
          <w:color w:val="auto"/>
          <w:highlight w:val="none"/>
        </w:rPr>
      </w:pPr>
    </w:p>
    <w:p w14:paraId="1844C319">
      <w:pPr>
        <w:pStyle w:val="16"/>
        <w:rPr>
          <w:color w:val="auto"/>
          <w:highlight w:val="none"/>
        </w:rPr>
      </w:pPr>
    </w:p>
    <w:p w14:paraId="1BF096B3">
      <w:pPr>
        <w:pStyle w:val="13"/>
        <w:rPr>
          <w:color w:val="auto"/>
          <w:highlight w:val="none"/>
        </w:rPr>
      </w:pPr>
    </w:p>
    <w:p w14:paraId="68FC44D6">
      <w:pPr>
        <w:rPr>
          <w:color w:val="auto"/>
          <w:highlight w:val="none"/>
        </w:rPr>
      </w:pPr>
    </w:p>
    <w:p w14:paraId="188C8781">
      <w:pPr>
        <w:pStyle w:val="17"/>
        <w:rPr>
          <w:color w:val="auto"/>
          <w:highlight w:val="none"/>
        </w:rPr>
      </w:pPr>
    </w:p>
    <w:p w14:paraId="541A5778">
      <w:pPr>
        <w:pStyle w:val="8"/>
        <w:rPr>
          <w:color w:val="auto"/>
          <w:highlight w:val="none"/>
        </w:rPr>
      </w:pPr>
    </w:p>
    <w:p w14:paraId="6555E564">
      <w:pPr>
        <w:pStyle w:val="9"/>
        <w:rPr>
          <w:color w:val="auto"/>
          <w:highlight w:val="none"/>
        </w:rPr>
      </w:pPr>
    </w:p>
    <w:p w14:paraId="28A09D33">
      <w:pPr>
        <w:rPr>
          <w:color w:val="auto"/>
          <w:highlight w:val="none"/>
        </w:rPr>
      </w:pPr>
    </w:p>
    <w:p w14:paraId="2289C17E">
      <w:pPr>
        <w:pStyle w:val="17"/>
        <w:rPr>
          <w:color w:val="auto"/>
          <w:highlight w:val="none"/>
        </w:rPr>
      </w:pPr>
    </w:p>
    <w:p w14:paraId="2F3654EB">
      <w:pPr>
        <w:pStyle w:val="8"/>
        <w:rPr>
          <w:color w:val="auto"/>
          <w:highlight w:val="none"/>
        </w:rPr>
      </w:pPr>
    </w:p>
    <w:p w14:paraId="0A170D35">
      <w:pPr>
        <w:pStyle w:val="9"/>
        <w:rPr>
          <w:color w:val="auto"/>
          <w:highlight w:val="none"/>
        </w:rPr>
      </w:pPr>
    </w:p>
    <w:p w14:paraId="65AC0E74">
      <w:pPr>
        <w:rPr>
          <w:color w:val="auto"/>
          <w:highlight w:val="none"/>
        </w:rPr>
      </w:pPr>
    </w:p>
    <w:p w14:paraId="04402B49">
      <w:pPr>
        <w:pStyle w:val="17"/>
        <w:rPr>
          <w:color w:val="auto"/>
          <w:highlight w:val="none"/>
        </w:rPr>
      </w:pPr>
    </w:p>
    <w:p w14:paraId="2E0259F0">
      <w:pPr>
        <w:pStyle w:val="8"/>
        <w:rPr>
          <w:color w:val="auto"/>
          <w:highlight w:val="none"/>
        </w:rPr>
      </w:pPr>
    </w:p>
    <w:p w14:paraId="3F3DAB90">
      <w:pPr>
        <w:pStyle w:val="9"/>
        <w:rPr>
          <w:color w:val="auto"/>
          <w:highlight w:val="none"/>
        </w:rPr>
      </w:pPr>
    </w:p>
    <w:p w14:paraId="7062EBCF">
      <w:pPr>
        <w:rPr>
          <w:color w:val="auto"/>
          <w:highlight w:val="none"/>
        </w:rPr>
      </w:pPr>
    </w:p>
    <w:p w14:paraId="4358E6FC">
      <w:pPr>
        <w:pStyle w:val="17"/>
        <w:rPr>
          <w:color w:val="auto"/>
          <w:highlight w:val="none"/>
        </w:rPr>
      </w:pPr>
    </w:p>
    <w:p w14:paraId="6F059B83">
      <w:pPr>
        <w:pStyle w:val="8"/>
        <w:rPr>
          <w:color w:val="auto"/>
          <w:highlight w:val="none"/>
        </w:rPr>
      </w:pPr>
    </w:p>
    <w:p w14:paraId="4ADC06E6">
      <w:pPr>
        <w:pStyle w:val="9"/>
        <w:rPr>
          <w:color w:val="auto"/>
          <w:highlight w:val="none"/>
        </w:rPr>
      </w:pPr>
    </w:p>
    <w:p w14:paraId="698C39AC">
      <w:pPr>
        <w:rPr>
          <w:color w:val="auto"/>
          <w:highlight w:val="none"/>
        </w:rPr>
      </w:pPr>
    </w:p>
    <w:p w14:paraId="0C3C23CE">
      <w:pPr>
        <w:pStyle w:val="17"/>
        <w:rPr>
          <w:color w:val="auto"/>
          <w:highlight w:val="none"/>
        </w:rPr>
      </w:pPr>
    </w:p>
    <w:p w14:paraId="25811D1D">
      <w:pPr>
        <w:pStyle w:val="8"/>
        <w:rPr>
          <w:color w:val="auto"/>
          <w:highlight w:val="none"/>
        </w:rPr>
      </w:pPr>
    </w:p>
    <w:p w14:paraId="4376B1A0">
      <w:pPr>
        <w:pStyle w:val="9"/>
        <w:rPr>
          <w:color w:val="auto"/>
          <w:highlight w:val="none"/>
        </w:rPr>
      </w:pPr>
    </w:p>
    <w:p w14:paraId="064A7F67">
      <w:pPr>
        <w:rPr>
          <w:color w:val="auto"/>
          <w:highlight w:val="none"/>
        </w:rPr>
      </w:pPr>
    </w:p>
    <w:p w14:paraId="51FEE398">
      <w:pPr>
        <w:pStyle w:val="17"/>
        <w:rPr>
          <w:color w:val="auto"/>
          <w:highlight w:val="none"/>
        </w:rPr>
      </w:pPr>
    </w:p>
    <w:p w14:paraId="020096FF">
      <w:pPr>
        <w:pStyle w:val="8"/>
        <w:rPr>
          <w:color w:val="auto"/>
          <w:highlight w:val="none"/>
        </w:rPr>
      </w:pPr>
    </w:p>
    <w:p w14:paraId="51FA5F2A">
      <w:pPr>
        <w:pStyle w:val="3"/>
        <w:spacing w:line="245" w:lineRule="auto"/>
        <w:rPr>
          <w:color w:val="auto"/>
          <w:highlight w:val="none"/>
        </w:rPr>
      </w:pPr>
    </w:p>
    <w:p w14:paraId="0718022E">
      <w:pPr>
        <w:pStyle w:val="3"/>
        <w:spacing w:line="245" w:lineRule="auto"/>
        <w:rPr>
          <w:color w:val="auto"/>
          <w:highlight w:val="none"/>
        </w:rPr>
      </w:pPr>
    </w:p>
    <w:p w14:paraId="5DF69590">
      <w:pPr>
        <w:pStyle w:val="3"/>
        <w:spacing w:line="245" w:lineRule="auto"/>
        <w:rPr>
          <w:color w:val="auto"/>
          <w:highlight w:val="none"/>
        </w:rPr>
      </w:pPr>
    </w:p>
    <w:p w14:paraId="76D36299">
      <w:pPr>
        <w:spacing w:before="156" w:line="222" w:lineRule="auto"/>
        <w:ind w:left="3251"/>
        <w:outlineLvl w:val="0"/>
        <w:rPr>
          <w:rFonts w:ascii="黑体" w:hAnsi="黑体" w:eastAsia="黑体" w:cs="黑体"/>
          <w:color w:val="auto"/>
          <w:sz w:val="48"/>
          <w:szCs w:val="48"/>
          <w:highlight w:val="none"/>
        </w:rPr>
      </w:pPr>
      <w:bookmarkStart w:id="814" w:name="bookmark1286"/>
      <w:bookmarkEnd w:id="814"/>
      <w:bookmarkStart w:id="815" w:name="bookmark1285"/>
      <w:bookmarkEnd w:id="815"/>
      <w:bookmarkStart w:id="816" w:name="_Toc11008"/>
      <w:bookmarkStart w:id="817" w:name="_Toc9156"/>
      <w:r>
        <w:rPr>
          <w:rFonts w:ascii="黑体" w:hAnsi="黑体" w:eastAsia="黑体" w:cs="黑体"/>
          <w:b/>
          <w:bCs/>
          <w:color w:val="auto"/>
          <w:spacing w:val="-27"/>
          <w:sz w:val="48"/>
          <w:szCs w:val="48"/>
          <w:highlight w:val="none"/>
        </w:rPr>
        <w:t>第</w:t>
      </w:r>
      <w:r>
        <w:rPr>
          <w:rFonts w:ascii="黑体" w:hAnsi="黑体" w:eastAsia="黑体" w:cs="黑体"/>
          <w:color w:val="auto"/>
          <w:spacing w:val="49"/>
          <w:sz w:val="48"/>
          <w:szCs w:val="48"/>
          <w:highlight w:val="none"/>
        </w:rPr>
        <w:t xml:space="preserve"> </w:t>
      </w:r>
      <w:r>
        <w:rPr>
          <w:rFonts w:ascii="黑体" w:hAnsi="黑体" w:eastAsia="黑体" w:cs="黑体"/>
          <w:b/>
          <w:bCs/>
          <w:color w:val="auto"/>
          <w:spacing w:val="-27"/>
          <w:sz w:val="48"/>
          <w:szCs w:val="48"/>
          <w:highlight w:val="none"/>
        </w:rPr>
        <w:t>四</w:t>
      </w:r>
      <w:r>
        <w:rPr>
          <w:rFonts w:ascii="黑体" w:hAnsi="黑体" w:eastAsia="黑体" w:cs="黑体"/>
          <w:color w:val="auto"/>
          <w:spacing w:val="28"/>
          <w:sz w:val="48"/>
          <w:szCs w:val="48"/>
          <w:highlight w:val="none"/>
        </w:rPr>
        <w:t xml:space="preserve"> </w:t>
      </w:r>
      <w:r>
        <w:rPr>
          <w:rFonts w:ascii="黑体" w:hAnsi="黑体" w:eastAsia="黑体" w:cs="黑体"/>
          <w:b/>
          <w:bCs/>
          <w:color w:val="auto"/>
          <w:spacing w:val="-27"/>
          <w:sz w:val="48"/>
          <w:szCs w:val="48"/>
          <w:highlight w:val="none"/>
        </w:rPr>
        <w:t>卷</w:t>
      </w:r>
      <w:bookmarkEnd w:id="816"/>
      <w:bookmarkEnd w:id="817"/>
    </w:p>
    <w:p w14:paraId="442911C1">
      <w:pPr>
        <w:spacing w:line="222" w:lineRule="auto"/>
        <w:rPr>
          <w:rFonts w:ascii="黑体" w:hAnsi="黑体" w:eastAsia="黑体" w:cs="黑体"/>
          <w:color w:val="auto"/>
          <w:sz w:val="48"/>
          <w:szCs w:val="48"/>
          <w:highlight w:val="none"/>
        </w:rPr>
      </w:pPr>
    </w:p>
    <w:p w14:paraId="6F3C9D2E">
      <w:pPr>
        <w:spacing w:before="71" w:line="219" w:lineRule="auto"/>
        <w:ind w:left="2404"/>
        <w:outlineLvl w:val="0"/>
        <w:rPr>
          <w:rFonts w:ascii="宋体" w:hAnsi="宋体" w:eastAsia="宋体" w:cs="宋体"/>
          <w:color w:val="auto"/>
          <w:sz w:val="36"/>
          <w:szCs w:val="36"/>
          <w:highlight w:val="none"/>
        </w:rPr>
      </w:pPr>
      <w:bookmarkStart w:id="818" w:name="bookmark1288"/>
      <w:bookmarkEnd w:id="818"/>
      <w:bookmarkStart w:id="819" w:name="bookmark1287"/>
      <w:bookmarkEnd w:id="819"/>
      <w:bookmarkStart w:id="820" w:name="_Toc6888"/>
      <w:bookmarkStart w:id="821" w:name="_Toc9745"/>
      <w:r>
        <w:rPr>
          <w:rFonts w:ascii="宋体" w:hAnsi="宋体" w:eastAsia="宋体" w:cs="宋体"/>
          <w:b/>
          <w:bCs/>
          <w:color w:val="auto"/>
          <w:spacing w:val="-4"/>
          <w:sz w:val="36"/>
          <w:szCs w:val="36"/>
          <w:highlight w:val="none"/>
        </w:rPr>
        <w:t>第八章</w:t>
      </w:r>
      <w:r>
        <w:rPr>
          <w:rFonts w:ascii="宋体" w:hAnsi="宋体" w:eastAsia="宋体" w:cs="宋体"/>
          <w:color w:val="auto"/>
          <w:spacing w:val="-4"/>
          <w:sz w:val="36"/>
          <w:szCs w:val="36"/>
          <w:highlight w:val="none"/>
        </w:rPr>
        <w:t xml:space="preserve">  </w:t>
      </w:r>
      <w:r>
        <w:rPr>
          <w:rFonts w:ascii="宋体" w:hAnsi="宋体" w:eastAsia="宋体" w:cs="宋体"/>
          <w:b/>
          <w:bCs/>
          <w:color w:val="auto"/>
          <w:spacing w:val="-4"/>
          <w:sz w:val="36"/>
          <w:szCs w:val="36"/>
          <w:highlight w:val="none"/>
        </w:rPr>
        <w:t>投标文件格式</w:t>
      </w:r>
      <w:bookmarkEnd w:id="820"/>
      <w:bookmarkEnd w:id="821"/>
    </w:p>
    <w:p w14:paraId="6C2DDED6">
      <w:pPr>
        <w:spacing w:line="219" w:lineRule="auto"/>
        <w:rPr>
          <w:rFonts w:ascii="宋体" w:hAnsi="宋体" w:eastAsia="宋体" w:cs="宋体"/>
          <w:color w:val="auto"/>
          <w:sz w:val="36"/>
          <w:szCs w:val="36"/>
          <w:highlight w:val="none"/>
        </w:rPr>
        <w:sectPr>
          <w:headerReference r:id="rId14" w:type="default"/>
          <w:pgSz w:w="11905" w:h="16843"/>
          <w:pgMar w:top="1429" w:right="1361" w:bottom="1253" w:left="1621" w:header="0" w:footer="1094" w:gutter="0"/>
          <w:pgNumType w:fmt="decimal"/>
          <w:cols w:space="0" w:num="1"/>
          <w:rtlGutter w:val="0"/>
          <w:docGrid w:linePitch="0" w:charSpace="0"/>
        </w:sectPr>
      </w:pPr>
    </w:p>
    <w:p w14:paraId="52DEA0E6">
      <w:pPr>
        <w:pStyle w:val="3"/>
        <w:spacing w:line="268" w:lineRule="auto"/>
        <w:rPr>
          <w:color w:val="auto"/>
          <w:highlight w:val="none"/>
        </w:rPr>
      </w:pPr>
    </w:p>
    <w:p w14:paraId="7246316A">
      <w:pPr>
        <w:pStyle w:val="3"/>
        <w:spacing w:line="268" w:lineRule="auto"/>
        <w:rPr>
          <w:color w:val="auto"/>
          <w:highlight w:val="none"/>
        </w:rPr>
      </w:pPr>
    </w:p>
    <w:p w14:paraId="088C722D">
      <w:pPr>
        <w:pStyle w:val="3"/>
        <w:spacing w:line="268" w:lineRule="auto"/>
        <w:rPr>
          <w:color w:val="auto"/>
          <w:highlight w:val="none"/>
        </w:rPr>
      </w:pPr>
    </w:p>
    <w:p w14:paraId="07538727">
      <w:pPr>
        <w:pStyle w:val="3"/>
        <w:spacing w:line="268" w:lineRule="auto"/>
        <w:rPr>
          <w:color w:val="auto"/>
          <w:highlight w:val="none"/>
        </w:rPr>
      </w:pPr>
    </w:p>
    <w:p w14:paraId="446E1608">
      <w:pPr>
        <w:pStyle w:val="3"/>
        <w:spacing w:line="269" w:lineRule="auto"/>
        <w:rPr>
          <w:color w:val="auto"/>
          <w:highlight w:val="none"/>
        </w:rPr>
      </w:pPr>
    </w:p>
    <w:p w14:paraId="2C4CAC01">
      <w:pPr>
        <w:tabs>
          <w:tab w:val="left" w:pos="3577"/>
        </w:tabs>
        <w:spacing w:before="81" w:line="213" w:lineRule="auto"/>
        <w:ind w:left="141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9"/>
          <w:sz w:val="24"/>
          <w:szCs w:val="24"/>
          <w:highlight w:val="none"/>
        </w:rPr>
        <w:t>（</w:t>
      </w:r>
      <w:r>
        <w:rPr>
          <w:rFonts w:ascii="宋体" w:hAnsi="宋体" w:eastAsia="宋体" w:cs="宋体"/>
          <w:i/>
          <w:iCs/>
          <w:color w:val="auto"/>
          <w:spacing w:val="9"/>
          <w:sz w:val="25"/>
          <w:szCs w:val="25"/>
          <w:highlight w:val="none"/>
        </w:rPr>
        <w:t>项目名称</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1"/>
          <w:sz w:val="24"/>
          <w:szCs w:val="24"/>
          <w:highlight w:val="none"/>
        </w:rPr>
        <w:t>（</w:t>
      </w:r>
      <w:r>
        <w:rPr>
          <w:rFonts w:ascii="宋体" w:hAnsi="宋体" w:eastAsia="宋体" w:cs="宋体"/>
          <w:i/>
          <w:iCs/>
          <w:color w:val="auto"/>
          <w:spacing w:val="9"/>
          <w:sz w:val="25"/>
          <w:szCs w:val="25"/>
          <w:highlight w:val="none"/>
        </w:rPr>
        <w:t>标段名称</w:t>
      </w:r>
      <w:r>
        <w:rPr>
          <w:rFonts w:ascii="宋体" w:hAnsi="宋体" w:eastAsia="宋体" w:cs="宋体"/>
          <w:color w:val="auto"/>
          <w:spacing w:val="9"/>
          <w:sz w:val="24"/>
          <w:szCs w:val="24"/>
          <w:highlight w:val="none"/>
        </w:rPr>
        <w:t>）</w:t>
      </w:r>
    </w:p>
    <w:p w14:paraId="70D67AC3">
      <w:pPr>
        <w:pStyle w:val="3"/>
        <w:spacing w:line="244" w:lineRule="auto"/>
        <w:rPr>
          <w:color w:val="auto"/>
          <w:highlight w:val="none"/>
        </w:rPr>
      </w:pPr>
    </w:p>
    <w:p w14:paraId="3B424C62">
      <w:pPr>
        <w:pStyle w:val="3"/>
        <w:spacing w:line="245" w:lineRule="auto"/>
        <w:rPr>
          <w:color w:val="auto"/>
          <w:highlight w:val="none"/>
        </w:rPr>
      </w:pPr>
    </w:p>
    <w:p w14:paraId="3D91B541">
      <w:pPr>
        <w:pStyle w:val="3"/>
        <w:spacing w:line="245" w:lineRule="auto"/>
        <w:rPr>
          <w:color w:val="auto"/>
          <w:highlight w:val="none"/>
        </w:rPr>
      </w:pPr>
    </w:p>
    <w:p w14:paraId="66EA799B">
      <w:pPr>
        <w:pStyle w:val="3"/>
        <w:spacing w:line="245" w:lineRule="auto"/>
        <w:rPr>
          <w:color w:val="auto"/>
          <w:highlight w:val="none"/>
        </w:rPr>
      </w:pPr>
    </w:p>
    <w:p w14:paraId="0158CCC6">
      <w:pPr>
        <w:pStyle w:val="3"/>
        <w:spacing w:line="245" w:lineRule="auto"/>
        <w:rPr>
          <w:color w:val="auto"/>
          <w:highlight w:val="none"/>
        </w:rPr>
      </w:pPr>
    </w:p>
    <w:p w14:paraId="2AC80C8C">
      <w:pPr>
        <w:pStyle w:val="3"/>
        <w:spacing w:line="245" w:lineRule="auto"/>
        <w:rPr>
          <w:color w:val="auto"/>
          <w:highlight w:val="none"/>
        </w:rPr>
      </w:pPr>
    </w:p>
    <w:p w14:paraId="1BC7CB1D">
      <w:pPr>
        <w:pStyle w:val="3"/>
        <w:spacing w:line="245" w:lineRule="auto"/>
        <w:rPr>
          <w:color w:val="auto"/>
          <w:highlight w:val="none"/>
        </w:rPr>
      </w:pPr>
    </w:p>
    <w:p w14:paraId="2F4A6A6A">
      <w:pPr>
        <w:spacing w:before="140" w:line="223" w:lineRule="auto"/>
        <w:ind w:left="3204"/>
        <w:rPr>
          <w:rFonts w:ascii="宋体" w:hAnsi="宋体" w:eastAsia="宋体" w:cs="宋体"/>
          <w:color w:val="auto"/>
          <w:sz w:val="43"/>
          <w:szCs w:val="43"/>
          <w:highlight w:val="none"/>
        </w:rPr>
      </w:pPr>
      <w:r>
        <w:rPr>
          <w:rFonts w:ascii="宋体" w:hAnsi="宋体" w:eastAsia="宋体" w:cs="宋体"/>
          <w:b/>
          <w:bCs/>
          <w:color w:val="auto"/>
          <w:spacing w:val="-14"/>
          <w:sz w:val="43"/>
          <w:szCs w:val="43"/>
          <w:highlight w:val="none"/>
        </w:rPr>
        <w:t>投</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标</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文</w:t>
      </w:r>
      <w:r>
        <w:rPr>
          <w:rFonts w:ascii="宋体" w:hAnsi="宋体" w:eastAsia="宋体" w:cs="宋体"/>
          <w:color w:val="auto"/>
          <w:spacing w:val="24"/>
          <w:sz w:val="43"/>
          <w:szCs w:val="43"/>
          <w:highlight w:val="none"/>
        </w:rPr>
        <w:t xml:space="preserve"> </w:t>
      </w:r>
      <w:r>
        <w:rPr>
          <w:rFonts w:ascii="宋体" w:hAnsi="宋体" w:eastAsia="宋体" w:cs="宋体"/>
          <w:b/>
          <w:bCs/>
          <w:color w:val="auto"/>
          <w:spacing w:val="-14"/>
          <w:sz w:val="43"/>
          <w:szCs w:val="43"/>
          <w:highlight w:val="none"/>
        </w:rPr>
        <w:t>件</w:t>
      </w:r>
    </w:p>
    <w:p w14:paraId="26C2090B">
      <w:pPr>
        <w:spacing w:before="305" w:line="220" w:lineRule="auto"/>
        <w:ind w:left="3361"/>
        <w:rPr>
          <w:rFonts w:ascii="宋体" w:hAnsi="宋体" w:eastAsia="宋体" w:cs="宋体"/>
          <w:sz w:val="24"/>
          <w:szCs w:val="24"/>
        </w:rPr>
      </w:pPr>
      <w:r>
        <w:rPr>
          <w:rFonts w:ascii="宋体" w:hAnsi="宋体" w:eastAsia="宋体" w:cs="宋体"/>
          <w:spacing w:val="-2"/>
          <w:sz w:val="24"/>
          <w:szCs w:val="24"/>
        </w:rPr>
        <w:t>（资格审查资料）</w:t>
      </w:r>
    </w:p>
    <w:p w14:paraId="38DD7269">
      <w:pPr>
        <w:pStyle w:val="3"/>
        <w:spacing w:line="247" w:lineRule="auto"/>
        <w:rPr>
          <w:color w:val="auto"/>
          <w:highlight w:val="none"/>
        </w:rPr>
      </w:pPr>
    </w:p>
    <w:p w14:paraId="6A21E02D">
      <w:pPr>
        <w:pStyle w:val="3"/>
        <w:spacing w:line="248" w:lineRule="auto"/>
        <w:rPr>
          <w:color w:val="auto"/>
          <w:highlight w:val="none"/>
        </w:rPr>
      </w:pPr>
    </w:p>
    <w:p w14:paraId="5A210DC3">
      <w:pPr>
        <w:pStyle w:val="3"/>
        <w:spacing w:line="248" w:lineRule="auto"/>
        <w:rPr>
          <w:color w:val="auto"/>
          <w:highlight w:val="none"/>
        </w:rPr>
      </w:pPr>
    </w:p>
    <w:p w14:paraId="43A6FBDD">
      <w:pPr>
        <w:pStyle w:val="3"/>
        <w:spacing w:line="248" w:lineRule="auto"/>
        <w:rPr>
          <w:color w:val="auto"/>
          <w:highlight w:val="none"/>
        </w:rPr>
      </w:pPr>
    </w:p>
    <w:p w14:paraId="57ADE17A">
      <w:pPr>
        <w:pStyle w:val="3"/>
        <w:spacing w:line="248" w:lineRule="auto"/>
        <w:rPr>
          <w:color w:val="auto"/>
          <w:highlight w:val="none"/>
        </w:rPr>
      </w:pPr>
    </w:p>
    <w:p w14:paraId="31A1FA21">
      <w:pPr>
        <w:pStyle w:val="3"/>
        <w:spacing w:line="248" w:lineRule="auto"/>
        <w:rPr>
          <w:color w:val="auto"/>
          <w:highlight w:val="none"/>
        </w:rPr>
      </w:pPr>
    </w:p>
    <w:p w14:paraId="7ECAA981">
      <w:pPr>
        <w:pStyle w:val="3"/>
        <w:spacing w:line="248" w:lineRule="auto"/>
        <w:rPr>
          <w:color w:val="auto"/>
          <w:highlight w:val="none"/>
        </w:rPr>
      </w:pPr>
    </w:p>
    <w:p w14:paraId="37E8CCA1">
      <w:pPr>
        <w:pStyle w:val="3"/>
        <w:spacing w:line="248" w:lineRule="auto"/>
        <w:rPr>
          <w:color w:val="auto"/>
          <w:highlight w:val="none"/>
        </w:rPr>
      </w:pPr>
    </w:p>
    <w:p w14:paraId="28A5C0DB">
      <w:pPr>
        <w:pStyle w:val="3"/>
        <w:spacing w:line="248" w:lineRule="auto"/>
        <w:rPr>
          <w:color w:val="auto"/>
          <w:highlight w:val="none"/>
        </w:rPr>
      </w:pPr>
    </w:p>
    <w:p w14:paraId="51815660">
      <w:pPr>
        <w:pStyle w:val="3"/>
        <w:spacing w:line="248" w:lineRule="auto"/>
        <w:rPr>
          <w:color w:val="auto"/>
          <w:highlight w:val="none"/>
        </w:rPr>
      </w:pPr>
    </w:p>
    <w:p w14:paraId="7D7AFA55">
      <w:pPr>
        <w:pStyle w:val="3"/>
        <w:spacing w:line="248" w:lineRule="auto"/>
        <w:rPr>
          <w:color w:val="auto"/>
          <w:highlight w:val="none"/>
        </w:rPr>
      </w:pPr>
    </w:p>
    <w:p w14:paraId="6BF45D60">
      <w:pPr>
        <w:pStyle w:val="3"/>
        <w:spacing w:line="248" w:lineRule="auto"/>
        <w:rPr>
          <w:color w:val="auto"/>
          <w:highlight w:val="none"/>
        </w:rPr>
      </w:pPr>
    </w:p>
    <w:p w14:paraId="6AC49981">
      <w:pPr>
        <w:pStyle w:val="3"/>
        <w:spacing w:line="248" w:lineRule="auto"/>
        <w:rPr>
          <w:color w:val="auto"/>
          <w:highlight w:val="none"/>
        </w:rPr>
      </w:pPr>
    </w:p>
    <w:p w14:paraId="0763920E">
      <w:pPr>
        <w:pStyle w:val="3"/>
        <w:spacing w:line="248" w:lineRule="auto"/>
        <w:rPr>
          <w:color w:val="auto"/>
          <w:highlight w:val="none"/>
        </w:rPr>
      </w:pPr>
    </w:p>
    <w:p w14:paraId="64B7A8F2">
      <w:pPr>
        <w:pStyle w:val="3"/>
        <w:spacing w:line="248" w:lineRule="auto"/>
        <w:rPr>
          <w:color w:val="auto"/>
          <w:highlight w:val="none"/>
        </w:rPr>
      </w:pPr>
    </w:p>
    <w:p w14:paraId="7F0E273E">
      <w:pPr>
        <w:pStyle w:val="3"/>
        <w:spacing w:line="248" w:lineRule="auto"/>
        <w:rPr>
          <w:color w:val="auto"/>
          <w:highlight w:val="none"/>
        </w:rPr>
      </w:pPr>
    </w:p>
    <w:p w14:paraId="004C4DE8">
      <w:pPr>
        <w:pStyle w:val="3"/>
        <w:spacing w:line="248" w:lineRule="auto"/>
        <w:rPr>
          <w:color w:val="auto"/>
          <w:highlight w:val="none"/>
        </w:rPr>
      </w:pPr>
    </w:p>
    <w:p w14:paraId="31887730">
      <w:pPr>
        <w:spacing w:before="78" w:line="219" w:lineRule="auto"/>
        <w:ind w:left="121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标</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人</w:t>
      </w:r>
      <w:r>
        <w:rPr>
          <w:rFonts w:ascii="宋体" w:hAnsi="宋体" w:eastAsia="宋体" w:cs="宋体"/>
          <w:color w:val="auto"/>
          <w:spacing w:val="-31"/>
          <w:sz w:val="24"/>
          <w:szCs w:val="24"/>
          <w:highlight w:val="none"/>
        </w:rPr>
        <w:t>：</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31"/>
          <w:sz w:val="24"/>
          <w:szCs w:val="24"/>
          <w:highlight w:val="none"/>
          <w:u w:val="single" w:color="auto"/>
        </w:rPr>
        <w:t>（</w:t>
      </w:r>
      <w:r>
        <w:rPr>
          <w:rFonts w:ascii="宋体" w:hAnsi="宋体" w:eastAsia="宋体" w:cs="宋体"/>
          <w:color w:val="auto"/>
          <w:spacing w:val="-1"/>
          <w:sz w:val="24"/>
          <w:szCs w:val="24"/>
          <w:highlight w:val="none"/>
          <w:u w:val="single" w:color="auto"/>
        </w:rPr>
        <w:t>盖单位公章）</w:t>
      </w:r>
      <w:r>
        <w:rPr>
          <w:rFonts w:ascii="宋体" w:hAnsi="宋体" w:eastAsia="宋体" w:cs="宋体"/>
          <w:color w:val="auto"/>
          <w:sz w:val="24"/>
          <w:szCs w:val="24"/>
          <w:highlight w:val="none"/>
          <w:u w:val="single" w:color="auto"/>
        </w:rPr>
        <w:t xml:space="preserve">            </w:t>
      </w:r>
    </w:p>
    <w:p w14:paraId="4E28B84B">
      <w:pPr>
        <w:pStyle w:val="3"/>
        <w:spacing w:line="257" w:lineRule="auto"/>
        <w:rPr>
          <w:color w:val="auto"/>
          <w:highlight w:val="none"/>
        </w:rPr>
      </w:pPr>
    </w:p>
    <w:p w14:paraId="103A1CF9">
      <w:pPr>
        <w:pStyle w:val="3"/>
        <w:spacing w:line="257" w:lineRule="auto"/>
        <w:rPr>
          <w:color w:val="auto"/>
          <w:highlight w:val="none"/>
        </w:rPr>
      </w:pPr>
    </w:p>
    <w:p w14:paraId="766C8BBF">
      <w:pPr>
        <w:tabs>
          <w:tab w:val="left" w:pos="4216"/>
        </w:tabs>
        <w:spacing w:before="78" w:line="347" w:lineRule="auto"/>
        <w:ind w:left="2896" w:right="1808" w:hanging="16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4"/>
          <w:sz w:val="24"/>
          <w:szCs w:val="24"/>
          <w:highlight w:val="none"/>
          <w:u w:val="single" w:color="auto"/>
        </w:rPr>
        <w:t>（</w:t>
      </w:r>
      <w:r>
        <w:rPr>
          <w:rFonts w:ascii="宋体" w:hAnsi="宋体" w:eastAsia="宋体" w:cs="宋体"/>
          <w:color w:val="auto"/>
          <w:spacing w:val="2"/>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9"/>
          <w:sz w:val="24"/>
          <w:szCs w:val="24"/>
          <w:highlight w:val="none"/>
        </w:rPr>
        <w:t>日</w:t>
      </w:r>
    </w:p>
    <w:p w14:paraId="5E7C7E41">
      <w:pPr>
        <w:pStyle w:val="3"/>
        <w:spacing w:line="296" w:lineRule="auto"/>
        <w:rPr>
          <w:color w:val="auto"/>
          <w:highlight w:val="none"/>
        </w:rPr>
      </w:pPr>
    </w:p>
    <w:p w14:paraId="16293A89">
      <w:pPr>
        <w:pStyle w:val="3"/>
        <w:spacing w:line="297" w:lineRule="auto"/>
        <w:rPr>
          <w:color w:val="auto"/>
          <w:highlight w:val="none"/>
        </w:rPr>
      </w:pPr>
    </w:p>
    <w:p w14:paraId="1CAFAFE1">
      <w:pPr>
        <w:pStyle w:val="3"/>
        <w:spacing w:line="297" w:lineRule="auto"/>
        <w:rPr>
          <w:color w:val="auto"/>
          <w:highlight w:val="none"/>
        </w:rPr>
      </w:pPr>
    </w:p>
    <w:p w14:paraId="4B40FE3A">
      <w:pPr>
        <w:pStyle w:val="3"/>
        <w:spacing w:line="297" w:lineRule="auto"/>
        <w:rPr>
          <w:color w:val="auto"/>
          <w:highlight w:val="none"/>
        </w:rPr>
      </w:pPr>
    </w:p>
    <w:p w14:paraId="05036AFA">
      <w:pPr>
        <w:spacing w:before="82" w:line="211"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rPr>
        <w:t>注：本页同时适用于封面或扉页。</w:t>
      </w:r>
    </w:p>
    <w:p w14:paraId="79EF1F8B">
      <w:pPr>
        <w:pStyle w:val="3"/>
        <w:spacing w:line="268" w:lineRule="auto"/>
        <w:rPr>
          <w:color w:val="auto"/>
          <w:highlight w:val="none"/>
        </w:rPr>
      </w:pPr>
    </w:p>
    <w:p w14:paraId="0C9DCA21">
      <w:pPr>
        <w:pStyle w:val="3"/>
        <w:spacing w:line="268" w:lineRule="auto"/>
        <w:rPr>
          <w:color w:val="auto"/>
          <w:highlight w:val="none"/>
        </w:rPr>
      </w:pPr>
    </w:p>
    <w:p w14:paraId="3B3F7AD0">
      <w:pPr>
        <w:pStyle w:val="3"/>
        <w:spacing w:line="268" w:lineRule="auto"/>
        <w:rPr>
          <w:color w:val="auto"/>
          <w:highlight w:val="none"/>
        </w:rPr>
      </w:pPr>
    </w:p>
    <w:p w14:paraId="37564415">
      <w:pPr>
        <w:pStyle w:val="3"/>
        <w:spacing w:line="268" w:lineRule="auto"/>
        <w:rPr>
          <w:color w:val="auto"/>
          <w:highlight w:val="none"/>
        </w:rPr>
      </w:pPr>
    </w:p>
    <w:p w14:paraId="5BEC614B">
      <w:pPr>
        <w:pStyle w:val="3"/>
        <w:spacing w:line="268" w:lineRule="auto"/>
        <w:rPr>
          <w:color w:val="auto"/>
          <w:highlight w:val="none"/>
        </w:rPr>
      </w:pPr>
    </w:p>
    <w:p w14:paraId="5CBDD090">
      <w:pPr>
        <w:pStyle w:val="3"/>
        <w:spacing w:line="269" w:lineRule="auto"/>
        <w:rPr>
          <w:color w:val="auto"/>
          <w:highlight w:val="none"/>
        </w:rPr>
      </w:pPr>
    </w:p>
    <w:p w14:paraId="2C054C9E">
      <w:pPr>
        <w:spacing w:before="91" w:line="220" w:lineRule="auto"/>
        <w:ind w:left="3376"/>
        <w:outlineLvl w:val="1"/>
        <w:rPr>
          <w:rFonts w:ascii="宋体" w:hAnsi="宋体" w:eastAsia="宋体" w:cs="宋体"/>
          <w:b/>
          <w:bCs/>
          <w:spacing w:val="-6"/>
          <w:sz w:val="28"/>
          <w:szCs w:val="28"/>
        </w:rPr>
      </w:pPr>
      <w:bookmarkStart w:id="822" w:name="_Toc10931"/>
      <w:r>
        <w:rPr>
          <w:rFonts w:ascii="宋体" w:hAnsi="宋体" w:eastAsia="宋体" w:cs="宋体"/>
          <w:b/>
          <w:bCs/>
          <w:spacing w:val="-6"/>
          <w:sz w:val="28"/>
          <w:szCs w:val="28"/>
        </w:rPr>
        <w:t>资格审查目录</w:t>
      </w:r>
      <w:bookmarkEnd w:id="822"/>
    </w:p>
    <w:p w14:paraId="71285F76">
      <w:pPr>
        <w:spacing w:before="91" w:line="220" w:lineRule="auto"/>
        <w:outlineLvl w:val="1"/>
        <w:rPr>
          <w:rFonts w:ascii="宋体" w:hAnsi="宋体" w:eastAsia="宋体" w:cs="宋体"/>
          <w:b/>
          <w:bCs/>
          <w:spacing w:val="-6"/>
          <w:sz w:val="28"/>
          <w:szCs w:val="28"/>
        </w:rPr>
      </w:pPr>
    </w:p>
    <w:p w14:paraId="71B4293F">
      <w:pPr>
        <w:spacing w:before="78" w:line="219" w:lineRule="auto"/>
        <w:ind w:left="296"/>
        <w:rPr>
          <w:rFonts w:ascii="宋体" w:hAnsi="宋体" w:eastAsia="宋体" w:cs="宋体"/>
          <w:sz w:val="24"/>
          <w:szCs w:val="24"/>
        </w:rPr>
      </w:pPr>
      <w:r>
        <w:rPr>
          <w:rFonts w:ascii="宋体" w:hAnsi="宋体" w:eastAsia="宋体" w:cs="宋体"/>
          <w:spacing w:val="-2"/>
          <w:sz w:val="24"/>
          <w:szCs w:val="24"/>
        </w:rPr>
        <w:t>一、法定代表人身份证明、授权委托书（若有）</w:t>
      </w:r>
    </w:p>
    <w:p w14:paraId="71214FFD">
      <w:pPr>
        <w:spacing w:before="180" w:line="219" w:lineRule="auto"/>
        <w:ind w:left="296"/>
        <w:rPr>
          <w:rFonts w:ascii="宋体" w:hAnsi="宋体" w:eastAsia="宋体" w:cs="宋体"/>
          <w:strike/>
          <w:dstrike w:val="0"/>
          <w:sz w:val="24"/>
          <w:szCs w:val="24"/>
        </w:rPr>
      </w:pPr>
      <w:r>
        <w:rPr>
          <w:rFonts w:ascii="宋体" w:hAnsi="宋体" w:eastAsia="宋体" w:cs="宋体"/>
          <w:strike/>
          <w:dstrike w:val="0"/>
          <w:spacing w:val="-2"/>
          <w:sz w:val="24"/>
          <w:szCs w:val="24"/>
        </w:rPr>
        <w:t>二、联合体协议书</w:t>
      </w:r>
    </w:p>
    <w:p w14:paraId="032EF41F">
      <w:pPr>
        <w:spacing w:before="183" w:line="220" w:lineRule="auto"/>
        <w:ind w:left="292"/>
        <w:rPr>
          <w:rFonts w:ascii="宋体" w:hAnsi="宋体" w:eastAsia="宋体" w:cs="宋体"/>
          <w:sz w:val="24"/>
          <w:szCs w:val="24"/>
        </w:rPr>
      </w:pPr>
      <w:r>
        <w:rPr>
          <w:rFonts w:ascii="宋体" w:hAnsi="宋体" w:eastAsia="宋体" w:cs="宋体"/>
          <w:spacing w:val="-1"/>
          <w:sz w:val="24"/>
          <w:szCs w:val="24"/>
        </w:rPr>
        <w:t>三、投标保证金</w:t>
      </w:r>
    </w:p>
    <w:p w14:paraId="43D0AC91">
      <w:pPr>
        <w:spacing w:before="181" w:line="220" w:lineRule="auto"/>
        <w:ind w:left="315"/>
        <w:rPr>
          <w:rFonts w:ascii="宋体" w:hAnsi="宋体" w:eastAsia="宋体" w:cs="宋体"/>
          <w:spacing w:val="-4"/>
          <w:sz w:val="24"/>
          <w:szCs w:val="24"/>
        </w:rPr>
      </w:pPr>
      <w:r>
        <w:rPr>
          <w:rFonts w:ascii="宋体" w:hAnsi="宋体" w:eastAsia="宋体" w:cs="宋体"/>
          <w:spacing w:val="-4"/>
          <w:sz w:val="24"/>
          <w:szCs w:val="24"/>
        </w:rPr>
        <w:t>四、资格审查资料</w:t>
      </w:r>
    </w:p>
    <w:p w14:paraId="6AC7747D">
      <w:pPr>
        <w:spacing w:before="181" w:line="220" w:lineRule="auto"/>
        <w:ind w:left="315"/>
        <w:rPr>
          <w:rFonts w:ascii="宋体" w:hAnsi="宋体" w:eastAsia="宋体" w:cs="宋体"/>
          <w:spacing w:val="-2"/>
          <w:sz w:val="24"/>
          <w:szCs w:val="24"/>
        </w:rPr>
      </w:pPr>
      <w:r>
        <w:rPr>
          <w:rFonts w:ascii="宋体" w:hAnsi="宋体" w:eastAsia="宋体" w:cs="宋体"/>
          <w:spacing w:val="-2"/>
          <w:sz w:val="24"/>
          <w:szCs w:val="24"/>
        </w:rPr>
        <w:t>五、其他材料</w:t>
      </w:r>
    </w:p>
    <w:p w14:paraId="4B04F417">
      <w:pPr>
        <w:spacing w:before="181" w:line="220" w:lineRule="auto"/>
        <w:ind w:left="315"/>
        <w:rPr>
          <w:rFonts w:ascii="宋体" w:hAnsi="宋体" w:eastAsia="宋体" w:cs="宋体"/>
          <w:spacing w:val="-2"/>
          <w:sz w:val="24"/>
          <w:szCs w:val="24"/>
        </w:rPr>
      </w:pPr>
    </w:p>
    <w:p w14:paraId="5C5DA081">
      <w:pPr>
        <w:spacing w:before="181" w:line="220" w:lineRule="auto"/>
        <w:ind w:left="315"/>
        <w:rPr>
          <w:rFonts w:ascii="宋体" w:hAnsi="宋体" w:eastAsia="宋体" w:cs="宋体"/>
          <w:spacing w:val="-2"/>
          <w:sz w:val="24"/>
          <w:szCs w:val="24"/>
        </w:rPr>
      </w:pPr>
    </w:p>
    <w:p w14:paraId="0F9CAA53">
      <w:pPr>
        <w:spacing w:before="181" w:line="220" w:lineRule="auto"/>
        <w:ind w:left="315"/>
        <w:rPr>
          <w:rFonts w:ascii="宋体" w:hAnsi="宋体" w:eastAsia="宋体" w:cs="宋体"/>
          <w:spacing w:val="-2"/>
          <w:sz w:val="24"/>
          <w:szCs w:val="24"/>
        </w:rPr>
      </w:pPr>
    </w:p>
    <w:p w14:paraId="15950767">
      <w:pPr>
        <w:spacing w:before="181" w:line="220" w:lineRule="auto"/>
        <w:ind w:left="315"/>
        <w:rPr>
          <w:rFonts w:ascii="宋体" w:hAnsi="宋体" w:eastAsia="宋体" w:cs="宋体"/>
          <w:spacing w:val="-2"/>
          <w:sz w:val="24"/>
          <w:szCs w:val="24"/>
        </w:rPr>
      </w:pPr>
    </w:p>
    <w:p w14:paraId="479DB4B3">
      <w:pPr>
        <w:spacing w:before="181" w:line="220" w:lineRule="auto"/>
        <w:ind w:left="315"/>
        <w:rPr>
          <w:rFonts w:ascii="宋体" w:hAnsi="宋体" w:eastAsia="宋体" w:cs="宋体"/>
          <w:spacing w:val="-2"/>
          <w:sz w:val="24"/>
          <w:szCs w:val="24"/>
        </w:rPr>
      </w:pPr>
    </w:p>
    <w:p w14:paraId="18B08BE2">
      <w:pPr>
        <w:spacing w:before="181" w:line="220" w:lineRule="auto"/>
        <w:ind w:left="315"/>
        <w:rPr>
          <w:rFonts w:ascii="宋体" w:hAnsi="宋体" w:eastAsia="宋体" w:cs="宋体"/>
          <w:spacing w:val="-2"/>
          <w:sz w:val="24"/>
          <w:szCs w:val="24"/>
        </w:rPr>
      </w:pPr>
    </w:p>
    <w:p w14:paraId="60BA47CB">
      <w:pPr>
        <w:spacing w:before="181" w:line="220" w:lineRule="auto"/>
        <w:ind w:left="315"/>
        <w:rPr>
          <w:rFonts w:ascii="宋体" w:hAnsi="宋体" w:eastAsia="宋体" w:cs="宋体"/>
          <w:spacing w:val="-2"/>
          <w:sz w:val="24"/>
          <w:szCs w:val="24"/>
        </w:rPr>
      </w:pPr>
    </w:p>
    <w:p w14:paraId="6A491312">
      <w:pPr>
        <w:spacing w:before="181" w:line="220" w:lineRule="auto"/>
        <w:ind w:left="315"/>
        <w:rPr>
          <w:rFonts w:ascii="宋体" w:hAnsi="宋体" w:eastAsia="宋体" w:cs="宋体"/>
          <w:spacing w:val="-2"/>
          <w:sz w:val="24"/>
          <w:szCs w:val="24"/>
        </w:rPr>
      </w:pPr>
    </w:p>
    <w:p w14:paraId="1A40F574">
      <w:pPr>
        <w:spacing w:before="181" w:line="220" w:lineRule="auto"/>
        <w:ind w:left="315"/>
        <w:rPr>
          <w:rFonts w:ascii="宋体" w:hAnsi="宋体" w:eastAsia="宋体" w:cs="宋体"/>
          <w:spacing w:val="-2"/>
          <w:sz w:val="24"/>
          <w:szCs w:val="24"/>
        </w:rPr>
      </w:pPr>
    </w:p>
    <w:p w14:paraId="4814E888">
      <w:pPr>
        <w:spacing w:before="181" w:line="220" w:lineRule="auto"/>
        <w:ind w:left="315"/>
        <w:rPr>
          <w:rFonts w:ascii="宋体" w:hAnsi="宋体" w:eastAsia="宋体" w:cs="宋体"/>
          <w:spacing w:val="-2"/>
          <w:sz w:val="24"/>
          <w:szCs w:val="24"/>
        </w:rPr>
      </w:pPr>
    </w:p>
    <w:p w14:paraId="452304DA">
      <w:pPr>
        <w:spacing w:before="181" w:line="220" w:lineRule="auto"/>
        <w:ind w:left="315"/>
        <w:rPr>
          <w:rFonts w:ascii="宋体" w:hAnsi="宋体" w:eastAsia="宋体" w:cs="宋体"/>
          <w:spacing w:val="-2"/>
          <w:sz w:val="24"/>
          <w:szCs w:val="24"/>
        </w:rPr>
      </w:pPr>
    </w:p>
    <w:p w14:paraId="7191D84F">
      <w:pPr>
        <w:spacing w:before="181" w:line="220" w:lineRule="auto"/>
        <w:ind w:left="315"/>
        <w:rPr>
          <w:rFonts w:ascii="宋体" w:hAnsi="宋体" w:eastAsia="宋体" w:cs="宋体"/>
          <w:spacing w:val="-2"/>
          <w:sz w:val="24"/>
          <w:szCs w:val="24"/>
        </w:rPr>
      </w:pPr>
    </w:p>
    <w:p w14:paraId="520C82EA">
      <w:pPr>
        <w:spacing w:before="181" w:line="220" w:lineRule="auto"/>
        <w:ind w:left="315"/>
        <w:rPr>
          <w:rFonts w:ascii="宋体" w:hAnsi="宋体" w:eastAsia="宋体" w:cs="宋体"/>
          <w:spacing w:val="-2"/>
          <w:sz w:val="24"/>
          <w:szCs w:val="24"/>
        </w:rPr>
      </w:pPr>
    </w:p>
    <w:p w14:paraId="28BAC6B7">
      <w:pPr>
        <w:spacing w:before="181" w:line="220" w:lineRule="auto"/>
        <w:ind w:left="315"/>
        <w:rPr>
          <w:rFonts w:ascii="宋体" w:hAnsi="宋体" w:eastAsia="宋体" w:cs="宋体"/>
          <w:spacing w:val="-2"/>
          <w:sz w:val="24"/>
          <w:szCs w:val="24"/>
        </w:rPr>
      </w:pPr>
    </w:p>
    <w:p w14:paraId="43233E78">
      <w:pPr>
        <w:spacing w:before="181" w:line="220" w:lineRule="auto"/>
        <w:ind w:left="315"/>
        <w:rPr>
          <w:rFonts w:ascii="宋体" w:hAnsi="宋体" w:eastAsia="宋体" w:cs="宋体"/>
          <w:spacing w:val="-2"/>
          <w:sz w:val="24"/>
          <w:szCs w:val="24"/>
        </w:rPr>
      </w:pPr>
    </w:p>
    <w:p w14:paraId="158C3B34">
      <w:pPr>
        <w:spacing w:before="181" w:line="220" w:lineRule="auto"/>
        <w:ind w:left="315"/>
        <w:rPr>
          <w:rFonts w:ascii="宋体" w:hAnsi="宋体" w:eastAsia="宋体" w:cs="宋体"/>
          <w:spacing w:val="-2"/>
          <w:sz w:val="24"/>
          <w:szCs w:val="24"/>
        </w:rPr>
      </w:pPr>
    </w:p>
    <w:p w14:paraId="25139028">
      <w:pPr>
        <w:spacing w:before="181" w:line="220" w:lineRule="auto"/>
        <w:ind w:left="315"/>
        <w:rPr>
          <w:rFonts w:ascii="宋体" w:hAnsi="宋体" w:eastAsia="宋体" w:cs="宋体"/>
          <w:spacing w:val="-2"/>
          <w:sz w:val="24"/>
          <w:szCs w:val="24"/>
        </w:rPr>
      </w:pPr>
    </w:p>
    <w:p w14:paraId="2CD79AB1">
      <w:pPr>
        <w:spacing w:before="181" w:line="220" w:lineRule="auto"/>
        <w:ind w:left="315"/>
        <w:rPr>
          <w:rFonts w:ascii="宋体" w:hAnsi="宋体" w:eastAsia="宋体" w:cs="宋体"/>
          <w:spacing w:val="-2"/>
          <w:sz w:val="24"/>
          <w:szCs w:val="24"/>
        </w:rPr>
      </w:pPr>
    </w:p>
    <w:p w14:paraId="6FAADF47">
      <w:pPr>
        <w:spacing w:before="181" w:line="220" w:lineRule="auto"/>
        <w:ind w:left="315"/>
        <w:rPr>
          <w:rFonts w:ascii="宋体" w:hAnsi="宋体" w:eastAsia="宋体" w:cs="宋体"/>
          <w:spacing w:val="-2"/>
          <w:sz w:val="24"/>
          <w:szCs w:val="24"/>
        </w:rPr>
      </w:pPr>
    </w:p>
    <w:p w14:paraId="429389AA">
      <w:pPr>
        <w:spacing w:before="181" w:line="220" w:lineRule="auto"/>
        <w:ind w:left="315"/>
        <w:rPr>
          <w:rFonts w:ascii="宋体" w:hAnsi="宋体" w:eastAsia="宋体" w:cs="宋体"/>
          <w:spacing w:val="-2"/>
          <w:sz w:val="24"/>
          <w:szCs w:val="24"/>
        </w:rPr>
      </w:pPr>
    </w:p>
    <w:p w14:paraId="2FD1B04A">
      <w:pPr>
        <w:spacing w:before="181" w:line="220" w:lineRule="auto"/>
        <w:ind w:left="315"/>
        <w:rPr>
          <w:rFonts w:ascii="宋体" w:hAnsi="宋体" w:eastAsia="宋体" w:cs="宋体"/>
          <w:spacing w:val="-2"/>
          <w:sz w:val="24"/>
          <w:szCs w:val="24"/>
        </w:rPr>
      </w:pPr>
    </w:p>
    <w:p w14:paraId="036BB82B">
      <w:pPr>
        <w:spacing w:before="181" w:line="220" w:lineRule="auto"/>
        <w:ind w:left="315"/>
        <w:rPr>
          <w:rFonts w:ascii="宋体" w:hAnsi="宋体" w:eastAsia="宋体" w:cs="宋体"/>
          <w:spacing w:val="-2"/>
          <w:sz w:val="24"/>
          <w:szCs w:val="24"/>
        </w:rPr>
      </w:pPr>
    </w:p>
    <w:p w14:paraId="55AA0F38">
      <w:pPr>
        <w:spacing w:before="181" w:line="220" w:lineRule="auto"/>
        <w:rPr>
          <w:rFonts w:ascii="宋体" w:hAnsi="宋体" w:eastAsia="宋体" w:cs="宋体"/>
          <w:spacing w:val="-2"/>
          <w:sz w:val="24"/>
          <w:szCs w:val="24"/>
        </w:rPr>
      </w:pPr>
    </w:p>
    <w:p w14:paraId="4FC93AF0">
      <w:pPr>
        <w:spacing w:before="56" w:line="219" w:lineRule="auto"/>
        <w:ind w:left="1447"/>
        <w:outlineLvl w:val="1"/>
        <w:rPr>
          <w:rFonts w:ascii="宋体" w:hAnsi="宋体" w:eastAsia="宋体" w:cs="宋体"/>
          <w:color w:val="auto"/>
          <w:sz w:val="28"/>
          <w:szCs w:val="28"/>
          <w:highlight w:val="none"/>
        </w:rPr>
      </w:pPr>
      <w:bookmarkStart w:id="823" w:name="_Toc18911"/>
      <w:r>
        <w:rPr>
          <w:rFonts w:ascii="宋体" w:hAnsi="宋体" w:eastAsia="宋体" w:cs="宋体"/>
          <w:b/>
          <w:bCs/>
          <w:color w:val="auto"/>
          <w:spacing w:val="-4"/>
          <w:sz w:val="28"/>
          <w:szCs w:val="28"/>
          <w:highlight w:val="none"/>
        </w:rPr>
        <w:t>一、法定代表人身份证明、授权委托书（若有）</w:t>
      </w:r>
      <w:bookmarkEnd w:id="823"/>
    </w:p>
    <w:p w14:paraId="2138D22B">
      <w:pPr>
        <w:spacing w:before="332" w:line="220" w:lineRule="auto"/>
        <w:ind w:left="2996"/>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（一）法定代表人身份证明</w:t>
      </w:r>
    </w:p>
    <w:p w14:paraId="06B61E48">
      <w:pPr>
        <w:tabs>
          <w:tab w:val="left" w:pos="5629"/>
          <w:tab w:val="left" w:pos="5749"/>
        </w:tabs>
        <w:spacing w:before="203" w:line="353" w:lineRule="auto"/>
        <w:ind w:left="479" w:right="3030" w:firstLine="2"/>
        <w:jc w:val="both"/>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投标人名称：</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单位性质：</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地址：</w:t>
      </w:r>
      <w:r>
        <w:rPr>
          <w:rFonts w:ascii="宋体" w:hAnsi="宋体" w:eastAsia="宋体" w:cs="宋体"/>
          <w:color w:val="auto"/>
          <w:sz w:val="24"/>
          <w:szCs w:val="24"/>
          <w:highlight w:val="none"/>
          <w:u w:val="single" w:color="auto"/>
        </w:rPr>
        <w:tab/>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成立时间：</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2"/>
          <w:sz w:val="24"/>
          <w:szCs w:val="24"/>
          <w:highlight w:val="none"/>
        </w:rPr>
        <w:t>年</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2"/>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2"/>
          <w:sz w:val="24"/>
          <w:szCs w:val="24"/>
          <w:highlight w:val="none"/>
        </w:rPr>
        <w:t>日</w:t>
      </w:r>
    </w:p>
    <w:p w14:paraId="41526B69">
      <w:pPr>
        <w:spacing w:before="33" w:line="220" w:lineRule="auto"/>
        <w:ind w:left="480"/>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经营期限：</w:t>
      </w:r>
      <w:r>
        <w:rPr>
          <w:rFonts w:ascii="宋体" w:hAnsi="宋体" w:eastAsia="宋体" w:cs="宋体"/>
          <w:color w:val="auto"/>
          <w:sz w:val="24"/>
          <w:szCs w:val="24"/>
          <w:highlight w:val="none"/>
          <w:u w:val="single" w:color="auto"/>
        </w:rPr>
        <w:t xml:space="preserve">                                 </w:t>
      </w:r>
    </w:p>
    <w:p w14:paraId="3EA70B23">
      <w:pPr>
        <w:spacing w:before="181" w:line="345" w:lineRule="auto"/>
        <w:ind w:right="184" w:firstLine="47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姓名：</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
          <w:sz w:val="24"/>
          <w:szCs w:val="24"/>
          <w:highlight w:val="none"/>
        </w:rPr>
        <w:t>性别：</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10"/>
          <w:sz w:val="24"/>
          <w:szCs w:val="24"/>
          <w:highlight w:val="none"/>
        </w:rPr>
        <w:t xml:space="preserve"> </w:t>
      </w:r>
      <w:r>
        <w:rPr>
          <w:rFonts w:ascii="宋体" w:hAnsi="宋体" w:eastAsia="宋体" w:cs="宋体"/>
          <w:color w:val="auto"/>
          <w:spacing w:val="-1"/>
          <w:sz w:val="24"/>
          <w:szCs w:val="24"/>
          <w:highlight w:val="none"/>
        </w:rPr>
        <w:t>年龄：</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1"/>
          <w:sz w:val="24"/>
          <w:szCs w:val="24"/>
          <w:highlight w:val="none"/>
        </w:rPr>
        <w:t>身份证号码</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职务：</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06"/>
          <w:sz w:val="24"/>
          <w:szCs w:val="24"/>
          <w:highlight w:val="none"/>
        </w:rPr>
        <w:t xml:space="preserve"> </w:t>
      </w:r>
      <w:r>
        <w:rPr>
          <w:rFonts w:ascii="宋体" w:hAnsi="宋体" w:eastAsia="宋体" w:cs="宋体"/>
          <w:color w:val="auto"/>
          <w:spacing w:val="-1"/>
          <w:sz w:val="24"/>
          <w:szCs w:val="24"/>
          <w:highlight w:val="none"/>
        </w:rPr>
        <w:t>系</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（投标人名称）</w:t>
      </w:r>
      <w:r>
        <w:rPr>
          <w:rFonts w:ascii="宋体" w:hAnsi="宋体" w:eastAsia="宋体" w:cs="宋体"/>
          <w:color w:val="auto"/>
          <w:spacing w:val="-2"/>
          <w:sz w:val="24"/>
          <w:szCs w:val="24"/>
          <w:highlight w:val="none"/>
        </w:rPr>
        <w:t>的法定代表人。</w:t>
      </w:r>
    </w:p>
    <w:p w14:paraId="407EE380">
      <w:pPr>
        <w:spacing w:before="35" w:line="212" w:lineRule="auto"/>
        <w:ind w:left="497"/>
        <w:rPr>
          <w:rFonts w:ascii="宋体" w:hAnsi="宋体" w:eastAsia="宋体" w:cs="宋体"/>
          <w:color w:val="auto"/>
          <w:sz w:val="24"/>
          <w:szCs w:val="24"/>
          <w:highlight w:val="none"/>
        </w:rPr>
      </w:pPr>
      <w:r>
        <w:rPr>
          <w:rFonts w:ascii="宋体" w:hAnsi="宋体" w:eastAsia="宋体" w:cs="宋体"/>
          <w:color w:val="auto"/>
          <w:sz w:val="24"/>
          <w:szCs w:val="24"/>
          <w:highlight w:val="none"/>
        </w:rPr>
        <w:t>附</w:t>
      </w:r>
    </w:p>
    <w:tbl>
      <w:tblPr>
        <w:tblStyle w:val="32"/>
        <w:tblW w:w="6666" w:type="dxa"/>
        <w:tblInd w:w="117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6666"/>
      </w:tblGrid>
      <w:tr w14:paraId="58FA41CB">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53" w:hRule="atLeast"/>
        </w:trPr>
        <w:tc>
          <w:tcPr>
            <w:tcW w:w="6666" w:type="dxa"/>
            <w:vAlign w:val="top"/>
          </w:tcPr>
          <w:p w14:paraId="20D8C9E4">
            <w:pPr>
              <w:spacing w:line="267" w:lineRule="auto"/>
              <w:rPr>
                <w:rFonts w:ascii="Arial"/>
                <w:color w:val="auto"/>
                <w:sz w:val="21"/>
                <w:highlight w:val="none"/>
              </w:rPr>
            </w:pPr>
          </w:p>
          <w:p w14:paraId="38844C6E">
            <w:pPr>
              <w:spacing w:line="268" w:lineRule="auto"/>
              <w:rPr>
                <w:rFonts w:ascii="Arial"/>
                <w:color w:val="auto"/>
                <w:sz w:val="21"/>
                <w:highlight w:val="none"/>
              </w:rPr>
            </w:pPr>
          </w:p>
          <w:p w14:paraId="30EC38D6">
            <w:pPr>
              <w:spacing w:line="268" w:lineRule="auto"/>
              <w:rPr>
                <w:rFonts w:ascii="Arial"/>
                <w:color w:val="auto"/>
                <w:sz w:val="21"/>
                <w:highlight w:val="none"/>
              </w:rPr>
            </w:pPr>
          </w:p>
          <w:p w14:paraId="23C6D2C4">
            <w:pPr>
              <w:spacing w:line="268" w:lineRule="auto"/>
              <w:rPr>
                <w:rFonts w:ascii="Arial"/>
                <w:color w:val="auto"/>
                <w:sz w:val="21"/>
                <w:highlight w:val="none"/>
              </w:rPr>
            </w:pPr>
          </w:p>
          <w:p w14:paraId="42B4F047">
            <w:pPr>
              <w:pStyle w:val="33"/>
              <w:spacing w:before="78" w:line="220" w:lineRule="auto"/>
              <w:ind w:left="1692"/>
              <w:rPr>
                <w:color w:val="auto"/>
                <w:sz w:val="24"/>
                <w:szCs w:val="24"/>
                <w:highlight w:val="none"/>
              </w:rPr>
            </w:pPr>
            <w:r>
              <w:rPr>
                <w:color w:val="auto"/>
                <w:spacing w:val="-2"/>
                <w:sz w:val="24"/>
                <w:szCs w:val="24"/>
                <w:highlight w:val="none"/>
              </w:rPr>
              <w:t>法定代表人身份证复制件（双面）</w:t>
            </w:r>
          </w:p>
        </w:tc>
      </w:tr>
    </w:tbl>
    <w:p w14:paraId="64883AB1">
      <w:pPr>
        <w:pStyle w:val="3"/>
        <w:spacing w:line="368" w:lineRule="auto"/>
        <w:rPr>
          <w:color w:val="auto"/>
          <w:highlight w:val="none"/>
        </w:rPr>
      </w:pPr>
    </w:p>
    <w:p w14:paraId="18E47CE4">
      <w:pPr>
        <w:spacing w:before="78" w:line="220" w:lineRule="auto"/>
        <w:ind w:left="959"/>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特此证明。</w:t>
      </w:r>
    </w:p>
    <w:p w14:paraId="2422BBD9">
      <w:pPr>
        <w:pStyle w:val="3"/>
        <w:spacing w:line="256" w:lineRule="auto"/>
        <w:rPr>
          <w:color w:val="auto"/>
          <w:highlight w:val="none"/>
        </w:rPr>
      </w:pPr>
    </w:p>
    <w:p w14:paraId="00204B8B">
      <w:pPr>
        <w:pStyle w:val="3"/>
        <w:spacing w:line="257" w:lineRule="auto"/>
        <w:rPr>
          <w:color w:val="auto"/>
          <w:highlight w:val="none"/>
        </w:rPr>
      </w:pPr>
    </w:p>
    <w:p w14:paraId="17EF5D32">
      <w:pPr>
        <w:spacing w:before="79" w:line="233" w:lineRule="auto"/>
        <w:ind w:left="478"/>
        <w:rPr>
          <w:rFonts w:ascii="宋体" w:hAnsi="宋体" w:eastAsia="宋体" w:cs="宋体"/>
          <w:sz w:val="24"/>
          <w:szCs w:val="24"/>
        </w:rPr>
      </w:pPr>
      <w:r>
        <w:rPr>
          <w:rFonts w:ascii="宋体" w:hAnsi="宋体" w:eastAsia="宋体" w:cs="宋体"/>
          <w:color w:val="auto"/>
          <w:spacing w:val="-3"/>
          <w:sz w:val="24"/>
          <w:szCs w:val="24"/>
          <w:highlight w:val="none"/>
        </w:rPr>
        <w:t>注：</w:t>
      </w:r>
      <w:r>
        <w:rPr>
          <w:rFonts w:ascii="Times New Roman" w:hAnsi="Times New Roman" w:eastAsia="Times New Roman" w:cs="Times New Roman"/>
          <w:spacing w:val="-2"/>
          <w:sz w:val="24"/>
          <w:szCs w:val="24"/>
        </w:rPr>
        <w:t xml:space="preserve">1.  </w:t>
      </w:r>
      <w:r>
        <w:rPr>
          <w:rFonts w:ascii="宋体" w:hAnsi="宋体" w:eastAsia="宋体" w:cs="宋体"/>
          <w:spacing w:val="-2"/>
          <w:sz w:val="24"/>
          <w:szCs w:val="24"/>
        </w:rPr>
        <w:t>若投标人为联合体，由牵头人出具即可。</w:t>
      </w:r>
    </w:p>
    <w:p w14:paraId="288F8842">
      <w:pPr>
        <w:spacing w:before="259" w:line="233" w:lineRule="auto"/>
        <w:ind w:left="954"/>
        <w:rPr>
          <w:rFonts w:ascii="宋体" w:hAnsi="宋体" w:eastAsia="宋体" w:cs="宋体"/>
          <w:sz w:val="24"/>
          <w:szCs w:val="24"/>
        </w:rPr>
      </w:pPr>
      <w:r>
        <w:rPr>
          <w:rFonts w:ascii="Times New Roman" w:hAnsi="Times New Roman" w:eastAsia="Times New Roman" w:cs="Times New Roman"/>
          <w:spacing w:val="-4"/>
          <w:sz w:val="24"/>
          <w:szCs w:val="24"/>
        </w:rPr>
        <w:t>2.</w:t>
      </w:r>
      <w:r>
        <w:rPr>
          <w:rFonts w:ascii="Times New Roman" w:hAnsi="Times New Roman" w:eastAsia="Times New Roman" w:cs="Times New Roman"/>
          <w:spacing w:val="19"/>
          <w:w w:val="101"/>
          <w:sz w:val="24"/>
          <w:szCs w:val="24"/>
        </w:rPr>
        <w:t xml:space="preserve">  </w:t>
      </w:r>
      <w:r>
        <w:rPr>
          <w:rFonts w:ascii="宋体" w:hAnsi="宋体" w:eastAsia="宋体" w:cs="宋体"/>
          <w:spacing w:val="-4"/>
          <w:sz w:val="24"/>
          <w:szCs w:val="24"/>
        </w:rPr>
        <w:t>以上地址是法律文书送达的确认地址。</w:t>
      </w:r>
    </w:p>
    <w:p w14:paraId="6894CDE7">
      <w:pPr>
        <w:spacing w:before="79" w:line="219" w:lineRule="auto"/>
        <w:ind w:left="479"/>
        <w:rPr>
          <w:rFonts w:ascii="宋体" w:hAnsi="宋体" w:eastAsia="宋体" w:cs="宋体"/>
          <w:color w:val="auto"/>
          <w:sz w:val="24"/>
          <w:szCs w:val="24"/>
          <w:highlight w:val="none"/>
        </w:rPr>
      </w:pPr>
    </w:p>
    <w:p w14:paraId="01992D3C">
      <w:pPr>
        <w:pStyle w:val="3"/>
        <w:spacing w:line="267" w:lineRule="auto"/>
        <w:rPr>
          <w:color w:val="auto"/>
          <w:highlight w:val="none"/>
        </w:rPr>
      </w:pPr>
    </w:p>
    <w:p w14:paraId="59FF67EC">
      <w:pPr>
        <w:pStyle w:val="3"/>
        <w:spacing w:line="267" w:lineRule="auto"/>
        <w:rPr>
          <w:color w:val="auto"/>
          <w:highlight w:val="none"/>
        </w:rPr>
      </w:pPr>
    </w:p>
    <w:p w14:paraId="6E457331">
      <w:pPr>
        <w:pStyle w:val="3"/>
        <w:spacing w:line="267" w:lineRule="auto"/>
        <w:rPr>
          <w:color w:val="auto"/>
          <w:highlight w:val="none"/>
        </w:rPr>
      </w:pPr>
    </w:p>
    <w:p w14:paraId="3293378C">
      <w:pPr>
        <w:pStyle w:val="3"/>
        <w:spacing w:line="268" w:lineRule="auto"/>
        <w:rPr>
          <w:color w:val="auto"/>
          <w:highlight w:val="none"/>
        </w:rPr>
      </w:pPr>
    </w:p>
    <w:p w14:paraId="1D3CB92C">
      <w:pPr>
        <w:pStyle w:val="3"/>
        <w:spacing w:line="268" w:lineRule="auto"/>
        <w:rPr>
          <w:color w:val="auto"/>
          <w:highlight w:val="none"/>
        </w:rPr>
      </w:pPr>
    </w:p>
    <w:p w14:paraId="665C6FB8">
      <w:pPr>
        <w:spacing w:before="79" w:line="219" w:lineRule="auto"/>
        <w:ind w:left="3961"/>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投标人</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color w:val="auto"/>
          <w:spacing w:val="-3"/>
          <w:sz w:val="24"/>
          <w:szCs w:val="24"/>
          <w:highlight w:val="none"/>
        </w:rPr>
        <w:t>盖单位公章）</w:t>
      </w:r>
    </w:p>
    <w:p w14:paraId="59E41320">
      <w:pPr>
        <w:pStyle w:val="3"/>
        <w:spacing w:line="257" w:lineRule="auto"/>
        <w:rPr>
          <w:color w:val="auto"/>
          <w:highlight w:val="none"/>
        </w:rPr>
      </w:pPr>
    </w:p>
    <w:p w14:paraId="528560BB">
      <w:pPr>
        <w:pStyle w:val="3"/>
        <w:spacing w:line="257" w:lineRule="auto"/>
        <w:rPr>
          <w:color w:val="auto"/>
          <w:highlight w:val="none"/>
        </w:rPr>
      </w:pPr>
    </w:p>
    <w:p w14:paraId="175FCFAB">
      <w:pPr>
        <w:pStyle w:val="3"/>
        <w:spacing w:line="269" w:lineRule="auto"/>
        <w:jc w:val="right"/>
        <w:rPr>
          <w:rFonts w:ascii="宋体" w:hAnsi="宋体" w:eastAsia="宋体" w:cs="宋体"/>
          <w:color w:val="auto"/>
          <w:spacing w:val="-9"/>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72BD15B8">
      <w:pPr>
        <w:pStyle w:val="3"/>
        <w:spacing w:line="269" w:lineRule="auto"/>
        <w:jc w:val="right"/>
        <w:rPr>
          <w:rFonts w:ascii="宋体" w:hAnsi="宋体" w:eastAsia="宋体" w:cs="宋体"/>
          <w:color w:val="auto"/>
          <w:spacing w:val="-9"/>
          <w:sz w:val="24"/>
          <w:szCs w:val="24"/>
          <w:highlight w:val="none"/>
        </w:rPr>
      </w:pPr>
    </w:p>
    <w:p w14:paraId="63D03D6F">
      <w:pPr>
        <w:pStyle w:val="3"/>
        <w:spacing w:line="269" w:lineRule="auto"/>
        <w:jc w:val="right"/>
        <w:rPr>
          <w:rFonts w:ascii="宋体" w:hAnsi="宋体" w:eastAsia="宋体" w:cs="宋体"/>
          <w:color w:val="auto"/>
          <w:spacing w:val="-9"/>
          <w:sz w:val="24"/>
          <w:szCs w:val="24"/>
          <w:highlight w:val="none"/>
        </w:rPr>
      </w:pPr>
    </w:p>
    <w:p w14:paraId="4A6D8223">
      <w:pPr>
        <w:pStyle w:val="3"/>
        <w:spacing w:line="269" w:lineRule="auto"/>
        <w:jc w:val="right"/>
        <w:rPr>
          <w:rFonts w:ascii="宋体" w:hAnsi="宋体" w:eastAsia="宋体" w:cs="宋体"/>
          <w:color w:val="auto"/>
          <w:spacing w:val="-9"/>
          <w:sz w:val="24"/>
          <w:szCs w:val="24"/>
          <w:highlight w:val="none"/>
        </w:rPr>
      </w:pPr>
    </w:p>
    <w:p w14:paraId="39905689">
      <w:pPr>
        <w:spacing w:before="56" w:line="219" w:lineRule="auto"/>
        <w:ind w:left="2955"/>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（二）授权委托书（若有）</w:t>
      </w:r>
    </w:p>
    <w:p w14:paraId="66ADF565">
      <w:pPr>
        <w:pStyle w:val="3"/>
        <w:spacing w:line="329" w:lineRule="auto"/>
        <w:rPr>
          <w:color w:val="auto"/>
          <w:highlight w:val="none"/>
        </w:rPr>
      </w:pPr>
    </w:p>
    <w:p w14:paraId="69E7D461">
      <w:pPr>
        <w:pStyle w:val="3"/>
        <w:spacing w:line="329" w:lineRule="auto"/>
        <w:rPr>
          <w:color w:val="auto"/>
          <w:highlight w:val="none"/>
        </w:rPr>
      </w:pPr>
    </w:p>
    <w:p w14:paraId="27C09983">
      <w:pPr>
        <w:spacing w:before="78" w:line="354" w:lineRule="auto"/>
        <w:ind w:right="32" w:firstLine="479"/>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本人</w:t>
      </w:r>
      <w:r>
        <w:rPr>
          <w:rFonts w:ascii="宋体" w:hAnsi="宋体" w:eastAsia="宋体" w:cs="宋体"/>
          <w:color w:val="auto"/>
          <w:spacing w:val="-108"/>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（姓名）系</w:t>
      </w:r>
      <w:r>
        <w:rPr>
          <w:rFonts w:ascii="宋体" w:hAnsi="宋体" w:eastAsia="宋体" w:cs="宋体"/>
          <w:color w:val="auto"/>
          <w:spacing w:val="-117"/>
          <w:sz w:val="24"/>
          <w:szCs w:val="24"/>
          <w:highlight w:val="none"/>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（投标人名称）的法定代表人，</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现委托</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5"/>
          <w:sz w:val="24"/>
          <w:szCs w:val="24"/>
          <w:highlight w:val="none"/>
        </w:rPr>
        <w:t>（姓名）</w:t>
      </w:r>
      <w:r>
        <w:rPr>
          <w:rFonts w:ascii="宋体" w:hAnsi="宋体" w:eastAsia="宋体" w:cs="宋体"/>
          <w:spacing w:val="8"/>
          <w:sz w:val="24"/>
          <w:szCs w:val="24"/>
          <w:u w:val="single" w:color="auto"/>
        </w:rPr>
        <w:t xml:space="preserve">        </w:t>
      </w:r>
      <w:r>
        <w:rPr>
          <w:rFonts w:hint="eastAsia" w:ascii="宋体" w:hAnsi="宋体" w:eastAsia="宋体" w:cs="宋体"/>
          <w:spacing w:val="8"/>
          <w:sz w:val="24"/>
          <w:szCs w:val="24"/>
          <w:u w:val="single" w:color="auto"/>
          <w:lang w:val="en-US" w:eastAsia="zh-CN"/>
        </w:rPr>
        <w:t xml:space="preserve">  </w:t>
      </w:r>
      <w:r>
        <w:rPr>
          <w:rFonts w:ascii="宋体" w:hAnsi="宋体" w:eastAsia="宋体" w:cs="宋体"/>
          <w:spacing w:val="8"/>
          <w:sz w:val="24"/>
          <w:szCs w:val="24"/>
          <w:u w:val="single" w:color="auto"/>
        </w:rPr>
        <w:t xml:space="preserve">      </w:t>
      </w:r>
      <w:r>
        <w:rPr>
          <w:rFonts w:ascii="宋体" w:hAnsi="宋体" w:eastAsia="宋体" w:cs="宋体"/>
          <w:spacing w:val="-13"/>
          <w:sz w:val="24"/>
          <w:szCs w:val="24"/>
        </w:rPr>
        <w:t>（</w:t>
      </w:r>
      <w:r>
        <w:rPr>
          <w:rFonts w:ascii="宋体" w:hAnsi="宋体" w:eastAsia="宋体" w:cs="宋体"/>
          <w:spacing w:val="-20"/>
          <w:sz w:val="24"/>
          <w:szCs w:val="24"/>
        </w:rPr>
        <w:t xml:space="preserve"> </w:t>
      </w:r>
      <w:r>
        <w:rPr>
          <w:rFonts w:ascii="宋体" w:hAnsi="宋体" w:eastAsia="宋体" w:cs="宋体"/>
          <w:i/>
          <w:iCs/>
          <w:spacing w:val="-3"/>
          <w:sz w:val="25"/>
          <w:szCs w:val="25"/>
        </w:rPr>
        <w:t>身份证号码</w:t>
      </w:r>
      <w:r>
        <w:rPr>
          <w:rFonts w:ascii="宋体" w:hAnsi="宋体" w:eastAsia="宋体" w:cs="宋体"/>
          <w:spacing w:val="-3"/>
          <w:sz w:val="24"/>
          <w:szCs w:val="24"/>
        </w:rPr>
        <w:t>）</w:t>
      </w:r>
      <w:r>
        <w:rPr>
          <w:rFonts w:ascii="宋体" w:hAnsi="宋体" w:eastAsia="宋体" w:cs="宋体"/>
          <w:color w:val="auto"/>
          <w:spacing w:val="-5"/>
          <w:sz w:val="24"/>
          <w:szCs w:val="24"/>
          <w:highlight w:val="none"/>
        </w:rPr>
        <w:t>为我方代理人。代理人根据授权， 在投标有</w:t>
      </w:r>
      <w:r>
        <w:rPr>
          <w:rFonts w:ascii="宋体" w:hAnsi="宋体" w:eastAsia="宋体" w:cs="宋体"/>
          <w:color w:val="auto"/>
          <w:spacing w:val="-6"/>
          <w:sz w:val="24"/>
          <w:szCs w:val="24"/>
          <w:highlight w:val="none"/>
        </w:rPr>
        <w:t>效期满前以</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我方名义签署、澄清、说明、补正、递交、撤回、修改</w:t>
      </w:r>
      <w:r>
        <w:rPr>
          <w:rFonts w:ascii="宋体" w:hAnsi="宋体" w:eastAsia="宋体" w:cs="宋体"/>
          <w:color w:val="auto"/>
          <w:spacing w:val="-5"/>
          <w:sz w:val="24"/>
          <w:szCs w:val="24"/>
          <w:highlight w:val="none"/>
          <w:u w:val="single" w:color="auto"/>
        </w:rPr>
        <w:t xml:space="preserve">                 </w:t>
      </w:r>
      <w:r>
        <w:rPr>
          <w:rFonts w:ascii="宋体" w:hAnsi="宋体" w:eastAsia="宋体" w:cs="宋体"/>
          <w:color w:val="auto"/>
          <w:spacing w:val="-6"/>
          <w:sz w:val="24"/>
          <w:szCs w:val="24"/>
          <w:highlight w:val="none"/>
        </w:rPr>
        <w:t>（项目及标</w:t>
      </w:r>
      <w:r>
        <w:rPr>
          <w:rFonts w:ascii="宋体" w:hAnsi="宋体" w:eastAsia="宋体" w:cs="宋体"/>
          <w:color w:val="auto"/>
          <w:spacing w:val="-11"/>
          <w:sz w:val="24"/>
          <w:szCs w:val="24"/>
          <w:highlight w:val="none"/>
        </w:rPr>
        <w:t>段名称</w:t>
      </w:r>
      <w:r>
        <w:rPr>
          <w:rFonts w:ascii="宋体" w:hAnsi="宋体" w:eastAsia="宋体" w:cs="宋体"/>
          <w:color w:val="auto"/>
          <w:spacing w:val="-23"/>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3"/>
          <w:sz w:val="24"/>
          <w:szCs w:val="24"/>
          <w:highlight w:val="none"/>
        </w:rPr>
        <w:t>（</w:t>
      </w:r>
      <w:r>
        <w:rPr>
          <w:rFonts w:ascii="宋体" w:hAnsi="宋体" w:eastAsia="宋体" w:cs="宋体"/>
          <w:color w:val="auto"/>
          <w:spacing w:val="-11"/>
          <w:sz w:val="24"/>
          <w:szCs w:val="24"/>
          <w:highlight w:val="none"/>
        </w:rPr>
        <w:t>标段名称）投标文件、出席开标会议、签订合同和处理有关事宜，</w:t>
      </w:r>
      <w:r>
        <w:rPr>
          <w:rFonts w:ascii="宋体" w:hAnsi="宋体" w:eastAsia="宋体" w:cs="宋体"/>
          <w:color w:val="auto"/>
          <w:spacing w:val="-4"/>
          <w:sz w:val="24"/>
          <w:szCs w:val="24"/>
          <w:highlight w:val="none"/>
        </w:rPr>
        <w:t>其法律后果由我方承担。</w:t>
      </w:r>
    </w:p>
    <w:p w14:paraId="05F02582">
      <w:pPr>
        <w:spacing w:before="33" w:line="285" w:lineRule="auto"/>
        <w:ind w:left="497" w:right="6285" w:hanging="19"/>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代理人无转委托权。</w:t>
      </w:r>
      <w:r>
        <w:rPr>
          <w:rFonts w:ascii="宋体" w:hAnsi="宋体" w:eastAsia="宋体" w:cs="宋体"/>
          <w:color w:val="auto"/>
          <w:sz w:val="24"/>
          <w:szCs w:val="24"/>
          <w:highlight w:val="none"/>
        </w:rPr>
        <w:t xml:space="preserve"> </w:t>
      </w:r>
      <w:r>
        <w:rPr>
          <w:rFonts w:ascii="宋体" w:hAnsi="宋体" w:eastAsia="宋体" w:cs="宋体"/>
          <w:color w:val="auto"/>
          <w:spacing w:val="-21"/>
          <w:sz w:val="24"/>
          <w:szCs w:val="24"/>
          <w:highlight w:val="none"/>
        </w:rPr>
        <w:t>附：</w:t>
      </w:r>
    </w:p>
    <w:tbl>
      <w:tblPr>
        <w:tblStyle w:val="32"/>
        <w:tblW w:w="6666" w:type="dxa"/>
        <w:tblInd w:w="1170" w:type="dxa"/>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Layout w:type="fixed"/>
        <w:tblCellMar>
          <w:top w:w="0" w:type="dxa"/>
          <w:left w:w="0" w:type="dxa"/>
          <w:bottom w:w="0" w:type="dxa"/>
          <w:right w:w="0" w:type="dxa"/>
        </w:tblCellMar>
      </w:tblPr>
      <w:tblGrid>
        <w:gridCol w:w="6666"/>
      </w:tblGrid>
      <w:tr w14:paraId="0A1055B9">
        <w:tblPrEx>
          <w:tblBorders>
            <w:top w:val="single" w:color="000000" w:sz="2" w:space="0"/>
            <w:left w:val="single" w:color="000000" w:sz="2" w:space="0"/>
            <w:bottom w:val="single" w:color="000000" w:sz="2" w:space="0"/>
            <w:right w:val="single" w:color="000000" w:sz="2" w:space="0"/>
            <w:insideH w:val="none" w:color="auto" w:sz="0" w:space="0"/>
            <w:insideV w:val="none" w:color="auto" w:sz="0" w:space="0"/>
          </w:tblBorders>
          <w:tblCellMar>
            <w:top w:w="0" w:type="dxa"/>
            <w:left w:w="0" w:type="dxa"/>
            <w:bottom w:w="0" w:type="dxa"/>
            <w:right w:w="0" w:type="dxa"/>
          </w:tblCellMar>
        </w:tblPrEx>
        <w:trPr>
          <w:trHeight w:val="2553" w:hRule="atLeast"/>
        </w:trPr>
        <w:tc>
          <w:tcPr>
            <w:tcW w:w="6666" w:type="dxa"/>
            <w:vAlign w:val="top"/>
          </w:tcPr>
          <w:p w14:paraId="3DC609EF">
            <w:pPr>
              <w:spacing w:line="267" w:lineRule="auto"/>
              <w:rPr>
                <w:rFonts w:ascii="Arial"/>
                <w:color w:val="auto"/>
                <w:sz w:val="21"/>
                <w:highlight w:val="none"/>
              </w:rPr>
            </w:pPr>
          </w:p>
          <w:p w14:paraId="0EE6EF62">
            <w:pPr>
              <w:spacing w:line="268" w:lineRule="auto"/>
              <w:rPr>
                <w:rFonts w:ascii="Arial"/>
                <w:color w:val="auto"/>
                <w:sz w:val="21"/>
                <w:highlight w:val="none"/>
              </w:rPr>
            </w:pPr>
          </w:p>
          <w:p w14:paraId="62C582BB">
            <w:pPr>
              <w:spacing w:line="268" w:lineRule="auto"/>
              <w:rPr>
                <w:rFonts w:ascii="Arial"/>
                <w:color w:val="auto"/>
                <w:sz w:val="21"/>
                <w:highlight w:val="none"/>
              </w:rPr>
            </w:pPr>
          </w:p>
          <w:p w14:paraId="1D354094">
            <w:pPr>
              <w:spacing w:line="268" w:lineRule="auto"/>
              <w:rPr>
                <w:rFonts w:ascii="Arial"/>
                <w:color w:val="auto"/>
                <w:sz w:val="21"/>
                <w:highlight w:val="none"/>
              </w:rPr>
            </w:pPr>
          </w:p>
          <w:p w14:paraId="5917917D">
            <w:pPr>
              <w:pStyle w:val="33"/>
              <w:spacing w:before="78" w:line="220" w:lineRule="auto"/>
              <w:ind w:left="1690"/>
              <w:rPr>
                <w:color w:val="auto"/>
                <w:sz w:val="24"/>
                <w:szCs w:val="24"/>
                <w:highlight w:val="none"/>
              </w:rPr>
            </w:pPr>
            <w:r>
              <w:rPr>
                <w:color w:val="auto"/>
                <w:spacing w:val="-2"/>
                <w:sz w:val="24"/>
                <w:szCs w:val="24"/>
                <w:highlight w:val="none"/>
              </w:rPr>
              <w:t>委托代理人身份证复制件（双面）</w:t>
            </w:r>
          </w:p>
        </w:tc>
      </w:tr>
    </w:tbl>
    <w:p w14:paraId="2935A475">
      <w:pPr>
        <w:pStyle w:val="3"/>
        <w:spacing w:line="260" w:lineRule="auto"/>
        <w:rPr>
          <w:color w:val="auto"/>
          <w:highlight w:val="none"/>
        </w:rPr>
      </w:pPr>
    </w:p>
    <w:p w14:paraId="11F51248">
      <w:pPr>
        <w:pStyle w:val="3"/>
        <w:spacing w:line="260" w:lineRule="auto"/>
        <w:rPr>
          <w:color w:val="auto"/>
          <w:highlight w:val="none"/>
        </w:rPr>
      </w:pPr>
    </w:p>
    <w:p w14:paraId="595296F8">
      <w:pPr>
        <w:pStyle w:val="3"/>
        <w:spacing w:line="261" w:lineRule="auto"/>
        <w:rPr>
          <w:color w:val="auto"/>
          <w:highlight w:val="none"/>
        </w:rPr>
      </w:pPr>
    </w:p>
    <w:p w14:paraId="42D16F25">
      <w:pPr>
        <w:spacing w:before="78" w:line="345" w:lineRule="auto"/>
        <w:ind w:left="3360" w:firstLine="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投标人</w:t>
      </w:r>
      <w:r>
        <w:rPr>
          <w:rFonts w:ascii="宋体" w:hAnsi="宋体" w:eastAsia="宋体" w:cs="宋体"/>
          <w:color w:val="auto"/>
          <w:spacing w:val="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color w:val="auto"/>
          <w:spacing w:val="-1"/>
          <w:sz w:val="24"/>
          <w:szCs w:val="24"/>
          <w:highlight w:val="none"/>
        </w:rPr>
        <w:t>盖单位公章）</w:t>
      </w:r>
      <w:r>
        <w:rPr>
          <w:rFonts w:ascii="宋体" w:hAnsi="宋体" w:eastAsia="宋体" w:cs="宋体"/>
          <w:color w:val="auto"/>
          <w:spacing w:val="4"/>
          <w:sz w:val="24"/>
          <w:szCs w:val="24"/>
          <w:highlight w:val="none"/>
        </w:rPr>
        <w:t xml:space="preserve"> </w:t>
      </w:r>
      <w:r>
        <w:rPr>
          <w:rFonts w:ascii="宋体" w:hAnsi="宋体" w:eastAsia="宋体" w:cs="宋体"/>
          <w:color w:val="auto"/>
          <w:spacing w:val="-3"/>
          <w:sz w:val="24"/>
          <w:szCs w:val="24"/>
          <w:highlight w:val="none"/>
        </w:rPr>
        <w:t>法定代表人</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z w:val="24"/>
          <w:szCs w:val="24"/>
          <w:highlight w:val="none"/>
        </w:rPr>
        <w:t>（</w:t>
      </w:r>
      <w:r>
        <w:rPr>
          <w:rFonts w:ascii="宋体" w:hAnsi="宋体" w:eastAsia="宋体" w:cs="宋体"/>
          <w:color w:val="auto"/>
          <w:spacing w:val="-3"/>
          <w:sz w:val="24"/>
          <w:szCs w:val="24"/>
          <w:highlight w:val="none"/>
        </w:rPr>
        <w:t>签字）</w:t>
      </w:r>
    </w:p>
    <w:p w14:paraId="75522826">
      <w:pPr>
        <w:spacing w:before="36" w:line="220" w:lineRule="auto"/>
        <w:ind w:left="3365"/>
        <w:rPr>
          <w:rFonts w:ascii="宋体" w:hAnsi="宋体" w:eastAsia="宋体" w:cs="宋体"/>
          <w:color w:val="auto"/>
          <w:sz w:val="24"/>
          <w:szCs w:val="24"/>
          <w:highlight w:val="none"/>
        </w:rPr>
      </w:pPr>
      <w:r>
        <w:rPr>
          <w:rFonts w:ascii="宋体" w:hAnsi="宋体" w:eastAsia="宋体" w:cs="宋体"/>
          <w:color w:val="auto"/>
          <w:sz w:val="24"/>
          <w:szCs w:val="24"/>
          <w:highlight w:val="none"/>
        </w:rPr>
        <w:t>身份证号码：</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p>
    <w:p w14:paraId="68994284">
      <w:pPr>
        <w:tabs>
          <w:tab w:val="left" w:pos="5749"/>
        </w:tabs>
        <w:spacing w:before="181" w:line="346" w:lineRule="auto"/>
        <w:ind w:left="239" w:right="1450" w:firstLine="4790"/>
        <w:rPr>
          <w:rFonts w:ascii="宋体" w:hAnsi="宋体" w:eastAsia="宋体" w:cs="宋体"/>
          <w:color w:val="auto"/>
          <w:spacing w:val="-3"/>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26"/>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4"/>
          <w:sz w:val="24"/>
          <w:szCs w:val="24"/>
          <w:highlight w:val="none"/>
        </w:rPr>
        <w:t xml:space="preserve"> </w:t>
      </w:r>
      <w:r>
        <w:rPr>
          <w:rFonts w:ascii="宋体" w:hAnsi="宋体" w:eastAsia="宋体" w:cs="宋体"/>
          <w:color w:val="auto"/>
          <w:spacing w:val="-26"/>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26"/>
          <w:sz w:val="24"/>
          <w:szCs w:val="24"/>
          <w:highlight w:val="none"/>
        </w:rPr>
        <w:t>日</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注：</w:t>
      </w:r>
      <w:r>
        <w:rPr>
          <w:rFonts w:hint="eastAsia" w:ascii="宋体" w:hAnsi="宋体" w:eastAsia="宋体" w:cs="宋体"/>
          <w:color w:val="auto"/>
          <w:spacing w:val="-4"/>
          <w:sz w:val="24"/>
          <w:szCs w:val="24"/>
          <w:highlight w:val="none"/>
          <w:lang w:val="en-US" w:eastAsia="zh-CN"/>
        </w:rPr>
        <w:t>1</w:t>
      </w:r>
      <w:r>
        <w:rPr>
          <w:rFonts w:ascii="宋体" w:hAnsi="宋体" w:eastAsia="宋体" w:cs="宋体"/>
          <w:snapToGrid w:val="0"/>
          <w:color w:val="auto"/>
          <w:spacing w:val="-3"/>
          <w:kern w:val="0"/>
          <w:sz w:val="24"/>
          <w:szCs w:val="24"/>
          <w:lang w:val="en-US" w:eastAsia="en-US" w:bidi="ar-SA"/>
        </w:rPr>
        <w:t>.</w:t>
      </w:r>
      <w:r>
        <w:rPr>
          <w:rFonts w:ascii="宋体" w:hAnsi="宋体" w:eastAsia="宋体" w:cs="宋体"/>
          <w:color w:val="auto"/>
          <w:spacing w:val="-3"/>
          <w:sz w:val="24"/>
          <w:szCs w:val="24"/>
          <w:highlight w:val="none"/>
        </w:rPr>
        <w:t>若投标人为联合体，由牵头人出具即可。</w:t>
      </w:r>
    </w:p>
    <w:p w14:paraId="1158BE81">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1F8AE89F">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17D9AE93">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36A0C7FA">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665D51D5">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4729D527">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328604FB">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38CB8A5F">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1EB2470C">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67866E2B">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3E48E4F5">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color w:val="auto"/>
          <w:spacing w:val="-3"/>
          <w:sz w:val="24"/>
          <w:szCs w:val="24"/>
          <w:highlight w:val="none"/>
        </w:rPr>
      </w:pPr>
    </w:p>
    <w:p w14:paraId="526B92FE">
      <w:pPr>
        <w:spacing w:before="56" w:line="219" w:lineRule="auto"/>
        <w:ind w:left="3275"/>
        <w:outlineLvl w:val="1"/>
        <w:rPr>
          <w:rFonts w:ascii="宋体" w:hAnsi="宋体" w:eastAsia="宋体" w:cs="宋体"/>
          <w:strike w:val="0"/>
          <w:dstrike w:val="0"/>
          <w:color w:val="auto"/>
          <w:sz w:val="28"/>
          <w:szCs w:val="28"/>
          <w:highlight w:val="none"/>
        </w:rPr>
      </w:pPr>
      <w:bookmarkStart w:id="824" w:name="_Toc13857"/>
      <w:r>
        <w:rPr>
          <w:rFonts w:ascii="宋体" w:hAnsi="宋体" w:eastAsia="宋体" w:cs="宋体"/>
          <w:b/>
          <w:bCs/>
          <w:strike w:val="0"/>
          <w:dstrike w:val="0"/>
          <w:color w:val="auto"/>
          <w:spacing w:val="-7"/>
          <w:sz w:val="28"/>
          <w:szCs w:val="28"/>
          <w:highlight w:val="none"/>
        </w:rPr>
        <w:t>二、联合体协议书</w:t>
      </w:r>
      <w:bookmarkEnd w:id="824"/>
    </w:p>
    <w:p w14:paraId="5E2F549E">
      <w:pPr>
        <w:pStyle w:val="3"/>
        <w:spacing w:line="326" w:lineRule="auto"/>
        <w:rPr>
          <w:strike/>
          <w:dstrike w:val="0"/>
          <w:color w:val="auto"/>
          <w:highlight w:val="none"/>
        </w:rPr>
      </w:pPr>
    </w:p>
    <w:p w14:paraId="4487BA21">
      <w:pPr>
        <w:pStyle w:val="3"/>
        <w:spacing w:line="327" w:lineRule="auto"/>
        <w:rPr>
          <w:strike/>
          <w:dstrike w:val="0"/>
          <w:color w:val="auto"/>
          <w:highlight w:val="none"/>
        </w:rPr>
      </w:pPr>
    </w:p>
    <w:p w14:paraId="225459B3">
      <w:pPr>
        <w:tabs>
          <w:tab w:val="left" w:pos="2151"/>
        </w:tabs>
        <w:spacing w:before="81" w:line="342" w:lineRule="auto"/>
        <w:ind w:right="96" w:firstLine="470"/>
        <w:jc w:val="both"/>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5"/>
          <w:sz w:val="24"/>
          <w:szCs w:val="24"/>
          <w:highlight w:val="none"/>
        </w:rPr>
        <w:t>（</w:t>
      </w:r>
      <w:r>
        <w:rPr>
          <w:rFonts w:ascii="宋体" w:hAnsi="宋体" w:eastAsia="宋体" w:cs="宋体"/>
          <w:i/>
          <w:iCs/>
          <w:strike/>
          <w:dstrike w:val="0"/>
          <w:color w:val="auto"/>
          <w:spacing w:val="-5"/>
          <w:sz w:val="25"/>
          <w:szCs w:val="25"/>
          <w:highlight w:val="none"/>
        </w:rPr>
        <w:t>所有成员单位名称</w:t>
      </w:r>
      <w:r>
        <w:rPr>
          <w:rFonts w:ascii="宋体" w:hAnsi="宋体" w:eastAsia="宋体" w:cs="宋体"/>
          <w:strike/>
          <w:dstrike w:val="0"/>
          <w:color w:val="auto"/>
          <w:spacing w:val="-5"/>
          <w:sz w:val="24"/>
          <w:szCs w:val="24"/>
          <w:highlight w:val="none"/>
        </w:rPr>
        <w:t>）自愿组成</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pacing w:val="-5"/>
          <w:sz w:val="24"/>
          <w:szCs w:val="24"/>
          <w:highlight w:val="none"/>
          <w:u w:val="single" w:color="auto"/>
        </w:rPr>
        <w:t xml:space="preserve">          </w:t>
      </w:r>
      <w:r>
        <w:rPr>
          <w:rFonts w:ascii="宋体" w:hAnsi="宋体" w:eastAsia="宋体" w:cs="宋体"/>
          <w:strike/>
          <w:dstrike w:val="0"/>
          <w:color w:val="auto"/>
          <w:spacing w:val="-5"/>
          <w:sz w:val="24"/>
          <w:szCs w:val="24"/>
          <w:highlight w:val="none"/>
        </w:rPr>
        <w:t>（</w:t>
      </w:r>
      <w:r>
        <w:rPr>
          <w:rFonts w:ascii="宋体" w:hAnsi="宋体" w:eastAsia="宋体" w:cs="宋体"/>
          <w:i/>
          <w:iCs/>
          <w:strike/>
          <w:dstrike w:val="0"/>
          <w:color w:val="auto"/>
          <w:spacing w:val="-5"/>
          <w:sz w:val="25"/>
          <w:szCs w:val="25"/>
          <w:highlight w:val="none"/>
        </w:rPr>
        <w:t>联合体名称</w:t>
      </w:r>
      <w:r>
        <w:rPr>
          <w:rFonts w:ascii="宋体" w:hAnsi="宋体" w:eastAsia="宋体" w:cs="宋体"/>
          <w:strike/>
          <w:dstrike w:val="0"/>
          <w:color w:val="auto"/>
          <w:spacing w:val="-41"/>
          <w:sz w:val="24"/>
          <w:szCs w:val="24"/>
          <w:highlight w:val="none"/>
        </w:rPr>
        <w:t>），</w:t>
      </w:r>
      <w:r>
        <w:rPr>
          <w:rFonts w:ascii="宋体" w:hAnsi="宋体" w:eastAsia="宋体" w:cs="宋体"/>
          <w:strike/>
          <w:dstrike w:val="0"/>
          <w:color w:val="auto"/>
          <w:spacing w:val="-5"/>
          <w:sz w:val="24"/>
          <w:szCs w:val="24"/>
          <w:highlight w:val="none"/>
        </w:rPr>
        <w:t>共</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1"/>
          <w:sz w:val="24"/>
          <w:szCs w:val="24"/>
          <w:highlight w:val="none"/>
        </w:rPr>
        <w:t>同参加</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
          <w:sz w:val="24"/>
          <w:szCs w:val="24"/>
          <w:highlight w:val="none"/>
        </w:rPr>
        <w:t>（</w:t>
      </w:r>
      <w:r>
        <w:rPr>
          <w:rFonts w:ascii="宋体" w:hAnsi="宋体" w:eastAsia="宋体" w:cs="宋体"/>
          <w:i/>
          <w:iCs/>
          <w:strike/>
          <w:dstrike w:val="0"/>
          <w:color w:val="auto"/>
          <w:spacing w:val="1"/>
          <w:sz w:val="25"/>
          <w:szCs w:val="25"/>
          <w:highlight w:val="none"/>
        </w:rPr>
        <w:t>项目名称</w:t>
      </w:r>
      <w:r>
        <w:rPr>
          <w:rFonts w:ascii="宋体" w:hAnsi="宋体" w:eastAsia="宋体" w:cs="宋体"/>
          <w:strike/>
          <w:dstrike w:val="0"/>
          <w:color w:val="auto"/>
          <w:spacing w:val="-51"/>
          <w:sz w:val="24"/>
          <w:szCs w:val="24"/>
          <w:highlight w:val="none"/>
        </w:rPr>
        <w:t>）</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51"/>
          <w:sz w:val="24"/>
          <w:szCs w:val="24"/>
          <w:highlight w:val="none"/>
        </w:rPr>
        <w:t>（</w:t>
      </w:r>
      <w:r>
        <w:rPr>
          <w:rFonts w:ascii="宋体" w:hAnsi="宋体" w:eastAsia="宋体" w:cs="宋体"/>
          <w:i/>
          <w:iCs/>
          <w:strike/>
          <w:dstrike w:val="0"/>
          <w:color w:val="auto"/>
          <w:spacing w:val="1"/>
          <w:sz w:val="25"/>
          <w:szCs w:val="25"/>
          <w:highlight w:val="none"/>
        </w:rPr>
        <w:t>标段名称</w:t>
      </w:r>
      <w:r>
        <w:rPr>
          <w:rFonts w:ascii="宋体" w:hAnsi="宋体" w:eastAsia="宋体" w:cs="宋体"/>
          <w:strike/>
          <w:dstrike w:val="0"/>
          <w:color w:val="auto"/>
          <w:spacing w:val="1"/>
          <w:sz w:val="24"/>
          <w:szCs w:val="24"/>
          <w:highlight w:val="none"/>
        </w:rPr>
        <w:t>）投标。现就联合</w:t>
      </w:r>
      <w:r>
        <w:rPr>
          <w:rFonts w:ascii="宋体" w:hAnsi="宋体" w:eastAsia="宋体" w:cs="宋体"/>
          <w:strike/>
          <w:dstrike w:val="0"/>
          <w:color w:val="auto"/>
          <w:sz w:val="24"/>
          <w:szCs w:val="24"/>
          <w:highlight w:val="none"/>
        </w:rPr>
        <w:t>体投标</w:t>
      </w:r>
      <w:r>
        <w:rPr>
          <w:rFonts w:ascii="宋体" w:hAnsi="宋体" w:eastAsia="宋体" w:cs="宋体"/>
          <w:strike/>
          <w:dstrike w:val="0"/>
          <w:color w:val="auto"/>
          <w:spacing w:val="2"/>
          <w:sz w:val="24"/>
          <w:szCs w:val="24"/>
          <w:highlight w:val="none"/>
        </w:rPr>
        <w:t xml:space="preserve"> </w:t>
      </w:r>
      <w:r>
        <w:rPr>
          <w:rFonts w:ascii="宋体" w:hAnsi="宋体" w:eastAsia="宋体" w:cs="宋体"/>
          <w:strike/>
          <w:dstrike w:val="0"/>
          <w:color w:val="auto"/>
          <w:spacing w:val="-5"/>
          <w:sz w:val="24"/>
          <w:szCs w:val="24"/>
          <w:highlight w:val="none"/>
        </w:rPr>
        <w:t>事宜订立如下协议。</w:t>
      </w:r>
    </w:p>
    <w:p w14:paraId="6828395C">
      <w:pPr>
        <w:spacing w:before="31" w:line="212" w:lineRule="auto"/>
        <w:ind w:left="49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 xml:space="preserve">1.  </w:t>
      </w:r>
      <w:r>
        <w:rPr>
          <w:rFonts w:ascii="Times New Roman" w:hAnsi="Times New Roman" w:eastAsia="Times New Roman" w:cs="Times New Roman"/>
          <w:strike/>
          <w:dstrike w:val="0"/>
          <w:color w:val="auto"/>
          <w:spacing w:val="-3"/>
          <w:sz w:val="24"/>
          <w:szCs w:val="24"/>
          <w:highlight w:val="none"/>
          <w:u w:val="single" w:color="auto"/>
        </w:rPr>
        <w:t xml:space="preserve">                </w:t>
      </w:r>
      <w:r>
        <w:rPr>
          <w:rFonts w:ascii="Times New Roman" w:hAnsi="Times New Roman" w:eastAsia="Times New Roman" w:cs="Times New Roman"/>
          <w:strike/>
          <w:dstrike w:val="0"/>
          <w:color w:val="auto"/>
          <w:spacing w:val="-4"/>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rPr>
        <w:t>某成员单位名称</w:t>
      </w:r>
      <w:r>
        <w:rPr>
          <w:rFonts w:ascii="宋体" w:hAnsi="宋体" w:eastAsia="宋体" w:cs="宋体"/>
          <w:strike/>
          <w:dstrike w:val="0"/>
          <w:color w:val="auto"/>
          <w:spacing w:val="-4"/>
          <w:sz w:val="24"/>
          <w:szCs w:val="24"/>
          <w:highlight w:val="none"/>
        </w:rPr>
        <w:t>）为</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rPr>
        <w:t>联合体名称</w:t>
      </w:r>
      <w:r>
        <w:rPr>
          <w:rFonts w:ascii="宋体" w:hAnsi="宋体" w:eastAsia="宋体" w:cs="宋体"/>
          <w:strike/>
          <w:dstrike w:val="0"/>
          <w:color w:val="auto"/>
          <w:spacing w:val="-4"/>
          <w:sz w:val="24"/>
          <w:szCs w:val="24"/>
          <w:highlight w:val="none"/>
        </w:rPr>
        <w:t>）牵头人。</w:t>
      </w:r>
    </w:p>
    <w:p w14:paraId="22D5CD0F">
      <w:pPr>
        <w:spacing w:before="181" w:line="350" w:lineRule="auto"/>
        <w:ind w:right="85" w:firstLine="476"/>
        <w:jc w:val="both"/>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2</w:t>
      </w:r>
      <w:r>
        <w:rPr>
          <w:rFonts w:ascii="Times New Roman" w:hAnsi="Times New Roman" w:eastAsia="Times New Roman" w:cs="Times New Roman"/>
          <w:strike/>
          <w:dstrike w:val="0"/>
          <w:color w:val="auto"/>
          <w:spacing w:val="-28"/>
          <w:sz w:val="24"/>
          <w:szCs w:val="24"/>
          <w:highlight w:val="none"/>
        </w:rPr>
        <w:t xml:space="preserve"> </w:t>
      </w:r>
      <w:r>
        <w:rPr>
          <w:rFonts w:ascii="宋体" w:hAnsi="宋体" w:eastAsia="宋体" w:cs="宋体"/>
          <w:strike/>
          <w:dstrike w:val="0"/>
          <w:color w:val="auto"/>
          <w:sz w:val="24"/>
          <w:szCs w:val="24"/>
          <w:highlight w:val="none"/>
        </w:rPr>
        <w:t>．联合体牵头人合法代表联合体各成员负责本标段施工</w:t>
      </w:r>
      <w:r>
        <w:rPr>
          <w:rFonts w:ascii="宋体" w:hAnsi="宋体" w:eastAsia="宋体" w:cs="宋体"/>
          <w:strike/>
          <w:dstrike w:val="0"/>
          <w:color w:val="auto"/>
          <w:spacing w:val="-1"/>
          <w:sz w:val="24"/>
          <w:szCs w:val="24"/>
          <w:highlight w:val="none"/>
        </w:rPr>
        <w:t>招标投标文件递交和合</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6"/>
          <w:sz w:val="24"/>
          <w:szCs w:val="24"/>
          <w:highlight w:val="none"/>
        </w:rPr>
        <w:t>同谈判活动，并代表联合体提交和接受相关的资料、信息及指示， 处理与之有关的一</w:t>
      </w:r>
      <w:r>
        <w:rPr>
          <w:rFonts w:ascii="宋体" w:hAnsi="宋体" w:eastAsia="宋体" w:cs="宋体"/>
          <w:strike/>
          <w:dstrike w:val="0"/>
          <w:color w:val="auto"/>
          <w:spacing w:val="7"/>
          <w:sz w:val="24"/>
          <w:szCs w:val="24"/>
          <w:highlight w:val="none"/>
        </w:rPr>
        <w:t xml:space="preserve"> </w:t>
      </w:r>
      <w:r>
        <w:rPr>
          <w:rFonts w:ascii="宋体" w:hAnsi="宋体" w:eastAsia="宋体" w:cs="宋体"/>
          <w:strike/>
          <w:dstrike w:val="0"/>
          <w:color w:val="auto"/>
          <w:spacing w:val="-2"/>
          <w:sz w:val="24"/>
          <w:szCs w:val="24"/>
          <w:highlight w:val="none"/>
        </w:rPr>
        <w:t>切事务，并负责合同实施阶段的主办、组织和协调工作。</w:t>
      </w:r>
    </w:p>
    <w:p w14:paraId="68503484">
      <w:pPr>
        <w:spacing w:before="33" w:line="290" w:lineRule="auto"/>
        <w:ind w:left="1" w:right="85" w:firstLine="479"/>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3</w:t>
      </w:r>
      <w:r>
        <w:rPr>
          <w:rFonts w:ascii="Times New Roman" w:hAnsi="Times New Roman" w:eastAsia="Times New Roman" w:cs="Times New Roman"/>
          <w:strike/>
          <w:dstrike w:val="0"/>
          <w:color w:val="auto"/>
          <w:spacing w:val="-29"/>
          <w:sz w:val="24"/>
          <w:szCs w:val="24"/>
          <w:highlight w:val="none"/>
        </w:rPr>
        <w:t xml:space="preserve"> </w:t>
      </w:r>
      <w:r>
        <w:rPr>
          <w:rFonts w:ascii="宋体" w:hAnsi="宋体" w:eastAsia="宋体" w:cs="宋体"/>
          <w:strike/>
          <w:dstrike w:val="0"/>
          <w:color w:val="auto"/>
          <w:sz w:val="24"/>
          <w:szCs w:val="24"/>
          <w:highlight w:val="none"/>
        </w:rPr>
        <w:t>．联合体将严格按照招标文件的各项要求，编</w:t>
      </w:r>
      <w:r>
        <w:rPr>
          <w:rFonts w:ascii="宋体" w:hAnsi="宋体" w:eastAsia="宋体" w:cs="宋体"/>
          <w:strike/>
          <w:dstrike w:val="0"/>
          <w:color w:val="auto"/>
          <w:spacing w:val="-1"/>
          <w:sz w:val="24"/>
          <w:szCs w:val="24"/>
          <w:highlight w:val="none"/>
        </w:rPr>
        <w:t>制投标文件，履行合同，并向招</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5"/>
          <w:sz w:val="24"/>
          <w:szCs w:val="24"/>
          <w:highlight w:val="none"/>
        </w:rPr>
        <w:t>标人承担连带责任。</w:t>
      </w:r>
    </w:p>
    <w:p w14:paraId="60F32DBE">
      <w:pPr>
        <w:spacing w:before="179" w:line="220" w:lineRule="auto"/>
        <w:ind w:left="47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1"/>
          <w:sz w:val="24"/>
          <w:szCs w:val="24"/>
          <w:highlight w:val="none"/>
        </w:rPr>
        <w:t>4</w:t>
      </w:r>
      <w:r>
        <w:rPr>
          <w:rFonts w:ascii="Times New Roman" w:hAnsi="Times New Roman" w:eastAsia="Times New Roman" w:cs="Times New Roman"/>
          <w:strike/>
          <w:dstrike w:val="0"/>
          <w:color w:val="auto"/>
          <w:spacing w:val="-27"/>
          <w:sz w:val="24"/>
          <w:szCs w:val="24"/>
          <w:highlight w:val="none"/>
        </w:rPr>
        <w:t xml:space="preserve"> </w:t>
      </w:r>
      <w:r>
        <w:rPr>
          <w:rFonts w:ascii="宋体" w:hAnsi="宋体" w:eastAsia="宋体" w:cs="宋体"/>
          <w:strike/>
          <w:dstrike w:val="0"/>
          <w:color w:val="auto"/>
          <w:spacing w:val="-1"/>
          <w:sz w:val="24"/>
          <w:szCs w:val="24"/>
          <w:highlight w:val="none"/>
        </w:rPr>
        <w:t>．联合体内部各成员单位的职责分工如下：</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1"/>
          <w:sz w:val="24"/>
          <w:szCs w:val="24"/>
          <w:highlight w:val="none"/>
        </w:rPr>
        <w:t>。</w:t>
      </w:r>
    </w:p>
    <w:p w14:paraId="08E6C80D">
      <w:pPr>
        <w:spacing w:before="182" w:line="289" w:lineRule="auto"/>
        <w:ind w:right="85" w:firstLine="48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5</w:t>
      </w:r>
      <w:r>
        <w:rPr>
          <w:rFonts w:ascii="Times New Roman" w:hAnsi="Times New Roman" w:eastAsia="Times New Roman" w:cs="Times New Roman"/>
          <w:strike/>
          <w:dstrike w:val="0"/>
          <w:color w:val="auto"/>
          <w:spacing w:val="-28"/>
          <w:sz w:val="24"/>
          <w:szCs w:val="24"/>
          <w:highlight w:val="none"/>
        </w:rPr>
        <w:t xml:space="preserve"> </w:t>
      </w:r>
      <w:r>
        <w:rPr>
          <w:rFonts w:ascii="宋体" w:hAnsi="宋体" w:eastAsia="宋体" w:cs="宋体"/>
          <w:strike/>
          <w:dstrike w:val="0"/>
          <w:color w:val="auto"/>
          <w:sz w:val="24"/>
          <w:szCs w:val="24"/>
          <w:highlight w:val="none"/>
        </w:rPr>
        <w:t>．牵头人承担综合协调管理工作，联合体</w:t>
      </w:r>
      <w:r>
        <w:rPr>
          <w:rFonts w:ascii="宋体" w:hAnsi="宋体" w:eastAsia="宋体" w:cs="宋体"/>
          <w:strike/>
          <w:dstrike w:val="0"/>
          <w:color w:val="auto"/>
          <w:spacing w:val="-1"/>
          <w:sz w:val="24"/>
          <w:szCs w:val="24"/>
          <w:highlight w:val="none"/>
        </w:rPr>
        <w:t>内部各成员单位根据职责分工，按照</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相关法律法规分别承担相应工作内容的质量与安全主体责任。</w:t>
      </w:r>
    </w:p>
    <w:p w14:paraId="229DC58C">
      <w:pPr>
        <w:spacing w:before="183" w:line="219" w:lineRule="auto"/>
        <w:ind w:left="481"/>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6</w:t>
      </w:r>
      <w:r>
        <w:rPr>
          <w:rFonts w:ascii="Times New Roman" w:hAnsi="Times New Roman" w:eastAsia="Times New Roman" w:cs="Times New Roman"/>
          <w:strike/>
          <w:dstrike w:val="0"/>
          <w:color w:val="auto"/>
          <w:spacing w:val="-24"/>
          <w:sz w:val="24"/>
          <w:szCs w:val="24"/>
          <w:highlight w:val="none"/>
        </w:rPr>
        <w:t xml:space="preserve"> </w:t>
      </w:r>
      <w:r>
        <w:rPr>
          <w:rFonts w:ascii="宋体" w:hAnsi="宋体" w:eastAsia="宋体" w:cs="宋体"/>
          <w:strike/>
          <w:dstrike w:val="0"/>
          <w:color w:val="auto"/>
          <w:spacing w:val="-3"/>
          <w:sz w:val="24"/>
          <w:szCs w:val="24"/>
          <w:highlight w:val="none"/>
        </w:rPr>
        <w:t>．本协议书自签署之日起生效，合同履行完毕后自动失效。</w:t>
      </w:r>
    </w:p>
    <w:p w14:paraId="1DE58AEE">
      <w:pPr>
        <w:spacing w:before="181" w:line="219" w:lineRule="auto"/>
        <w:ind w:left="480"/>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7</w:t>
      </w:r>
      <w:r>
        <w:rPr>
          <w:rFonts w:ascii="Times New Roman" w:hAnsi="Times New Roman" w:eastAsia="Times New Roman" w:cs="Times New Roman"/>
          <w:strike/>
          <w:dstrike w:val="0"/>
          <w:color w:val="auto"/>
          <w:spacing w:val="-13"/>
          <w:sz w:val="24"/>
          <w:szCs w:val="24"/>
          <w:highlight w:val="none"/>
        </w:rPr>
        <w:t xml:space="preserve"> </w:t>
      </w:r>
      <w:r>
        <w:rPr>
          <w:rFonts w:ascii="宋体" w:hAnsi="宋体" w:eastAsia="宋体" w:cs="宋体"/>
          <w:strike/>
          <w:dstrike w:val="0"/>
          <w:color w:val="auto"/>
          <w:spacing w:val="-3"/>
          <w:sz w:val="24"/>
          <w:szCs w:val="24"/>
          <w:highlight w:val="none"/>
        </w:rPr>
        <w:t>．本协议书一式</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111"/>
          <w:sz w:val="24"/>
          <w:szCs w:val="24"/>
          <w:highlight w:val="none"/>
        </w:rPr>
        <w:t xml:space="preserve"> </w:t>
      </w:r>
      <w:r>
        <w:rPr>
          <w:rFonts w:ascii="宋体" w:hAnsi="宋体" w:eastAsia="宋体" w:cs="宋体"/>
          <w:strike/>
          <w:dstrike w:val="0"/>
          <w:color w:val="auto"/>
          <w:spacing w:val="-3"/>
          <w:sz w:val="24"/>
          <w:szCs w:val="24"/>
          <w:highlight w:val="none"/>
        </w:rPr>
        <w:t>份，联合体成员和招标人各执一份。</w:t>
      </w:r>
    </w:p>
    <w:p w14:paraId="7F6F8EAC">
      <w:pPr>
        <w:pStyle w:val="3"/>
        <w:spacing w:line="258" w:lineRule="auto"/>
        <w:rPr>
          <w:strike/>
          <w:dstrike w:val="0"/>
          <w:color w:val="auto"/>
          <w:highlight w:val="none"/>
        </w:rPr>
      </w:pPr>
    </w:p>
    <w:p w14:paraId="09D41F11">
      <w:pPr>
        <w:pStyle w:val="3"/>
        <w:spacing w:line="258" w:lineRule="auto"/>
        <w:rPr>
          <w:strike/>
          <w:dstrike w:val="0"/>
          <w:color w:val="auto"/>
          <w:highlight w:val="none"/>
        </w:rPr>
      </w:pPr>
    </w:p>
    <w:p w14:paraId="330FAC77">
      <w:pPr>
        <w:spacing w:before="78" w:line="346" w:lineRule="auto"/>
        <w:ind w:left="1" w:right="180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牵头人名称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3"/>
          <w:sz w:val="24"/>
          <w:szCs w:val="24"/>
          <w:highlight w:val="none"/>
        </w:rPr>
        <w:t>盖单位公章）</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法定代表人或其委托代理人</w:t>
      </w:r>
      <w:r>
        <w:rPr>
          <w:rFonts w:ascii="宋体" w:hAnsi="宋体" w:eastAsia="宋体" w:cs="宋体"/>
          <w:strike/>
          <w:dstrike w:val="0"/>
          <w:color w:val="auto"/>
          <w:spacing w:val="4"/>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strike/>
          <w:dstrike w:val="0"/>
          <w:color w:val="auto"/>
          <w:spacing w:val="-2"/>
          <w:sz w:val="24"/>
          <w:szCs w:val="24"/>
          <w:highlight w:val="none"/>
        </w:rPr>
        <w:t>签字或盖章）</w:t>
      </w:r>
    </w:p>
    <w:p w14:paraId="4155A036">
      <w:pPr>
        <w:pStyle w:val="3"/>
        <w:spacing w:line="369" w:lineRule="auto"/>
        <w:rPr>
          <w:strike/>
          <w:dstrike w:val="0"/>
          <w:color w:val="auto"/>
          <w:highlight w:val="none"/>
        </w:rPr>
      </w:pPr>
    </w:p>
    <w:p w14:paraId="5C554B14">
      <w:pPr>
        <w:spacing w:before="78" w:line="344" w:lineRule="auto"/>
        <w:ind w:left="1" w:right="180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成员一名称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3"/>
          <w:sz w:val="24"/>
          <w:szCs w:val="24"/>
          <w:highlight w:val="none"/>
        </w:rPr>
        <w:t>盖单位公章）</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法定代表人或其委托代理人</w:t>
      </w:r>
      <w:r>
        <w:rPr>
          <w:rFonts w:ascii="宋体" w:hAnsi="宋体" w:eastAsia="宋体" w:cs="宋体"/>
          <w:strike/>
          <w:dstrike w:val="0"/>
          <w:color w:val="auto"/>
          <w:spacing w:val="4"/>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strike/>
          <w:dstrike w:val="0"/>
          <w:color w:val="auto"/>
          <w:spacing w:val="-2"/>
          <w:sz w:val="24"/>
          <w:szCs w:val="24"/>
          <w:highlight w:val="none"/>
        </w:rPr>
        <w:t>签字或盖章）</w:t>
      </w:r>
    </w:p>
    <w:p w14:paraId="6D57EBAC">
      <w:pPr>
        <w:pStyle w:val="3"/>
        <w:spacing w:line="371" w:lineRule="auto"/>
        <w:rPr>
          <w:strike/>
          <w:dstrike w:val="0"/>
          <w:color w:val="auto"/>
          <w:highlight w:val="none"/>
        </w:rPr>
      </w:pPr>
    </w:p>
    <w:p w14:paraId="777A3B8A">
      <w:pPr>
        <w:spacing w:before="78" w:line="346" w:lineRule="auto"/>
        <w:ind w:left="1" w:right="180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成员二名称</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2"/>
          <w:sz w:val="24"/>
          <w:szCs w:val="24"/>
          <w:highlight w:val="none"/>
        </w:rPr>
        <w:t>（</w:t>
      </w:r>
      <w:r>
        <w:rPr>
          <w:rFonts w:ascii="宋体" w:hAnsi="宋体" w:eastAsia="宋体" w:cs="宋体"/>
          <w:strike/>
          <w:dstrike w:val="0"/>
          <w:color w:val="auto"/>
          <w:spacing w:val="-3"/>
          <w:sz w:val="24"/>
          <w:szCs w:val="24"/>
          <w:highlight w:val="none"/>
        </w:rPr>
        <w:t>盖单位公章）</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2"/>
          <w:sz w:val="24"/>
          <w:szCs w:val="24"/>
          <w:highlight w:val="none"/>
        </w:rPr>
        <w:t>法定代表人或其委托代理人</w:t>
      </w:r>
      <w:r>
        <w:rPr>
          <w:rFonts w:ascii="宋体" w:hAnsi="宋体" w:eastAsia="宋体" w:cs="宋体"/>
          <w:strike/>
          <w:dstrike w:val="0"/>
          <w:color w:val="auto"/>
          <w:spacing w:val="4"/>
          <w:sz w:val="24"/>
          <w:szCs w:val="24"/>
          <w:highlight w:val="none"/>
        </w:rPr>
        <w:t>：</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strike/>
          <w:dstrike w:val="0"/>
          <w:color w:val="auto"/>
          <w:spacing w:val="-2"/>
          <w:sz w:val="24"/>
          <w:szCs w:val="24"/>
          <w:highlight w:val="none"/>
        </w:rPr>
        <w:t>签字或盖章）</w:t>
      </w:r>
    </w:p>
    <w:p w14:paraId="628CCC5F">
      <w:pPr>
        <w:spacing w:before="200" w:line="75" w:lineRule="exact"/>
        <w:ind w:left="18"/>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pacing w:val="-7"/>
          <w:position w:val="-1"/>
          <w:sz w:val="24"/>
          <w:szCs w:val="24"/>
          <w:highlight w:val="none"/>
        </w:rPr>
        <w:t>……</w:t>
      </w:r>
    </w:p>
    <w:p w14:paraId="7AAA8B87">
      <w:pPr>
        <w:pStyle w:val="3"/>
        <w:spacing w:line="252" w:lineRule="auto"/>
        <w:rPr>
          <w:strike/>
          <w:dstrike w:val="0"/>
          <w:color w:val="auto"/>
          <w:highlight w:val="none"/>
        </w:rPr>
      </w:pPr>
    </w:p>
    <w:p w14:paraId="178993B4">
      <w:pPr>
        <w:pStyle w:val="3"/>
        <w:spacing w:line="253" w:lineRule="auto"/>
        <w:rPr>
          <w:strike/>
          <w:dstrike w:val="0"/>
          <w:color w:val="auto"/>
          <w:highlight w:val="none"/>
        </w:rPr>
      </w:pPr>
    </w:p>
    <w:p w14:paraId="742D6427">
      <w:pPr>
        <w:tabs>
          <w:tab w:val="left" w:pos="7100"/>
        </w:tabs>
        <w:spacing w:before="78" w:line="220" w:lineRule="auto"/>
        <w:ind w:left="6260"/>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9"/>
          <w:sz w:val="24"/>
          <w:szCs w:val="24"/>
          <w:highlight w:val="none"/>
        </w:rPr>
        <w:t>年</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9"/>
          <w:sz w:val="24"/>
          <w:szCs w:val="24"/>
          <w:highlight w:val="none"/>
        </w:rPr>
        <w:t>月</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9"/>
          <w:sz w:val="24"/>
          <w:szCs w:val="24"/>
          <w:highlight w:val="none"/>
        </w:rPr>
        <w:t>日</w:t>
      </w:r>
    </w:p>
    <w:p w14:paraId="60553857">
      <w:pPr>
        <w:pStyle w:val="3"/>
        <w:spacing w:line="258" w:lineRule="auto"/>
        <w:rPr>
          <w:strike/>
          <w:dstrike w:val="0"/>
          <w:color w:val="auto"/>
          <w:highlight w:val="none"/>
        </w:rPr>
      </w:pPr>
    </w:p>
    <w:p w14:paraId="77378D6C">
      <w:pPr>
        <w:pStyle w:val="3"/>
        <w:spacing w:line="258" w:lineRule="auto"/>
        <w:rPr>
          <w:strike/>
          <w:dstrike w:val="0"/>
          <w:color w:val="auto"/>
          <w:highlight w:val="none"/>
        </w:rPr>
      </w:pPr>
    </w:p>
    <w:p w14:paraId="66EF22DF">
      <w:pPr>
        <w:pStyle w:val="3"/>
        <w:numPr>
          <w:ilvl w:val="0"/>
          <w:numId w:val="0"/>
        </w:numPr>
        <w:kinsoku w:val="0"/>
        <w:autoSpaceDE w:val="0"/>
        <w:autoSpaceDN w:val="0"/>
        <w:adjustRightInd w:val="0"/>
        <w:snapToGrid w:val="0"/>
        <w:spacing w:line="269" w:lineRule="auto"/>
        <w:jc w:val="both"/>
        <w:textAlignment w:val="baseline"/>
        <w:rPr>
          <w:rFonts w:ascii="宋体" w:hAnsi="宋体" w:eastAsia="宋体" w:cs="宋体"/>
          <w:strike/>
          <w:dstrike w:val="0"/>
          <w:color w:val="auto"/>
          <w:spacing w:val="-1"/>
          <w:sz w:val="24"/>
          <w:szCs w:val="24"/>
          <w:highlight w:val="none"/>
        </w:rPr>
      </w:pPr>
      <w:r>
        <w:rPr>
          <w:rFonts w:ascii="宋体" w:hAnsi="宋体" w:eastAsia="宋体" w:cs="宋体"/>
          <w:strike/>
          <w:dstrike w:val="0"/>
          <w:color w:val="auto"/>
          <w:spacing w:val="-1"/>
          <w:sz w:val="24"/>
          <w:szCs w:val="24"/>
          <w:highlight w:val="none"/>
        </w:rPr>
        <w:t>注：本协议书由委托代理人签字或盖章时，应附法定代表人签字的授权委托书。</w:t>
      </w:r>
    </w:p>
    <w:p w14:paraId="27C81079">
      <w:pPr>
        <w:spacing w:line="480" w:lineRule="auto"/>
        <w:ind w:firstLine="2185" w:firstLineChars="800"/>
        <w:jc w:val="both"/>
        <w:rPr>
          <w:i w:val="0"/>
          <w:iCs w:val="0"/>
          <w:color w:val="auto"/>
          <w:highlight w:val="none"/>
        </w:rPr>
      </w:pPr>
      <w:bookmarkStart w:id="825" w:name="_Toc13246"/>
      <w:r>
        <w:rPr>
          <w:rFonts w:ascii="宋体" w:hAnsi="宋体" w:eastAsia="宋体" w:cs="宋体"/>
          <w:b/>
          <w:bCs/>
          <w:color w:val="auto"/>
          <w:spacing w:val="-4"/>
          <w:sz w:val="28"/>
          <w:szCs w:val="28"/>
          <w:highlight w:val="none"/>
        </w:rPr>
        <w:t>三、</w:t>
      </w:r>
      <w:bookmarkEnd w:id="825"/>
      <w:r>
        <w:rPr>
          <w:rFonts w:hint="eastAsia" w:ascii="宋体" w:hAnsi="宋体"/>
          <w:b/>
          <w:bCs/>
          <w:i w:val="0"/>
          <w:iCs w:val="0"/>
          <w:color w:val="auto"/>
          <w:sz w:val="28"/>
          <w:szCs w:val="28"/>
          <w:highlight w:val="none"/>
        </w:rPr>
        <w:t>投标保证金</w:t>
      </w:r>
    </w:p>
    <w:p w14:paraId="3B50D816">
      <w:pPr>
        <w:tabs>
          <w:tab w:val="left" w:pos="312"/>
        </w:tabs>
        <w:spacing w:before="156" w:beforeLines="50" w:after="156" w:afterLines="50"/>
        <w:jc w:val="both"/>
        <w:rPr>
          <w:rFonts w:hint="eastAsia"/>
          <w:bCs/>
          <w:i w:val="0"/>
          <w:iCs w:val="0"/>
          <w:color w:val="auto"/>
          <w:highlight w:val="none"/>
        </w:rPr>
      </w:pPr>
      <w:r>
        <w:rPr>
          <w:rFonts w:hint="eastAsia"/>
          <w:bCs/>
          <w:i w:val="0"/>
          <w:iCs w:val="0"/>
          <w:color w:val="auto"/>
          <w:highlight w:val="none"/>
        </w:rPr>
        <w:t>1.采用转账形式缴纳的，提供银行转账凭证（记录）及基本账户开户证明。</w:t>
      </w:r>
    </w:p>
    <w:p w14:paraId="0008C8BB">
      <w:pPr>
        <w:tabs>
          <w:tab w:val="left" w:pos="312"/>
        </w:tabs>
        <w:spacing w:before="156" w:beforeLines="50" w:after="156" w:afterLines="50"/>
        <w:jc w:val="both"/>
        <w:rPr>
          <w:rFonts w:hint="eastAsia"/>
          <w:bCs/>
          <w:i w:val="0"/>
          <w:iCs w:val="0"/>
          <w:color w:val="auto"/>
          <w:highlight w:val="none"/>
        </w:rPr>
      </w:pPr>
      <w:r>
        <w:rPr>
          <w:rFonts w:hint="eastAsia"/>
          <w:bCs/>
          <w:i w:val="0"/>
          <w:iCs w:val="0"/>
          <w:color w:val="auto"/>
          <w:highlight w:val="none"/>
        </w:rPr>
        <w:t>2.采用银行保函或投标保险保单或担保保函的，提供保函、购买保险或办理保函、担保等保证金相关费用从投标人基本账户转出的凭证、基本账户开户证明。</w:t>
      </w:r>
    </w:p>
    <w:p w14:paraId="74C679EF">
      <w:pPr>
        <w:tabs>
          <w:tab w:val="left" w:pos="312"/>
        </w:tabs>
        <w:spacing w:before="156" w:beforeLines="50"/>
        <w:jc w:val="both"/>
        <w:rPr>
          <w:rFonts w:hint="eastAsia"/>
          <w:bCs/>
          <w:i w:val="0"/>
          <w:iCs w:val="0"/>
          <w:color w:val="auto"/>
          <w:highlight w:val="none"/>
        </w:rPr>
      </w:pPr>
    </w:p>
    <w:p w14:paraId="4FD8DCE5">
      <w:pPr>
        <w:tabs>
          <w:tab w:val="left" w:pos="312"/>
        </w:tabs>
        <w:spacing w:before="156" w:beforeLines="50"/>
        <w:jc w:val="both"/>
        <w:rPr>
          <w:rFonts w:hint="eastAsia"/>
          <w:bCs/>
          <w:i w:val="0"/>
          <w:iCs w:val="0"/>
          <w:color w:val="auto"/>
          <w:highlight w:val="none"/>
        </w:rPr>
      </w:pPr>
    </w:p>
    <w:p w14:paraId="6A977626">
      <w:pPr>
        <w:tabs>
          <w:tab w:val="left" w:pos="312"/>
        </w:tabs>
        <w:spacing w:before="156" w:beforeLines="50"/>
        <w:jc w:val="both"/>
        <w:rPr>
          <w:rFonts w:hint="eastAsia"/>
          <w:bCs/>
          <w:i w:val="0"/>
          <w:iCs w:val="0"/>
          <w:color w:val="auto"/>
          <w:highlight w:val="none"/>
        </w:rPr>
      </w:pPr>
    </w:p>
    <w:p w14:paraId="0338ED20">
      <w:pPr>
        <w:tabs>
          <w:tab w:val="left" w:pos="312"/>
        </w:tabs>
        <w:spacing w:before="156" w:beforeLines="50"/>
        <w:jc w:val="both"/>
        <w:rPr>
          <w:rFonts w:hint="eastAsia"/>
          <w:bCs/>
          <w:i w:val="0"/>
          <w:iCs w:val="0"/>
          <w:color w:val="auto"/>
          <w:highlight w:val="none"/>
        </w:rPr>
      </w:pPr>
    </w:p>
    <w:p w14:paraId="0A921A9C">
      <w:pPr>
        <w:tabs>
          <w:tab w:val="left" w:pos="312"/>
        </w:tabs>
        <w:spacing w:before="156" w:beforeLines="50"/>
        <w:jc w:val="both"/>
        <w:rPr>
          <w:rFonts w:hint="eastAsia"/>
          <w:bCs/>
          <w:i w:val="0"/>
          <w:iCs w:val="0"/>
          <w:color w:val="auto"/>
          <w:highlight w:val="none"/>
        </w:rPr>
      </w:pPr>
    </w:p>
    <w:p w14:paraId="0306D02D">
      <w:pPr>
        <w:tabs>
          <w:tab w:val="left" w:pos="312"/>
        </w:tabs>
        <w:spacing w:before="156" w:beforeLines="50"/>
        <w:jc w:val="both"/>
        <w:rPr>
          <w:rFonts w:hint="eastAsia"/>
          <w:bCs/>
          <w:i w:val="0"/>
          <w:iCs w:val="0"/>
          <w:color w:val="auto"/>
          <w:highlight w:val="none"/>
        </w:rPr>
      </w:pPr>
    </w:p>
    <w:p w14:paraId="642C2587">
      <w:pPr>
        <w:tabs>
          <w:tab w:val="left" w:pos="312"/>
        </w:tabs>
        <w:spacing w:before="156" w:beforeLines="50"/>
        <w:jc w:val="both"/>
        <w:rPr>
          <w:rFonts w:hint="eastAsia"/>
          <w:bCs/>
          <w:i w:val="0"/>
          <w:iCs w:val="0"/>
          <w:color w:val="auto"/>
          <w:highlight w:val="none"/>
        </w:rPr>
      </w:pPr>
    </w:p>
    <w:p w14:paraId="7959B56C">
      <w:pPr>
        <w:tabs>
          <w:tab w:val="left" w:pos="312"/>
        </w:tabs>
        <w:spacing w:before="156" w:beforeLines="50"/>
        <w:jc w:val="both"/>
        <w:rPr>
          <w:rFonts w:hint="eastAsia"/>
          <w:bCs/>
          <w:i w:val="0"/>
          <w:iCs w:val="0"/>
          <w:color w:val="auto"/>
          <w:highlight w:val="none"/>
        </w:rPr>
      </w:pPr>
    </w:p>
    <w:p w14:paraId="03C4C403">
      <w:pPr>
        <w:tabs>
          <w:tab w:val="left" w:pos="312"/>
        </w:tabs>
        <w:spacing w:before="156" w:beforeLines="50"/>
        <w:jc w:val="both"/>
        <w:rPr>
          <w:rFonts w:hint="eastAsia"/>
          <w:bCs/>
          <w:i w:val="0"/>
          <w:iCs w:val="0"/>
          <w:color w:val="auto"/>
          <w:highlight w:val="none"/>
        </w:rPr>
      </w:pPr>
    </w:p>
    <w:p w14:paraId="328C00D0">
      <w:pPr>
        <w:tabs>
          <w:tab w:val="left" w:pos="312"/>
        </w:tabs>
        <w:spacing w:before="156" w:beforeLines="50"/>
        <w:jc w:val="both"/>
        <w:rPr>
          <w:rFonts w:hint="eastAsia"/>
          <w:bCs/>
          <w:i w:val="0"/>
          <w:iCs w:val="0"/>
          <w:color w:val="auto"/>
          <w:highlight w:val="none"/>
        </w:rPr>
      </w:pPr>
    </w:p>
    <w:p w14:paraId="55ADA46F">
      <w:pPr>
        <w:tabs>
          <w:tab w:val="left" w:pos="312"/>
        </w:tabs>
        <w:spacing w:before="156" w:beforeLines="50"/>
        <w:jc w:val="both"/>
        <w:rPr>
          <w:rFonts w:hint="eastAsia"/>
          <w:bCs/>
          <w:i w:val="0"/>
          <w:iCs w:val="0"/>
          <w:color w:val="auto"/>
          <w:highlight w:val="none"/>
        </w:rPr>
      </w:pPr>
    </w:p>
    <w:p w14:paraId="23E4375F">
      <w:pPr>
        <w:tabs>
          <w:tab w:val="left" w:pos="312"/>
        </w:tabs>
        <w:spacing w:before="156" w:beforeLines="50"/>
        <w:jc w:val="both"/>
        <w:rPr>
          <w:rFonts w:hint="eastAsia"/>
          <w:bCs/>
          <w:i w:val="0"/>
          <w:iCs w:val="0"/>
          <w:color w:val="auto"/>
          <w:highlight w:val="none"/>
        </w:rPr>
      </w:pPr>
    </w:p>
    <w:p w14:paraId="27D258FB">
      <w:pPr>
        <w:tabs>
          <w:tab w:val="left" w:pos="312"/>
        </w:tabs>
        <w:spacing w:before="156" w:beforeLines="50"/>
        <w:jc w:val="both"/>
        <w:rPr>
          <w:rFonts w:hint="eastAsia"/>
          <w:bCs/>
          <w:i w:val="0"/>
          <w:iCs w:val="0"/>
          <w:color w:val="auto"/>
          <w:highlight w:val="none"/>
        </w:rPr>
      </w:pPr>
    </w:p>
    <w:p w14:paraId="1F65A0A0">
      <w:pPr>
        <w:tabs>
          <w:tab w:val="left" w:pos="312"/>
        </w:tabs>
        <w:spacing w:before="156" w:beforeLines="50"/>
        <w:jc w:val="both"/>
        <w:rPr>
          <w:rFonts w:hint="eastAsia"/>
          <w:bCs/>
          <w:i w:val="0"/>
          <w:iCs w:val="0"/>
          <w:color w:val="auto"/>
          <w:highlight w:val="none"/>
        </w:rPr>
      </w:pPr>
    </w:p>
    <w:p w14:paraId="3409E2AC">
      <w:pPr>
        <w:tabs>
          <w:tab w:val="left" w:pos="312"/>
        </w:tabs>
        <w:spacing w:before="156" w:beforeLines="50"/>
        <w:jc w:val="both"/>
        <w:rPr>
          <w:rFonts w:hint="eastAsia"/>
          <w:bCs/>
          <w:i w:val="0"/>
          <w:iCs w:val="0"/>
          <w:color w:val="auto"/>
          <w:highlight w:val="none"/>
        </w:rPr>
      </w:pPr>
    </w:p>
    <w:p w14:paraId="4088EEE3">
      <w:pPr>
        <w:tabs>
          <w:tab w:val="left" w:pos="312"/>
        </w:tabs>
        <w:spacing w:before="156" w:beforeLines="50"/>
        <w:jc w:val="both"/>
        <w:rPr>
          <w:rFonts w:hint="eastAsia"/>
          <w:bCs/>
          <w:i w:val="0"/>
          <w:iCs w:val="0"/>
          <w:color w:val="auto"/>
          <w:highlight w:val="none"/>
        </w:rPr>
      </w:pPr>
    </w:p>
    <w:p w14:paraId="7F990473">
      <w:pPr>
        <w:tabs>
          <w:tab w:val="left" w:pos="312"/>
        </w:tabs>
        <w:spacing w:before="156" w:beforeLines="50"/>
        <w:jc w:val="both"/>
        <w:rPr>
          <w:rFonts w:hint="eastAsia"/>
          <w:bCs/>
          <w:i w:val="0"/>
          <w:iCs w:val="0"/>
          <w:color w:val="auto"/>
          <w:highlight w:val="none"/>
        </w:rPr>
      </w:pPr>
    </w:p>
    <w:p w14:paraId="5E3BA666">
      <w:pPr>
        <w:tabs>
          <w:tab w:val="left" w:pos="312"/>
        </w:tabs>
        <w:spacing w:before="156" w:beforeLines="50"/>
        <w:jc w:val="both"/>
        <w:rPr>
          <w:rFonts w:hint="eastAsia"/>
          <w:bCs/>
          <w:i w:val="0"/>
          <w:iCs w:val="0"/>
          <w:color w:val="auto"/>
          <w:highlight w:val="none"/>
        </w:rPr>
      </w:pPr>
    </w:p>
    <w:p w14:paraId="7E5906B6">
      <w:pPr>
        <w:tabs>
          <w:tab w:val="left" w:pos="312"/>
        </w:tabs>
        <w:spacing w:before="156" w:beforeLines="50"/>
        <w:jc w:val="both"/>
        <w:rPr>
          <w:rFonts w:hint="eastAsia"/>
          <w:bCs/>
          <w:i w:val="0"/>
          <w:iCs w:val="0"/>
          <w:color w:val="auto"/>
          <w:highlight w:val="none"/>
        </w:rPr>
      </w:pPr>
    </w:p>
    <w:p w14:paraId="1F773252">
      <w:pPr>
        <w:jc w:val="center"/>
        <w:rPr>
          <w:rFonts w:hint="eastAsia" w:ascii="宋体" w:hAnsi="宋体"/>
          <w:b/>
          <w:bCs/>
          <w:i w:val="0"/>
          <w:iCs w:val="0"/>
          <w:color w:val="auto"/>
          <w:sz w:val="28"/>
          <w:szCs w:val="28"/>
          <w:highlight w:val="none"/>
        </w:rPr>
      </w:pPr>
    </w:p>
    <w:p w14:paraId="63DEE90D">
      <w:pPr>
        <w:jc w:val="center"/>
        <w:rPr>
          <w:rFonts w:hint="eastAsia" w:ascii="宋体" w:hAnsi="宋体"/>
          <w:b/>
          <w:bCs/>
          <w:i w:val="0"/>
          <w:iCs w:val="0"/>
          <w:color w:val="auto"/>
          <w:sz w:val="28"/>
          <w:szCs w:val="28"/>
          <w:highlight w:val="none"/>
        </w:rPr>
      </w:pPr>
      <w:r>
        <w:rPr>
          <w:rFonts w:hint="eastAsia" w:ascii="宋体" w:hAnsi="宋体"/>
          <w:b/>
          <w:bCs/>
          <w:i w:val="0"/>
          <w:iCs w:val="0"/>
          <w:color w:val="auto"/>
          <w:sz w:val="28"/>
          <w:szCs w:val="28"/>
          <w:highlight w:val="none"/>
        </w:rPr>
        <w:br w:type="page"/>
      </w:r>
      <w:r>
        <w:rPr>
          <w:rFonts w:hint="eastAsia" w:ascii="宋体" w:hAnsi="宋体"/>
          <w:b/>
          <w:bCs/>
          <w:i w:val="0"/>
          <w:iCs w:val="0"/>
          <w:color w:val="auto"/>
          <w:sz w:val="28"/>
          <w:szCs w:val="28"/>
          <w:highlight w:val="none"/>
        </w:rPr>
        <w:t>投标保函</w:t>
      </w:r>
    </w:p>
    <w:p w14:paraId="10F7A3C0">
      <w:pPr>
        <w:jc w:val="center"/>
        <w:rPr>
          <w:rFonts w:hint="eastAsia" w:ascii="方正仿宋" w:hAnsi="新宋体" w:eastAsia="方正仿宋"/>
          <w:i w:val="0"/>
          <w:iCs w:val="0"/>
          <w:color w:val="auto"/>
          <w:sz w:val="28"/>
          <w:szCs w:val="28"/>
          <w:highlight w:val="none"/>
        </w:rPr>
      </w:pPr>
      <w:r>
        <w:rPr>
          <w:rFonts w:ascii="方正仿宋" w:hAnsi="新宋体" w:eastAsia="方正仿宋"/>
          <w:i w:val="0"/>
          <w:iCs w:val="0"/>
          <w:color w:val="auto"/>
          <w:sz w:val="28"/>
          <w:szCs w:val="28"/>
          <w:highlight w:val="none"/>
        </w:rPr>
        <w:t>编号</w:t>
      </w:r>
      <w:r>
        <w:rPr>
          <w:rFonts w:hint="eastAsia" w:ascii="方正仿宋" w:hAnsi="新宋体" w:eastAsia="方正仿宋"/>
          <w:i w:val="0"/>
          <w:iCs w:val="0"/>
          <w:color w:val="auto"/>
          <w:sz w:val="28"/>
          <w:szCs w:val="28"/>
          <w:highlight w:val="none"/>
        </w:rPr>
        <w:t>：</w:t>
      </w:r>
    </w:p>
    <w:p w14:paraId="3E1CBBD5">
      <w:pPr>
        <w:jc w:val="both"/>
        <w:rPr>
          <w:rFonts w:ascii="方正仿宋"/>
          <w:i w:val="0"/>
          <w:iCs w:val="0"/>
          <w:color w:val="auto"/>
          <w:highlight w:val="none"/>
        </w:rPr>
      </w:pPr>
      <w:r>
        <w:rPr>
          <w:rFonts w:hint="eastAsia" w:ascii="方正仿宋"/>
          <w:i w:val="0"/>
          <w:iCs w:val="0"/>
          <w:color w:val="auto"/>
          <w:highlight w:val="none"/>
        </w:rPr>
        <w:t xml:space="preserve">致 </w:t>
      </w:r>
      <w:r>
        <w:rPr>
          <w:rFonts w:ascii="方正仿宋"/>
          <w:i w:val="0"/>
          <w:iCs w:val="0"/>
          <w:color w:val="auto"/>
          <w:highlight w:val="none"/>
          <w:u w:val="single"/>
        </w:rPr>
        <w:t xml:space="preserve">     </w:t>
      </w:r>
      <w:r>
        <w:rPr>
          <w:rFonts w:hint="eastAsia" w:ascii="方正仿宋"/>
          <w:i w:val="0"/>
          <w:iCs w:val="0"/>
          <w:color w:val="auto"/>
          <w:highlight w:val="none"/>
          <w:u w:val="single"/>
        </w:rPr>
        <w:t>招标</w:t>
      </w:r>
      <w:r>
        <w:rPr>
          <w:rFonts w:ascii="方正仿宋"/>
          <w:i w:val="0"/>
          <w:iCs w:val="0"/>
          <w:color w:val="auto"/>
          <w:highlight w:val="none"/>
          <w:u w:val="single"/>
        </w:rPr>
        <w:t>人</w:t>
      </w:r>
      <w:r>
        <w:rPr>
          <w:rFonts w:hint="eastAsia" w:ascii="方正仿宋"/>
          <w:i w:val="0"/>
          <w:iCs w:val="0"/>
          <w:color w:val="auto"/>
          <w:highlight w:val="none"/>
          <w:u w:val="single"/>
        </w:rPr>
        <w:t xml:space="preserve">        </w:t>
      </w:r>
      <w:r>
        <w:rPr>
          <w:rFonts w:hint="eastAsia" w:ascii="方正仿宋"/>
          <w:i w:val="0"/>
          <w:iCs w:val="0"/>
          <w:color w:val="auto"/>
          <w:highlight w:val="none"/>
        </w:rPr>
        <w:t>：</w:t>
      </w:r>
    </w:p>
    <w:p w14:paraId="71B544C7">
      <w:pPr>
        <w:ind w:firstLine="420" w:firstLineChars="200"/>
        <w:jc w:val="both"/>
        <w:rPr>
          <w:rFonts w:ascii="方正仿宋"/>
          <w:i w:val="0"/>
          <w:iCs w:val="0"/>
          <w:color w:val="auto"/>
          <w:highlight w:val="none"/>
        </w:rPr>
      </w:pPr>
      <w:r>
        <w:rPr>
          <w:rFonts w:hint="eastAsia" w:ascii="方正仿宋"/>
          <w:i w:val="0"/>
          <w:iCs w:val="0"/>
          <w:color w:val="auto"/>
          <w:highlight w:val="none"/>
        </w:rPr>
        <w:t>鉴于：</w:t>
      </w:r>
      <w:r>
        <w:rPr>
          <w:rFonts w:ascii="方正仿宋"/>
          <w:i w:val="0"/>
          <w:iCs w:val="0"/>
          <w:color w:val="auto"/>
          <w:highlight w:val="none"/>
          <w:u w:val="single"/>
        </w:rPr>
        <w:t xml:space="preserve">             </w:t>
      </w:r>
      <w:r>
        <w:rPr>
          <w:rFonts w:hint="eastAsia" w:ascii="方正仿宋"/>
          <w:i w:val="0"/>
          <w:iCs w:val="0"/>
          <w:color w:val="auto"/>
          <w:highlight w:val="none"/>
        </w:rPr>
        <w:t>（以下简称“投标人”）根据贵方发出的编号为</w:t>
      </w:r>
      <w:r>
        <w:rPr>
          <w:rFonts w:ascii="方正仿宋"/>
          <w:i w:val="0"/>
          <w:iCs w:val="0"/>
          <w:color w:val="auto"/>
          <w:highlight w:val="none"/>
          <w:u w:val="single"/>
        </w:rPr>
        <w:t xml:space="preserve">          </w:t>
      </w:r>
      <w:r>
        <w:rPr>
          <w:rFonts w:hint="eastAsia" w:ascii="方正仿宋"/>
          <w:i w:val="0"/>
          <w:iCs w:val="0"/>
          <w:color w:val="auto"/>
          <w:highlight w:val="none"/>
        </w:rPr>
        <w:t>的招标文件拟向贵方投标承接</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项目。根据招标文件，投标人需向贵方提交投标保函。</w:t>
      </w:r>
    </w:p>
    <w:p w14:paraId="794148A8">
      <w:pPr>
        <w:ind w:firstLine="420" w:firstLineChars="200"/>
        <w:jc w:val="both"/>
        <w:rPr>
          <w:rFonts w:ascii="方正仿宋"/>
          <w:i w:val="0"/>
          <w:iCs w:val="0"/>
          <w:color w:val="auto"/>
          <w:highlight w:val="none"/>
        </w:rPr>
      </w:pPr>
      <w:r>
        <w:rPr>
          <w:rFonts w:hint="eastAsia" w:ascii="方正仿宋"/>
          <w:i w:val="0"/>
          <w:iCs w:val="0"/>
          <w:color w:val="auto"/>
          <w:highlight w:val="none"/>
        </w:rPr>
        <w:t>根据投标</w:t>
      </w:r>
      <w:r>
        <w:rPr>
          <w:rFonts w:ascii="方正仿宋"/>
          <w:i w:val="0"/>
          <w:iCs w:val="0"/>
          <w:color w:val="auto"/>
          <w:highlight w:val="none"/>
        </w:rPr>
        <w:t>人</w:t>
      </w:r>
      <w:r>
        <w:rPr>
          <w:rFonts w:hint="eastAsia" w:ascii="方正仿宋"/>
          <w:i w:val="0"/>
          <w:iCs w:val="0"/>
          <w:color w:val="auto"/>
          <w:highlight w:val="none"/>
        </w:rPr>
        <w:t>的申请，我行（下称“保证人”）在此向贵方（下称“受益人”）开立不可撤销，担保金额累计不超过</w:t>
      </w:r>
      <w:r>
        <w:rPr>
          <w:rFonts w:hint="eastAsia" w:ascii="方正仿宋"/>
          <w:i w:val="0"/>
          <w:iCs w:val="0"/>
          <w:color w:val="auto"/>
          <w:highlight w:val="none"/>
          <w:u w:val="single"/>
        </w:rPr>
        <w:t>______</w:t>
      </w:r>
      <w:r>
        <w:rPr>
          <w:rFonts w:hint="eastAsia" w:ascii="方正仿宋"/>
          <w:i w:val="0"/>
          <w:iCs w:val="0"/>
          <w:color w:val="auto"/>
          <w:highlight w:val="none"/>
        </w:rPr>
        <w:t>（币种）</w:t>
      </w:r>
      <w:r>
        <w:rPr>
          <w:rFonts w:ascii="方正仿宋"/>
          <w:i w:val="0"/>
          <w:iCs w:val="0"/>
          <w:color w:val="auto"/>
          <w:highlight w:val="none"/>
          <w:u w:val="single"/>
        </w:rPr>
        <w:t xml:space="preserve">      </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元（大写）</w:t>
      </w:r>
      <w:r>
        <w:rPr>
          <w:rFonts w:ascii="方正仿宋"/>
          <w:i w:val="0"/>
          <w:iCs w:val="0"/>
          <w:color w:val="auto"/>
          <w:highlight w:val="none"/>
          <w:u w:val="single"/>
        </w:rPr>
        <w:t xml:space="preserve">                       </w:t>
      </w:r>
      <w:r>
        <w:rPr>
          <w:rFonts w:hint="eastAsia" w:ascii="方正仿宋"/>
          <w:i w:val="0"/>
          <w:iCs w:val="0"/>
          <w:color w:val="auto"/>
          <w:highlight w:val="none"/>
        </w:rPr>
        <w:t>的投标保函（下称“本保函”）。</w:t>
      </w:r>
    </w:p>
    <w:p w14:paraId="1890AD92">
      <w:pPr>
        <w:ind w:firstLine="420" w:firstLineChars="200"/>
        <w:jc w:val="both"/>
        <w:rPr>
          <w:rFonts w:ascii="方正仿宋"/>
          <w:i w:val="0"/>
          <w:iCs w:val="0"/>
          <w:color w:val="auto"/>
          <w:highlight w:val="none"/>
        </w:rPr>
      </w:pPr>
      <w:r>
        <w:rPr>
          <w:rFonts w:hint="eastAsia" w:ascii="方正仿宋"/>
          <w:i w:val="0"/>
          <w:iCs w:val="0"/>
          <w:color w:val="auto"/>
          <w:highlight w:val="none"/>
        </w:rPr>
        <w:t>一、本保函为不可撤销、见索即付的独立保函。保证人承诺，在本保函有效期内收到受益人提交的书面付款通知次日起十个工作日内在担保金额内按照付款通知要求支付，书面付款通知即为付款要求之单据，无须提交其他证明文件。</w:t>
      </w:r>
    </w:p>
    <w:p w14:paraId="16FAF280">
      <w:pPr>
        <w:ind w:firstLine="420" w:firstLineChars="200"/>
        <w:jc w:val="both"/>
        <w:rPr>
          <w:rFonts w:ascii="方正仿宋"/>
          <w:i w:val="0"/>
          <w:iCs w:val="0"/>
          <w:color w:val="auto"/>
          <w:highlight w:val="none"/>
        </w:rPr>
      </w:pPr>
      <w:r>
        <w:rPr>
          <w:rFonts w:hint="eastAsia" w:ascii="方正仿宋"/>
          <w:i w:val="0"/>
          <w:iCs w:val="0"/>
          <w:color w:val="auto"/>
          <w:highlight w:val="none"/>
        </w:rPr>
        <w:t xml:space="preserve">付款通知应满足以下要求： </w:t>
      </w:r>
    </w:p>
    <w:p w14:paraId="42B5D5B4">
      <w:pPr>
        <w:ind w:firstLine="420" w:firstLineChars="200"/>
        <w:jc w:val="both"/>
        <w:rPr>
          <w:rFonts w:ascii="方正仿宋"/>
          <w:i w:val="0"/>
          <w:iCs w:val="0"/>
          <w:color w:val="auto"/>
          <w:highlight w:val="none"/>
        </w:rPr>
      </w:pPr>
      <w:r>
        <w:rPr>
          <w:rFonts w:hint="eastAsia" w:ascii="方正仿宋"/>
          <w:i w:val="0"/>
          <w:iCs w:val="0"/>
          <w:color w:val="auto"/>
          <w:highlight w:val="none"/>
        </w:rPr>
        <w:t>1.经受益人有权签字人签字、加盖受益人公章；</w:t>
      </w:r>
    </w:p>
    <w:p w14:paraId="1A6888A2">
      <w:pPr>
        <w:ind w:firstLine="420" w:firstLineChars="200"/>
        <w:jc w:val="both"/>
        <w:rPr>
          <w:rFonts w:ascii="方正仿宋"/>
          <w:i w:val="0"/>
          <w:iCs w:val="0"/>
          <w:color w:val="auto"/>
          <w:highlight w:val="none"/>
        </w:rPr>
      </w:pPr>
      <w:r>
        <w:rPr>
          <w:rFonts w:hint="eastAsia" w:ascii="方正仿宋"/>
          <w:i w:val="0"/>
          <w:iCs w:val="0"/>
          <w:color w:val="auto"/>
          <w:highlight w:val="none"/>
        </w:rPr>
        <w:t>2.载明投标人存</w:t>
      </w:r>
      <w:r>
        <w:rPr>
          <w:rFonts w:ascii="方正仿宋"/>
          <w:i w:val="0"/>
          <w:iCs w:val="0"/>
          <w:color w:val="auto"/>
          <w:highlight w:val="none"/>
        </w:rPr>
        <w:t>在</w:t>
      </w:r>
      <w:r>
        <w:rPr>
          <w:rFonts w:hint="eastAsia" w:ascii="方正仿宋"/>
          <w:i w:val="0"/>
          <w:iCs w:val="0"/>
          <w:color w:val="auto"/>
          <w:highlight w:val="none"/>
        </w:rPr>
        <w:t>下列投</w:t>
      </w:r>
      <w:r>
        <w:rPr>
          <w:rFonts w:ascii="方正仿宋"/>
          <w:i w:val="0"/>
          <w:iCs w:val="0"/>
          <w:color w:val="auto"/>
          <w:highlight w:val="none"/>
        </w:rPr>
        <w:t>标保证金</w:t>
      </w:r>
      <w:r>
        <w:rPr>
          <w:rFonts w:hint="eastAsia" w:ascii="方正仿宋"/>
          <w:i w:val="0"/>
          <w:iCs w:val="0"/>
          <w:color w:val="auto"/>
          <w:highlight w:val="none"/>
        </w:rPr>
        <w:t>不</w:t>
      </w:r>
      <w:r>
        <w:rPr>
          <w:rFonts w:ascii="方正仿宋"/>
          <w:i w:val="0"/>
          <w:iCs w:val="0"/>
          <w:color w:val="auto"/>
          <w:highlight w:val="none"/>
        </w:rPr>
        <w:t>予退还</w:t>
      </w:r>
      <w:r>
        <w:rPr>
          <w:rFonts w:hint="eastAsia" w:ascii="方正仿宋"/>
          <w:i w:val="0"/>
          <w:iCs w:val="0"/>
          <w:color w:val="auto"/>
          <w:highlight w:val="none"/>
        </w:rPr>
        <w:t xml:space="preserve">情形之一： </w:t>
      </w:r>
    </w:p>
    <w:p w14:paraId="39C95D73">
      <w:pPr>
        <w:ind w:firstLine="420" w:firstLineChars="200"/>
        <w:jc w:val="both"/>
        <w:rPr>
          <w:rFonts w:ascii="方正仿宋"/>
          <w:i w:val="0"/>
          <w:iCs w:val="0"/>
          <w:color w:val="auto"/>
          <w:highlight w:val="none"/>
        </w:rPr>
      </w:pPr>
      <w:r>
        <w:rPr>
          <w:rFonts w:hint="eastAsia" w:ascii="方正仿宋"/>
          <w:i w:val="0"/>
          <w:iCs w:val="0"/>
          <w:color w:val="auto"/>
          <w:highlight w:val="none"/>
        </w:rPr>
        <w:t>（1）投标截止后在投标有效期内撤销投标文件；</w:t>
      </w:r>
      <w:r>
        <w:rPr>
          <w:rFonts w:ascii="方正仿宋"/>
          <w:i w:val="0"/>
          <w:iCs w:val="0"/>
          <w:color w:val="auto"/>
          <w:highlight w:val="none"/>
        </w:rPr>
        <w:t xml:space="preserve"> </w:t>
      </w:r>
    </w:p>
    <w:p w14:paraId="55DF0723">
      <w:pPr>
        <w:ind w:firstLine="420" w:firstLineChars="200"/>
        <w:jc w:val="both"/>
        <w:rPr>
          <w:rFonts w:ascii="方正仿宋"/>
          <w:i w:val="0"/>
          <w:iCs w:val="0"/>
          <w:color w:val="auto"/>
          <w:highlight w:val="none"/>
        </w:rPr>
      </w:pPr>
      <w:r>
        <w:rPr>
          <w:rFonts w:hint="eastAsia" w:ascii="方正仿宋"/>
          <w:i w:val="0"/>
          <w:iCs w:val="0"/>
          <w:color w:val="auto"/>
          <w:highlight w:val="none"/>
        </w:rPr>
        <w:t>（2）中标后，在招标文件规定的时间内无正当理由不与受益人订立合同，或签订合同时向受益人提出附加条件；</w:t>
      </w:r>
      <w:r>
        <w:rPr>
          <w:rFonts w:ascii="方正仿宋"/>
          <w:i w:val="0"/>
          <w:iCs w:val="0"/>
          <w:color w:val="auto"/>
          <w:highlight w:val="none"/>
        </w:rPr>
        <w:t xml:space="preserve"> </w:t>
      </w:r>
    </w:p>
    <w:p w14:paraId="691752F1">
      <w:pPr>
        <w:ind w:firstLine="420" w:firstLineChars="200"/>
        <w:jc w:val="both"/>
        <w:rPr>
          <w:rFonts w:ascii="方正仿宋"/>
          <w:i w:val="0"/>
          <w:iCs w:val="0"/>
          <w:color w:val="auto"/>
          <w:highlight w:val="none"/>
        </w:rPr>
      </w:pPr>
      <w:r>
        <w:rPr>
          <w:rFonts w:hint="eastAsia" w:ascii="方正仿宋"/>
          <w:i w:val="0"/>
          <w:iCs w:val="0"/>
          <w:color w:val="auto"/>
          <w:highlight w:val="none"/>
        </w:rPr>
        <w:t>（3）中标后不按照招标文件要求提交履约保证金或履约保函（保险） ；</w:t>
      </w:r>
      <w:r>
        <w:rPr>
          <w:rFonts w:ascii="方正仿宋"/>
          <w:i w:val="0"/>
          <w:iCs w:val="0"/>
          <w:color w:val="auto"/>
          <w:highlight w:val="none"/>
        </w:rPr>
        <w:t xml:space="preserve"> </w:t>
      </w:r>
    </w:p>
    <w:p w14:paraId="2B279CE8">
      <w:pPr>
        <w:ind w:firstLine="420" w:firstLineChars="200"/>
        <w:jc w:val="both"/>
        <w:rPr>
          <w:rFonts w:ascii="方正仿宋"/>
          <w:i w:val="0"/>
          <w:iCs w:val="0"/>
          <w:color w:val="auto"/>
          <w:highlight w:val="none"/>
        </w:rPr>
      </w:pPr>
      <w:r>
        <w:rPr>
          <w:rFonts w:hint="eastAsia" w:ascii="方正仿宋"/>
          <w:i w:val="0"/>
          <w:iCs w:val="0"/>
          <w:color w:val="auto"/>
          <w:highlight w:val="none"/>
        </w:rPr>
        <w:t>（4）存在招标文件规定的不予退还投标保证金的其他情形。</w:t>
      </w:r>
      <w:r>
        <w:rPr>
          <w:rFonts w:ascii="方正仿宋"/>
          <w:i w:val="0"/>
          <w:iCs w:val="0"/>
          <w:color w:val="auto"/>
          <w:highlight w:val="none"/>
        </w:rPr>
        <w:t xml:space="preserve"> </w:t>
      </w:r>
    </w:p>
    <w:p w14:paraId="6E773268">
      <w:pPr>
        <w:ind w:firstLine="420" w:firstLineChars="200"/>
        <w:jc w:val="both"/>
        <w:rPr>
          <w:rFonts w:ascii="方正仿宋"/>
          <w:i w:val="0"/>
          <w:iCs w:val="0"/>
          <w:color w:val="auto"/>
          <w:highlight w:val="none"/>
        </w:rPr>
      </w:pPr>
      <w:r>
        <w:rPr>
          <w:rFonts w:hint="eastAsia" w:ascii="方正仿宋"/>
          <w:i w:val="0"/>
          <w:iCs w:val="0"/>
          <w:color w:val="auto"/>
          <w:highlight w:val="none"/>
        </w:rPr>
        <w:t>3.载明要求支付的金额及</w:t>
      </w:r>
      <w:r>
        <w:rPr>
          <w:rFonts w:ascii="方正仿宋"/>
          <w:i w:val="0"/>
          <w:iCs w:val="0"/>
          <w:color w:val="auto"/>
          <w:highlight w:val="none"/>
        </w:rPr>
        <w:t>付款方式</w:t>
      </w:r>
      <w:r>
        <w:rPr>
          <w:rFonts w:hint="eastAsia" w:ascii="方正仿宋"/>
          <w:i w:val="0"/>
          <w:iCs w:val="0"/>
          <w:color w:val="auto"/>
          <w:highlight w:val="none"/>
        </w:rPr>
        <w:t>；</w:t>
      </w:r>
    </w:p>
    <w:p w14:paraId="4A26792C">
      <w:pPr>
        <w:ind w:firstLine="420" w:firstLineChars="200"/>
        <w:jc w:val="both"/>
        <w:rPr>
          <w:rFonts w:ascii="方正仿宋"/>
          <w:i w:val="0"/>
          <w:iCs w:val="0"/>
          <w:color w:val="auto"/>
          <w:highlight w:val="none"/>
        </w:rPr>
      </w:pPr>
      <w:r>
        <w:rPr>
          <w:rFonts w:hint="eastAsia" w:ascii="方正仿宋"/>
          <w:i w:val="0"/>
          <w:iCs w:val="0"/>
          <w:color w:val="auto"/>
          <w:highlight w:val="none"/>
        </w:rPr>
        <w:t>4.付款通知必须在本保函有效期内到达以下地址：</w:t>
      </w:r>
      <w:r>
        <w:rPr>
          <w:rFonts w:ascii="方正仿宋"/>
          <w:i w:val="0"/>
          <w:iCs w:val="0"/>
          <w:color w:val="auto"/>
          <w:highlight w:val="none"/>
          <w:u w:val="single"/>
        </w:rPr>
        <w:t>__________</w:t>
      </w:r>
      <w:r>
        <w:rPr>
          <w:rFonts w:hint="eastAsia" w:ascii="方正仿宋"/>
          <w:i w:val="0"/>
          <w:iCs w:val="0"/>
          <w:color w:val="auto"/>
          <w:highlight w:val="none"/>
          <w:u w:val="single"/>
        </w:rPr>
        <w:t xml:space="preserve"> </w:t>
      </w:r>
      <w:r>
        <w:rPr>
          <w:rFonts w:hint="eastAsia" w:ascii="方正仿宋"/>
          <w:i w:val="0"/>
          <w:iCs w:val="0"/>
          <w:color w:val="auto"/>
          <w:highlight w:val="none"/>
        </w:rPr>
        <w:t>。</w:t>
      </w:r>
    </w:p>
    <w:p w14:paraId="6D325422">
      <w:pPr>
        <w:ind w:firstLine="420" w:firstLineChars="200"/>
        <w:jc w:val="both"/>
        <w:rPr>
          <w:rFonts w:ascii="方正仿宋"/>
          <w:i w:val="0"/>
          <w:iCs w:val="0"/>
          <w:color w:val="auto"/>
          <w:highlight w:val="none"/>
        </w:rPr>
      </w:pPr>
      <w:r>
        <w:rPr>
          <w:rFonts w:hint="eastAsia" w:ascii="方正仿宋"/>
          <w:i w:val="0"/>
          <w:iCs w:val="0"/>
          <w:color w:val="auto"/>
          <w:highlight w:val="none"/>
        </w:rPr>
        <w:t>二、本保函一经开立即生效，有效期自开立之日起至</w:t>
      </w:r>
      <w:r>
        <w:rPr>
          <w:rFonts w:ascii="方正仿宋"/>
          <w:i w:val="0"/>
          <w:iCs w:val="0"/>
          <w:color w:val="auto"/>
          <w:highlight w:val="none"/>
          <w:u w:val="single"/>
        </w:rPr>
        <w:t xml:space="preserve">   </w:t>
      </w:r>
      <w:r>
        <w:rPr>
          <w:rFonts w:hint="eastAsia" w:ascii="方正仿宋"/>
          <w:i w:val="0"/>
          <w:iCs w:val="0"/>
          <w:color w:val="auto"/>
          <w:highlight w:val="none"/>
          <w:u w:val="single"/>
        </w:rPr>
        <w:t xml:space="preserve">  年   月   日</w:t>
      </w:r>
      <w:r>
        <w:rPr>
          <w:rFonts w:hint="eastAsia" w:ascii="方正仿宋"/>
          <w:i w:val="0"/>
          <w:iCs w:val="0"/>
          <w:color w:val="auto"/>
          <w:highlight w:val="none"/>
        </w:rPr>
        <w:t>止。</w:t>
      </w:r>
    </w:p>
    <w:p w14:paraId="5625BBDB">
      <w:pPr>
        <w:ind w:firstLine="420" w:firstLineChars="200"/>
        <w:jc w:val="both"/>
        <w:rPr>
          <w:rFonts w:ascii="方正仿宋"/>
          <w:i w:val="0"/>
          <w:iCs w:val="0"/>
          <w:color w:val="auto"/>
          <w:highlight w:val="none"/>
        </w:rPr>
      </w:pPr>
      <w:r>
        <w:rPr>
          <w:rFonts w:hint="eastAsia" w:ascii="方正仿宋"/>
          <w:i w:val="0"/>
          <w:iCs w:val="0"/>
          <w:color w:val="auto"/>
          <w:highlight w:val="none"/>
        </w:rPr>
        <w:t>三、受益人将主合同项下债权转让第三人时需经保证人书面同意，否则保证人在本保函项下的担保责任自动解除。</w:t>
      </w:r>
    </w:p>
    <w:p w14:paraId="47718660">
      <w:pPr>
        <w:ind w:firstLine="420" w:firstLineChars="200"/>
        <w:jc w:val="both"/>
        <w:rPr>
          <w:rFonts w:ascii="方正仿宋"/>
          <w:i w:val="0"/>
          <w:iCs w:val="0"/>
          <w:color w:val="auto"/>
          <w:highlight w:val="none"/>
        </w:rPr>
      </w:pPr>
      <w:r>
        <w:rPr>
          <w:rFonts w:hint="eastAsia" w:ascii="方正仿宋"/>
          <w:i w:val="0"/>
          <w:iCs w:val="0"/>
          <w:color w:val="auto"/>
          <w:highlight w:val="none"/>
        </w:rPr>
        <w:t>四、未经保证人书面同意，本保函不得转让、质押。</w:t>
      </w:r>
    </w:p>
    <w:p w14:paraId="6095F9AC">
      <w:pPr>
        <w:ind w:firstLine="420" w:firstLineChars="200"/>
        <w:jc w:val="both"/>
        <w:rPr>
          <w:rFonts w:hint="eastAsia" w:ascii="方正仿宋"/>
          <w:i w:val="0"/>
          <w:iCs w:val="0"/>
          <w:color w:val="auto"/>
          <w:highlight w:val="none"/>
        </w:rPr>
      </w:pPr>
      <w:r>
        <w:rPr>
          <w:rFonts w:hint="eastAsia" w:ascii="方正仿宋"/>
          <w:i w:val="0"/>
          <w:iCs w:val="0"/>
          <w:color w:val="auto"/>
          <w:highlight w:val="none"/>
        </w:rPr>
        <w:t>五、本保函适用中华人民共和国法律，受中华人民共和国法律管辖。在本保函履行期间，如发生争议，各当事人首先应协商解决。协商不能解决的，任何一方可向保证人</w:t>
      </w:r>
      <w:r>
        <w:rPr>
          <w:rFonts w:hint="eastAsia" w:ascii="Calibri" w:hAnsi="Calibri"/>
          <w:i w:val="0"/>
          <w:iCs w:val="0"/>
          <w:color w:val="auto"/>
          <w:highlight w:val="none"/>
        </w:rPr>
        <w:t>住所地</w:t>
      </w:r>
      <w:r>
        <w:rPr>
          <w:rFonts w:hint="eastAsia" w:ascii="方正仿宋"/>
          <w:i w:val="0"/>
          <w:iCs w:val="0"/>
          <w:color w:val="auto"/>
          <w:highlight w:val="none"/>
        </w:rPr>
        <w:t>有管辖权的法院提起诉讼。</w:t>
      </w:r>
    </w:p>
    <w:p w14:paraId="5E1939E4">
      <w:pPr>
        <w:ind w:firstLine="420" w:firstLineChars="200"/>
        <w:rPr>
          <w:rFonts w:hint="eastAsia" w:ascii="方正仿宋"/>
          <w:i w:val="0"/>
          <w:iCs w:val="0"/>
          <w:color w:val="auto"/>
          <w:highlight w:val="none"/>
        </w:rPr>
      </w:pPr>
    </w:p>
    <w:p w14:paraId="3C04B7FE">
      <w:pPr>
        <w:rPr>
          <w:rFonts w:hint="eastAsia" w:ascii="方正仿宋"/>
          <w:i w:val="0"/>
          <w:iCs w:val="0"/>
          <w:color w:val="auto"/>
          <w:highlight w:val="none"/>
        </w:rPr>
      </w:pPr>
      <w:r>
        <w:rPr>
          <w:rFonts w:ascii="方正仿宋"/>
          <w:i w:val="0"/>
          <w:iCs w:val="0"/>
          <w:color w:val="auto"/>
          <w:highlight w:val="none"/>
        </w:rPr>
        <w:t xml:space="preserve">    </w:t>
      </w: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保证人：</w:t>
      </w:r>
      <w:r>
        <w:rPr>
          <w:rFonts w:hint="eastAsia" w:ascii="方正仿宋"/>
          <w:i w:val="0"/>
          <w:iCs w:val="0"/>
          <w:color w:val="auto"/>
          <w:highlight w:val="none"/>
          <w:u w:val="single"/>
        </w:rPr>
        <w:t xml:space="preserve"> </w:t>
      </w:r>
      <w:r>
        <w:rPr>
          <w:rFonts w:ascii="方正仿宋"/>
          <w:i w:val="0"/>
          <w:iCs w:val="0"/>
          <w:color w:val="auto"/>
          <w:highlight w:val="none"/>
          <w:u w:val="single"/>
        </w:rPr>
        <w:t xml:space="preserve">                  </w:t>
      </w:r>
      <w:r>
        <w:rPr>
          <w:rFonts w:hint="eastAsia" w:ascii="方正仿宋"/>
          <w:i w:val="0"/>
          <w:iCs w:val="0"/>
          <w:color w:val="auto"/>
          <w:highlight w:val="none"/>
        </w:rPr>
        <w:t>（签章）</w:t>
      </w:r>
    </w:p>
    <w:p w14:paraId="742360C2">
      <w:pPr>
        <w:rPr>
          <w:rFonts w:hint="eastAsia" w:ascii="方正仿宋"/>
          <w:i w:val="0"/>
          <w:iCs w:val="0"/>
          <w:color w:val="auto"/>
          <w:highlight w:val="none"/>
        </w:rPr>
      </w:pPr>
    </w:p>
    <w:p w14:paraId="54239F69">
      <w:pPr>
        <w:tabs>
          <w:tab w:val="left" w:pos="567"/>
          <w:tab w:val="left" w:pos="993"/>
        </w:tabs>
        <w:ind w:right="560"/>
        <w:rPr>
          <w:rFonts w:hint="eastAsia" w:ascii="方正仿宋"/>
          <w:i w:val="0"/>
          <w:iCs w:val="0"/>
          <w:color w:val="auto"/>
          <w:highlight w:val="none"/>
        </w:rPr>
      </w:pP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 xml:space="preserve">  </w:t>
      </w:r>
      <w:r>
        <w:rPr>
          <w:rFonts w:ascii="方正仿宋"/>
          <w:i w:val="0"/>
          <w:iCs w:val="0"/>
          <w:color w:val="auto"/>
          <w:highlight w:val="none"/>
        </w:rPr>
        <w:t xml:space="preserve">     </w:t>
      </w:r>
      <w:r>
        <w:rPr>
          <w:rFonts w:hint="eastAsia" w:ascii="方正仿宋"/>
          <w:i w:val="0"/>
          <w:iCs w:val="0"/>
          <w:color w:val="auto"/>
          <w:highlight w:val="none"/>
        </w:rPr>
        <w:t xml:space="preserve">               开具日期： </w:t>
      </w:r>
      <w:r>
        <w:rPr>
          <w:rFonts w:ascii="方正仿宋"/>
          <w:i w:val="0"/>
          <w:iCs w:val="0"/>
          <w:color w:val="auto"/>
          <w:highlight w:val="none"/>
          <w:u w:val="single"/>
        </w:rPr>
        <w:t xml:space="preserve">     </w:t>
      </w:r>
      <w:r>
        <w:rPr>
          <w:rFonts w:hint="eastAsia" w:ascii="方正仿宋"/>
          <w:i w:val="0"/>
          <w:iCs w:val="0"/>
          <w:color w:val="auto"/>
          <w:highlight w:val="none"/>
        </w:rPr>
        <w:t>年</w:t>
      </w:r>
      <w:r>
        <w:rPr>
          <w:rFonts w:ascii="方正仿宋"/>
          <w:i w:val="0"/>
          <w:iCs w:val="0"/>
          <w:color w:val="auto"/>
          <w:highlight w:val="none"/>
          <w:u w:val="single"/>
        </w:rPr>
        <w:t xml:space="preserve">   </w:t>
      </w:r>
      <w:r>
        <w:rPr>
          <w:rFonts w:hint="eastAsia" w:ascii="方正仿宋"/>
          <w:i w:val="0"/>
          <w:iCs w:val="0"/>
          <w:color w:val="auto"/>
          <w:highlight w:val="none"/>
        </w:rPr>
        <w:t>月</w:t>
      </w:r>
      <w:r>
        <w:rPr>
          <w:rFonts w:ascii="方正仿宋"/>
          <w:i w:val="0"/>
          <w:iCs w:val="0"/>
          <w:color w:val="auto"/>
          <w:highlight w:val="none"/>
          <w:u w:val="single"/>
        </w:rPr>
        <w:t xml:space="preserve">   </w:t>
      </w:r>
      <w:r>
        <w:rPr>
          <w:rFonts w:hint="eastAsia" w:ascii="方正仿宋"/>
          <w:i w:val="0"/>
          <w:iCs w:val="0"/>
          <w:color w:val="auto"/>
          <w:highlight w:val="none"/>
        </w:rPr>
        <w:t xml:space="preserve">日   </w:t>
      </w:r>
    </w:p>
    <w:p w14:paraId="6DFDEC64">
      <w:pPr>
        <w:tabs>
          <w:tab w:val="left" w:pos="567"/>
          <w:tab w:val="left" w:pos="993"/>
        </w:tabs>
        <w:ind w:right="560"/>
        <w:rPr>
          <w:rFonts w:hint="eastAsia" w:ascii="方正仿宋"/>
          <w:b/>
          <w:bCs/>
          <w:i w:val="0"/>
          <w:iCs w:val="0"/>
          <w:color w:val="auto"/>
          <w:highlight w:val="none"/>
        </w:rPr>
      </w:pPr>
    </w:p>
    <w:p w14:paraId="4A49D420">
      <w:pPr>
        <w:tabs>
          <w:tab w:val="left" w:pos="567"/>
          <w:tab w:val="left" w:pos="993"/>
        </w:tabs>
        <w:ind w:right="560"/>
        <w:rPr>
          <w:rFonts w:hint="eastAsia" w:ascii="方正仿宋"/>
          <w:b/>
          <w:bCs/>
          <w:i w:val="0"/>
          <w:iCs w:val="0"/>
          <w:color w:val="auto"/>
          <w:highlight w:val="none"/>
        </w:rPr>
      </w:pPr>
    </w:p>
    <w:p w14:paraId="757BC4AC">
      <w:pPr>
        <w:tabs>
          <w:tab w:val="left" w:pos="567"/>
          <w:tab w:val="left" w:pos="993"/>
        </w:tabs>
        <w:ind w:right="560"/>
        <w:rPr>
          <w:rFonts w:hint="eastAsia" w:ascii="方正仿宋"/>
          <w:b/>
          <w:bCs/>
          <w:i w:val="0"/>
          <w:iCs w:val="0"/>
          <w:color w:val="auto"/>
          <w:highlight w:val="none"/>
        </w:rPr>
      </w:pPr>
    </w:p>
    <w:p w14:paraId="05ABCC5D">
      <w:pPr>
        <w:tabs>
          <w:tab w:val="left" w:pos="567"/>
          <w:tab w:val="left" w:pos="993"/>
        </w:tabs>
        <w:ind w:right="560"/>
        <w:rPr>
          <w:rFonts w:hint="eastAsia"/>
          <w:i w:val="0"/>
          <w:iCs w:val="0"/>
          <w:color w:val="auto"/>
          <w:sz w:val="28"/>
          <w:szCs w:val="28"/>
          <w:highlight w:val="none"/>
        </w:rPr>
      </w:pPr>
      <w:r>
        <w:rPr>
          <w:rFonts w:hint="eastAsia" w:ascii="方正仿宋"/>
          <w:b/>
          <w:bCs/>
          <w:i w:val="0"/>
          <w:iCs w:val="0"/>
          <w:color w:val="auto"/>
          <w:highlight w:val="none"/>
        </w:rPr>
        <w:t>注：以上格式与电子交易平台开具的保函格式不一致的，以平台开具的为准。</w:t>
      </w:r>
    </w:p>
    <w:p w14:paraId="157B1C78">
      <w:pPr>
        <w:numPr>
          <w:ilvl w:val="0"/>
          <w:numId w:val="0"/>
        </w:numPr>
        <w:spacing w:before="34" w:line="346" w:lineRule="auto"/>
        <w:ind w:right="119" w:rightChars="0" w:firstLine="472" w:firstLineChars="200"/>
        <w:rPr>
          <w:rFonts w:ascii="宋体" w:hAnsi="宋体" w:eastAsia="宋体" w:cs="宋体"/>
          <w:spacing w:val="-2"/>
          <w:sz w:val="24"/>
          <w:szCs w:val="24"/>
          <w:highlight w:val="yellow"/>
        </w:rPr>
      </w:pPr>
    </w:p>
    <w:p w14:paraId="6738EF94">
      <w:pPr>
        <w:numPr>
          <w:ilvl w:val="0"/>
          <w:numId w:val="0"/>
        </w:numPr>
        <w:kinsoku w:val="0"/>
        <w:autoSpaceDE w:val="0"/>
        <w:autoSpaceDN w:val="0"/>
        <w:adjustRightInd w:val="0"/>
        <w:snapToGrid w:val="0"/>
        <w:spacing w:before="34" w:line="346" w:lineRule="auto"/>
        <w:ind w:right="119" w:rightChars="0"/>
        <w:jc w:val="left"/>
        <w:textAlignment w:val="baseline"/>
        <w:rPr>
          <w:rFonts w:ascii="宋体" w:hAnsi="宋体" w:eastAsia="宋体" w:cs="宋体"/>
          <w:spacing w:val="-2"/>
          <w:sz w:val="24"/>
          <w:szCs w:val="24"/>
        </w:rPr>
      </w:pPr>
    </w:p>
    <w:p w14:paraId="7ACA42F3">
      <w:pPr>
        <w:numPr>
          <w:ilvl w:val="0"/>
          <w:numId w:val="0"/>
        </w:numPr>
        <w:kinsoku w:val="0"/>
        <w:autoSpaceDE w:val="0"/>
        <w:autoSpaceDN w:val="0"/>
        <w:adjustRightInd w:val="0"/>
        <w:snapToGrid w:val="0"/>
        <w:spacing w:before="34" w:line="346" w:lineRule="auto"/>
        <w:ind w:right="119" w:rightChars="0"/>
        <w:jc w:val="left"/>
        <w:textAlignment w:val="baseline"/>
        <w:rPr>
          <w:rFonts w:ascii="宋体" w:hAnsi="宋体" w:eastAsia="宋体" w:cs="宋体"/>
          <w:spacing w:val="-2"/>
          <w:sz w:val="24"/>
          <w:szCs w:val="24"/>
        </w:rPr>
      </w:pPr>
    </w:p>
    <w:p w14:paraId="6A261FBF">
      <w:pPr>
        <w:numPr>
          <w:ilvl w:val="0"/>
          <w:numId w:val="0"/>
        </w:numPr>
        <w:kinsoku w:val="0"/>
        <w:autoSpaceDE w:val="0"/>
        <w:autoSpaceDN w:val="0"/>
        <w:adjustRightInd w:val="0"/>
        <w:snapToGrid w:val="0"/>
        <w:spacing w:before="34" w:line="346" w:lineRule="auto"/>
        <w:ind w:right="119" w:rightChars="0"/>
        <w:jc w:val="left"/>
        <w:textAlignment w:val="baseline"/>
        <w:rPr>
          <w:rFonts w:hint="eastAsia" w:ascii="宋体" w:hAnsi="宋体" w:eastAsia="宋体" w:cs="宋体"/>
          <w:spacing w:val="-2"/>
          <w:sz w:val="24"/>
          <w:szCs w:val="24"/>
          <w:lang w:val="en-US" w:eastAsia="zh-CN"/>
        </w:rPr>
      </w:pPr>
    </w:p>
    <w:p w14:paraId="25BF3875">
      <w:pPr>
        <w:numPr>
          <w:ilvl w:val="0"/>
          <w:numId w:val="0"/>
        </w:numPr>
        <w:kinsoku w:val="0"/>
        <w:autoSpaceDE w:val="0"/>
        <w:autoSpaceDN w:val="0"/>
        <w:adjustRightInd w:val="0"/>
        <w:snapToGrid w:val="0"/>
        <w:spacing w:before="34" w:line="346" w:lineRule="auto"/>
        <w:ind w:right="119" w:rightChars="0"/>
        <w:jc w:val="left"/>
        <w:textAlignment w:val="baseline"/>
        <w:rPr>
          <w:rFonts w:hint="eastAsia" w:ascii="宋体" w:hAnsi="宋体" w:eastAsia="宋体" w:cs="宋体"/>
          <w:spacing w:val="-2"/>
          <w:sz w:val="24"/>
          <w:szCs w:val="24"/>
          <w:lang w:val="en-US" w:eastAsia="zh-CN"/>
        </w:rPr>
      </w:pPr>
    </w:p>
    <w:p w14:paraId="309CF25C">
      <w:pPr>
        <w:numPr>
          <w:ilvl w:val="0"/>
          <w:numId w:val="0"/>
        </w:numPr>
        <w:kinsoku w:val="0"/>
        <w:autoSpaceDE w:val="0"/>
        <w:autoSpaceDN w:val="0"/>
        <w:adjustRightInd w:val="0"/>
        <w:snapToGrid w:val="0"/>
        <w:spacing w:before="34" w:line="346" w:lineRule="auto"/>
        <w:ind w:right="119" w:rightChars="0"/>
        <w:jc w:val="left"/>
        <w:textAlignment w:val="baseline"/>
        <w:rPr>
          <w:rFonts w:hint="eastAsia" w:ascii="宋体" w:hAnsi="宋体" w:eastAsia="宋体" w:cs="宋体"/>
          <w:spacing w:val="-2"/>
          <w:sz w:val="24"/>
          <w:szCs w:val="24"/>
          <w:lang w:val="en-US" w:eastAsia="zh-CN"/>
        </w:rPr>
      </w:pPr>
    </w:p>
    <w:p w14:paraId="41FD77E5">
      <w:pPr>
        <w:numPr>
          <w:ilvl w:val="0"/>
          <w:numId w:val="0"/>
        </w:numPr>
        <w:kinsoku w:val="0"/>
        <w:autoSpaceDE w:val="0"/>
        <w:autoSpaceDN w:val="0"/>
        <w:adjustRightInd w:val="0"/>
        <w:snapToGrid w:val="0"/>
        <w:spacing w:before="34" w:line="346" w:lineRule="auto"/>
        <w:ind w:right="119" w:rightChars="0"/>
        <w:jc w:val="left"/>
        <w:textAlignment w:val="baseline"/>
        <w:rPr>
          <w:rFonts w:hint="eastAsia" w:ascii="宋体" w:hAnsi="宋体" w:eastAsia="宋体" w:cs="宋体"/>
          <w:spacing w:val="-2"/>
          <w:sz w:val="24"/>
          <w:szCs w:val="24"/>
          <w:lang w:val="en-US" w:eastAsia="zh-CN"/>
        </w:rPr>
      </w:pPr>
    </w:p>
    <w:p w14:paraId="0AC9C318">
      <w:pPr>
        <w:numPr>
          <w:ilvl w:val="0"/>
          <w:numId w:val="0"/>
        </w:numPr>
        <w:kinsoku w:val="0"/>
        <w:autoSpaceDE w:val="0"/>
        <w:autoSpaceDN w:val="0"/>
        <w:adjustRightInd w:val="0"/>
        <w:snapToGrid w:val="0"/>
        <w:spacing w:before="34" w:line="346" w:lineRule="auto"/>
        <w:ind w:right="119" w:rightChars="0"/>
        <w:jc w:val="left"/>
        <w:textAlignment w:val="baseline"/>
        <w:rPr>
          <w:rFonts w:hint="eastAsia" w:ascii="宋体" w:hAnsi="宋体" w:eastAsia="宋体" w:cs="宋体"/>
          <w:spacing w:val="-2"/>
          <w:sz w:val="24"/>
          <w:szCs w:val="24"/>
          <w:lang w:val="en-US" w:eastAsia="zh-CN"/>
        </w:rPr>
      </w:pPr>
    </w:p>
    <w:p w14:paraId="477A6D31">
      <w:pPr>
        <w:numPr>
          <w:ilvl w:val="0"/>
          <w:numId w:val="0"/>
        </w:numPr>
        <w:spacing w:before="55" w:line="221" w:lineRule="auto"/>
        <w:ind w:left="3421" w:leftChars="0"/>
        <w:outlineLvl w:val="1"/>
        <w:rPr>
          <w:rFonts w:ascii="宋体" w:hAnsi="宋体" w:eastAsia="宋体" w:cs="宋体"/>
          <w:b/>
          <w:bCs/>
          <w:spacing w:val="-8"/>
          <w:sz w:val="28"/>
          <w:szCs w:val="28"/>
        </w:rPr>
      </w:pPr>
      <w:bookmarkStart w:id="826" w:name="_Toc21675"/>
      <w:r>
        <w:rPr>
          <w:rFonts w:hint="eastAsia" w:ascii="宋体" w:hAnsi="宋体" w:eastAsia="宋体" w:cs="宋体"/>
          <w:b/>
          <w:bCs/>
          <w:snapToGrid w:val="0"/>
          <w:color w:val="000000"/>
          <w:spacing w:val="-8"/>
          <w:kern w:val="0"/>
          <w:sz w:val="28"/>
          <w:szCs w:val="28"/>
          <w:lang w:val="en-US" w:eastAsia="en-US" w:bidi="ar-SA"/>
        </w:rPr>
        <w:t>四、</w:t>
      </w:r>
      <w:r>
        <w:rPr>
          <w:rFonts w:ascii="宋体" w:hAnsi="宋体" w:eastAsia="宋体" w:cs="宋体"/>
          <w:b/>
          <w:bCs/>
          <w:spacing w:val="-8"/>
          <w:sz w:val="28"/>
          <w:szCs w:val="28"/>
        </w:rPr>
        <w:t>资格审查资料</w:t>
      </w:r>
      <w:bookmarkEnd w:id="826"/>
    </w:p>
    <w:p w14:paraId="0514D616">
      <w:pPr>
        <w:numPr>
          <w:ilvl w:val="0"/>
          <w:numId w:val="0"/>
        </w:numPr>
        <w:spacing w:before="55" w:line="221" w:lineRule="auto"/>
        <w:outlineLvl w:val="1"/>
        <w:rPr>
          <w:rFonts w:ascii="宋体" w:hAnsi="宋体" w:eastAsia="宋体" w:cs="宋体"/>
          <w:b/>
          <w:bCs/>
          <w:spacing w:val="-8"/>
          <w:sz w:val="28"/>
          <w:szCs w:val="28"/>
        </w:rPr>
      </w:pPr>
    </w:p>
    <w:p w14:paraId="3411045E">
      <w:pPr>
        <w:numPr>
          <w:ilvl w:val="0"/>
          <w:numId w:val="0"/>
        </w:numPr>
        <w:spacing w:before="55" w:line="221" w:lineRule="auto"/>
        <w:outlineLvl w:val="1"/>
        <w:rPr>
          <w:rFonts w:ascii="宋体" w:hAnsi="宋体" w:eastAsia="宋体" w:cs="宋体"/>
          <w:b/>
          <w:bCs/>
          <w:spacing w:val="-8"/>
          <w:sz w:val="28"/>
          <w:szCs w:val="28"/>
        </w:rPr>
      </w:pPr>
    </w:p>
    <w:p w14:paraId="4B60128A">
      <w:pPr>
        <w:numPr>
          <w:ilvl w:val="0"/>
          <w:numId w:val="0"/>
        </w:numPr>
        <w:spacing w:before="55" w:line="221" w:lineRule="auto"/>
        <w:outlineLvl w:val="1"/>
        <w:rPr>
          <w:rFonts w:ascii="宋体" w:hAnsi="宋体" w:eastAsia="宋体" w:cs="宋体"/>
          <w:b/>
          <w:bCs/>
          <w:spacing w:val="-8"/>
          <w:sz w:val="28"/>
          <w:szCs w:val="28"/>
        </w:rPr>
      </w:pPr>
    </w:p>
    <w:p w14:paraId="128AF6CD">
      <w:pPr>
        <w:numPr>
          <w:ilvl w:val="0"/>
          <w:numId w:val="0"/>
        </w:numPr>
        <w:spacing w:before="55" w:line="221" w:lineRule="auto"/>
        <w:outlineLvl w:val="1"/>
        <w:rPr>
          <w:rFonts w:ascii="宋体" w:hAnsi="宋体" w:eastAsia="宋体" w:cs="宋体"/>
          <w:b/>
          <w:bCs/>
          <w:spacing w:val="-8"/>
          <w:sz w:val="28"/>
          <w:szCs w:val="28"/>
        </w:rPr>
      </w:pPr>
    </w:p>
    <w:p w14:paraId="0FCCAD10">
      <w:pPr>
        <w:numPr>
          <w:ilvl w:val="0"/>
          <w:numId w:val="0"/>
        </w:numPr>
        <w:spacing w:before="55" w:line="221" w:lineRule="auto"/>
        <w:outlineLvl w:val="1"/>
        <w:rPr>
          <w:rFonts w:ascii="宋体" w:hAnsi="宋体" w:eastAsia="宋体" w:cs="宋体"/>
          <w:b/>
          <w:bCs/>
          <w:spacing w:val="-8"/>
          <w:sz w:val="28"/>
          <w:szCs w:val="28"/>
        </w:rPr>
      </w:pPr>
    </w:p>
    <w:p w14:paraId="78FC8926">
      <w:pPr>
        <w:numPr>
          <w:ilvl w:val="0"/>
          <w:numId w:val="0"/>
        </w:numPr>
        <w:spacing w:before="55" w:line="221" w:lineRule="auto"/>
        <w:outlineLvl w:val="1"/>
        <w:rPr>
          <w:rFonts w:ascii="宋体" w:hAnsi="宋体" w:eastAsia="宋体" w:cs="宋体"/>
          <w:b/>
          <w:bCs/>
          <w:spacing w:val="-8"/>
          <w:sz w:val="28"/>
          <w:szCs w:val="28"/>
        </w:rPr>
      </w:pPr>
    </w:p>
    <w:p w14:paraId="23A1BF49">
      <w:pPr>
        <w:numPr>
          <w:ilvl w:val="0"/>
          <w:numId w:val="0"/>
        </w:numPr>
        <w:spacing w:before="55" w:line="221" w:lineRule="auto"/>
        <w:outlineLvl w:val="1"/>
        <w:rPr>
          <w:rFonts w:ascii="宋体" w:hAnsi="宋体" w:eastAsia="宋体" w:cs="宋体"/>
          <w:b/>
          <w:bCs/>
          <w:spacing w:val="-8"/>
          <w:sz w:val="28"/>
          <w:szCs w:val="28"/>
        </w:rPr>
      </w:pPr>
    </w:p>
    <w:p w14:paraId="68465271">
      <w:pPr>
        <w:numPr>
          <w:ilvl w:val="0"/>
          <w:numId w:val="0"/>
        </w:numPr>
        <w:spacing w:before="55" w:line="221" w:lineRule="auto"/>
        <w:outlineLvl w:val="1"/>
        <w:rPr>
          <w:rFonts w:ascii="宋体" w:hAnsi="宋体" w:eastAsia="宋体" w:cs="宋体"/>
          <w:b/>
          <w:bCs/>
          <w:spacing w:val="-8"/>
          <w:sz w:val="28"/>
          <w:szCs w:val="28"/>
        </w:rPr>
      </w:pPr>
    </w:p>
    <w:p w14:paraId="5E658D22">
      <w:pPr>
        <w:numPr>
          <w:ilvl w:val="0"/>
          <w:numId w:val="0"/>
        </w:numPr>
        <w:spacing w:before="55" w:line="221" w:lineRule="auto"/>
        <w:outlineLvl w:val="1"/>
        <w:rPr>
          <w:rFonts w:ascii="宋体" w:hAnsi="宋体" w:eastAsia="宋体" w:cs="宋体"/>
          <w:b/>
          <w:bCs/>
          <w:spacing w:val="-8"/>
          <w:sz w:val="28"/>
          <w:szCs w:val="28"/>
        </w:rPr>
      </w:pPr>
    </w:p>
    <w:p w14:paraId="7C547D54">
      <w:pPr>
        <w:numPr>
          <w:ilvl w:val="0"/>
          <w:numId w:val="0"/>
        </w:numPr>
        <w:spacing w:before="55" w:line="221" w:lineRule="auto"/>
        <w:outlineLvl w:val="1"/>
        <w:rPr>
          <w:rFonts w:ascii="宋体" w:hAnsi="宋体" w:eastAsia="宋体" w:cs="宋体"/>
          <w:b/>
          <w:bCs/>
          <w:spacing w:val="-8"/>
          <w:sz w:val="28"/>
          <w:szCs w:val="28"/>
        </w:rPr>
      </w:pPr>
    </w:p>
    <w:p w14:paraId="3543067C">
      <w:pPr>
        <w:numPr>
          <w:ilvl w:val="0"/>
          <w:numId w:val="0"/>
        </w:numPr>
        <w:spacing w:before="55" w:line="221" w:lineRule="auto"/>
        <w:outlineLvl w:val="1"/>
        <w:rPr>
          <w:rFonts w:ascii="宋体" w:hAnsi="宋体" w:eastAsia="宋体" w:cs="宋体"/>
          <w:b/>
          <w:bCs/>
          <w:spacing w:val="-8"/>
          <w:sz w:val="28"/>
          <w:szCs w:val="28"/>
        </w:rPr>
      </w:pPr>
    </w:p>
    <w:p w14:paraId="2AF55B85">
      <w:pPr>
        <w:numPr>
          <w:ilvl w:val="0"/>
          <w:numId w:val="0"/>
        </w:numPr>
        <w:spacing w:before="55" w:line="221" w:lineRule="auto"/>
        <w:outlineLvl w:val="1"/>
        <w:rPr>
          <w:rFonts w:ascii="宋体" w:hAnsi="宋体" w:eastAsia="宋体" w:cs="宋体"/>
          <w:b/>
          <w:bCs/>
          <w:spacing w:val="-8"/>
          <w:sz w:val="28"/>
          <w:szCs w:val="28"/>
        </w:rPr>
      </w:pPr>
    </w:p>
    <w:p w14:paraId="0F5E6B81">
      <w:pPr>
        <w:numPr>
          <w:ilvl w:val="0"/>
          <w:numId w:val="0"/>
        </w:numPr>
        <w:spacing w:before="55" w:line="221" w:lineRule="auto"/>
        <w:outlineLvl w:val="1"/>
        <w:rPr>
          <w:rFonts w:ascii="宋体" w:hAnsi="宋体" w:eastAsia="宋体" w:cs="宋体"/>
          <w:b/>
          <w:bCs/>
          <w:spacing w:val="-8"/>
          <w:sz w:val="28"/>
          <w:szCs w:val="28"/>
        </w:rPr>
      </w:pPr>
    </w:p>
    <w:p w14:paraId="3B93DE42">
      <w:pPr>
        <w:numPr>
          <w:ilvl w:val="0"/>
          <w:numId w:val="0"/>
        </w:numPr>
        <w:spacing w:before="55" w:line="221" w:lineRule="auto"/>
        <w:outlineLvl w:val="1"/>
        <w:rPr>
          <w:rFonts w:ascii="宋体" w:hAnsi="宋体" w:eastAsia="宋体" w:cs="宋体"/>
          <w:b/>
          <w:bCs/>
          <w:spacing w:val="-8"/>
          <w:sz w:val="28"/>
          <w:szCs w:val="28"/>
        </w:rPr>
      </w:pPr>
    </w:p>
    <w:p w14:paraId="1C5E8438">
      <w:pPr>
        <w:numPr>
          <w:ilvl w:val="0"/>
          <w:numId w:val="0"/>
        </w:numPr>
        <w:spacing w:before="55" w:line="221" w:lineRule="auto"/>
        <w:outlineLvl w:val="1"/>
        <w:rPr>
          <w:rFonts w:ascii="宋体" w:hAnsi="宋体" w:eastAsia="宋体" w:cs="宋体"/>
          <w:b/>
          <w:bCs/>
          <w:spacing w:val="-8"/>
          <w:sz w:val="28"/>
          <w:szCs w:val="28"/>
        </w:rPr>
      </w:pPr>
    </w:p>
    <w:p w14:paraId="4E9E840C">
      <w:pPr>
        <w:numPr>
          <w:ilvl w:val="0"/>
          <w:numId w:val="0"/>
        </w:numPr>
        <w:spacing w:before="55" w:line="221" w:lineRule="auto"/>
        <w:outlineLvl w:val="1"/>
        <w:rPr>
          <w:rFonts w:ascii="宋体" w:hAnsi="宋体" w:eastAsia="宋体" w:cs="宋体"/>
          <w:b/>
          <w:bCs/>
          <w:spacing w:val="-8"/>
          <w:sz w:val="28"/>
          <w:szCs w:val="28"/>
        </w:rPr>
      </w:pPr>
    </w:p>
    <w:p w14:paraId="7F96D2E8">
      <w:pPr>
        <w:numPr>
          <w:ilvl w:val="0"/>
          <w:numId w:val="0"/>
        </w:numPr>
        <w:spacing w:before="55" w:line="221" w:lineRule="auto"/>
        <w:outlineLvl w:val="1"/>
        <w:rPr>
          <w:rFonts w:ascii="宋体" w:hAnsi="宋体" w:eastAsia="宋体" w:cs="宋体"/>
          <w:b/>
          <w:bCs/>
          <w:spacing w:val="-8"/>
          <w:sz w:val="28"/>
          <w:szCs w:val="28"/>
        </w:rPr>
      </w:pPr>
    </w:p>
    <w:p w14:paraId="2B12C550">
      <w:pPr>
        <w:numPr>
          <w:ilvl w:val="0"/>
          <w:numId w:val="0"/>
        </w:numPr>
        <w:spacing w:before="55" w:line="221" w:lineRule="auto"/>
        <w:outlineLvl w:val="1"/>
        <w:rPr>
          <w:rFonts w:ascii="宋体" w:hAnsi="宋体" w:eastAsia="宋体" w:cs="宋体"/>
          <w:b/>
          <w:bCs/>
          <w:spacing w:val="-8"/>
          <w:sz w:val="28"/>
          <w:szCs w:val="28"/>
        </w:rPr>
      </w:pPr>
    </w:p>
    <w:p w14:paraId="04C47ECC">
      <w:pPr>
        <w:numPr>
          <w:ilvl w:val="0"/>
          <w:numId w:val="0"/>
        </w:numPr>
        <w:spacing w:before="55" w:line="221" w:lineRule="auto"/>
        <w:outlineLvl w:val="1"/>
        <w:rPr>
          <w:rFonts w:ascii="宋体" w:hAnsi="宋体" w:eastAsia="宋体" w:cs="宋体"/>
          <w:b/>
          <w:bCs/>
          <w:spacing w:val="-8"/>
          <w:sz w:val="28"/>
          <w:szCs w:val="28"/>
        </w:rPr>
      </w:pPr>
    </w:p>
    <w:p w14:paraId="394E22C7">
      <w:pPr>
        <w:numPr>
          <w:ilvl w:val="0"/>
          <w:numId w:val="0"/>
        </w:numPr>
        <w:spacing w:before="55" w:line="221" w:lineRule="auto"/>
        <w:outlineLvl w:val="1"/>
        <w:rPr>
          <w:rFonts w:ascii="宋体" w:hAnsi="宋体" w:eastAsia="宋体" w:cs="宋体"/>
          <w:b/>
          <w:bCs/>
          <w:spacing w:val="-8"/>
          <w:sz w:val="28"/>
          <w:szCs w:val="28"/>
        </w:rPr>
      </w:pPr>
    </w:p>
    <w:p w14:paraId="18D4970E">
      <w:pPr>
        <w:numPr>
          <w:ilvl w:val="0"/>
          <w:numId w:val="0"/>
        </w:numPr>
        <w:spacing w:before="55" w:line="221" w:lineRule="auto"/>
        <w:outlineLvl w:val="1"/>
        <w:rPr>
          <w:rFonts w:ascii="宋体" w:hAnsi="宋体" w:eastAsia="宋体" w:cs="宋体"/>
          <w:b/>
          <w:bCs/>
          <w:spacing w:val="-8"/>
          <w:sz w:val="28"/>
          <w:szCs w:val="28"/>
        </w:rPr>
      </w:pPr>
    </w:p>
    <w:p w14:paraId="6BF88D24">
      <w:pPr>
        <w:numPr>
          <w:ilvl w:val="0"/>
          <w:numId w:val="0"/>
        </w:numPr>
        <w:spacing w:before="55" w:line="221" w:lineRule="auto"/>
        <w:outlineLvl w:val="1"/>
        <w:rPr>
          <w:rFonts w:ascii="宋体" w:hAnsi="宋体" w:eastAsia="宋体" w:cs="宋体"/>
          <w:b/>
          <w:bCs/>
          <w:spacing w:val="-8"/>
          <w:sz w:val="28"/>
          <w:szCs w:val="28"/>
        </w:rPr>
      </w:pPr>
    </w:p>
    <w:p w14:paraId="132D14D8">
      <w:pPr>
        <w:numPr>
          <w:ilvl w:val="0"/>
          <w:numId w:val="0"/>
        </w:numPr>
        <w:spacing w:before="55" w:line="221" w:lineRule="auto"/>
        <w:outlineLvl w:val="1"/>
        <w:rPr>
          <w:rFonts w:ascii="宋体" w:hAnsi="宋体" w:eastAsia="宋体" w:cs="宋体"/>
          <w:b/>
          <w:bCs/>
          <w:spacing w:val="-8"/>
          <w:sz w:val="28"/>
          <w:szCs w:val="28"/>
        </w:rPr>
      </w:pPr>
    </w:p>
    <w:p w14:paraId="4A943205">
      <w:pPr>
        <w:numPr>
          <w:ilvl w:val="0"/>
          <w:numId w:val="0"/>
        </w:numPr>
        <w:spacing w:before="55" w:line="221" w:lineRule="auto"/>
        <w:outlineLvl w:val="1"/>
        <w:rPr>
          <w:rFonts w:ascii="宋体" w:hAnsi="宋体" w:eastAsia="宋体" w:cs="宋体"/>
          <w:b/>
          <w:bCs/>
          <w:spacing w:val="-8"/>
          <w:sz w:val="28"/>
          <w:szCs w:val="28"/>
        </w:rPr>
      </w:pPr>
    </w:p>
    <w:p w14:paraId="4F24243F">
      <w:pPr>
        <w:numPr>
          <w:ilvl w:val="0"/>
          <w:numId w:val="0"/>
        </w:numPr>
        <w:spacing w:before="55" w:line="221" w:lineRule="auto"/>
        <w:outlineLvl w:val="1"/>
        <w:rPr>
          <w:rFonts w:ascii="宋体" w:hAnsi="宋体" w:eastAsia="宋体" w:cs="宋体"/>
          <w:b/>
          <w:bCs/>
          <w:spacing w:val="-8"/>
          <w:sz w:val="28"/>
          <w:szCs w:val="28"/>
        </w:rPr>
      </w:pPr>
    </w:p>
    <w:p w14:paraId="75AE587A">
      <w:pPr>
        <w:numPr>
          <w:ilvl w:val="0"/>
          <w:numId w:val="0"/>
        </w:numPr>
        <w:spacing w:before="55" w:line="221" w:lineRule="auto"/>
        <w:outlineLvl w:val="1"/>
        <w:rPr>
          <w:rFonts w:ascii="宋体" w:hAnsi="宋体" w:eastAsia="宋体" w:cs="宋体"/>
          <w:b/>
          <w:bCs/>
          <w:spacing w:val="-8"/>
          <w:sz w:val="28"/>
          <w:szCs w:val="28"/>
        </w:rPr>
      </w:pPr>
    </w:p>
    <w:p w14:paraId="48401D4D">
      <w:pPr>
        <w:numPr>
          <w:ilvl w:val="0"/>
          <w:numId w:val="0"/>
        </w:numPr>
        <w:spacing w:before="55" w:line="221" w:lineRule="auto"/>
        <w:outlineLvl w:val="1"/>
        <w:rPr>
          <w:rFonts w:ascii="宋体" w:hAnsi="宋体" w:eastAsia="宋体" w:cs="宋体"/>
          <w:b/>
          <w:bCs/>
          <w:spacing w:val="-8"/>
          <w:sz w:val="28"/>
          <w:szCs w:val="28"/>
        </w:rPr>
      </w:pPr>
    </w:p>
    <w:p w14:paraId="5D9B9C65">
      <w:pPr>
        <w:numPr>
          <w:ilvl w:val="0"/>
          <w:numId w:val="0"/>
        </w:numPr>
        <w:spacing w:before="55" w:line="221" w:lineRule="auto"/>
        <w:outlineLvl w:val="1"/>
        <w:rPr>
          <w:rFonts w:ascii="宋体" w:hAnsi="宋体" w:eastAsia="宋体" w:cs="宋体"/>
          <w:b/>
          <w:bCs/>
          <w:spacing w:val="-8"/>
          <w:sz w:val="28"/>
          <w:szCs w:val="28"/>
        </w:rPr>
      </w:pPr>
    </w:p>
    <w:p w14:paraId="5C88036C">
      <w:pPr>
        <w:numPr>
          <w:ilvl w:val="0"/>
          <w:numId w:val="0"/>
        </w:numPr>
        <w:spacing w:before="55" w:line="221" w:lineRule="auto"/>
        <w:outlineLvl w:val="1"/>
        <w:rPr>
          <w:rFonts w:ascii="宋体" w:hAnsi="宋体" w:eastAsia="宋体" w:cs="宋体"/>
          <w:b/>
          <w:bCs/>
          <w:spacing w:val="-8"/>
          <w:sz w:val="28"/>
          <w:szCs w:val="28"/>
        </w:rPr>
      </w:pPr>
    </w:p>
    <w:p w14:paraId="3ACF4D1F">
      <w:pPr>
        <w:numPr>
          <w:ilvl w:val="0"/>
          <w:numId w:val="0"/>
        </w:numPr>
        <w:spacing w:before="55" w:line="221" w:lineRule="auto"/>
        <w:outlineLvl w:val="1"/>
        <w:rPr>
          <w:rFonts w:ascii="宋体" w:hAnsi="宋体" w:eastAsia="宋体" w:cs="宋体"/>
          <w:b/>
          <w:bCs/>
          <w:spacing w:val="-8"/>
          <w:sz w:val="28"/>
          <w:szCs w:val="28"/>
        </w:rPr>
      </w:pPr>
    </w:p>
    <w:p w14:paraId="2E95CECA">
      <w:pPr>
        <w:numPr>
          <w:ilvl w:val="0"/>
          <w:numId w:val="0"/>
        </w:numPr>
        <w:spacing w:before="55" w:line="221" w:lineRule="auto"/>
        <w:outlineLvl w:val="1"/>
        <w:rPr>
          <w:rFonts w:ascii="宋体" w:hAnsi="宋体" w:eastAsia="宋体" w:cs="宋体"/>
          <w:b/>
          <w:bCs/>
          <w:spacing w:val="-8"/>
          <w:sz w:val="28"/>
          <w:szCs w:val="28"/>
        </w:rPr>
      </w:pPr>
    </w:p>
    <w:p w14:paraId="2A3CC06D">
      <w:pPr>
        <w:numPr>
          <w:ilvl w:val="0"/>
          <w:numId w:val="0"/>
        </w:numPr>
        <w:spacing w:before="55" w:line="221" w:lineRule="auto"/>
        <w:outlineLvl w:val="1"/>
        <w:rPr>
          <w:rFonts w:ascii="宋体" w:hAnsi="宋体" w:eastAsia="宋体" w:cs="宋体"/>
          <w:b/>
          <w:bCs/>
          <w:spacing w:val="-8"/>
          <w:sz w:val="28"/>
          <w:szCs w:val="28"/>
        </w:rPr>
      </w:pPr>
    </w:p>
    <w:p w14:paraId="49F602A5">
      <w:pPr>
        <w:numPr>
          <w:ilvl w:val="0"/>
          <w:numId w:val="0"/>
        </w:numPr>
        <w:spacing w:before="55" w:line="221" w:lineRule="auto"/>
        <w:outlineLvl w:val="1"/>
        <w:rPr>
          <w:rFonts w:ascii="宋体" w:hAnsi="宋体" w:eastAsia="宋体" w:cs="宋体"/>
          <w:b/>
          <w:bCs/>
          <w:spacing w:val="-8"/>
          <w:sz w:val="28"/>
          <w:szCs w:val="28"/>
        </w:rPr>
      </w:pPr>
    </w:p>
    <w:p w14:paraId="63B4E631">
      <w:pPr>
        <w:numPr>
          <w:ilvl w:val="0"/>
          <w:numId w:val="0"/>
        </w:numPr>
        <w:spacing w:before="55" w:line="221" w:lineRule="auto"/>
        <w:outlineLvl w:val="1"/>
        <w:rPr>
          <w:rFonts w:ascii="宋体" w:hAnsi="宋体" w:eastAsia="宋体" w:cs="宋体"/>
          <w:b/>
          <w:bCs/>
          <w:spacing w:val="-8"/>
          <w:sz w:val="28"/>
          <w:szCs w:val="28"/>
        </w:rPr>
      </w:pPr>
    </w:p>
    <w:p w14:paraId="5FEA0972">
      <w:pPr>
        <w:numPr>
          <w:ilvl w:val="0"/>
          <w:numId w:val="0"/>
        </w:numPr>
        <w:spacing w:before="55" w:line="221" w:lineRule="auto"/>
        <w:jc w:val="center"/>
        <w:outlineLvl w:val="1"/>
        <w:rPr>
          <w:rFonts w:hint="eastAsia" w:ascii="宋体" w:hAnsi="宋体" w:eastAsia="宋体" w:cs="宋体"/>
          <w:b/>
          <w:bCs/>
          <w:spacing w:val="-8"/>
          <w:sz w:val="24"/>
          <w:szCs w:val="24"/>
          <w:lang w:eastAsia="zh-CN"/>
        </w:rPr>
      </w:pPr>
      <w:bookmarkStart w:id="827" w:name="_Toc16837"/>
      <w:r>
        <w:rPr>
          <w:rFonts w:hint="eastAsia" w:ascii="宋体" w:hAnsi="宋体" w:eastAsia="宋体" w:cs="宋体"/>
          <w:b/>
          <w:bCs/>
          <w:spacing w:val="-8"/>
          <w:sz w:val="24"/>
          <w:szCs w:val="24"/>
          <w:lang w:eastAsia="zh-CN"/>
        </w:rPr>
        <w:t>资格审查自查表</w:t>
      </w:r>
      <w:bookmarkEnd w:id="827"/>
    </w:p>
    <w:tbl>
      <w:tblPr>
        <w:tblStyle w:val="32"/>
        <w:tblW w:w="8813"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11"/>
        <w:gridCol w:w="4742"/>
        <w:gridCol w:w="968"/>
        <w:gridCol w:w="971"/>
        <w:gridCol w:w="1521"/>
      </w:tblGrid>
      <w:tr w14:paraId="63DB710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0" w:hRule="atLeast"/>
        </w:trPr>
        <w:tc>
          <w:tcPr>
            <w:tcW w:w="611" w:type="dxa"/>
            <w:tcBorders>
              <w:top w:val="single" w:color="000000" w:sz="6" w:space="0"/>
              <w:left w:val="single" w:color="000000" w:sz="6" w:space="0"/>
            </w:tcBorders>
            <w:vAlign w:val="top"/>
          </w:tcPr>
          <w:p w14:paraId="6F6EF1F4">
            <w:pPr>
              <w:pStyle w:val="33"/>
              <w:spacing w:before="193" w:line="221" w:lineRule="auto"/>
              <w:ind w:left="67"/>
              <w:rPr>
                <w:sz w:val="24"/>
                <w:szCs w:val="24"/>
              </w:rPr>
            </w:pPr>
            <w:r>
              <w:rPr>
                <w:spacing w:val="-3"/>
                <w:sz w:val="24"/>
                <w:szCs w:val="24"/>
              </w:rPr>
              <w:t>序号</w:t>
            </w:r>
          </w:p>
        </w:tc>
        <w:tc>
          <w:tcPr>
            <w:tcW w:w="4742" w:type="dxa"/>
            <w:tcBorders>
              <w:top w:val="single" w:color="000000" w:sz="6" w:space="0"/>
            </w:tcBorders>
            <w:vAlign w:val="top"/>
          </w:tcPr>
          <w:p w14:paraId="5177E161">
            <w:pPr>
              <w:pStyle w:val="33"/>
              <w:spacing w:before="193" w:line="220" w:lineRule="auto"/>
              <w:ind w:left="1546"/>
              <w:rPr>
                <w:sz w:val="24"/>
                <w:szCs w:val="24"/>
              </w:rPr>
            </w:pPr>
            <w:r>
              <w:rPr>
                <w:spacing w:val="-16"/>
                <w:sz w:val="24"/>
                <w:szCs w:val="24"/>
              </w:rPr>
              <w:t>审</w:t>
            </w:r>
            <w:r>
              <w:rPr>
                <w:spacing w:val="6"/>
                <w:sz w:val="24"/>
                <w:szCs w:val="24"/>
              </w:rPr>
              <w:t xml:space="preserve">  </w:t>
            </w:r>
            <w:r>
              <w:rPr>
                <w:spacing w:val="-16"/>
                <w:sz w:val="24"/>
                <w:szCs w:val="24"/>
              </w:rPr>
              <w:t>查</w:t>
            </w:r>
            <w:r>
              <w:rPr>
                <w:spacing w:val="14"/>
                <w:sz w:val="24"/>
                <w:szCs w:val="24"/>
              </w:rPr>
              <w:t xml:space="preserve">  </w:t>
            </w:r>
            <w:r>
              <w:rPr>
                <w:spacing w:val="-16"/>
                <w:sz w:val="24"/>
                <w:szCs w:val="24"/>
              </w:rPr>
              <w:t>因</w:t>
            </w:r>
            <w:r>
              <w:rPr>
                <w:spacing w:val="7"/>
                <w:sz w:val="24"/>
                <w:szCs w:val="24"/>
              </w:rPr>
              <w:t xml:space="preserve">  </w:t>
            </w:r>
            <w:r>
              <w:rPr>
                <w:spacing w:val="-16"/>
                <w:sz w:val="24"/>
                <w:szCs w:val="24"/>
              </w:rPr>
              <w:t>素</w:t>
            </w:r>
          </w:p>
        </w:tc>
        <w:tc>
          <w:tcPr>
            <w:tcW w:w="968" w:type="dxa"/>
            <w:tcBorders>
              <w:top w:val="single" w:color="000000" w:sz="6" w:space="0"/>
            </w:tcBorders>
            <w:vAlign w:val="top"/>
          </w:tcPr>
          <w:p w14:paraId="23E10C12">
            <w:pPr>
              <w:pStyle w:val="33"/>
              <w:spacing w:before="40" w:line="220" w:lineRule="auto"/>
              <w:ind w:left="265"/>
              <w:rPr>
                <w:sz w:val="24"/>
                <w:szCs w:val="24"/>
              </w:rPr>
            </w:pPr>
            <w:r>
              <w:rPr>
                <w:spacing w:val="-6"/>
                <w:sz w:val="24"/>
                <w:szCs w:val="24"/>
              </w:rPr>
              <w:t>审查</w:t>
            </w:r>
          </w:p>
          <w:p w14:paraId="09E7F977">
            <w:pPr>
              <w:pStyle w:val="33"/>
              <w:spacing w:before="22" w:line="208" w:lineRule="auto"/>
              <w:ind w:left="254"/>
              <w:rPr>
                <w:sz w:val="24"/>
                <w:szCs w:val="24"/>
              </w:rPr>
            </w:pPr>
            <w:r>
              <w:rPr>
                <w:spacing w:val="-3"/>
                <w:sz w:val="24"/>
                <w:szCs w:val="24"/>
              </w:rPr>
              <w:t>标准</w:t>
            </w:r>
          </w:p>
        </w:tc>
        <w:tc>
          <w:tcPr>
            <w:tcW w:w="971" w:type="dxa"/>
            <w:tcBorders>
              <w:top w:val="single" w:color="000000" w:sz="6" w:space="0"/>
            </w:tcBorders>
            <w:vAlign w:val="top"/>
          </w:tcPr>
          <w:p w14:paraId="3B7CFD88">
            <w:pPr>
              <w:pStyle w:val="33"/>
              <w:spacing w:before="40" w:line="220" w:lineRule="auto"/>
              <w:ind w:left="269"/>
              <w:rPr>
                <w:sz w:val="24"/>
                <w:szCs w:val="24"/>
              </w:rPr>
            </w:pPr>
            <w:r>
              <w:rPr>
                <w:spacing w:val="-6"/>
                <w:sz w:val="24"/>
                <w:szCs w:val="24"/>
              </w:rPr>
              <w:t>审查</w:t>
            </w:r>
          </w:p>
          <w:p w14:paraId="5C29D8D7">
            <w:pPr>
              <w:pStyle w:val="33"/>
              <w:spacing w:before="22" w:line="208" w:lineRule="auto"/>
              <w:ind w:left="263"/>
              <w:rPr>
                <w:sz w:val="24"/>
                <w:szCs w:val="24"/>
              </w:rPr>
            </w:pPr>
            <w:r>
              <w:rPr>
                <w:spacing w:val="-4"/>
                <w:sz w:val="24"/>
                <w:szCs w:val="24"/>
              </w:rPr>
              <w:t>结果</w:t>
            </w:r>
          </w:p>
        </w:tc>
        <w:tc>
          <w:tcPr>
            <w:tcW w:w="1521" w:type="dxa"/>
            <w:tcBorders>
              <w:top w:val="single" w:color="000000" w:sz="6" w:space="0"/>
              <w:right w:val="single" w:color="000000" w:sz="6" w:space="0"/>
            </w:tcBorders>
            <w:vAlign w:val="top"/>
          </w:tcPr>
          <w:p w14:paraId="571AA371">
            <w:pPr>
              <w:pStyle w:val="33"/>
              <w:spacing w:before="40" w:line="223" w:lineRule="auto"/>
              <w:ind w:left="165" w:right="34" w:hanging="102"/>
              <w:rPr>
                <w:sz w:val="24"/>
                <w:szCs w:val="24"/>
              </w:rPr>
            </w:pPr>
            <w:r>
              <w:rPr>
                <w:spacing w:val="-5"/>
                <w:sz w:val="24"/>
                <w:szCs w:val="24"/>
              </w:rPr>
              <w:t>引用的证明材</w:t>
            </w:r>
            <w:r>
              <w:rPr>
                <w:spacing w:val="-2"/>
                <w:sz w:val="24"/>
                <w:szCs w:val="24"/>
              </w:rPr>
              <w:t>料对应页码</w:t>
            </w:r>
          </w:p>
        </w:tc>
      </w:tr>
      <w:tr w14:paraId="43C35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7576235B">
            <w:pPr>
              <w:spacing w:before="202" w:line="232" w:lineRule="auto"/>
              <w:ind w:left="255"/>
              <w:rPr>
                <w:rFonts w:ascii="Times New Roman" w:hAnsi="Times New Roman" w:eastAsia="Times New Roman" w:cs="Times New Roman"/>
                <w:sz w:val="24"/>
                <w:szCs w:val="24"/>
              </w:rPr>
            </w:pPr>
            <w:r>
              <w:rPr>
                <w:rFonts w:ascii="Times New Roman" w:hAnsi="Times New Roman" w:eastAsia="Times New Roman" w:cs="Times New Roman"/>
                <w:b/>
                <w:bCs/>
                <w:sz w:val="24"/>
                <w:szCs w:val="24"/>
              </w:rPr>
              <w:t>1</w:t>
            </w:r>
          </w:p>
        </w:tc>
        <w:tc>
          <w:tcPr>
            <w:tcW w:w="4742" w:type="dxa"/>
            <w:vAlign w:val="top"/>
          </w:tcPr>
          <w:p w14:paraId="5184C49B">
            <w:pPr>
              <w:pStyle w:val="33"/>
              <w:spacing w:before="158" w:line="230" w:lineRule="auto"/>
              <w:ind w:left="8"/>
              <w:rPr>
                <w:sz w:val="24"/>
                <w:szCs w:val="24"/>
              </w:rPr>
            </w:pPr>
            <w:r>
              <w:rPr>
                <w:b/>
                <w:bCs/>
                <w:spacing w:val="-6"/>
                <w:sz w:val="24"/>
                <w:szCs w:val="24"/>
              </w:rPr>
              <w:t>企业</w:t>
            </w:r>
          </w:p>
        </w:tc>
        <w:tc>
          <w:tcPr>
            <w:tcW w:w="968" w:type="dxa"/>
            <w:vAlign w:val="top"/>
          </w:tcPr>
          <w:p w14:paraId="050F4C72">
            <w:pPr>
              <w:rPr>
                <w:rFonts w:ascii="Arial"/>
                <w:sz w:val="21"/>
              </w:rPr>
            </w:pPr>
          </w:p>
        </w:tc>
        <w:tc>
          <w:tcPr>
            <w:tcW w:w="971" w:type="dxa"/>
            <w:vAlign w:val="top"/>
          </w:tcPr>
          <w:p w14:paraId="1E4D1A0B">
            <w:pPr>
              <w:rPr>
                <w:rFonts w:ascii="Arial"/>
                <w:sz w:val="21"/>
              </w:rPr>
            </w:pPr>
          </w:p>
        </w:tc>
        <w:tc>
          <w:tcPr>
            <w:tcW w:w="1521" w:type="dxa"/>
            <w:tcBorders>
              <w:right w:val="single" w:color="000000" w:sz="6" w:space="0"/>
            </w:tcBorders>
            <w:vAlign w:val="top"/>
          </w:tcPr>
          <w:p w14:paraId="68C7496C">
            <w:pPr>
              <w:rPr>
                <w:rFonts w:ascii="Arial"/>
                <w:sz w:val="21"/>
              </w:rPr>
            </w:pPr>
          </w:p>
        </w:tc>
      </w:tr>
      <w:tr w14:paraId="35260D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3649D646">
            <w:pPr>
              <w:rPr>
                <w:rFonts w:ascii="Arial"/>
                <w:sz w:val="21"/>
              </w:rPr>
            </w:pPr>
          </w:p>
        </w:tc>
        <w:tc>
          <w:tcPr>
            <w:tcW w:w="4742" w:type="dxa"/>
            <w:vAlign w:val="top"/>
          </w:tcPr>
          <w:p w14:paraId="6641057C">
            <w:pPr>
              <w:rPr>
                <w:rFonts w:ascii="Arial"/>
                <w:sz w:val="21"/>
              </w:rPr>
            </w:pPr>
          </w:p>
        </w:tc>
        <w:tc>
          <w:tcPr>
            <w:tcW w:w="968" w:type="dxa"/>
            <w:vAlign w:val="top"/>
          </w:tcPr>
          <w:p w14:paraId="21797FBC">
            <w:pPr>
              <w:rPr>
                <w:rFonts w:ascii="Arial"/>
                <w:sz w:val="21"/>
              </w:rPr>
            </w:pPr>
          </w:p>
        </w:tc>
        <w:tc>
          <w:tcPr>
            <w:tcW w:w="971" w:type="dxa"/>
            <w:vAlign w:val="top"/>
          </w:tcPr>
          <w:p w14:paraId="2B6A5DE0">
            <w:pPr>
              <w:rPr>
                <w:rFonts w:ascii="Arial"/>
                <w:sz w:val="21"/>
              </w:rPr>
            </w:pPr>
          </w:p>
        </w:tc>
        <w:tc>
          <w:tcPr>
            <w:tcW w:w="1521" w:type="dxa"/>
            <w:tcBorders>
              <w:right w:val="single" w:color="000000" w:sz="6" w:space="0"/>
            </w:tcBorders>
            <w:vAlign w:val="top"/>
          </w:tcPr>
          <w:p w14:paraId="19653C9A">
            <w:pPr>
              <w:rPr>
                <w:rFonts w:ascii="Arial"/>
                <w:sz w:val="21"/>
              </w:rPr>
            </w:pPr>
          </w:p>
        </w:tc>
      </w:tr>
      <w:tr w14:paraId="2C7AD5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15CB30BE">
            <w:pPr>
              <w:rPr>
                <w:rFonts w:ascii="Arial"/>
                <w:sz w:val="21"/>
              </w:rPr>
            </w:pPr>
          </w:p>
        </w:tc>
        <w:tc>
          <w:tcPr>
            <w:tcW w:w="4742" w:type="dxa"/>
            <w:vAlign w:val="top"/>
          </w:tcPr>
          <w:p w14:paraId="741A0CD3">
            <w:pPr>
              <w:rPr>
                <w:rFonts w:ascii="Arial"/>
                <w:sz w:val="21"/>
              </w:rPr>
            </w:pPr>
          </w:p>
        </w:tc>
        <w:tc>
          <w:tcPr>
            <w:tcW w:w="968" w:type="dxa"/>
            <w:vAlign w:val="top"/>
          </w:tcPr>
          <w:p w14:paraId="3D69BC4B">
            <w:pPr>
              <w:rPr>
                <w:rFonts w:ascii="Arial"/>
                <w:sz w:val="21"/>
              </w:rPr>
            </w:pPr>
          </w:p>
        </w:tc>
        <w:tc>
          <w:tcPr>
            <w:tcW w:w="971" w:type="dxa"/>
            <w:vAlign w:val="top"/>
          </w:tcPr>
          <w:p w14:paraId="7C2925EB">
            <w:pPr>
              <w:rPr>
                <w:rFonts w:ascii="Arial"/>
                <w:sz w:val="21"/>
              </w:rPr>
            </w:pPr>
          </w:p>
        </w:tc>
        <w:tc>
          <w:tcPr>
            <w:tcW w:w="1521" w:type="dxa"/>
            <w:tcBorders>
              <w:right w:val="single" w:color="000000" w:sz="6" w:space="0"/>
            </w:tcBorders>
            <w:vAlign w:val="top"/>
          </w:tcPr>
          <w:p w14:paraId="0EE7E88C">
            <w:pPr>
              <w:rPr>
                <w:rFonts w:ascii="Arial"/>
                <w:sz w:val="21"/>
              </w:rPr>
            </w:pPr>
          </w:p>
        </w:tc>
      </w:tr>
      <w:tr w14:paraId="26E69F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7E7153B1">
            <w:pPr>
              <w:rPr>
                <w:rFonts w:ascii="Arial"/>
                <w:sz w:val="21"/>
              </w:rPr>
            </w:pPr>
          </w:p>
        </w:tc>
        <w:tc>
          <w:tcPr>
            <w:tcW w:w="4742" w:type="dxa"/>
            <w:vAlign w:val="top"/>
          </w:tcPr>
          <w:p w14:paraId="4E53B8E5">
            <w:pPr>
              <w:rPr>
                <w:rFonts w:ascii="Arial"/>
                <w:sz w:val="21"/>
              </w:rPr>
            </w:pPr>
          </w:p>
        </w:tc>
        <w:tc>
          <w:tcPr>
            <w:tcW w:w="968" w:type="dxa"/>
            <w:vAlign w:val="top"/>
          </w:tcPr>
          <w:p w14:paraId="7697A2BB">
            <w:pPr>
              <w:rPr>
                <w:rFonts w:ascii="Arial"/>
                <w:sz w:val="21"/>
              </w:rPr>
            </w:pPr>
          </w:p>
        </w:tc>
        <w:tc>
          <w:tcPr>
            <w:tcW w:w="971" w:type="dxa"/>
            <w:vAlign w:val="top"/>
          </w:tcPr>
          <w:p w14:paraId="62C2FB3D">
            <w:pPr>
              <w:rPr>
                <w:rFonts w:ascii="Arial"/>
                <w:sz w:val="21"/>
              </w:rPr>
            </w:pPr>
          </w:p>
        </w:tc>
        <w:tc>
          <w:tcPr>
            <w:tcW w:w="1521" w:type="dxa"/>
            <w:tcBorders>
              <w:right w:val="single" w:color="000000" w:sz="6" w:space="0"/>
            </w:tcBorders>
            <w:vAlign w:val="top"/>
          </w:tcPr>
          <w:p w14:paraId="2C94620D">
            <w:pPr>
              <w:rPr>
                <w:rFonts w:ascii="Arial"/>
                <w:sz w:val="21"/>
              </w:rPr>
            </w:pPr>
          </w:p>
        </w:tc>
      </w:tr>
      <w:tr w14:paraId="0B34BD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07E4A7F8">
            <w:pPr>
              <w:spacing w:before="203" w:line="232" w:lineRule="auto"/>
              <w:ind w:left="245"/>
              <w:rPr>
                <w:rFonts w:ascii="Times New Roman" w:hAnsi="Times New Roman" w:eastAsia="Times New Roman" w:cs="Times New Roman"/>
                <w:sz w:val="24"/>
                <w:szCs w:val="24"/>
              </w:rPr>
            </w:pPr>
            <w:r>
              <w:rPr>
                <w:rFonts w:ascii="Times New Roman" w:hAnsi="Times New Roman" w:eastAsia="Times New Roman" w:cs="Times New Roman"/>
                <w:b/>
                <w:bCs/>
                <w:sz w:val="24"/>
                <w:szCs w:val="24"/>
              </w:rPr>
              <w:t>2</w:t>
            </w:r>
          </w:p>
        </w:tc>
        <w:tc>
          <w:tcPr>
            <w:tcW w:w="4742" w:type="dxa"/>
            <w:vAlign w:val="top"/>
          </w:tcPr>
          <w:p w14:paraId="35E47A02">
            <w:pPr>
              <w:pStyle w:val="33"/>
              <w:spacing w:before="162" w:line="219" w:lineRule="auto"/>
              <w:ind w:left="5"/>
              <w:rPr>
                <w:sz w:val="24"/>
                <w:szCs w:val="24"/>
              </w:rPr>
            </w:pPr>
            <w:r>
              <w:rPr>
                <w:b/>
                <w:bCs/>
                <w:spacing w:val="-3"/>
                <w:sz w:val="24"/>
                <w:szCs w:val="24"/>
              </w:rPr>
              <w:t>拟派项目组主要人员</w:t>
            </w:r>
          </w:p>
        </w:tc>
        <w:tc>
          <w:tcPr>
            <w:tcW w:w="968" w:type="dxa"/>
            <w:vAlign w:val="top"/>
          </w:tcPr>
          <w:p w14:paraId="5E8AED71">
            <w:pPr>
              <w:rPr>
                <w:rFonts w:ascii="Arial"/>
                <w:sz w:val="21"/>
              </w:rPr>
            </w:pPr>
          </w:p>
        </w:tc>
        <w:tc>
          <w:tcPr>
            <w:tcW w:w="971" w:type="dxa"/>
            <w:vAlign w:val="top"/>
          </w:tcPr>
          <w:p w14:paraId="298E668D">
            <w:pPr>
              <w:rPr>
                <w:rFonts w:ascii="Arial"/>
                <w:sz w:val="21"/>
              </w:rPr>
            </w:pPr>
          </w:p>
        </w:tc>
        <w:tc>
          <w:tcPr>
            <w:tcW w:w="1521" w:type="dxa"/>
            <w:tcBorders>
              <w:right w:val="single" w:color="000000" w:sz="6" w:space="0"/>
            </w:tcBorders>
            <w:vAlign w:val="top"/>
          </w:tcPr>
          <w:p w14:paraId="7AC55132">
            <w:pPr>
              <w:rPr>
                <w:rFonts w:ascii="Arial"/>
                <w:sz w:val="21"/>
              </w:rPr>
            </w:pPr>
          </w:p>
        </w:tc>
      </w:tr>
      <w:tr w14:paraId="453219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40CA10FD">
            <w:pPr>
              <w:rPr>
                <w:rFonts w:ascii="Arial"/>
                <w:sz w:val="21"/>
              </w:rPr>
            </w:pPr>
          </w:p>
        </w:tc>
        <w:tc>
          <w:tcPr>
            <w:tcW w:w="4742" w:type="dxa"/>
            <w:vAlign w:val="top"/>
          </w:tcPr>
          <w:p w14:paraId="130686E9">
            <w:pPr>
              <w:rPr>
                <w:rFonts w:ascii="Arial"/>
                <w:sz w:val="21"/>
              </w:rPr>
            </w:pPr>
          </w:p>
        </w:tc>
        <w:tc>
          <w:tcPr>
            <w:tcW w:w="968" w:type="dxa"/>
            <w:vAlign w:val="top"/>
          </w:tcPr>
          <w:p w14:paraId="4EA7613D">
            <w:pPr>
              <w:rPr>
                <w:rFonts w:ascii="Arial"/>
                <w:sz w:val="21"/>
              </w:rPr>
            </w:pPr>
          </w:p>
        </w:tc>
        <w:tc>
          <w:tcPr>
            <w:tcW w:w="971" w:type="dxa"/>
            <w:vAlign w:val="top"/>
          </w:tcPr>
          <w:p w14:paraId="5670B1DB">
            <w:pPr>
              <w:rPr>
                <w:rFonts w:ascii="Arial"/>
                <w:sz w:val="21"/>
              </w:rPr>
            </w:pPr>
          </w:p>
        </w:tc>
        <w:tc>
          <w:tcPr>
            <w:tcW w:w="1521" w:type="dxa"/>
            <w:tcBorders>
              <w:right w:val="single" w:color="000000" w:sz="6" w:space="0"/>
            </w:tcBorders>
            <w:vAlign w:val="top"/>
          </w:tcPr>
          <w:p w14:paraId="781D3A64">
            <w:pPr>
              <w:rPr>
                <w:rFonts w:ascii="Arial"/>
                <w:sz w:val="21"/>
              </w:rPr>
            </w:pPr>
          </w:p>
        </w:tc>
      </w:tr>
      <w:tr w14:paraId="7B6E10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3EA61025">
            <w:pPr>
              <w:rPr>
                <w:rFonts w:ascii="Arial"/>
                <w:sz w:val="21"/>
              </w:rPr>
            </w:pPr>
          </w:p>
        </w:tc>
        <w:tc>
          <w:tcPr>
            <w:tcW w:w="4742" w:type="dxa"/>
            <w:vAlign w:val="top"/>
          </w:tcPr>
          <w:p w14:paraId="13135D47">
            <w:pPr>
              <w:rPr>
                <w:rFonts w:ascii="Arial"/>
                <w:sz w:val="21"/>
              </w:rPr>
            </w:pPr>
          </w:p>
        </w:tc>
        <w:tc>
          <w:tcPr>
            <w:tcW w:w="968" w:type="dxa"/>
            <w:vAlign w:val="top"/>
          </w:tcPr>
          <w:p w14:paraId="2CB42FAE">
            <w:pPr>
              <w:rPr>
                <w:rFonts w:ascii="Arial"/>
                <w:sz w:val="21"/>
              </w:rPr>
            </w:pPr>
          </w:p>
        </w:tc>
        <w:tc>
          <w:tcPr>
            <w:tcW w:w="971" w:type="dxa"/>
            <w:vAlign w:val="top"/>
          </w:tcPr>
          <w:p w14:paraId="46518B21">
            <w:pPr>
              <w:rPr>
                <w:rFonts w:ascii="Arial"/>
                <w:sz w:val="21"/>
              </w:rPr>
            </w:pPr>
          </w:p>
        </w:tc>
        <w:tc>
          <w:tcPr>
            <w:tcW w:w="1521" w:type="dxa"/>
            <w:tcBorders>
              <w:right w:val="single" w:color="000000" w:sz="6" w:space="0"/>
            </w:tcBorders>
            <w:vAlign w:val="top"/>
          </w:tcPr>
          <w:p w14:paraId="30422540">
            <w:pPr>
              <w:rPr>
                <w:rFonts w:ascii="Arial"/>
                <w:sz w:val="21"/>
              </w:rPr>
            </w:pPr>
          </w:p>
        </w:tc>
      </w:tr>
      <w:tr w14:paraId="34C4E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1FE15460">
            <w:pPr>
              <w:rPr>
                <w:rFonts w:ascii="Arial"/>
                <w:sz w:val="21"/>
              </w:rPr>
            </w:pPr>
          </w:p>
        </w:tc>
        <w:tc>
          <w:tcPr>
            <w:tcW w:w="4742" w:type="dxa"/>
            <w:vAlign w:val="top"/>
          </w:tcPr>
          <w:p w14:paraId="22613DF8">
            <w:pPr>
              <w:rPr>
                <w:rFonts w:ascii="Arial"/>
                <w:sz w:val="21"/>
              </w:rPr>
            </w:pPr>
          </w:p>
        </w:tc>
        <w:tc>
          <w:tcPr>
            <w:tcW w:w="968" w:type="dxa"/>
            <w:vAlign w:val="top"/>
          </w:tcPr>
          <w:p w14:paraId="4014DA84">
            <w:pPr>
              <w:rPr>
                <w:rFonts w:ascii="Arial"/>
                <w:sz w:val="21"/>
              </w:rPr>
            </w:pPr>
          </w:p>
        </w:tc>
        <w:tc>
          <w:tcPr>
            <w:tcW w:w="971" w:type="dxa"/>
            <w:vAlign w:val="top"/>
          </w:tcPr>
          <w:p w14:paraId="6C250EA7">
            <w:pPr>
              <w:rPr>
                <w:rFonts w:ascii="Arial"/>
                <w:sz w:val="21"/>
              </w:rPr>
            </w:pPr>
          </w:p>
        </w:tc>
        <w:tc>
          <w:tcPr>
            <w:tcW w:w="1521" w:type="dxa"/>
            <w:tcBorders>
              <w:right w:val="single" w:color="000000" w:sz="6" w:space="0"/>
            </w:tcBorders>
            <w:vAlign w:val="top"/>
          </w:tcPr>
          <w:p w14:paraId="51679272">
            <w:pPr>
              <w:rPr>
                <w:rFonts w:ascii="Arial"/>
                <w:sz w:val="21"/>
              </w:rPr>
            </w:pPr>
          </w:p>
        </w:tc>
      </w:tr>
      <w:tr w14:paraId="253A25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558E4204">
            <w:pPr>
              <w:spacing w:before="206" w:line="229" w:lineRule="auto"/>
              <w:ind w:left="243"/>
              <w:rPr>
                <w:rFonts w:ascii="Times New Roman" w:hAnsi="Times New Roman" w:eastAsia="Times New Roman" w:cs="Times New Roman"/>
                <w:sz w:val="24"/>
                <w:szCs w:val="24"/>
              </w:rPr>
            </w:pPr>
            <w:r>
              <w:rPr>
                <w:rFonts w:ascii="Times New Roman" w:hAnsi="Times New Roman" w:eastAsia="Times New Roman" w:cs="Times New Roman"/>
                <w:b/>
                <w:bCs/>
                <w:sz w:val="24"/>
                <w:szCs w:val="24"/>
              </w:rPr>
              <w:t>3</w:t>
            </w:r>
          </w:p>
        </w:tc>
        <w:tc>
          <w:tcPr>
            <w:tcW w:w="4742" w:type="dxa"/>
            <w:vAlign w:val="top"/>
          </w:tcPr>
          <w:p w14:paraId="295173A2">
            <w:pPr>
              <w:pStyle w:val="33"/>
              <w:spacing w:before="163" w:line="220" w:lineRule="auto"/>
              <w:ind w:left="6"/>
              <w:rPr>
                <w:sz w:val="24"/>
                <w:szCs w:val="24"/>
              </w:rPr>
            </w:pPr>
            <w:r>
              <w:rPr>
                <w:b/>
                <w:bCs/>
                <w:spacing w:val="-5"/>
                <w:sz w:val="24"/>
                <w:szCs w:val="24"/>
              </w:rPr>
              <w:t>其他</w:t>
            </w:r>
          </w:p>
        </w:tc>
        <w:tc>
          <w:tcPr>
            <w:tcW w:w="968" w:type="dxa"/>
            <w:vAlign w:val="top"/>
          </w:tcPr>
          <w:p w14:paraId="6A246C07">
            <w:pPr>
              <w:rPr>
                <w:rFonts w:ascii="Arial"/>
                <w:sz w:val="21"/>
              </w:rPr>
            </w:pPr>
          </w:p>
        </w:tc>
        <w:tc>
          <w:tcPr>
            <w:tcW w:w="971" w:type="dxa"/>
            <w:vAlign w:val="top"/>
          </w:tcPr>
          <w:p w14:paraId="7A5B0FFD">
            <w:pPr>
              <w:rPr>
                <w:rFonts w:ascii="Arial"/>
                <w:sz w:val="21"/>
              </w:rPr>
            </w:pPr>
          </w:p>
        </w:tc>
        <w:tc>
          <w:tcPr>
            <w:tcW w:w="1521" w:type="dxa"/>
            <w:tcBorders>
              <w:right w:val="single" w:color="000000" w:sz="6" w:space="0"/>
            </w:tcBorders>
            <w:vAlign w:val="top"/>
          </w:tcPr>
          <w:p w14:paraId="770C9E3B">
            <w:pPr>
              <w:rPr>
                <w:rFonts w:ascii="Arial"/>
                <w:sz w:val="21"/>
              </w:rPr>
            </w:pPr>
          </w:p>
        </w:tc>
      </w:tr>
      <w:tr w14:paraId="4CDD441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vAlign w:val="top"/>
          </w:tcPr>
          <w:p w14:paraId="1C8C7110">
            <w:pPr>
              <w:rPr>
                <w:rFonts w:ascii="Arial"/>
                <w:sz w:val="21"/>
              </w:rPr>
            </w:pPr>
          </w:p>
        </w:tc>
        <w:tc>
          <w:tcPr>
            <w:tcW w:w="4742" w:type="dxa"/>
            <w:vAlign w:val="top"/>
          </w:tcPr>
          <w:p w14:paraId="35748B5F">
            <w:pPr>
              <w:rPr>
                <w:rFonts w:ascii="Arial"/>
                <w:sz w:val="21"/>
              </w:rPr>
            </w:pPr>
          </w:p>
        </w:tc>
        <w:tc>
          <w:tcPr>
            <w:tcW w:w="968" w:type="dxa"/>
            <w:vAlign w:val="top"/>
          </w:tcPr>
          <w:p w14:paraId="68F7BF7B">
            <w:pPr>
              <w:rPr>
                <w:rFonts w:ascii="Arial"/>
                <w:sz w:val="21"/>
              </w:rPr>
            </w:pPr>
          </w:p>
        </w:tc>
        <w:tc>
          <w:tcPr>
            <w:tcW w:w="971" w:type="dxa"/>
            <w:vAlign w:val="top"/>
          </w:tcPr>
          <w:p w14:paraId="1C6917B5">
            <w:pPr>
              <w:rPr>
                <w:rFonts w:ascii="Arial"/>
                <w:sz w:val="21"/>
              </w:rPr>
            </w:pPr>
          </w:p>
        </w:tc>
        <w:tc>
          <w:tcPr>
            <w:tcW w:w="1521" w:type="dxa"/>
            <w:tcBorders>
              <w:right w:val="single" w:color="000000" w:sz="6" w:space="0"/>
            </w:tcBorders>
            <w:vAlign w:val="top"/>
          </w:tcPr>
          <w:p w14:paraId="1D76AE67">
            <w:pPr>
              <w:rPr>
                <w:rFonts w:ascii="Arial"/>
                <w:sz w:val="21"/>
              </w:rPr>
            </w:pPr>
          </w:p>
        </w:tc>
      </w:tr>
      <w:tr w14:paraId="1CCB8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668B917D">
            <w:pPr>
              <w:rPr>
                <w:rFonts w:ascii="Arial"/>
                <w:sz w:val="21"/>
              </w:rPr>
            </w:pPr>
          </w:p>
        </w:tc>
        <w:tc>
          <w:tcPr>
            <w:tcW w:w="4742" w:type="dxa"/>
            <w:vAlign w:val="top"/>
          </w:tcPr>
          <w:p w14:paraId="6EEF2472">
            <w:pPr>
              <w:rPr>
                <w:rFonts w:ascii="Arial"/>
                <w:sz w:val="21"/>
              </w:rPr>
            </w:pPr>
          </w:p>
        </w:tc>
        <w:tc>
          <w:tcPr>
            <w:tcW w:w="968" w:type="dxa"/>
            <w:vAlign w:val="top"/>
          </w:tcPr>
          <w:p w14:paraId="294EAC43">
            <w:pPr>
              <w:rPr>
                <w:rFonts w:ascii="Arial"/>
                <w:sz w:val="21"/>
              </w:rPr>
            </w:pPr>
          </w:p>
        </w:tc>
        <w:tc>
          <w:tcPr>
            <w:tcW w:w="971" w:type="dxa"/>
            <w:vAlign w:val="top"/>
          </w:tcPr>
          <w:p w14:paraId="46A62850">
            <w:pPr>
              <w:rPr>
                <w:rFonts w:ascii="Arial"/>
                <w:sz w:val="21"/>
              </w:rPr>
            </w:pPr>
          </w:p>
        </w:tc>
        <w:tc>
          <w:tcPr>
            <w:tcW w:w="1521" w:type="dxa"/>
            <w:tcBorders>
              <w:right w:val="single" w:color="000000" w:sz="6" w:space="0"/>
            </w:tcBorders>
            <w:vAlign w:val="top"/>
          </w:tcPr>
          <w:p w14:paraId="0FB05740">
            <w:pPr>
              <w:rPr>
                <w:rFonts w:ascii="Arial"/>
                <w:sz w:val="21"/>
              </w:rPr>
            </w:pPr>
          </w:p>
        </w:tc>
      </w:tr>
      <w:tr w14:paraId="0AD31B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38D12FF1">
            <w:pPr>
              <w:rPr>
                <w:rFonts w:ascii="Arial"/>
                <w:sz w:val="21"/>
              </w:rPr>
            </w:pPr>
          </w:p>
        </w:tc>
        <w:tc>
          <w:tcPr>
            <w:tcW w:w="4742" w:type="dxa"/>
            <w:vAlign w:val="top"/>
          </w:tcPr>
          <w:p w14:paraId="5AED1309">
            <w:pPr>
              <w:rPr>
                <w:rFonts w:ascii="Arial"/>
                <w:sz w:val="21"/>
              </w:rPr>
            </w:pPr>
          </w:p>
        </w:tc>
        <w:tc>
          <w:tcPr>
            <w:tcW w:w="968" w:type="dxa"/>
            <w:vAlign w:val="top"/>
          </w:tcPr>
          <w:p w14:paraId="63829E25">
            <w:pPr>
              <w:rPr>
                <w:rFonts w:ascii="Arial"/>
                <w:sz w:val="21"/>
              </w:rPr>
            </w:pPr>
          </w:p>
        </w:tc>
        <w:tc>
          <w:tcPr>
            <w:tcW w:w="971" w:type="dxa"/>
            <w:vAlign w:val="top"/>
          </w:tcPr>
          <w:p w14:paraId="247D102A">
            <w:pPr>
              <w:rPr>
                <w:rFonts w:ascii="Arial"/>
                <w:sz w:val="21"/>
              </w:rPr>
            </w:pPr>
          </w:p>
        </w:tc>
        <w:tc>
          <w:tcPr>
            <w:tcW w:w="1521" w:type="dxa"/>
            <w:tcBorders>
              <w:right w:val="single" w:color="000000" w:sz="6" w:space="0"/>
            </w:tcBorders>
            <w:vAlign w:val="top"/>
          </w:tcPr>
          <w:p w14:paraId="60930610">
            <w:pPr>
              <w:rPr>
                <w:rFonts w:ascii="Arial"/>
                <w:sz w:val="21"/>
              </w:rPr>
            </w:pPr>
          </w:p>
        </w:tc>
      </w:tr>
      <w:tr w14:paraId="762109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649446DB">
            <w:pPr>
              <w:rPr>
                <w:rFonts w:ascii="Arial"/>
                <w:sz w:val="21"/>
              </w:rPr>
            </w:pPr>
          </w:p>
        </w:tc>
        <w:tc>
          <w:tcPr>
            <w:tcW w:w="4742" w:type="dxa"/>
            <w:vAlign w:val="top"/>
          </w:tcPr>
          <w:p w14:paraId="39CADBFF">
            <w:pPr>
              <w:rPr>
                <w:rFonts w:ascii="Arial"/>
                <w:sz w:val="21"/>
              </w:rPr>
            </w:pPr>
          </w:p>
        </w:tc>
        <w:tc>
          <w:tcPr>
            <w:tcW w:w="968" w:type="dxa"/>
            <w:vAlign w:val="top"/>
          </w:tcPr>
          <w:p w14:paraId="60DFE061">
            <w:pPr>
              <w:rPr>
                <w:rFonts w:ascii="Arial"/>
                <w:sz w:val="21"/>
              </w:rPr>
            </w:pPr>
          </w:p>
        </w:tc>
        <w:tc>
          <w:tcPr>
            <w:tcW w:w="971" w:type="dxa"/>
            <w:vAlign w:val="top"/>
          </w:tcPr>
          <w:p w14:paraId="7DC81363">
            <w:pPr>
              <w:rPr>
                <w:rFonts w:ascii="Arial"/>
                <w:sz w:val="21"/>
              </w:rPr>
            </w:pPr>
          </w:p>
        </w:tc>
        <w:tc>
          <w:tcPr>
            <w:tcW w:w="1521" w:type="dxa"/>
            <w:tcBorders>
              <w:right w:val="single" w:color="000000" w:sz="6" w:space="0"/>
            </w:tcBorders>
            <w:vAlign w:val="top"/>
          </w:tcPr>
          <w:p w14:paraId="207E6AEF">
            <w:pPr>
              <w:rPr>
                <w:rFonts w:ascii="Arial"/>
                <w:sz w:val="21"/>
              </w:rPr>
            </w:pPr>
          </w:p>
        </w:tc>
      </w:tr>
      <w:tr w14:paraId="6EC562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0FC1892A">
            <w:pPr>
              <w:rPr>
                <w:rFonts w:ascii="Arial"/>
                <w:sz w:val="21"/>
              </w:rPr>
            </w:pPr>
          </w:p>
        </w:tc>
        <w:tc>
          <w:tcPr>
            <w:tcW w:w="4742" w:type="dxa"/>
            <w:vAlign w:val="top"/>
          </w:tcPr>
          <w:p w14:paraId="1F936BC4">
            <w:pPr>
              <w:rPr>
                <w:rFonts w:ascii="Arial"/>
                <w:sz w:val="21"/>
              </w:rPr>
            </w:pPr>
          </w:p>
        </w:tc>
        <w:tc>
          <w:tcPr>
            <w:tcW w:w="968" w:type="dxa"/>
            <w:vAlign w:val="top"/>
          </w:tcPr>
          <w:p w14:paraId="6D718AE4">
            <w:pPr>
              <w:rPr>
                <w:rFonts w:ascii="Arial"/>
                <w:sz w:val="21"/>
              </w:rPr>
            </w:pPr>
          </w:p>
        </w:tc>
        <w:tc>
          <w:tcPr>
            <w:tcW w:w="971" w:type="dxa"/>
            <w:vAlign w:val="top"/>
          </w:tcPr>
          <w:p w14:paraId="4DBADE13">
            <w:pPr>
              <w:rPr>
                <w:rFonts w:ascii="Arial"/>
                <w:sz w:val="21"/>
              </w:rPr>
            </w:pPr>
          </w:p>
        </w:tc>
        <w:tc>
          <w:tcPr>
            <w:tcW w:w="1521" w:type="dxa"/>
            <w:tcBorders>
              <w:right w:val="single" w:color="000000" w:sz="6" w:space="0"/>
            </w:tcBorders>
            <w:vAlign w:val="top"/>
          </w:tcPr>
          <w:p w14:paraId="0E91069F">
            <w:pPr>
              <w:rPr>
                <w:rFonts w:ascii="Arial"/>
                <w:sz w:val="21"/>
              </w:rPr>
            </w:pPr>
          </w:p>
        </w:tc>
      </w:tr>
      <w:tr w14:paraId="1E736B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9" w:hRule="atLeast"/>
        </w:trPr>
        <w:tc>
          <w:tcPr>
            <w:tcW w:w="611" w:type="dxa"/>
            <w:tcBorders>
              <w:left w:val="single" w:color="000000" w:sz="6" w:space="0"/>
            </w:tcBorders>
            <w:vAlign w:val="top"/>
          </w:tcPr>
          <w:p w14:paraId="73E41281">
            <w:pPr>
              <w:rPr>
                <w:rFonts w:ascii="Arial"/>
                <w:sz w:val="21"/>
              </w:rPr>
            </w:pPr>
          </w:p>
        </w:tc>
        <w:tc>
          <w:tcPr>
            <w:tcW w:w="4742" w:type="dxa"/>
            <w:vAlign w:val="top"/>
          </w:tcPr>
          <w:p w14:paraId="6453D45F">
            <w:pPr>
              <w:rPr>
                <w:rFonts w:ascii="Arial"/>
                <w:sz w:val="21"/>
              </w:rPr>
            </w:pPr>
          </w:p>
        </w:tc>
        <w:tc>
          <w:tcPr>
            <w:tcW w:w="968" w:type="dxa"/>
            <w:vAlign w:val="top"/>
          </w:tcPr>
          <w:p w14:paraId="6277D7E5">
            <w:pPr>
              <w:rPr>
                <w:rFonts w:ascii="Arial"/>
                <w:sz w:val="21"/>
              </w:rPr>
            </w:pPr>
          </w:p>
        </w:tc>
        <w:tc>
          <w:tcPr>
            <w:tcW w:w="971" w:type="dxa"/>
            <w:vAlign w:val="top"/>
          </w:tcPr>
          <w:p w14:paraId="71C52547">
            <w:pPr>
              <w:rPr>
                <w:rFonts w:ascii="Arial"/>
                <w:sz w:val="21"/>
              </w:rPr>
            </w:pPr>
          </w:p>
        </w:tc>
        <w:tc>
          <w:tcPr>
            <w:tcW w:w="1521" w:type="dxa"/>
            <w:tcBorders>
              <w:right w:val="single" w:color="000000" w:sz="6" w:space="0"/>
            </w:tcBorders>
            <w:vAlign w:val="top"/>
          </w:tcPr>
          <w:p w14:paraId="2FFDC340">
            <w:pPr>
              <w:rPr>
                <w:rFonts w:ascii="Arial"/>
                <w:sz w:val="21"/>
              </w:rPr>
            </w:pPr>
          </w:p>
        </w:tc>
      </w:tr>
      <w:tr w14:paraId="44B349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3B5F4528">
            <w:pPr>
              <w:rPr>
                <w:rFonts w:ascii="Arial"/>
                <w:sz w:val="21"/>
              </w:rPr>
            </w:pPr>
          </w:p>
        </w:tc>
        <w:tc>
          <w:tcPr>
            <w:tcW w:w="4742" w:type="dxa"/>
            <w:vAlign w:val="top"/>
          </w:tcPr>
          <w:p w14:paraId="08C2B793">
            <w:pPr>
              <w:rPr>
                <w:rFonts w:ascii="Arial"/>
                <w:sz w:val="21"/>
              </w:rPr>
            </w:pPr>
          </w:p>
        </w:tc>
        <w:tc>
          <w:tcPr>
            <w:tcW w:w="968" w:type="dxa"/>
            <w:vAlign w:val="top"/>
          </w:tcPr>
          <w:p w14:paraId="62AB40E1">
            <w:pPr>
              <w:rPr>
                <w:rFonts w:ascii="Arial"/>
                <w:sz w:val="21"/>
              </w:rPr>
            </w:pPr>
          </w:p>
        </w:tc>
        <w:tc>
          <w:tcPr>
            <w:tcW w:w="971" w:type="dxa"/>
            <w:vAlign w:val="top"/>
          </w:tcPr>
          <w:p w14:paraId="6DF9EB1B">
            <w:pPr>
              <w:rPr>
                <w:rFonts w:ascii="Arial"/>
                <w:sz w:val="21"/>
              </w:rPr>
            </w:pPr>
          </w:p>
        </w:tc>
        <w:tc>
          <w:tcPr>
            <w:tcW w:w="1521" w:type="dxa"/>
            <w:tcBorders>
              <w:right w:val="single" w:color="000000" w:sz="6" w:space="0"/>
            </w:tcBorders>
            <w:vAlign w:val="top"/>
          </w:tcPr>
          <w:p w14:paraId="3855806B">
            <w:pPr>
              <w:rPr>
                <w:rFonts w:ascii="Arial"/>
                <w:sz w:val="21"/>
              </w:rPr>
            </w:pPr>
          </w:p>
        </w:tc>
      </w:tr>
      <w:tr w14:paraId="075E59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54A5D5E3">
            <w:pPr>
              <w:rPr>
                <w:rFonts w:ascii="Arial"/>
                <w:sz w:val="21"/>
              </w:rPr>
            </w:pPr>
          </w:p>
        </w:tc>
        <w:tc>
          <w:tcPr>
            <w:tcW w:w="4742" w:type="dxa"/>
            <w:vAlign w:val="top"/>
          </w:tcPr>
          <w:p w14:paraId="22502F3F">
            <w:pPr>
              <w:rPr>
                <w:rFonts w:ascii="Arial"/>
                <w:sz w:val="21"/>
              </w:rPr>
            </w:pPr>
          </w:p>
        </w:tc>
        <w:tc>
          <w:tcPr>
            <w:tcW w:w="968" w:type="dxa"/>
            <w:vAlign w:val="top"/>
          </w:tcPr>
          <w:p w14:paraId="24D335E7">
            <w:pPr>
              <w:rPr>
                <w:rFonts w:ascii="Arial"/>
                <w:sz w:val="21"/>
              </w:rPr>
            </w:pPr>
          </w:p>
        </w:tc>
        <w:tc>
          <w:tcPr>
            <w:tcW w:w="971" w:type="dxa"/>
            <w:vAlign w:val="top"/>
          </w:tcPr>
          <w:p w14:paraId="482378D5">
            <w:pPr>
              <w:rPr>
                <w:rFonts w:ascii="Arial"/>
                <w:sz w:val="21"/>
              </w:rPr>
            </w:pPr>
          </w:p>
        </w:tc>
        <w:tc>
          <w:tcPr>
            <w:tcW w:w="1521" w:type="dxa"/>
            <w:tcBorders>
              <w:right w:val="single" w:color="000000" w:sz="6" w:space="0"/>
            </w:tcBorders>
            <w:vAlign w:val="top"/>
          </w:tcPr>
          <w:p w14:paraId="29C7D434">
            <w:pPr>
              <w:rPr>
                <w:rFonts w:ascii="Arial"/>
                <w:sz w:val="21"/>
              </w:rPr>
            </w:pPr>
          </w:p>
        </w:tc>
      </w:tr>
      <w:tr w14:paraId="7BA5F9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1" w:hRule="atLeast"/>
        </w:trPr>
        <w:tc>
          <w:tcPr>
            <w:tcW w:w="611" w:type="dxa"/>
            <w:tcBorders>
              <w:left w:val="single" w:color="000000" w:sz="6" w:space="0"/>
            </w:tcBorders>
            <w:vAlign w:val="top"/>
          </w:tcPr>
          <w:p w14:paraId="3B99ABF1">
            <w:pPr>
              <w:rPr>
                <w:rFonts w:ascii="Arial"/>
                <w:sz w:val="21"/>
              </w:rPr>
            </w:pPr>
          </w:p>
        </w:tc>
        <w:tc>
          <w:tcPr>
            <w:tcW w:w="4742" w:type="dxa"/>
            <w:vAlign w:val="top"/>
          </w:tcPr>
          <w:p w14:paraId="3B80AB39">
            <w:pPr>
              <w:rPr>
                <w:rFonts w:ascii="Arial"/>
                <w:sz w:val="21"/>
              </w:rPr>
            </w:pPr>
          </w:p>
        </w:tc>
        <w:tc>
          <w:tcPr>
            <w:tcW w:w="968" w:type="dxa"/>
            <w:vAlign w:val="top"/>
          </w:tcPr>
          <w:p w14:paraId="67F15181">
            <w:pPr>
              <w:rPr>
                <w:rFonts w:ascii="Arial"/>
                <w:sz w:val="21"/>
              </w:rPr>
            </w:pPr>
          </w:p>
        </w:tc>
        <w:tc>
          <w:tcPr>
            <w:tcW w:w="971" w:type="dxa"/>
            <w:vAlign w:val="top"/>
          </w:tcPr>
          <w:p w14:paraId="2F3B4DD9">
            <w:pPr>
              <w:rPr>
                <w:rFonts w:ascii="Arial"/>
                <w:sz w:val="21"/>
              </w:rPr>
            </w:pPr>
          </w:p>
        </w:tc>
        <w:tc>
          <w:tcPr>
            <w:tcW w:w="1521" w:type="dxa"/>
            <w:tcBorders>
              <w:right w:val="single" w:color="000000" w:sz="6" w:space="0"/>
            </w:tcBorders>
            <w:vAlign w:val="top"/>
          </w:tcPr>
          <w:p w14:paraId="0AA9154B">
            <w:pPr>
              <w:rPr>
                <w:rFonts w:ascii="Arial"/>
                <w:sz w:val="21"/>
              </w:rPr>
            </w:pPr>
          </w:p>
        </w:tc>
      </w:tr>
      <w:tr w14:paraId="2F7CA1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611" w:type="dxa"/>
            <w:tcBorders>
              <w:left w:val="single" w:color="000000" w:sz="6" w:space="0"/>
            </w:tcBorders>
            <w:vAlign w:val="top"/>
          </w:tcPr>
          <w:p w14:paraId="3C1CB96F">
            <w:pPr>
              <w:rPr>
                <w:rFonts w:ascii="Arial"/>
                <w:sz w:val="21"/>
              </w:rPr>
            </w:pPr>
          </w:p>
        </w:tc>
        <w:tc>
          <w:tcPr>
            <w:tcW w:w="4742" w:type="dxa"/>
            <w:vAlign w:val="top"/>
          </w:tcPr>
          <w:p w14:paraId="13C976AE">
            <w:pPr>
              <w:rPr>
                <w:rFonts w:ascii="Arial"/>
                <w:sz w:val="21"/>
              </w:rPr>
            </w:pPr>
          </w:p>
        </w:tc>
        <w:tc>
          <w:tcPr>
            <w:tcW w:w="968" w:type="dxa"/>
            <w:vAlign w:val="top"/>
          </w:tcPr>
          <w:p w14:paraId="0E0AD465">
            <w:pPr>
              <w:rPr>
                <w:rFonts w:ascii="Arial"/>
                <w:sz w:val="21"/>
              </w:rPr>
            </w:pPr>
          </w:p>
        </w:tc>
        <w:tc>
          <w:tcPr>
            <w:tcW w:w="971" w:type="dxa"/>
            <w:vAlign w:val="top"/>
          </w:tcPr>
          <w:p w14:paraId="542BB227">
            <w:pPr>
              <w:rPr>
                <w:rFonts w:ascii="Arial"/>
                <w:sz w:val="21"/>
              </w:rPr>
            </w:pPr>
          </w:p>
        </w:tc>
        <w:tc>
          <w:tcPr>
            <w:tcW w:w="1521" w:type="dxa"/>
            <w:tcBorders>
              <w:right w:val="single" w:color="000000" w:sz="6" w:space="0"/>
            </w:tcBorders>
            <w:vAlign w:val="top"/>
          </w:tcPr>
          <w:p w14:paraId="73577C15">
            <w:pPr>
              <w:rPr>
                <w:rFonts w:ascii="Arial"/>
                <w:sz w:val="21"/>
              </w:rPr>
            </w:pPr>
          </w:p>
        </w:tc>
      </w:tr>
      <w:tr w14:paraId="0A44D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611" w:type="dxa"/>
            <w:tcBorders>
              <w:left w:val="single" w:color="000000" w:sz="6" w:space="0"/>
              <w:bottom w:val="single" w:color="000000" w:sz="6" w:space="0"/>
            </w:tcBorders>
            <w:vAlign w:val="top"/>
          </w:tcPr>
          <w:p w14:paraId="748D470C">
            <w:pPr>
              <w:rPr>
                <w:rFonts w:ascii="Arial"/>
                <w:sz w:val="21"/>
              </w:rPr>
            </w:pPr>
          </w:p>
        </w:tc>
        <w:tc>
          <w:tcPr>
            <w:tcW w:w="4742" w:type="dxa"/>
            <w:tcBorders>
              <w:bottom w:val="single" w:color="000000" w:sz="6" w:space="0"/>
            </w:tcBorders>
            <w:vAlign w:val="top"/>
          </w:tcPr>
          <w:p w14:paraId="19F2087B">
            <w:pPr>
              <w:rPr>
                <w:rFonts w:ascii="Arial"/>
                <w:sz w:val="21"/>
              </w:rPr>
            </w:pPr>
          </w:p>
        </w:tc>
        <w:tc>
          <w:tcPr>
            <w:tcW w:w="968" w:type="dxa"/>
            <w:tcBorders>
              <w:bottom w:val="single" w:color="000000" w:sz="6" w:space="0"/>
            </w:tcBorders>
            <w:vAlign w:val="top"/>
          </w:tcPr>
          <w:p w14:paraId="4132A22C">
            <w:pPr>
              <w:rPr>
                <w:rFonts w:ascii="Arial"/>
                <w:sz w:val="21"/>
              </w:rPr>
            </w:pPr>
          </w:p>
        </w:tc>
        <w:tc>
          <w:tcPr>
            <w:tcW w:w="971" w:type="dxa"/>
            <w:tcBorders>
              <w:bottom w:val="single" w:color="000000" w:sz="6" w:space="0"/>
            </w:tcBorders>
            <w:vAlign w:val="top"/>
          </w:tcPr>
          <w:p w14:paraId="67CA38ED">
            <w:pPr>
              <w:rPr>
                <w:rFonts w:ascii="Arial"/>
                <w:sz w:val="21"/>
              </w:rPr>
            </w:pPr>
          </w:p>
        </w:tc>
        <w:tc>
          <w:tcPr>
            <w:tcW w:w="1521" w:type="dxa"/>
            <w:tcBorders>
              <w:bottom w:val="single" w:color="000000" w:sz="6" w:space="0"/>
              <w:right w:val="single" w:color="000000" w:sz="6" w:space="0"/>
            </w:tcBorders>
            <w:vAlign w:val="top"/>
          </w:tcPr>
          <w:p w14:paraId="13C429D2">
            <w:pPr>
              <w:rPr>
                <w:rFonts w:ascii="Arial"/>
                <w:sz w:val="21"/>
              </w:rPr>
            </w:pPr>
          </w:p>
        </w:tc>
      </w:tr>
    </w:tbl>
    <w:p w14:paraId="270D3C5D">
      <w:pPr>
        <w:numPr>
          <w:ilvl w:val="0"/>
          <w:numId w:val="0"/>
        </w:numPr>
        <w:spacing w:before="55" w:line="221" w:lineRule="auto"/>
        <w:jc w:val="center"/>
        <w:outlineLvl w:val="1"/>
        <w:rPr>
          <w:rFonts w:hint="eastAsia" w:ascii="宋体" w:hAnsi="宋体" w:eastAsia="宋体" w:cs="宋体"/>
          <w:b/>
          <w:bCs/>
          <w:spacing w:val="-8"/>
          <w:sz w:val="24"/>
          <w:szCs w:val="24"/>
          <w:lang w:eastAsia="zh-CN"/>
        </w:rPr>
      </w:pPr>
    </w:p>
    <w:p w14:paraId="226B789B">
      <w:pPr>
        <w:numPr>
          <w:ilvl w:val="0"/>
          <w:numId w:val="0"/>
        </w:numPr>
        <w:kinsoku w:val="0"/>
        <w:autoSpaceDE w:val="0"/>
        <w:autoSpaceDN w:val="0"/>
        <w:adjustRightInd w:val="0"/>
        <w:snapToGrid w:val="0"/>
        <w:spacing w:before="34" w:line="346" w:lineRule="auto"/>
        <w:ind w:right="119" w:rightChars="0"/>
        <w:jc w:val="left"/>
        <w:textAlignment w:val="baseline"/>
        <w:rPr>
          <w:rFonts w:ascii="宋体" w:hAnsi="宋体" w:eastAsia="宋体" w:cs="宋体"/>
          <w:spacing w:val="-2"/>
          <w:sz w:val="24"/>
          <w:szCs w:val="24"/>
        </w:rPr>
      </w:pPr>
    </w:p>
    <w:p w14:paraId="5779A9A4">
      <w:pPr>
        <w:pStyle w:val="3"/>
        <w:spacing w:line="269" w:lineRule="auto"/>
        <w:jc w:val="right"/>
        <w:rPr>
          <w:rFonts w:ascii="宋体" w:hAnsi="宋体" w:eastAsia="宋体" w:cs="宋体"/>
          <w:color w:val="auto"/>
          <w:spacing w:val="-9"/>
          <w:sz w:val="24"/>
          <w:szCs w:val="24"/>
          <w:highlight w:val="none"/>
        </w:rPr>
      </w:pPr>
    </w:p>
    <w:p w14:paraId="71DEA18F">
      <w:pPr>
        <w:pStyle w:val="3"/>
        <w:spacing w:line="269" w:lineRule="auto"/>
        <w:jc w:val="right"/>
        <w:rPr>
          <w:rFonts w:ascii="宋体" w:hAnsi="宋体" w:eastAsia="宋体" w:cs="宋体"/>
          <w:color w:val="auto"/>
          <w:spacing w:val="-9"/>
          <w:sz w:val="24"/>
          <w:szCs w:val="24"/>
          <w:highlight w:val="none"/>
        </w:rPr>
      </w:pPr>
    </w:p>
    <w:p w14:paraId="7525B758">
      <w:pPr>
        <w:spacing w:before="47" w:line="219" w:lineRule="auto"/>
        <w:ind w:left="15"/>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（一）投标人基本情况表</w:t>
      </w:r>
    </w:p>
    <w:p w14:paraId="4F4894DE">
      <w:pPr>
        <w:spacing w:line="147" w:lineRule="exact"/>
        <w:rPr>
          <w:color w:val="auto"/>
          <w:highlight w:val="none"/>
        </w:rPr>
      </w:pPr>
    </w:p>
    <w:tbl>
      <w:tblPr>
        <w:tblStyle w:val="32"/>
        <w:tblW w:w="882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442"/>
        <w:gridCol w:w="283"/>
        <w:gridCol w:w="642"/>
        <w:gridCol w:w="1090"/>
        <w:gridCol w:w="1176"/>
        <w:gridCol w:w="783"/>
        <w:gridCol w:w="829"/>
        <w:gridCol w:w="970"/>
        <w:gridCol w:w="875"/>
        <w:gridCol w:w="738"/>
      </w:tblGrid>
      <w:tr w14:paraId="449004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7" w:hRule="atLeast"/>
        </w:trPr>
        <w:tc>
          <w:tcPr>
            <w:tcW w:w="1442" w:type="dxa"/>
            <w:tcBorders>
              <w:top w:val="single" w:color="000000" w:sz="6" w:space="0"/>
              <w:left w:val="single" w:color="000000" w:sz="6" w:space="0"/>
            </w:tcBorders>
            <w:vAlign w:val="top"/>
          </w:tcPr>
          <w:p w14:paraId="552B3967">
            <w:pPr>
              <w:pStyle w:val="33"/>
              <w:spacing w:before="62" w:line="220" w:lineRule="auto"/>
              <w:ind w:left="126"/>
              <w:rPr>
                <w:color w:val="auto"/>
                <w:sz w:val="24"/>
                <w:szCs w:val="24"/>
                <w:highlight w:val="none"/>
              </w:rPr>
            </w:pPr>
            <w:r>
              <w:rPr>
                <w:color w:val="auto"/>
                <w:spacing w:val="-2"/>
                <w:sz w:val="24"/>
                <w:szCs w:val="24"/>
                <w:highlight w:val="none"/>
              </w:rPr>
              <w:t>投标人名称</w:t>
            </w:r>
          </w:p>
        </w:tc>
        <w:tc>
          <w:tcPr>
            <w:tcW w:w="7386" w:type="dxa"/>
            <w:gridSpan w:val="9"/>
            <w:tcBorders>
              <w:top w:val="single" w:color="000000" w:sz="6" w:space="0"/>
              <w:right w:val="single" w:color="000000" w:sz="6" w:space="0"/>
            </w:tcBorders>
            <w:vAlign w:val="top"/>
          </w:tcPr>
          <w:p w14:paraId="37ED63A1">
            <w:pPr>
              <w:rPr>
                <w:rFonts w:ascii="Arial"/>
                <w:color w:val="auto"/>
                <w:sz w:val="21"/>
                <w:highlight w:val="none"/>
              </w:rPr>
            </w:pPr>
          </w:p>
        </w:tc>
      </w:tr>
      <w:tr w14:paraId="2F110A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tcBorders>
              <w:left w:val="single" w:color="000000" w:sz="6" w:space="0"/>
            </w:tcBorders>
            <w:vAlign w:val="top"/>
          </w:tcPr>
          <w:p w14:paraId="3816C83E">
            <w:pPr>
              <w:pStyle w:val="33"/>
              <w:spacing w:before="60" w:line="221" w:lineRule="auto"/>
              <w:ind w:left="243"/>
              <w:rPr>
                <w:color w:val="auto"/>
                <w:sz w:val="24"/>
                <w:szCs w:val="24"/>
                <w:highlight w:val="none"/>
              </w:rPr>
            </w:pPr>
            <w:r>
              <w:rPr>
                <w:color w:val="auto"/>
                <w:spacing w:val="-2"/>
                <w:sz w:val="24"/>
                <w:szCs w:val="24"/>
                <w:highlight w:val="none"/>
              </w:rPr>
              <w:t>注册地址</w:t>
            </w:r>
          </w:p>
        </w:tc>
        <w:tc>
          <w:tcPr>
            <w:tcW w:w="3191" w:type="dxa"/>
            <w:gridSpan w:val="4"/>
            <w:vAlign w:val="top"/>
          </w:tcPr>
          <w:p w14:paraId="5056A7FE">
            <w:pPr>
              <w:rPr>
                <w:rFonts w:ascii="Arial"/>
                <w:color w:val="auto"/>
                <w:sz w:val="21"/>
                <w:highlight w:val="none"/>
              </w:rPr>
            </w:pPr>
          </w:p>
        </w:tc>
        <w:tc>
          <w:tcPr>
            <w:tcW w:w="1612" w:type="dxa"/>
            <w:gridSpan w:val="2"/>
            <w:vAlign w:val="top"/>
          </w:tcPr>
          <w:p w14:paraId="3872DD6A">
            <w:pPr>
              <w:pStyle w:val="33"/>
              <w:spacing w:before="60" w:line="220" w:lineRule="auto"/>
              <w:ind w:left="349"/>
              <w:rPr>
                <w:color w:val="auto"/>
                <w:sz w:val="24"/>
                <w:szCs w:val="24"/>
                <w:highlight w:val="none"/>
              </w:rPr>
            </w:pPr>
            <w:r>
              <w:rPr>
                <w:color w:val="auto"/>
                <w:spacing w:val="-6"/>
                <w:sz w:val="24"/>
                <w:szCs w:val="24"/>
                <w:highlight w:val="none"/>
              </w:rPr>
              <w:t>邮政编码</w:t>
            </w:r>
          </w:p>
        </w:tc>
        <w:tc>
          <w:tcPr>
            <w:tcW w:w="2583" w:type="dxa"/>
            <w:gridSpan w:val="3"/>
            <w:tcBorders>
              <w:right w:val="single" w:color="000000" w:sz="6" w:space="0"/>
            </w:tcBorders>
            <w:vAlign w:val="top"/>
          </w:tcPr>
          <w:p w14:paraId="1B749CC2">
            <w:pPr>
              <w:rPr>
                <w:rFonts w:ascii="Arial"/>
                <w:color w:val="auto"/>
                <w:sz w:val="21"/>
                <w:highlight w:val="none"/>
              </w:rPr>
            </w:pPr>
          </w:p>
        </w:tc>
      </w:tr>
      <w:tr w14:paraId="1C3B8B6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vMerge w:val="restart"/>
            <w:tcBorders>
              <w:left w:val="single" w:color="000000" w:sz="6" w:space="0"/>
              <w:bottom w:val="nil"/>
            </w:tcBorders>
            <w:vAlign w:val="top"/>
          </w:tcPr>
          <w:p w14:paraId="7833CBC5">
            <w:pPr>
              <w:spacing w:line="241" w:lineRule="auto"/>
              <w:rPr>
                <w:rFonts w:ascii="Arial"/>
                <w:color w:val="auto"/>
                <w:sz w:val="21"/>
                <w:highlight w:val="none"/>
              </w:rPr>
            </w:pPr>
          </w:p>
          <w:p w14:paraId="0C893EFD">
            <w:pPr>
              <w:pStyle w:val="33"/>
              <w:spacing w:before="78" w:line="221" w:lineRule="auto"/>
              <w:ind w:left="244"/>
              <w:rPr>
                <w:color w:val="auto"/>
                <w:sz w:val="24"/>
                <w:szCs w:val="24"/>
                <w:highlight w:val="none"/>
              </w:rPr>
            </w:pPr>
            <w:r>
              <w:rPr>
                <w:color w:val="auto"/>
                <w:spacing w:val="-2"/>
                <w:sz w:val="24"/>
                <w:szCs w:val="24"/>
                <w:highlight w:val="none"/>
              </w:rPr>
              <w:t>联系方式</w:t>
            </w:r>
          </w:p>
        </w:tc>
        <w:tc>
          <w:tcPr>
            <w:tcW w:w="925" w:type="dxa"/>
            <w:gridSpan w:val="2"/>
            <w:vAlign w:val="top"/>
          </w:tcPr>
          <w:p w14:paraId="45E76F31">
            <w:pPr>
              <w:pStyle w:val="33"/>
              <w:spacing w:before="58" w:line="222" w:lineRule="auto"/>
              <w:ind w:left="106"/>
              <w:rPr>
                <w:color w:val="auto"/>
                <w:sz w:val="24"/>
                <w:szCs w:val="24"/>
                <w:highlight w:val="none"/>
              </w:rPr>
            </w:pPr>
            <w:r>
              <w:rPr>
                <w:color w:val="auto"/>
                <w:spacing w:val="-3"/>
                <w:sz w:val="24"/>
                <w:szCs w:val="24"/>
                <w:highlight w:val="none"/>
              </w:rPr>
              <w:t>联系人</w:t>
            </w:r>
          </w:p>
        </w:tc>
        <w:tc>
          <w:tcPr>
            <w:tcW w:w="2266" w:type="dxa"/>
            <w:gridSpan w:val="2"/>
            <w:vAlign w:val="top"/>
          </w:tcPr>
          <w:p w14:paraId="46BA8F1C">
            <w:pPr>
              <w:rPr>
                <w:rFonts w:ascii="Arial"/>
                <w:color w:val="auto"/>
                <w:sz w:val="21"/>
                <w:highlight w:val="none"/>
              </w:rPr>
            </w:pPr>
          </w:p>
        </w:tc>
        <w:tc>
          <w:tcPr>
            <w:tcW w:w="1612" w:type="dxa"/>
            <w:gridSpan w:val="2"/>
            <w:vAlign w:val="top"/>
          </w:tcPr>
          <w:p w14:paraId="12ED3CCA">
            <w:pPr>
              <w:pStyle w:val="33"/>
              <w:spacing w:before="58" w:line="222" w:lineRule="auto"/>
              <w:ind w:left="480"/>
              <w:rPr>
                <w:color w:val="auto"/>
                <w:sz w:val="24"/>
                <w:szCs w:val="24"/>
                <w:highlight w:val="none"/>
              </w:rPr>
            </w:pPr>
            <w:r>
              <w:rPr>
                <w:color w:val="auto"/>
                <w:spacing w:val="-19"/>
                <w:sz w:val="24"/>
                <w:szCs w:val="24"/>
                <w:highlight w:val="none"/>
              </w:rPr>
              <w:t>电</w:t>
            </w:r>
            <w:r>
              <w:rPr>
                <w:color w:val="auto"/>
                <w:spacing w:val="4"/>
                <w:sz w:val="24"/>
                <w:szCs w:val="24"/>
                <w:highlight w:val="none"/>
              </w:rPr>
              <w:t xml:space="preserve">  </w:t>
            </w:r>
            <w:r>
              <w:rPr>
                <w:color w:val="auto"/>
                <w:spacing w:val="-19"/>
                <w:sz w:val="24"/>
                <w:szCs w:val="24"/>
                <w:highlight w:val="none"/>
              </w:rPr>
              <w:t>话</w:t>
            </w:r>
          </w:p>
        </w:tc>
        <w:tc>
          <w:tcPr>
            <w:tcW w:w="2583" w:type="dxa"/>
            <w:gridSpan w:val="3"/>
            <w:tcBorders>
              <w:right w:val="single" w:color="000000" w:sz="6" w:space="0"/>
            </w:tcBorders>
            <w:vAlign w:val="top"/>
          </w:tcPr>
          <w:p w14:paraId="003803D7">
            <w:pPr>
              <w:rPr>
                <w:rFonts w:ascii="Arial"/>
                <w:color w:val="auto"/>
                <w:sz w:val="21"/>
                <w:highlight w:val="none"/>
              </w:rPr>
            </w:pPr>
          </w:p>
        </w:tc>
      </w:tr>
      <w:tr w14:paraId="6911F9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2" w:hRule="atLeast"/>
        </w:trPr>
        <w:tc>
          <w:tcPr>
            <w:tcW w:w="1442" w:type="dxa"/>
            <w:vMerge w:val="continue"/>
            <w:tcBorders>
              <w:top w:val="nil"/>
              <w:left w:val="single" w:color="000000" w:sz="6" w:space="0"/>
            </w:tcBorders>
            <w:vAlign w:val="top"/>
          </w:tcPr>
          <w:p w14:paraId="6689140F">
            <w:pPr>
              <w:rPr>
                <w:rFonts w:ascii="Arial"/>
                <w:color w:val="auto"/>
                <w:sz w:val="21"/>
                <w:highlight w:val="none"/>
              </w:rPr>
            </w:pPr>
          </w:p>
        </w:tc>
        <w:tc>
          <w:tcPr>
            <w:tcW w:w="925" w:type="dxa"/>
            <w:gridSpan w:val="2"/>
            <w:vAlign w:val="top"/>
          </w:tcPr>
          <w:p w14:paraId="5C555AFE">
            <w:pPr>
              <w:pStyle w:val="33"/>
              <w:spacing w:before="59" w:line="219" w:lineRule="auto"/>
              <w:ind w:left="163"/>
              <w:rPr>
                <w:color w:val="auto"/>
                <w:sz w:val="24"/>
                <w:szCs w:val="24"/>
                <w:highlight w:val="none"/>
              </w:rPr>
            </w:pPr>
            <w:r>
              <w:rPr>
                <w:color w:val="auto"/>
                <w:spacing w:val="-4"/>
                <w:sz w:val="24"/>
                <w:szCs w:val="24"/>
                <w:highlight w:val="none"/>
              </w:rPr>
              <w:t>传</w:t>
            </w:r>
            <w:r>
              <w:rPr>
                <w:color w:val="auto"/>
                <w:spacing w:val="12"/>
                <w:sz w:val="24"/>
                <w:szCs w:val="24"/>
                <w:highlight w:val="none"/>
              </w:rPr>
              <w:t xml:space="preserve"> </w:t>
            </w:r>
            <w:r>
              <w:rPr>
                <w:color w:val="auto"/>
                <w:spacing w:val="-4"/>
                <w:sz w:val="24"/>
                <w:szCs w:val="24"/>
                <w:highlight w:val="none"/>
              </w:rPr>
              <w:t>真</w:t>
            </w:r>
          </w:p>
        </w:tc>
        <w:tc>
          <w:tcPr>
            <w:tcW w:w="2266" w:type="dxa"/>
            <w:gridSpan w:val="2"/>
            <w:vAlign w:val="top"/>
          </w:tcPr>
          <w:p w14:paraId="2F5FA7C3">
            <w:pPr>
              <w:rPr>
                <w:rFonts w:ascii="Arial"/>
                <w:color w:val="auto"/>
                <w:sz w:val="21"/>
                <w:highlight w:val="none"/>
              </w:rPr>
            </w:pPr>
          </w:p>
        </w:tc>
        <w:tc>
          <w:tcPr>
            <w:tcW w:w="1612" w:type="dxa"/>
            <w:gridSpan w:val="2"/>
            <w:vAlign w:val="top"/>
          </w:tcPr>
          <w:p w14:paraId="2EE07B67">
            <w:pPr>
              <w:pStyle w:val="33"/>
              <w:spacing w:before="59" w:line="220" w:lineRule="auto"/>
              <w:ind w:left="360"/>
              <w:rPr>
                <w:color w:val="auto"/>
                <w:sz w:val="24"/>
                <w:szCs w:val="24"/>
                <w:highlight w:val="none"/>
              </w:rPr>
            </w:pPr>
            <w:r>
              <w:rPr>
                <w:color w:val="auto"/>
                <w:spacing w:val="-8"/>
                <w:sz w:val="24"/>
                <w:szCs w:val="24"/>
                <w:highlight w:val="none"/>
              </w:rPr>
              <w:t>电子信箱</w:t>
            </w:r>
          </w:p>
        </w:tc>
        <w:tc>
          <w:tcPr>
            <w:tcW w:w="2583" w:type="dxa"/>
            <w:gridSpan w:val="3"/>
            <w:tcBorders>
              <w:right w:val="single" w:color="000000" w:sz="6" w:space="0"/>
            </w:tcBorders>
            <w:vAlign w:val="top"/>
          </w:tcPr>
          <w:p w14:paraId="780F1C8D">
            <w:pPr>
              <w:rPr>
                <w:rFonts w:ascii="Arial"/>
                <w:color w:val="auto"/>
                <w:sz w:val="21"/>
                <w:highlight w:val="none"/>
              </w:rPr>
            </w:pPr>
          </w:p>
        </w:tc>
      </w:tr>
      <w:tr w14:paraId="60954AF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tcBorders>
              <w:left w:val="single" w:color="000000" w:sz="6" w:space="0"/>
            </w:tcBorders>
            <w:vAlign w:val="top"/>
          </w:tcPr>
          <w:p w14:paraId="260D3B49">
            <w:pPr>
              <w:pStyle w:val="33"/>
              <w:spacing w:before="64" w:line="220" w:lineRule="auto"/>
              <w:ind w:left="247"/>
              <w:rPr>
                <w:color w:val="auto"/>
                <w:sz w:val="24"/>
                <w:szCs w:val="24"/>
                <w:highlight w:val="none"/>
              </w:rPr>
            </w:pPr>
            <w:r>
              <w:rPr>
                <w:color w:val="auto"/>
                <w:spacing w:val="-3"/>
                <w:sz w:val="24"/>
                <w:szCs w:val="24"/>
                <w:highlight w:val="none"/>
              </w:rPr>
              <w:t>企业性质</w:t>
            </w:r>
          </w:p>
        </w:tc>
        <w:tc>
          <w:tcPr>
            <w:tcW w:w="2015" w:type="dxa"/>
            <w:gridSpan w:val="3"/>
            <w:vAlign w:val="top"/>
          </w:tcPr>
          <w:p w14:paraId="031593BE">
            <w:pPr>
              <w:rPr>
                <w:rFonts w:ascii="Arial"/>
                <w:color w:val="auto"/>
                <w:sz w:val="21"/>
                <w:highlight w:val="none"/>
              </w:rPr>
            </w:pPr>
          </w:p>
        </w:tc>
        <w:tc>
          <w:tcPr>
            <w:tcW w:w="2788" w:type="dxa"/>
            <w:gridSpan w:val="3"/>
            <w:vAlign w:val="top"/>
          </w:tcPr>
          <w:p w14:paraId="21C7C049">
            <w:pPr>
              <w:pStyle w:val="33"/>
              <w:spacing w:before="63" w:line="220" w:lineRule="auto"/>
              <w:ind w:left="684"/>
              <w:rPr>
                <w:color w:val="auto"/>
                <w:sz w:val="24"/>
                <w:szCs w:val="24"/>
                <w:highlight w:val="none"/>
              </w:rPr>
            </w:pPr>
            <w:r>
              <w:rPr>
                <w:color w:val="auto"/>
                <w:spacing w:val="-2"/>
                <w:sz w:val="24"/>
                <w:szCs w:val="24"/>
                <w:highlight w:val="none"/>
              </w:rPr>
              <w:t>上级主管单位</w:t>
            </w:r>
          </w:p>
        </w:tc>
        <w:tc>
          <w:tcPr>
            <w:tcW w:w="2583" w:type="dxa"/>
            <w:gridSpan w:val="3"/>
            <w:tcBorders>
              <w:right w:val="single" w:color="000000" w:sz="6" w:space="0"/>
            </w:tcBorders>
            <w:vAlign w:val="top"/>
          </w:tcPr>
          <w:p w14:paraId="6F084316">
            <w:pPr>
              <w:rPr>
                <w:rFonts w:ascii="Arial"/>
                <w:color w:val="auto"/>
                <w:sz w:val="21"/>
                <w:highlight w:val="none"/>
              </w:rPr>
            </w:pPr>
          </w:p>
        </w:tc>
      </w:tr>
      <w:tr w14:paraId="1FC7DDC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1442" w:type="dxa"/>
            <w:tcBorders>
              <w:left w:val="single" w:color="000000" w:sz="6" w:space="0"/>
            </w:tcBorders>
            <w:vAlign w:val="top"/>
          </w:tcPr>
          <w:p w14:paraId="197DB441">
            <w:pPr>
              <w:pStyle w:val="33"/>
              <w:spacing w:before="61" w:line="220" w:lineRule="auto"/>
              <w:ind w:left="124"/>
              <w:rPr>
                <w:color w:val="auto"/>
                <w:sz w:val="24"/>
                <w:szCs w:val="24"/>
                <w:highlight w:val="none"/>
              </w:rPr>
            </w:pPr>
            <w:r>
              <w:rPr>
                <w:color w:val="auto"/>
                <w:spacing w:val="-2"/>
                <w:sz w:val="24"/>
                <w:szCs w:val="24"/>
                <w:highlight w:val="none"/>
              </w:rPr>
              <w:t>法定代表人</w:t>
            </w:r>
          </w:p>
        </w:tc>
        <w:tc>
          <w:tcPr>
            <w:tcW w:w="925" w:type="dxa"/>
            <w:gridSpan w:val="2"/>
            <w:vAlign w:val="top"/>
          </w:tcPr>
          <w:p w14:paraId="68AA2E16">
            <w:pPr>
              <w:pStyle w:val="33"/>
              <w:spacing w:before="61" w:line="220" w:lineRule="auto"/>
              <w:ind w:left="225"/>
              <w:rPr>
                <w:color w:val="auto"/>
                <w:sz w:val="24"/>
                <w:szCs w:val="24"/>
                <w:highlight w:val="none"/>
              </w:rPr>
            </w:pPr>
            <w:r>
              <w:rPr>
                <w:color w:val="auto"/>
                <w:spacing w:val="-3"/>
                <w:sz w:val="24"/>
                <w:szCs w:val="24"/>
                <w:highlight w:val="none"/>
              </w:rPr>
              <w:t>姓名</w:t>
            </w:r>
          </w:p>
        </w:tc>
        <w:tc>
          <w:tcPr>
            <w:tcW w:w="1090" w:type="dxa"/>
            <w:vAlign w:val="top"/>
          </w:tcPr>
          <w:p w14:paraId="638BD644">
            <w:pPr>
              <w:rPr>
                <w:rFonts w:ascii="Arial"/>
                <w:color w:val="auto"/>
                <w:sz w:val="21"/>
                <w:highlight w:val="none"/>
              </w:rPr>
            </w:pPr>
          </w:p>
        </w:tc>
        <w:tc>
          <w:tcPr>
            <w:tcW w:w="1176" w:type="dxa"/>
            <w:vAlign w:val="top"/>
          </w:tcPr>
          <w:p w14:paraId="496265B5">
            <w:pPr>
              <w:pStyle w:val="33"/>
              <w:spacing w:before="61" w:line="220" w:lineRule="auto"/>
              <w:ind w:left="114"/>
              <w:rPr>
                <w:color w:val="auto"/>
                <w:sz w:val="24"/>
                <w:szCs w:val="24"/>
                <w:highlight w:val="none"/>
              </w:rPr>
            </w:pPr>
            <w:r>
              <w:rPr>
                <w:color w:val="auto"/>
                <w:spacing w:val="-2"/>
                <w:sz w:val="24"/>
                <w:szCs w:val="24"/>
                <w:highlight w:val="none"/>
              </w:rPr>
              <w:t>技术职称</w:t>
            </w:r>
          </w:p>
        </w:tc>
        <w:tc>
          <w:tcPr>
            <w:tcW w:w="1612" w:type="dxa"/>
            <w:gridSpan w:val="2"/>
            <w:vAlign w:val="top"/>
          </w:tcPr>
          <w:p w14:paraId="2741887A">
            <w:pPr>
              <w:rPr>
                <w:rFonts w:ascii="Arial"/>
                <w:color w:val="auto"/>
                <w:sz w:val="21"/>
                <w:highlight w:val="none"/>
              </w:rPr>
            </w:pPr>
          </w:p>
        </w:tc>
        <w:tc>
          <w:tcPr>
            <w:tcW w:w="970" w:type="dxa"/>
            <w:vAlign w:val="top"/>
          </w:tcPr>
          <w:p w14:paraId="4C87C1FF">
            <w:pPr>
              <w:pStyle w:val="33"/>
              <w:spacing w:before="61" w:line="222" w:lineRule="auto"/>
              <w:ind w:left="284"/>
              <w:rPr>
                <w:color w:val="auto"/>
                <w:sz w:val="24"/>
                <w:szCs w:val="24"/>
                <w:highlight w:val="none"/>
              </w:rPr>
            </w:pPr>
            <w:r>
              <w:rPr>
                <w:color w:val="auto"/>
                <w:spacing w:val="-10"/>
                <w:sz w:val="24"/>
                <w:szCs w:val="24"/>
                <w:highlight w:val="none"/>
              </w:rPr>
              <w:t>电话</w:t>
            </w:r>
          </w:p>
        </w:tc>
        <w:tc>
          <w:tcPr>
            <w:tcW w:w="1613" w:type="dxa"/>
            <w:gridSpan w:val="2"/>
            <w:tcBorders>
              <w:right w:val="single" w:color="000000" w:sz="6" w:space="0"/>
            </w:tcBorders>
            <w:vAlign w:val="top"/>
          </w:tcPr>
          <w:p w14:paraId="7DED3B88">
            <w:pPr>
              <w:rPr>
                <w:rFonts w:ascii="Arial"/>
                <w:color w:val="auto"/>
                <w:sz w:val="21"/>
                <w:highlight w:val="none"/>
              </w:rPr>
            </w:pPr>
          </w:p>
        </w:tc>
      </w:tr>
      <w:tr w14:paraId="6F216E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1442" w:type="dxa"/>
            <w:tcBorders>
              <w:left w:val="single" w:color="000000" w:sz="6" w:space="0"/>
            </w:tcBorders>
            <w:vAlign w:val="top"/>
          </w:tcPr>
          <w:p w14:paraId="2092AABB">
            <w:pPr>
              <w:pStyle w:val="33"/>
              <w:spacing w:before="62" w:line="220" w:lineRule="auto"/>
              <w:ind w:left="124"/>
              <w:rPr>
                <w:color w:val="auto"/>
                <w:sz w:val="24"/>
                <w:szCs w:val="24"/>
                <w:highlight w:val="none"/>
              </w:rPr>
            </w:pPr>
            <w:r>
              <w:rPr>
                <w:color w:val="auto"/>
                <w:spacing w:val="-2"/>
                <w:sz w:val="24"/>
                <w:szCs w:val="24"/>
                <w:highlight w:val="none"/>
              </w:rPr>
              <w:t>技术负责人</w:t>
            </w:r>
          </w:p>
        </w:tc>
        <w:tc>
          <w:tcPr>
            <w:tcW w:w="925" w:type="dxa"/>
            <w:gridSpan w:val="2"/>
            <w:vAlign w:val="top"/>
          </w:tcPr>
          <w:p w14:paraId="373D5F17">
            <w:pPr>
              <w:pStyle w:val="33"/>
              <w:spacing w:before="62" w:line="220" w:lineRule="auto"/>
              <w:ind w:left="225"/>
              <w:rPr>
                <w:color w:val="auto"/>
                <w:sz w:val="24"/>
                <w:szCs w:val="24"/>
                <w:highlight w:val="none"/>
              </w:rPr>
            </w:pPr>
            <w:r>
              <w:rPr>
                <w:color w:val="auto"/>
                <w:spacing w:val="-3"/>
                <w:sz w:val="24"/>
                <w:szCs w:val="24"/>
                <w:highlight w:val="none"/>
              </w:rPr>
              <w:t>姓名</w:t>
            </w:r>
          </w:p>
        </w:tc>
        <w:tc>
          <w:tcPr>
            <w:tcW w:w="1090" w:type="dxa"/>
            <w:vAlign w:val="top"/>
          </w:tcPr>
          <w:p w14:paraId="3EB53850">
            <w:pPr>
              <w:rPr>
                <w:rFonts w:ascii="Arial"/>
                <w:color w:val="auto"/>
                <w:sz w:val="21"/>
                <w:highlight w:val="none"/>
              </w:rPr>
            </w:pPr>
          </w:p>
        </w:tc>
        <w:tc>
          <w:tcPr>
            <w:tcW w:w="1176" w:type="dxa"/>
            <w:vAlign w:val="top"/>
          </w:tcPr>
          <w:p w14:paraId="6D8FC0A5">
            <w:pPr>
              <w:pStyle w:val="33"/>
              <w:spacing w:before="62" w:line="220" w:lineRule="auto"/>
              <w:ind w:left="114"/>
              <w:rPr>
                <w:color w:val="auto"/>
                <w:sz w:val="24"/>
                <w:szCs w:val="24"/>
                <w:highlight w:val="none"/>
              </w:rPr>
            </w:pPr>
            <w:r>
              <w:rPr>
                <w:color w:val="auto"/>
                <w:spacing w:val="-2"/>
                <w:sz w:val="24"/>
                <w:szCs w:val="24"/>
                <w:highlight w:val="none"/>
              </w:rPr>
              <w:t>技术职称</w:t>
            </w:r>
          </w:p>
        </w:tc>
        <w:tc>
          <w:tcPr>
            <w:tcW w:w="1612" w:type="dxa"/>
            <w:gridSpan w:val="2"/>
            <w:vAlign w:val="top"/>
          </w:tcPr>
          <w:p w14:paraId="770DBEA1">
            <w:pPr>
              <w:rPr>
                <w:rFonts w:ascii="Arial"/>
                <w:color w:val="auto"/>
                <w:sz w:val="21"/>
                <w:highlight w:val="none"/>
              </w:rPr>
            </w:pPr>
          </w:p>
        </w:tc>
        <w:tc>
          <w:tcPr>
            <w:tcW w:w="970" w:type="dxa"/>
            <w:vAlign w:val="top"/>
          </w:tcPr>
          <w:p w14:paraId="43F8A3B1">
            <w:pPr>
              <w:pStyle w:val="33"/>
              <w:spacing w:before="62" w:line="222" w:lineRule="auto"/>
              <w:ind w:left="284"/>
              <w:rPr>
                <w:color w:val="auto"/>
                <w:sz w:val="24"/>
                <w:szCs w:val="24"/>
                <w:highlight w:val="none"/>
              </w:rPr>
            </w:pPr>
            <w:r>
              <w:rPr>
                <w:color w:val="auto"/>
                <w:spacing w:val="-10"/>
                <w:sz w:val="24"/>
                <w:szCs w:val="24"/>
                <w:highlight w:val="none"/>
              </w:rPr>
              <w:t>电话</w:t>
            </w:r>
          </w:p>
        </w:tc>
        <w:tc>
          <w:tcPr>
            <w:tcW w:w="1613" w:type="dxa"/>
            <w:gridSpan w:val="2"/>
            <w:tcBorders>
              <w:right w:val="single" w:color="000000" w:sz="6" w:space="0"/>
            </w:tcBorders>
            <w:vAlign w:val="top"/>
          </w:tcPr>
          <w:p w14:paraId="1ECDD6CE">
            <w:pPr>
              <w:rPr>
                <w:rFonts w:ascii="Arial"/>
                <w:color w:val="auto"/>
                <w:sz w:val="21"/>
                <w:highlight w:val="none"/>
              </w:rPr>
            </w:pPr>
          </w:p>
        </w:tc>
      </w:tr>
      <w:tr w14:paraId="3E4C1F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1296C6B9">
            <w:pPr>
              <w:pStyle w:val="33"/>
              <w:spacing w:before="65" w:line="221" w:lineRule="auto"/>
              <w:ind w:left="709"/>
              <w:rPr>
                <w:color w:val="auto"/>
                <w:sz w:val="24"/>
                <w:szCs w:val="24"/>
                <w:highlight w:val="none"/>
              </w:rPr>
            </w:pPr>
            <w:r>
              <w:rPr>
                <w:color w:val="auto"/>
                <w:spacing w:val="-3"/>
                <w:sz w:val="24"/>
                <w:szCs w:val="24"/>
                <w:highlight w:val="none"/>
              </w:rPr>
              <w:t>成立时间</w:t>
            </w:r>
          </w:p>
        </w:tc>
        <w:tc>
          <w:tcPr>
            <w:tcW w:w="2266" w:type="dxa"/>
            <w:gridSpan w:val="2"/>
            <w:vAlign w:val="top"/>
          </w:tcPr>
          <w:p w14:paraId="2F44553C">
            <w:pPr>
              <w:rPr>
                <w:rFonts w:ascii="Arial"/>
                <w:color w:val="auto"/>
                <w:sz w:val="21"/>
                <w:highlight w:val="none"/>
              </w:rPr>
            </w:pPr>
          </w:p>
        </w:tc>
        <w:tc>
          <w:tcPr>
            <w:tcW w:w="3457" w:type="dxa"/>
            <w:gridSpan w:val="4"/>
            <w:vAlign w:val="top"/>
          </w:tcPr>
          <w:p w14:paraId="7CFA6562">
            <w:pPr>
              <w:pStyle w:val="33"/>
              <w:spacing w:before="65" w:line="220" w:lineRule="auto"/>
              <w:ind w:left="785"/>
              <w:rPr>
                <w:color w:val="auto"/>
                <w:sz w:val="24"/>
                <w:szCs w:val="24"/>
                <w:highlight w:val="none"/>
              </w:rPr>
            </w:pPr>
            <w:r>
              <w:rPr>
                <w:color w:val="auto"/>
                <w:spacing w:val="-4"/>
                <w:sz w:val="24"/>
                <w:szCs w:val="24"/>
                <w:highlight w:val="none"/>
              </w:rPr>
              <w:t>员工总人数（人）</w:t>
            </w:r>
          </w:p>
        </w:tc>
        <w:tc>
          <w:tcPr>
            <w:tcW w:w="738" w:type="dxa"/>
            <w:tcBorders>
              <w:right w:val="single" w:color="000000" w:sz="6" w:space="0"/>
            </w:tcBorders>
            <w:vAlign w:val="top"/>
          </w:tcPr>
          <w:p w14:paraId="1D5C36B2">
            <w:pPr>
              <w:rPr>
                <w:rFonts w:ascii="Arial"/>
                <w:color w:val="auto"/>
                <w:sz w:val="21"/>
                <w:highlight w:val="none"/>
              </w:rPr>
            </w:pPr>
          </w:p>
        </w:tc>
      </w:tr>
      <w:tr w14:paraId="5E12461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53AF31E6">
            <w:pPr>
              <w:pStyle w:val="33"/>
              <w:spacing w:before="63" w:line="220" w:lineRule="auto"/>
              <w:ind w:left="471"/>
              <w:rPr>
                <w:color w:val="auto"/>
                <w:sz w:val="24"/>
                <w:szCs w:val="24"/>
                <w:highlight w:val="none"/>
              </w:rPr>
            </w:pPr>
            <w:r>
              <w:rPr>
                <w:color w:val="auto"/>
                <w:spacing w:val="-2"/>
                <w:sz w:val="24"/>
                <w:szCs w:val="24"/>
                <w:highlight w:val="none"/>
              </w:rPr>
              <w:t>企业资质等级</w:t>
            </w:r>
          </w:p>
        </w:tc>
        <w:tc>
          <w:tcPr>
            <w:tcW w:w="2266" w:type="dxa"/>
            <w:gridSpan w:val="2"/>
            <w:vAlign w:val="top"/>
          </w:tcPr>
          <w:p w14:paraId="040B9D47">
            <w:pPr>
              <w:rPr>
                <w:rFonts w:ascii="Arial"/>
                <w:color w:val="auto"/>
                <w:sz w:val="21"/>
                <w:highlight w:val="none"/>
              </w:rPr>
            </w:pPr>
          </w:p>
        </w:tc>
        <w:tc>
          <w:tcPr>
            <w:tcW w:w="783" w:type="dxa"/>
            <w:vMerge w:val="restart"/>
            <w:tcBorders>
              <w:bottom w:val="nil"/>
            </w:tcBorders>
            <w:vAlign w:val="top"/>
          </w:tcPr>
          <w:p w14:paraId="38A5FFB8">
            <w:pPr>
              <w:spacing w:line="255" w:lineRule="auto"/>
              <w:rPr>
                <w:rFonts w:ascii="Arial"/>
                <w:color w:val="auto"/>
                <w:sz w:val="21"/>
                <w:highlight w:val="none"/>
              </w:rPr>
            </w:pPr>
          </w:p>
          <w:p w14:paraId="1B428FA9">
            <w:pPr>
              <w:spacing w:line="255" w:lineRule="auto"/>
              <w:rPr>
                <w:rFonts w:ascii="Arial"/>
                <w:color w:val="auto"/>
                <w:sz w:val="21"/>
                <w:highlight w:val="none"/>
              </w:rPr>
            </w:pPr>
          </w:p>
          <w:p w14:paraId="7C4276F9">
            <w:pPr>
              <w:spacing w:line="255" w:lineRule="auto"/>
              <w:rPr>
                <w:rFonts w:ascii="Arial"/>
                <w:color w:val="auto"/>
                <w:sz w:val="21"/>
                <w:highlight w:val="none"/>
              </w:rPr>
            </w:pPr>
          </w:p>
          <w:p w14:paraId="3130161A">
            <w:pPr>
              <w:spacing w:line="256" w:lineRule="auto"/>
              <w:rPr>
                <w:rFonts w:ascii="Arial"/>
                <w:color w:val="auto"/>
                <w:sz w:val="21"/>
                <w:highlight w:val="none"/>
              </w:rPr>
            </w:pPr>
          </w:p>
          <w:p w14:paraId="247DD093">
            <w:pPr>
              <w:pStyle w:val="33"/>
              <w:spacing w:before="78" w:line="220" w:lineRule="auto"/>
              <w:ind w:left="157"/>
              <w:rPr>
                <w:color w:val="auto"/>
                <w:sz w:val="24"/>
                <w:szCs w:val="24"/>
                <w:highlight w:val="none"/>
              </w:rPr>
            </w:pPr>
            <w:r>
              <w:rPr>
                <w:color w:val="auto"/>
                <w:spacing w:val="-3"/>
                <w:sz w:val="24"/>
                <w:szCs w:val="24"/>
                <w:highlight w:val="none"/>
              </w:rPr>
              <w:t>其中</w:t>
            </w:r>
          </w:p>
        </w:tc>
        <w:tc>
          <w:tcPr>
            <w:tcW w:w="2674" w:type="dxa"/>
            <w:gridSpan w:val="3"/>
            <w:vAlign w:val="top"/>
          </w:tcPr>
          <w:p w14:paraId="0F3E81A4">
            <w:pPr>
              <w:pStyle w:val="33"/>
              <w:spacing w:before="63" w:line="220" w:lineRule="auto"/>
              <w:ind w:left="390"/>
              <w:rPr>
                <w:color w:val="auto"/>
                <w:sz w:val="24"/>
                <w:szCs w:val="24"/>
                <w:highlight w:val="none"/>
              </w:rPr>
            </w:pPr>
            <w:r>
              <w:rPr>
                <w:color w:val="auto"/>
                <w:spacing w:val="-4"/>
                <w:sz w:val="24"/>
                <w:szCs w:val="24"/>
                <w:highlight w:val="none"/>
              </w:rPr>
              <w:t>项目负责人（人）</w:t>
            </w:r>
          </w:p>
        </w:tc>
        <w:tc>
          <w:tcPr>
            <w:tcW w:w="738" w:type="dxa"/>
            <w:tcBorders>
              <w:right w:val="single" w:color="000000" w:sz="6" w:space="0"/>
            </w:tcBorders>
            <w:vAlign w:val="top"/>
          </w:tcPr>
          <w:p w14:paraId="26CF24DE">
            <w:pPr>
              <w:rPr>
                <w:rFonts w:ascii="Arial"/>
                <w:color w:val="auto"/>
                <w:sz w:val="21"/>
                <w:highlight w:val="none"/>
              </w:rPr>
            </w:pPr>
          </w:p>
        </w:tc>
      </w:tr>
      <w:tr w14:paraId="359B5F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2367" w:type="dxa"/>
            <w:gridSpan w:val="3"/>
            <w:tcBorders>
              <w:left w:val="single" w:color="000000" w:sz="6" w:space="0"/>
            </w:tcBorders>
            <w:vAlign w:val="top"/>
          </w:tcPr>
          <w:p w14:paraId="2B627CC3">
            <w:pPr>
              <w:pStyle w:val="33"/>
              <w:spacing w:before="64" w:line="219" w:lineRule="auto"/>
              <w:ind w:left="232"/>
              <w:rPr>
                <w:color w:val="auto"/>
                <w:sz w:val="24"/>
                <w:szCs w:val="24"/>
                <w:highlight w:val="none"/>
              </w:rPr>
            </w:pPr>
            <w:r>
              <w:rPr>
                <w:color w:val="auto"/>
                <w:spacing w:val="-2"/>
                <w:sz w:val="24"/>
                <w:szCs w:val="24"/>
                <w:highlight w:val="none"/>
              </w:rPr>
              <w:t>统一社会信用代码</w:t>
            </w:r>
          </w:p>
        </w:tc>
        <w:tc>
          <w:tcPr>
            <w:tcW w:w="2266" w:type="dxa"/>
            <w:gridSpan w:val="2"/>
            <w:vAlign w:val="top"/>
          </w:tcPr>
          <w:p w14:paraId="408E1A03">
            <w:pPr>
              <w:rPr>
                <w:rFonts w:ascii="Arial"/>
                <w:color w:val="auto"/>
                <w:sz w:val="21"/>
                <w:highlight w:val="none"/>
              </w:rPr>
            </w:pPr>
          </w:p>
        </w:tc>
        <w:tc>
          <w:tcPr>
            <w:tcW w:w="783" w:type="dxa"/>
            <w:vMerge w:val="continue"/>
            <w:tcBorders>
              <w:top w:val="nil"/>
              <w:bottom w:val="nil"/>
            </w:tcBorders>
            <w:vAlign w:val="top"/>
          </w:tcPr>
          <w:p w14:paraId="3A03627E">
            <w:pPr>
              <w:rPr>
                <w:rFonts w:ascii="Arial"/>
                <w:color w:val="auto"/>
                <w:sz w:val="21"/>
                <w:highlight w:val="none"/>
              </w:rPr>
            </w:pPr>
          </w:p>
        </w:tc>
        <w:tc>
          <w:tcPr>
            <w:tcW w:w="2674" w:type="dxa"/>
            <w:gridSpan w:val="3"/>
            <w:vAlign w:val="top"/>
          </w:tcPr>
          <w:p w14:paraId="26C23904">
            <w:pPr>
              <w:pStyle w:val="33"/>
              <w:spacing w:before="64" w:line="220" w:lineRule="auto"/>
              <w:ind w:left="273"/>
              <w:rPr>
                <w:color w:val="auto"/>
                <w:sz w:val="24"/>
                <w:szCs w:val="24"/>
                <w:highlight w:val="none"/>
              </w:rPr>
            </w:pPr>
            <w:r>
              <w:rPr>
                <w:color w:val="auto"/>
                <w:spacing w:val="-4"/>
                <w:sz w:val="24"/>
                <w:szCs w:val="24"/>
                <w:highlight w:val="none"/>
              </w:rPr>
              <w:t>高级职称人员（人）</w:t>
            </w:r>
          </w:p>
        </w:tc>
        <w:tc>
          <w:tcPr>
            <w:tcW w:w="738" w:type="dxa"/>
            <w:tcBorders>
              <w:right w:val="single" w:color="000000" w:sz="6" w:space="0"/>
            </w:tcBorders>
            <w:vAlign w:val="top"/>
          </w:tcPr>
          <w:p w14:paraId="238E35B8">
            <w:pPr>
              <w:rPr>
                <w:rFonts w:ascii="Arial"/>
                <w:color w:val="auto"/>
                <w:sz w:val="21"/>
                <w:highlight w:val="none"/>
              </w:rPr>
            </w:pPr>
          </w:p>
        </w:tc>
      </w:tr>
      <w:tr w14:paraId="5D5F50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28C98E93">
            <w:pPr>
              <w:pStyle w:val="33"/>
              <w:spacing w:before="67" w:line="221" w:lineRule="auto"/>
              <w:ind w:left="707"/>
              <w:rPr>
                <w:color w:val="auto"/>
                <w:sz w:val="24"/>
                <w:szCs w:val="24"/>
                <w:highlight w:val="none"/>
              </w:rPr>
            </w:pPr>
            <w:r>
              <w:rPr>
                <w:color w:val="auto"/>
                <w:spacing w:val="-2"/>
                <w:sz w:val="24"/>
                <w:szCs w:val="24"/>
                <w:highlight w:val="none"/>
              </w:rPr>
              <w:t>注册资金</w:t>
            </w:r>
          </w:p>
        </w:tc>
        <w:tc>
          <w:tcPr>
            <w:tcW w:w="2266" w:type="dxa"/>
            <w:gridSpan w:val="2"/>
            <w:vAlign w:val="top"/>
          </w:tcPr>
          <w:p w14:paraId="0A210F89">
            <w:pPr>
              <w:rPr>
                <w:rFonts w:ascii="Arial"/>
                <w:color w:val="auto"/>
                <w:sz w:val="21"/>
                <w:highlight w:val="none"/>
              </w:rPr>
            </w:pPr>
          </w:p>
        </w:tc>
        <w:tc>
          <w:tcPr>
            <w:tcW w:w="783" w:type="dxa"/>
            <w:vMerge w:val="continue"/>
            <w:tcBorders>
              <w:top w:val="nil"/>
              <w:bottom w:val="nil"/>
            </w:tcBorders>
            <w:vAlign w:val="top"/>
          </w:tcPr>
          <w:p w14:paraId="0043754D">
            <w:pPr>
              <w:rPr>
                <w:rFonts w:ascii="Arial"/>
                <w:color w:val="auto"/>
                <w:sz w:val="21"/>
                <w:highlight w:val="none"/>
              </w:rPr>
            </w:pPr>
          </w:p>
        </w:tc>
        <w:tc>
          <w:tcPr>
            <w:tcW w:w="2674" w:type="dxa"/>
            <w:gridSpan w:val="3"/>
            <w:vAlign w:val="top"/>
          </w:tcPr>
          <w:p w14:paraId="46465168">
            <w:pPr>
              <w:pStyle w:val="33"/>
              <w:spacing w:before="68" w:line="220" w:lineRule="auto"/>
              <w:ind w:left="289"/>
              <w:rPr>
                <w:color w:val="auto"/>
                <w:sz w:val="24"/>
                <w:szCs w:val="24"/>
                <w:highlight w:val="none"/>
              </w:rPr>
            </w:pPr>
            <w:r>
              <w:rPr>
                <w:color w:val="auto"/>
                <w:spacing w:val="-5"/>
                <w:sz w:val="24"/>
                <w:szCs w:val="24"/>
                <w:highlight w:val="none"/>
              </w:rPr>
              <w:t>中级职称人员（人）</w:t>
            </w:r>
          </w:p>
        </w:tc>
        <w:tc>
          <w:tcPr>
            <w:tcW w:w="738" w:type="dxa"/>
            <w:tcBorders>
              <w:right w:val="single" w:color="000000" w:sz="6" w:space="0"/>
            </w:tcBorders>
            <w:vAlign w:val="top"/>
          </w:tcPr>
          <w:p w14:paraId="746C91CF">
            <w:pPr>
              <w:rPr>
                <w:rFonts w:ascii="Arial"/>
                <w:color w:val="auto"/>
                <w:sz w:val="21"/>
                <w:highlight w:val="none"/>
              </w:rPr>
            </w:pPr>
          </w:p>
        </w:tc>
      </w:tr>
      <w:tr w14:paraId="227A0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73D0A2BC">
            <w:pPr>
              <w:pStyle w:val="33"/>
              <w:spacing w:before="65" w:line="219" w:lineRule="auto"/>
              <w:ind w:left="227"/>
              <w:rPr>
                <w:color w:val="auto"/>
                <w:sz w:val="24"/>
                <w:szCs w:val="24"/>
                <w:highlight w:val="none"/>
              </w:rPr>
            </w:pPr>
            <w:r>
              <w:rPr>
                <w:color w:val="auto"/>
                <w:spacing w:val="-2"/>
                <w:sz w:val="24"/>
                <w:szCs w:val="24"/>
                <w:highlight w:val="none"/>
              </w:rPr>
              <w:t>基本账户开户银行</w:t>
            </w:r>
          </w:p>
        </w:tc>
        <w:tc>
          <w:tcPr>
            <w:tcW w:w="2266" w:type="dxa"/>
            <w:gridSpan w:val="2"/>
            <w:vAlign w:val="top"/>
          </w:tcPr>
          <w:p w14:paraId="017CEE75">
            <w:pPr>
              <w:rPr>
                <w:rFonts w:ascii="Arial"/>
                <w:color w:val="auto"/>
                <w:sz w:val="21"/>
                <w:highlight w:val="none"/>
              </w:rPr>
            </w:pPr>
          </w:p>
        </w:tc>
        <w:tc>
          <w:tcPr>
            <w:tcW w:w="783" w:type="dxa"/>
            <w:vMerge w:val="continue"/>
            <w:tcBorders>
              <w:top w:val="nil"/>
              <w:bottom w:val="nil"/>
            </w:tcBorders>
            <w:vAlign w:val="top"/>
          </w:tcPr>
          <w:p w14:paraId="124D8DBB">
            <w:pPr>
              <w:rPr>
                <w:rFonts w:ascii="Arial"/>
                <w:color w:val="auto"/>
                <w:sz w:val="21"/>
                <w:highlight w:val="none"/>
              </w:rPr>
            </w:pPr>
          </w:p>
        </w:tc>
        <w:tc>
          <w:tcPr>
            <w:tcW w:w="2674" w:type="dxa"/>
            <w:gridSpan w:val="3"/>
            <w:vAlign w:val="top"/>
          </w:tcPr>
          <w:p w14:paraId="34DEA88F">
            <w:pPr>
              <w:pStyle w:val="33"/>
              <w:spacing w:before="66" w:line="221" w:lineRule="auto"/>
              <w:ind w:left="265"/>
              <w:rPr>
                <w:color w:val="auto"/>
                <w:sz w:val="24"/>
                <w:szCs w:val="24"/>
                <w:highlight w:val="none"/>
              </w:rPr>
            </w:pPr>
            <w:r>
              <w:rPr>
                <w:color w:val="auto"/>
                <w:spacing w:val="-3"/>
                <w:sz w:val="24"/>
                <w:szCs w:val="24"/>
                <w:highlight w:val="none"/>
              </w:rPr>
              <w:t>初级职称人员（人）</w:t>
            </w:r>
          </w:p>
        </w:tc>
        <w:tc>
          <w:tcPr>
            <w:tcW w:w="738" w:type="dxa"/>
            <w:tcBorders>
              <w:right w:val="single" w:color="000000" w:sz="6" w:space="0"/>
            </w:tcBorders>
            <w:vAlign w:val="top"/>
          </w:tcPr>
          <w:p w14:paraId="0ECA0E29">
            <w:pPr>
              <w:rPr>
                <w:rFonts w:ascii="Arial"/>
                <w:color w:val="auto"/>
                <w:sz w:val="21"/>
                <w:highlight w:val="none"/>
              </w:rPr>
            </w:pPr>
          </w:p>
        </w:tc>
      </w:tr>
      <w:tr w14:paraId="34CD23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2367" w:type="dxa"/>
            <w:gridSpan w:val="3"/>
            <w:tcBorders>
              <w:left w:val="single" w:color="000000" w:sz="6" w:space="0"/>
            </w:tcBorders>
            <w:vAlign w:val="top"/>
          </w:tcPr>
          <w:p w14:paraId="126C109C">
            <w:pPr>
              <w:pStyle w:val="33"/>
              <w:spacing w:before="66" w:line="221" w:lineRule="auto"/>
              <w:ind w:left="891"/>
              <w:rPr>
                <w:color w:val="auto"/>
                <w:sz w:val="24"/>
                <w:szCs w:val="24"/>
                <w:highlight w:val="none"/>
              </w:rPr>
            </w:pPr>
            <w:r>
              <w:rPr>
                <w:color w:val="auto"/>
                <w:spacing w:val="-7"/>
                <w:sz w:val="24"/>
                <w:szCs w:val="24"/>
                <w:highlight w:val="none"/>
              </w:rPr>
              <w:t>账</w:t>
            </w:r>
            <w:r>
              <w:rPr>
                <w:color w:val="auto"/>
                <w:spacing w:val="15"/>
                <w:sz w:val="24"/>
                <w:szCs w:val="24"/>
                <w:highlight w:val="none"/>
              </w:rPr>
              <w:t xml:space="preserve"> </w:t>
            </w:r>
            <w:r>
              <w:rPr>
                <w:color w:val="auto"/>
                <w:spacing w:val="-7"/>
                <w:sz w:val="24"/>
                <w:szCs w:val="24"/>
                <w:highlight w:val="none"/>
              </w:rPr>
              <w:t>号</w:t>
            </w:r>
          </w:p>
        </w:tc>
        <w:tc>
          <w:tcPr>
            <w:tcW w:w="2266" w:type="dxa"/>
            <w:gridSpan w:val="2"/>
            <w:vAlign w:val="top"/>
          </w:tcPr>
          <w:p w14:paraId="26631E6F">
            <w:pPr>
              <w:rPr>
                <w:rFonts w:ascii="Arial"/>
                <w:color w:val="auto"/>
                <w:sz w:val="21"/>
                <w:highlight w:val="none"/>
              </w:rPr>
            </w:pPr>
          </w:p>
        </w:tc>
        <w:tc>
          <w:tcPr>
            <w:tcW w:w="783" w:type="dxa"/>
            <w:vMerge w:val="continue"/>
            <w:tcBorders>
              <w:top w:val="nil"/>
            </w:tcBorders>
            <w:vAlign w:val="top"/>
          </w:tcPr>
          <w:p w14:paraId="447F79FD">
            <w:pPr>
              <w:rPr>
                <w:rFonts w:ascii="Arial"/>
                <w:color w:val="auto"/>
                <w:sz w:val="21"/>
                <w:highlight w:val="none"/>
              </w:rPr>
            </w:pPr>
          </w:p>
        </w:tc>
        <w:tc>
          <w:tcPr>
            <w:tcW w:w="2674" w:type="dxa"/>
            <w:gridSpan w:val="3"/>
            <w:vAlign w:val="top"/>
          </w:tcPr>
          <w:p w14:paraId="6E2315D3">
            <w:pPr>
              <w:pStyle w:val="33"/>
              <w:spacing w:before="66" w:line="221" w:lineRule="auto"/>
              <w:ind w:left="747"/>
              <w:rPr>
                <w:color w:val="auto"/>
                <w:sz w:val="24"/>
                <w:szCs w:val="24"/>
                <w:highlight w:val="none"/>
              </w:rPr>
            </w:pPr>
            <w:r>
              <w:rPr>
                <w:color w:val="auto"/>
                <w:spacing w:val="-5"/>
                <w:sz w:val="24"/>
                <w:szCs w:val="24"/>
                <w:highlight w:val="none"/>
              </w:rPr>
              <w:t>技工（人）</w:t>
            </w:r>
          </w:p>
        </w:tc>
        <w:tc>
          <w:tcPr>
            <w:tcW w:w="738" w:type="dxa"/>
            <w:tcBorders>
              <w:right w:val="single" w:color="000000" w:sz="6" w:space="0"/>
            </w:tcBorders>
            <w:vAlign w:val="top"/>
          </w:tcPr>
          <w:p w14:paraId="086BFF1F">
            <w:pPr>
              <w:rPr>
                <w:rFonts w:ascii="Arial"/>
                <w:color w:val="auto"/>
                <w:sz w:val="21"/>
                <w:highlight w:val="none"/>
              </w:rPr>
            </w:pPr>
          </w:p>
        </w:tc>
      </w:tr>
      <w:tr w14:paraId="744747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633" w:type="dxa"/>
            <w:gridSpan w:val="5"/>
            <w:tcBorders>
              <w:left w:val="single" w:color="000000" w:sz="6" w:space="0"/>
            </w:tcBorders>
            <w:vAlign w:val="top"/>
          </w:tcPr>
          <w:p w14:paraId="0514F7AA">
            <w:pPr>
              <w:pStyle w:val="33"/>
              <w:spacing w:before="69" w:line="220" w:lineRule="auto"/>
              <w:ind w:left="702"/>
              <w:rPr>
                <w:color w:val="auto"/>
                <w:sz w:val="24"/>
                <w:szCs w:val="24"/>
                <w:highlight w:val="none"/>
              </w:rPr>
            </w:pPr>
            <w:r>
              <w:rPr>
                <w:color w:val="auto"/>
                <w:spacing w:val="-2"/>
                <w:sz w:val="24"/>
                <w:szCs w:val="24"/>
                <w:highlight w:val="none"/>
              </w:rPr>
              <w:t>最近</w:t>
            </w:r>
            <w:r>
              <w:rPr>
                <w:rFonts w:ascii="Times New Roman" w:hAnsi="Times New Roman" w:eastAsia="Times New Roman" w:cs="Times New Roman"/>
                <w:color w:val="auto"/>
                <w:spacing w:val="-2"/>
                <w:sz w:val="24"/>
                <w:szCs w:val="24"/>
                <w:highlight w:val="none"/>
              </w:rPr>
              <w:t>5</w:t>
            </w:r>
            <w:r>
              <w:rPr>
                <w:color w:val="auto"/>
                <w:spacing w:val="-2"/>
                <w:sz w:val="24"/>
                <w:szCs w:val="24"/>
                <w:highlight w:val="none"/>
              </w:rPr>
              <w:t>年完成的营业额（万元）</w:t>
            </w:r>
          </w:p>
        </w:tc>
        <w:tc>
          <w:tcPr>
            <w:tcW w:w="4195" w:type="dxa"/>
            <w:gridSpan w:val="5"/>
            <w:tcBorders>
              <w:right w:val="single" w:color="000000" w:sz="6" w:space="0"/>
            </w:tcBorders>
            <w:vAlign w:val="top"/>
          </w:tcPr>
          <w:p w14:paraId="23AB1DF8">
            <w:pPr>
              <w:pStyle w:val="33"/>
              <w:spacing w:before="70" w:line="220" w:lineRule="auto"/>
              <w:ind w:left="1620"/>
              <w:rPr>
                <w:color w:val="auto"/>
                <w:sz w:val="24"/>
                <w:szCs w:val="24"/>
                <w:highlight w:val="none"/>
              </w:rPr>
            </w:pPr>
            <w:r>
              <w:rPr>
                <w:color w:val="auto"/>
                <w:spacing w:val="-3"/>
                <w:sz w:val="24"/>
                <w:szCs w:val="24"/>
                <w:highlight w:val="none"/>
              </w:rPr>
              <w:t>经营范围</w:t>
            </w:r>
          </w:p>
        </w:tc>
      </w:tr>
      <w:tr w14:paraId="498101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7A77B804">
            <w:pPr>
              <w:pStyle w:val="33"/>
              <w:tabs>
                <w:tab w:val="left" w:pos="964"/>
              </w:tabs>
              <w:spacing w:before="67" w:line="220" w:lineRule="auto"/>
              <w:ind w:left="244"/>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6" w:type="dxa"/>
            <w:gridSpan w:val="2"/>
            <w:vAlign w:val="top"/>
          </w:tcPr>
          <w:p w14:paraId="7B96107E">
            <w:pPr>
              <w:rPr>
                <w:rFonts w:ascii="Arial"/>
                <w:color w:val="auto"/>
                <w:sz w:val="21"/>
                <w:highlight w:val="none"/>
              </w:rPr>
            </w:pPr>
          </w:p>
        </w:tc>
        <w:tc>
          <w:tcPr>
            <w:tcW w:w="4195" w:type="dxa"/>
            <w:gridSpan w:val="5"/>
            <w:vMerge w:val="restart"/>
            <w:tcBorders>
              <w:bottom w:val="nil"/>
              <w:right w:val="single" w:color="000000" w:sz="6" w:space="0"/>
            </w:tcBorders>
            <w:vAlign w:val="top"/>
          </w:tcPr>
          <w:p w14:paraId="5DEB0854">
            <w:pPr>
              <w:rPr>
                <w:rFonts w:ascii="Arial"/>
                <w:color w:val="auto"/>
                <w:sz w:val="21"/>
                <w:highlight w:val="none"/>
              </w:rPr>
            </w:pPr>
          </w:p>
        </w:tc>
      </w:tr>
      <w:tr w14:paraId="4F04F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2367" w:type="dxa"/>
            <w:gridSpan w:val="3"/>
            <w:tcBorders>
              <w:left w:val="single" w:color="000000" w:sz="6" w:space="0"/>
            </w:tcBorders>
            <w:vAlign w:val="top"/>
          </w:tcPr>
          <w:p w14:paraId="6267D496">
            <w:pPr>
              <w:pStyle w:val="33"/>
              <w:tabs>
                <w:tab w:val="left" w:pos="1006"/>
              </w:tabs>
              <w:spacing w:before="68"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6" w:type="dxa"/>
            <w:gridSpan w:val="2"/>
            <w:vAlign w:val="top"/>
          </w:tcPr>
          <w:p w14:paraId="4A3856FE">
            <w:pPr>
              <w:rPr>
                <w:rFonts w:ascii="Arial"/>
                <w:color w:val="auto"/>
                <w:sz w:val="21"/>
                <w:highlight w:val="none"/>
              </w:rPr>
            </w:pPr>
          </w:p>
        </w:tc>
        <w:tc>
          <w:tcPr>
            <w:tcW w:w="4195" w:type="dxa"/>
            <w:gridSpan w:val="5"/>
            <w:vMerge w:val="continue"/>
            <w:tcBorders>
              <w:top w:val="nil"/>
              <w:bottom w:val="nil"/>
              <w:right w:val="single" w:color="000000" w:sz="6" w:space="0"/>
            </w:tcBorders>
            <w:vAlign w:val="top"/>
          </w:tcPr>
          <w:p w14:paraId="72776C6A">
            <w:pPr>
              <w:rPr>
                <w:rFonts w:ascii="Arial"/>
                <w:color w:val="auto"/>
                <w:sz w:val="21"/>
                <w:highlight w:val="none"/>
              </w:rPr>
            </w:pPr>
          </w:p>
        </w:tc>
      </w:tr>
      <w:tr w14:paraId="673E84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5D4C1792">
            <w:pPr>
              <w:pStyle w:val="33"/>
              <w:tabs>
                <w:tab w:val="left" w:pos="1006"/>
              </w:tabs>
              <w:spacing w:before="71"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6" w:type="dxa"/>
            <w:gridSpan w:val="2"/>
            <w:vAlign w:val="top"/>
          </w:tcPr>
          <w:p w14:paraId="05F13AA9">
            <w:pPr>
              <w:rPr>
                <w:rFonts w:ascii="Arial"/>
                <w:color w:val="auto"/>
                <w:sz w:val="21"/>
                <w:highlight w:val="none"/>
              </w:rPr>
            </w:pPr>
          </w:p>
        </w:tc>
        <w:tc>
          <w:tcPr>
            <w:tcW w:w="4195" w:type="dxa"/>
            <w:gridSpan w:val="5"/>
            <w:vMerge w:val="continue"/>
            <w:tcBorders>
              <w:top w:val="nil"/>
              <w:bottom w:val="nil"/>
              <w:right w:val="single" w:color="000000" w:sz="6" w:space="0"/>
            </w:tcBorders>
            <w:vAlign w:val="top"/>
          </w:tcPr>
          <w:p w14:paraId="6097C5FA">
            <w:pPr>
              <w:rPr>
                <w:rFonts w:ascii="Arial"/>
                <w:color w:val="auto"/>
                <w:sz w:val="21"/>
                <w:highlight w:val="none"/>
              </w:rPr>
            </w:pPr>
          </w:p>
        </w:tc>
      </w:tr>
      <w:tr w14:paraId="0ACDF4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2367" w:type="dxa"/>
            <w:gridSpan w:val="3"/>
            <w:tcBorders>
              <w:left w:val="single" w:color="000000" w:sz="6" w:space="0"/>
            </w:tcBorders>
            <w:vAlign w:val="top"/>
          </w:tcPr>
          <w:p w14:paraId="00E6D6FC">
            <w:pPr>
              <w:pStyle w:val="33"/>
              <w:tabs>
                <w:tab w:val="left" w:pos="1006"/>
              </w:tabs>
              <w:spacing w:before="69"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6" w:type="dxa"/>
            <w:gridSpan w:val="2"/>
            <w:vAlign w:val="top"/>
          </w:tcPr>
          <w:p w14:paraId="000BFE39">
            <w:pPr>
              <w:rPr>
                <w:rFonts w:ascii="Arial"/>
                <w:color w:val="auto"/>
                <w:sz w:val="21"/>
                <w:highlight w:val="none"/>
              </w:rPr>
            </w:pPr>
          </w:p>
        </w:tc>
        <w:tc>
          <w:tcPr>
            <w:tcW w:w="4195" w:type="dxa"/>
            <w:gridSpan w:val="5"/>
            <w:vMerge w:val="continue"/>
            <w:tcBorders>
              <w:top w:val="nil"/>
              <w:bottom w:val="nil"/>
              <w:right w:val="single" w:color="000000" w:sz="6" w:space="0"/>
            </w:tcBorders>
            <w:vAlign w:val="top"/>
          </w:tcPr>
          <w:p w14:paraId="597F7499">
            <w:pPr>
              <w:rPr>
                <w:rFonts w:ascii="Arial"/>
                <w:color w:val="auto"/>
                <w:sz w:val="21"/>
                <w:highlight w:val="none"/>
              </w:rPr>
            </w:pPr>
          </w:p>
        </w:tc>
      </w:tr>
      <w:tr w14:paraId="629429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2367" w:type="dxa"/>
            <w:gridSpan w:val="3"/>
            <w:tcBorders>
              <w:left w:val="single" w:color="000000" w:sz="6" w:space="0"/>
            </w:tcBorders>
            <w:vAlign w:val="top"/>
          </w:tcPr>
          <w:p w14:paraId="5B5B781B">
            <w:pPr>
              <w:pStyle w:val="33"/>
              <w:tabs>
                <w:tab w:val="left" w:pos="1006"/>
              </w:tabs>
              <w:spacing w:before="70" w:line="220" w:lineRule="auto"/>
              <w:ind w:left="287"/>
              <w:rPr>
                <w:color w:val="auto"/>
                <w:sz w:val="24"/>
                <w:szCs w:val="24"/>
                <w:highlight w:val="none"/>
              </w:rPr>
            </w:pPr>
            <w:r>
              <w:rPr>
                <w:color w:val="auto"/>
                <w:sz w:val="24"/>
                <w:szCs w:val="24"/>
                <w:highlight w:val="none"/>
                <w:u w:val="single" w:color="auto"/>
              </w:rPr>
              <w:tab/>
            </w:r>
            <w:r>
              <w:rPr>
                <w:color w:val="auto"/>
                <w:spacing w:val="-110"/>
                <w:sz w:val="24"/>
                <w:szCs w:val="24"/>
                <w:highlight w:val="none"/>
              </w:rPr>
              <w:t xml:space="preserve"> </w:t>
            </w:r>
            <w:r>
              <w:rPr>
                <w:color w:val="auto"/>
                <w:sz w:val="24"/>
                <w:szCs w:val="24"/>
                <w:highlight w:val="none"/>
              </w:rPr>
              <w:t>年</w:t>
            </w:r>
          </w:p>
        </w:tc>
        <w:tc>
          <w:tcPr>
            <w:tcW w:w="2266" w:type="dxa"/>
            <w:gridSpan w:val="2"/>
            <w:vAlign w:val="top"/>
          </w:tcPr>
          <w:p w14:paraId="249FFDB6">
            <w:pPr>
              <w:rPr>
                <w:rFonts w:ascii="Arial"/>
                <w:color w:val="auto"/>
                <w:sz w:val="21"/>
                <w:highlight w:val="none"/>
              </w:rPr>
            </w:pPr>
          </w:p>
        </w:tc>
        <w:tc>
          <w:tcPr>
            <w:tcW w:w="4195" w:type="dxa"/>
            <w:gridSpan w:val="5"/>
            <w:vMerge w:val="continue"/>
            <w:tcBorders>
              <w:top w:val="nil"/>
              <w:right w:val="single" w:color="000000" w:sz="6" w:space="0"/>
            </w:tcBorders>
            <w:vAlign w:val="top"/>
          </w:tcPr>
          <w:p w14:paraId="0B53E183">
            <w:pPr>
              <w:rPr>
                <w:rFonts w:ascii="Arial"/>
                <w:color w:val="auto"/>
                <w:sz w:val="21"/>
                <w:highlight w:val="none"/>
              </w:rPr>
            </w:pPr>
          </w:p>
        </w:tc>
      </w:tr>
      <w:tr w14:paraId="0816AD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633" w:type="dxa"/>
            <w:gridSpan w:val="5"/>
            <w:tcBorders>
              <w:left w:val="single" w:color="000000" w:sz="6" w:space="0"/>
            </w:tcBorders>
            <w:vAlign w:val="top"/>
          </w:tcPr>
          <w:p w14:paraId="08697605">
            <w:pPr>
              <w:pStyle w:val="33"/>
              <w:spacing w:before="73" w:line="220" w:lineRule="auto"/>
              <w:ind w:left="409"/>
              <w:rPr>
                <w:color w:val="auto"/>
                <w:sz w:val="24"/>
                <w:szCs w:val="24"/>
                <w:highlight w:val="none"/>
              </w:rPr>
            </w:pPr>
            <w:r>
              <w:rPr>
                <w:color w:val="auto"/>
                <w:spacing w:val="-3"/>
                <w:sz w:val="24"/>
                <w:szCs w:val="24"/>
                <w:highlight w:val="none"/>
              </w:rPr>
              <w:t>能承担的年最大建安工作量（万元）</w:t>
            </w:r>
          </w:p>
        </w:tc>
        <w:tc>
          <w:tcPr>
            <w:tcW w:w="4195" w:type="dxa"/>
            <w:gridSpan w:val="5"/>
            <w:tcBorders>
              <w:right w:val="single" w:color="000000" w:sz="6" w:space="0"/>
            </w:tcBorders>
            <w:vAlign w:val="top"/>
          </w:tcPr>
          <w:p w14:paraId="49D5F0C9">
            <w:pPr>
              <w:rPr>
                <w:rFonts w:ascii="Arial"/>
                <w:color w:val="auto"/>
                <w:sz w:val="21"/>
                <w:highlight w:val="none"/>
              </w:rPr>
            </w:pPr>
          </w:p>
        </w:tc>
      </w:tr>
      <w:tr w14:paraId="3A6D1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9" w:hRule="atLeast"/>
        </w:trPr>
        <w:tc>
          <w:tcPr>
            <w:tcW w:w="1725" w:type="dxa"/>
            <w:gridSpan w:val="2"/>
            <w:tcBorders>
              <w:left w:val="single" w:color="000000" w:sz="6" w:space="0"/>
              <w:bottom w:val="single" w:color="000000" w:sz="6" w:space="0"/>
            </w:tcBorders>
            <w:vAlign w:val="top"/>
          </w:tcPr>
          <w:p w14:paraId="77918605">
            <w:pPr>
              <w:pStyle w:val="33"/>
              <w:spacing w:before="72" w:line="221" w:lineRule="auto"/>
              <w:ind w:left="508"/>
              <w:rPr>
                <w:color w:val="auto"/>
                <w:sz w:val="24"/>
                <w:szCs w:val="24"/>
                <w:highlight w:val="none"/>
              </w:rPr>
            </w:pPr>
            <w:r>
              <w:rPr>
                <w:color w:val="auto"/>
                <w:spacing w:val="-7"/>
                <w:sz w:val="24"/>
                <w:szCs w:val="24"/>
                <w:highlight w:val="none"/>
              </w:rPr>
              <w:t>备</w:t>
            </w:r>
            <w:r>
              <w:rPr>
                <w:color w:val="auto"/>
                <w:spacing w:val="5"/>
                <w:sz w:val="24"/>
                <w:szCs w:val="24"/>
                <w:highlight w:val="none"/>
              </w:rPr>
              <w:t xml:space="preserve">  </w:t>
            </w:r>
            <w:r>
              <w:rPr>
                <w:color w:val="auto"/>
                <w:spacing w:val="-7"/>
                <w:sz w:val="24"/>
                <w:szCs w:val="24"/>
                <w:highlight w:val="none"/>
              </w:rPr>
              <w:t>注</w:t>
            </w:r>
          </w:p>
        </w:tc>
        <w:tc>
          <w:tcPr>
            <w:tcW w:w="7103" w:type="dxa"/>
            <w:gridSpan w:val="8"/>
            <w:tcBorders>
              <w:bottom w:val="single" w:color="000000" w:sz="6" w:space="0"/>
              <w:right w:val="single" w:color="000000" w:sz="6" w:space="0"/>
            </w:tcBorders>
            <w:vAlign w:val="top"/>
          </w:tcPr>
          <w:p w14:paraId="4AA736ED">
            <w:pPr>
              <w:rPr>
                <w:rFonts w:ascii="Arial"/>
                <w:color w:val="auto"/>
                <w:sz w:val="21"/>
                <w:highlight w:val="none"/>
              </w:rPr>
            </w:pPr>
          </w:p>
        </w:tc>
      </w:tr>
    </w:tbl>
    <w:p w14:paraId="373220B9">
      <w:pPr>
        <w:spacing w:before="35" w:line="219" w:lineRule="auto"/>
        <w:ind w:left="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注：</w:t>
      </w:r>
      <w:r>
        <w:rPr>
          <w:rFonts w:ascii="Times New Roman" w:hAnsi="Times New Roman" w:eastAsia="Times New Roman" w:cs="Times New Roman"/>
          <w:color w:val="auto"/>
          <w:spacing w:val="-2"/>
          <w:sz w:val="24"/>
          <w:szCs w:val="24"/>
          <w:highlight w:val="none"/>
        </w:rPr>
        <w:t xml:space="preserve">1.  </w:t>
      </w:r>
      <w:r>
        <w:rPr>
          <w:rFonts w:ascii="宋体" w:hAnsi="宋体" w:eastAsia="宋体" w:cs="宋体"/>
          <w:color w:val="auto"/>
          <w:spacing w:val="-2"/>
          <w:sz w:val="24"/>
          <w:szCs w:val="24"/>
          <w:highlight w:val="none"/>
        </w:rPr>
        <w:t>相关材料复制件在“原件的复制件”中提供。</w:t>
      </w:r>
    </w:p>
    <w:p w14:paraId="74058862">
      <w:pPr>
        <w:spacing w:before="180" w:line="219" w:lineRule="auto"/>
        <w:ind w:left="485"/>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 xml:space="preserve">2.  </w:t>
      </w:r>
      <w:r>
        <w:rPr>
          <w:rFonts w:ascii="宋体" w:hAnsi="宋体" w:eastAsia="宋体" w:cs="宋体"/>
          <w:color w:val="auto"/>
          <w:spacing w:val="-2"/>
          <w:sz w:val="24"/>
          <w:szCs w:val="24"/>
          <w:highlight w:val="none"/>
        </w:rPr>
        <w:t>若投标人为联合体，联合体各成员单位分别填写本表。</w:t>
      </w:r>
    </w:p>
    <w:p w14:paraId="61732372">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72F927B">
      <w:pPr>
        <w:spacing w:before="47" w:line="220" w:lineRule="auto"/>
        <w:ind w:left="6"/>
        <w:rPr>
          <w:rFonts w:ascii="宋体" w:hAnsi="宋体" w:eastAsia="宋体" w:cs="宋体"/>
          <w:strike w:val="0"/>
          <w:dstrike w:val="0"/>
          <w:color w:val="auto"/>
          <w:sz w:val="24"/>
          <w:szCs w:val="24"/>
          <w:highlight w:val="none"/>
        </w:rPr>
      </w:pPr>
      <w:r>
        <w:rPr>
          <w:rFonts w:ascii="宋体" w:hAnsi="宋体" w:eastAsia="宋体" w:cs="宋体"/>
          <w:b/>
          <w:bCs/>
          <w:strike w:val="0"/>
          <w:dstrike w:val="0"/>
          <w:color w:val="auto"/>
          <w:spacing w:val="-4"/>
          <w:sz w:val="24"/>
          <w:szCs w:val="24"/>
          <w:highlight w:val="none"/>
        </w:rPr>
        <w:t>（二）近年财务状况</w:t>
      </w:r>
    </w:p>
    <w:p w14:paraId="000C3252">
      <w:pPr>
        <w:spacing w:before="182" w:line="220" w:lineRule="auto"/>
        <w:ind w:left="3792"/>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4"/>
          <w:sz w:val="24"/>
          <w:szCs w:val="24"/>
          <w:highlight w:val="none"/>
        </w:rPr>
        <w:t>财务状况表</w:t>
      </w:r>
    </w:p>
    <w:p w14:paraId="40F22CB1">
      <w:pPr>
        <w:spacing w:line="144" w:lineRule="exact"/>
        <w:rPr>
          <w:strike/>
          <w:dstrike w:val="0"/>
          <w:color w:val="auto"/>
          <w:highlight w:val="none"/>
        </w:rPr>
      </w:pPr>
    </w:p>
    <w:tbl>
      <w:tblPr>
        <w:tblStyle w:val="32"/>
        <w:tblW w:w="8776"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199"/>
        <w:gridCol w:w="1160"/>
        <w:gridCol w:w="1802"/>
        <w:gridCol w:w="1804"/>
        <w:gridCol w:w="1811"/>
      </w:tblGrid>
      <w:tr w14:paraId="7CCE64C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2" w:hRule="atLeast"/>
        </w:trPr>
        <w:tc>
          <w:tcPr>
            <w:tcW w:w="2199" w:type="dxa"/>
            <w:tcBorders>
              <w:top w:val="single" w:color="000000" w:sz="6" w:space="0"/>
              <w:left w:val="single" w:color="000000" w:sz="6" w:space="0"/>
            </w:tcBorders>
            <w:vAlign w:val="top"/>
          </w:tcPr>
          <w:p w14:paraId="72127D56">
            <w:pPr>
              <w:pStyle w:val="33"/>
              <w:spacing w:before="115" w:line="220" w:lineRule="auto"/>
              <w:ind w:left="624"/>
              <w:rPr>
                <w:strike/>
                <w:dstrike w:val="0"/>
                <w:color w:val="auto"/>
                <w:sz w:val="24"/>
                <w:szCs w:val="24"/>
                <w:highlight w:val="none"/>
              </w:rPr>
            </w:pPr>
            <w:r>
              <w:rPr>
                <w:strike/>
                <w:dstrike w:val="0"/>
                <w:color w:val="auto"/>
                <w:spacing w:val="-3"/>
                <w:sz w:val="24"/>
                <w:szCs w:val="24"/>
                <w:highlight w:val="none"/>
              </w:rPr>
              <w:t>项目名称</w:t>
            </w:r>
          </w:p>
        </w:tc>
        <w:tc>
          <w:tcPr>
            <w:tcW w:w="1160" w:type="dxa"/>
            <w:tcBorders>
              <w:top w:val="single" w:color="000000" w:sz="6" w:space="0"/>
            </w:tcBorders>
            <w:vAlign w:val="top"/>
          </w:tcPr>
          <w:p w14:paraId="255E8211">
            <w:pPr>
              <w:pStyle w:val="33"/>
              <w:spacing w:before="115" w:line="220" w:lineRule="auto"/>
              <w:ind w:left="346"/>
              <w:rPr>
                <w:strike/>
                <w:dstrike w:val="0"/>
                <w:color w:val="auto"/>
                <w:sz w:val="24"/>
                <w:szCs w:val="24"/>
                <w:highlight w:val="none"/>
              </w:rPr>
            </w:pPr>
            <w:r>
              <w:rPr>
                <w:strike/>
                <w:dstrike w:val="0"/>
                <w:color w:val="auto"/>
                <w:spacing w:val="-3"/>
                <w:sz w:val="24"/>
                <w:szCs w:val="24"/>
                <w:highlight w:val="none"/>
              </w:rPr>
              <w:t>单位</w:t>
            </w:r>
          </w:p>
        </w:tc>
        <w:tc>
          <w:tcPr>
            <w:tcW w:w="1802" w:type="dxa"/>
            <w:tcBorders>
              <w:top w:val="single" w:color="000000" w:sz="6" w:space="0"/>
            </w:tcBorders>
            <w:vAlign w:val="top"/>
          </w:tcPr>
          <w:p w14:paraId="2EB59300">
            <w:pPr>
              <w:pStyle w:val="33"/>
              <w:tabs>
                <w:tab w:val="left" w:pos="1135"/>
              </w:tabs>
              <w:spacing w:before="114" w:line="220" w:lineRule="auto"/>
              <w:ind w:left="415"/>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09"/>
                <w:sz w:val="24"/>
                <w:szCs w:val="24"/>
                <w:highlight w:val="none"/>
              </w:rPr>
              <w:t xml:space="preserve"> </w:t>
            </w:r>
            <w:r>
              <w:rPr>
                <w:strike/>
                <w:dstrike w:val="0"/>
                <w:color w:val="auto"/>
                <w:sz w:val="24"/>
                <w:szCs w:val="24"/>
                <w:highlight w:val="none"/>
              </w:rPr>
              <w:t>年</w:t>
            </w:r>
          </w:p>
        </w:tc>
        <w:tc>
          <w:tcPr>
            <w:tcW w:w="1804" w:type="dxa"/>
            <w:tcBorders>
              <w:top w:val="single" w:color="000000" w:sz="6" w:space="0"/>
            </w:tcBorders>
            <w:vAlign w:val="top"/>
          </w:tcPr>
          <w:p w14:paraId="6A4F5F94">
            <w:pPr>
              <w:pStyle w:val="33"/>
              <w:tabs>
                <w:tab w:val="left" w:pos="1140"/>
              </w:tabs>
              <w:spacing w:before="114" w:line="220" w:lineRule="auto"/>
              <w:ind w:left="420"/>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09"/>
                <w:sz w:val="24"/>
                <w:szCs w:val="24"/>
                <w:highlight w:val="none"/>
              </w:rPr>
              <w:t xml:space="preserve"> </w:t>
            </w:r>
            <w:r>
              <w:rPr>
                <w:strike/>
                <w:dstrike w:val="0"/>
                <w:color w:val="auto"/>
                <w:sz w:val="24"/>
                <w:szCs w:val="24"/>
                <w:highlight w:val="none"/>
              </w:rPr>
              <w:t>年</w:t>
            </w:r>
          </w:p>
        </w:tc>
        <w:tc>
          <w:tcPr>
            <w:tcW w:w="1811" w:type="dxa"/>
            <w:tcBorders>
              <w:top w:val="single" w:color="000000" w:sz="6" w:space="0"/>
              <w:right w:val="single" w:color="000000" w:sz="6" w:space="0"/>
            </w:tcBorders>
            <w:vAlign w:val="top"/>
          </w:tcPr>
          <w:p w14:paraId="525DF4AE">
            <w:pPr>
              <w:pStyle w:val="33"/>
              <w:tabs>
                <w:tab w:val="left" w:pos="1140"/>
              </w:tabs>
              <w:spacing w:before="114" w:line="220" w:lineRule="auto"/>
              <w:ind w:left="421"/>
              <w:rPr>
                <w:strike/>
                <w:dstrike w:val="0"/>
                <w:color w:val="auto"/>
                <w:sz w:val="24"/>
                <w:szCs w:val="24"/>
                <w:highlight w:val="none"/>
              </w:rPr>
            </w:pPr>
            <w:r>
              <w:rPr>
                <w:strike/>
                <w:dstrike w:val="0"/>
                <w:color w:val="auto"/>
                <w:sz w:val="24"/>
                <w:szCs w:val="24"/>
                <w:highlight w:val="none"/>
                <w:u w:val="single" w:color="auto"/>
              </w:rPr>
              <w:tab/>
            </w:r>
            <w:r>
              <w:rPr>
                <w:strike/>
                <w:dstrike w:val="0"/>
                <w:color w:val="auto"/>
                <w:spacing w:val="-109"/>
                <w:sz w:val="24"/>
                <w:szCs w:val="24"/>
                <w:highlight w:val="none"/>
              </w:rPr>
              <w:t xml:space="preserve"> </w:t>
            </w:r>
            <w:r>
              <w:rPr>
                <w:strike/>
                <w:dstrike w:val="0"/>
                <w:color w:val="auto"/>
                <w:sz w:val="24"/>
                <w:szCs w:val="24"/>
                <w:highlight w:val="none"/>
              </w:rPr>
              <w:t>年</w:t>
            </w:r>
          </w:p>
        </w:tc>
      </w:tr>
      <w:tr w14:paraId="16ACA90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2199" w:type="dxa"/>
            <w:tcBorders>
              <w:left w:val="single" w:color="000000" w:sz="6" w:space="0"/>
            </w:tcBorders>
            <w:vAlign w:val="top"/>
          </w:tcPr>
          <w:p w14:paraId="7E3457EA">
            <w:pPr>
              <w:pStyle w:val="33"/>
              <w:spacing w:before="109" w:line="221" w:lineRule="auto"/>
              <w:ind w:left="115"/>
              <w:rPr>
                <w:strike/>
                <w:dstrike w:val="0"/>
                <w:color w:val="auto"/>
                <w:sz w:val="24"/>
                <w:szCs w:val="24"/>
                <w:highlight w:val="none"/>
              </w:rPr>
            </w:pPr>
            <w:r>
              <w:rPr>
                <w:strike/>
                <w:dstrike w:val="0"/>
                <w:color w:val="auto"/>
                <w:spacing w:val="-4"/>
                <w:sz w:val="24"/>
                <w:szCs w:val="24"/>
                <w:highlight w:val="none"/>
              </w:rPr>
              <w:t>一、注册资金</w:t>
            </w:r>
          </w:p>
        </w:tc>
        <w:tc>
          <w:tcPr>
            <w:tcW w:w="1160" w:type="dxa"/>
            <w:vAlign w:val="top"/>
          </w:tcPr>
          <w:p w14:paraId="3CDA5D3C">
            <w:pPr>
              <w:rPr>
                <w:rFonts w:ascii="Arial"/>
                <w:strike/>
                <w:dstrike w:val="0"/>
                <w:color w:val="auto"/>
                <w:sz w:val="21"/>
                <w:highlight w:val="none"/>
              </w:rPr>
            </w:pPr>
          </w:p>
        </w:tc>
        <w:tc>
          <w:tcPr>
            <w:tcW w:w="1802" w:type="dxa"/>
            <w:vAlign w:val="top"/>
          </w:tcPr>
          <w:p w14:paraId="4F879F21">
            <w:pPr>
              <w:rPr>
                <w:rFonts w:ascii="Arial"/>
                <w:strike/>
                <w:dstrike w:val="0"/>
                <w:color w:val="auto"/>
                <w:sz w:val="21"/>
                <w:highlight w:val="none"/>
              </w:rPr>
            </w:pPr>
          </w:p>
        </w:tc>
        <w:tc>
          <w:tcPr>
            <w:tcW w:w="1804" w:type="dxa"/>
            <w:vAlign w:val="top"/>
          </w:tcPr>
          <w:p w14:paraId="70FF5549">
            <w:pPr>
              <w:rPr>
                <w:rFonts w:ascii="Arial"/>
                <w:strike/>
                <w:dstrike w:val="0"/>
                <w:color w:val="auto"/>
                <w:sz w:val="21"/>
                <w:highlight w:val="none"/>
              </w:rPr>
            </w:pPr>
          </w:p>
        </w:tc>
        <w:tc>
          <w:tcPr>
            <w:tcW w:w="1811" w:type="dxa"/>
            <w:tcBorders>
              <w:right w:val="single" w:color="000000" w:sz="6" w:space="0"/>
            </w:tcBorders>
            <w:vAlign w:val="top"/>
          </w:tcPr>
          <w:p w14:paraId="07B865C7">
            <w:pPr>
              <w:rPr>
                <w:rFonts w:ascii="Arial"/>
                <w:strike/>
                <w:dstrike w:val="0"/>
                <w:color w:val="auto"/>
                <w:sz w:val="21"/>
                <w:highlight w:val="none"/>
              </w:rPr>
            </w:pPr>
          </w:p>
        </w:tc>
      </w:tr>
      <w:tr w14:paraId="43E56A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199" w:type="dxa"/>
            <w:tcBorders>
              <w:left w:val="single" w:color="000000" w:sz="6" w:space="0"/>
            </w:tcBorders>
            <w:vAlign w:val="top"/>
          </w:tcPr>
          <w:p w14:paraId="3FEEEBED">
            <w:pPr>
              <w:pStyle w:val="33"/>
              <w:spacing w:before="112" w:line="220" w:lineRule="auto"/>
              <w:ind w:left="115"/>
              <w:rPr>
                <w:strike/>
                <w:dstrike w:val="0"/>
                <w:color w:val="auto"/>
                <w:sz w:val="24"/>
                <w:szCs w:val="24"/>
                <w:highlight w:val="none"/>
              </w:rPr>
            </w:pPr>
            <w:r>
              <w:rPr>
                <w:strike/>
                <w:dstrike w:val="0"/>
                <w:color w:val="auto"/>
                <w:spacing w:val="-3"/>
                <w:sz w:val="24"/>
                <w:szCs w:val="24"/>
                <w:highlight w:val="none"/>
              </w:rPr>
              <w:t>二、净资产</w:t>
            </w:r>
          </w:p>
        </w:tc>
        <w:tc>
          <w:tcPr>
            <w:tcW w:w="1160" w:type="dxa"/>
            <w:vAlign w:val="top"/>
          </w:tcPr>
          <w:p w14:paraId="106391A3">
            <w:pPr>
              <w:rPr>
                <w:rFonts w:ascii="Arial"/>
                <w:strike/>
                <w:dstrike w:val="0"/>
                <w:color w:val="auto"/>
                <w:sz w:val="21"/>
                <w:highlight w:val="none"/>
              </w:rPr>
            </w:pPr>
          </w:p>
        </w:tc>
        <w:tc>
          <w:tcPr>
            <w:tcW w:w="1802" w:type="dxa"/>
            <w:vAlign w:val="top"/>
          </w:tcPr>
          <w:p w14:paraId="4FA4E2CF">
            <w:pPr>
              <w:rPr>
                <w:rFonts w:ascii="Arial"/>
                <w:strike/>
                <w:dstrike w:val="0"/>
                <w:color w:val="auto"/>
                <w:sz w:val="21"/>
                <w:highlight w:val="none"/>
              </w:rPr>
            </w:pPr>
          </w:p>
        </w:tc>
        <w:tc>
          <w:tcPr>
            <w:tcW w:w="1804" w:type="dxa"/>
            <w:vAlign w:val="top"/>
          </w:tcPr>
          <w:p w14:paraId="1EF17EEF">
            <w:pPr>
              <w:rPr>
                <w:rFonts w:ascii="Arial"/>
                <w:strike/>
                <w:dstrike w:val="0"/>
                <w:color w:val="auto"/>
                <w:sz w:val="21"/>
                <w:highlight w:val="none"/>
              </w:rPr>
            </w:pPr>
          </w:p>
        </w:tc>
        <w:tc>
          <w:tcPr>
            <w:tcW w:w="1811" w:type="dxa"/>
            <w:tcBorders>
              <w:right w:val="single" w:color="000000" w:sz="6" w:space="0"/>
            </w:tcBorders>
            <w:vAlign w:val="top"/>
          </w:tcPr>
          <w:p w14:paraId="4608309C">
            <w:pPr>
              <w:rPr>
                <w:rFonts w:ascii="Arial"/>
                <w:strike/>
                <w:dstrike w:val="0"/>
                <w:color w:val="auto"/>
                <w:sz w:val="21"/>
                <w:highlight w:val="none"/>
              </w:rPr>
            </w:pPr>
          </w:p>
        </w:tc>
      </w:tr>
      <w:tr w14:paraId="6E91B4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199" w:type="dxa"/>
            <w:tcBorders>
              <w:left w:val="single" w:color="000000" w:sz="6" w:space="0"/>
            </w:tcBorders>
            <w:vAlign w:val="top"/>
          </w:tcPr>
          <w:p w14:paraId="1555F986">
            <w:pPr>
              <w:pStyle w:val="33"/>
              <w:spacing w:before="113" w:line="220" w:lineRule="auto"/>
              <w:ind w:left="111"/>
              <w:rPr>
                <w:strike/>
                <w:dstrike w:val="0"/>
                <w:color w:val="auto"/>
                <w:sz w:val="24"/>
                <w:szCs w:val="24"/>
                <w:highlight w:val="none"/>
              </w:rPr>
            </w:pPr>
            <w:r>
              <w:rPr>
                <w:strike/>
                <w:dstrike w:val="0"/>
                <w:color w:val="auto"/>
                <w:spacing w:val="-2"/>
                <w:sz w:val="24"/>
                <w:szCs w:val="24"/>
                <w:highlight w:val="none"/>
              </w:rPr>
              <w:t>三、总资产</w:t>
            </w:r>
          </w:p>
        </w:tc>
        <w:tc>
          <w:tcPr>
            <w:tcW w:w="1160" w:type="dxa"/>
            <w:vAlign w:val="top"/>
          </w:tcPr>
          <w:p w14:paraId="0B2EAA3C">
            <w:pPr>
              <w:rPr>
                <w:rFonts w:ascii="Arial"/>
                <w:strike/>
                <w:dstrike w:val="0"/>
                <w:color w:val="auto"/>
                <w:sz w:val="21"/>
                <w:highlight w:val="none"/>
              </w:rPr>
            </w:pPr>
          </w:p>
        </w:tc>
        <w:tc>
          <w:tcPr>
            <w:tcW w:w="1802" w:type="dxa"/>
            <w:vAlign w:val="top"/>
          </w:tcPr>
          <w:p w14:paraId="21C0CC37">
            <w:pPr>
              <w:rPr>
                <w:rFonts w:ascii="Arial"/>
                <w:strike/>
                <w:dstrike w:val="0"/>
                <w:color w:val="auto"/>
                <w:sz w:val="21"/>
                <w:highlight w:val="none"/>
              </w:rPr>
            </w:pPr>
          </w:p>
        </w:tc>
        <w:tc>
          <w:tcPr>
            <w:tcW w:w="1804" w:type="dxa"/>
            <w:vAlign w:val="top"/>
          </w:tcPr>
          <w:p w14:paraId="5C283A25">
            <w:pPr>
              <w:rPr>
                <w:rFonts w:ascii="Arial"/>
                <w:strike/>
                <w:dstrike w:val="0"/>
                <w:color w:val="auto"/>
                <w:sz w:val="21"/>
                <w:highlight w:val="none"/>
              </w:rPr>
            </w:pPr>
          </w:p>
        </w:tc>
        <w:tc>
          <w:tcPr>
            <w:tcW w:w="1811" w:type="dxa"/>
            <w:tcBorders>
              <w:right w:val="single" w:color="000000" w:sz="6" w:space="0"/>
            </w:tcBorders>
            <w:vAlign w:val="top"/>
          </w:tcPr>
          <w:p w14:paraId="742E9274">
            <w:pPr>
              <w:rPr>
                <w:rFonts w:ascii="Arial"/>
                <w:strike/>
                <w:dstrike w:val="0"/>
                <w:color w:val="auto"/>
                <w:sz w:val="21"/>
                <w:highlight w:val="none"/>
              </w:rPr>
            </w:pPr>
          </w:p>
        </w:tc>
      </w:tr>
      <w:tr w14:paraId="27D90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2199" w:type="dxa"/>
            <w:tcBorders>
              <w:left w:val="single" w:color="000000" w:sz="6" w:space="0"/>
            </w:tcBorders>
            <w:vAlign w:val="top"/>
          </w:tcPr>
          <w:p w14:paraId="5B18D7B0">
            <w:pPr>
              <w:pStyle w:val="33"/>
              <w:spacing w:before="112" w:line="220" w:lineRule="auto"/>
              <w:ind w:left="134"/>
              <w:rPr>
                <w:strike/>
                <w:dstrike w:val="0"/>
                <w:color w:val="auto"/>
                <w:sz w:val="24"/>
                <w:szCs w:val="24"/>
                <w:highlight w:val="none"/>
              </w:rPr>
            </w:pPr>
            <w:r>
              <w:rPr>
                <w:strike/>
                <w:dstrike w:val="0"/>
                <w:color w:val="auto"/>
                <w:spacing w:val="-5"/>
                <w:sz w:val="24"/>
                <w:szCs w:val="24"/>
                <w:highlight w:val="none"/>
              </w:rPr>
              <w:t>四、固定资产</w:t>
            </w:r>
          </w:p>
        </w:tc>
        <w:tc>
          <w:tcPr>
            <w:tcW w:w="1160" w:type="dxa"/>
            <w:vAlign w:val="top"/>
          </w:tcPr>
          <w:p w14:paraId="2E001B19">
            <w:pPr>
              <w:rPr>
                <w:rFonts w:ascii="Arial"/>
                <w:strike/>
                <w:dstrike w:val="0"/>
                <w:color w:val="auto"/>
                <w:sz w:val="21"/>
                <w:highlight w:val="none"/>
              </w:rPr>
            </w:pPr>
          </w:p>
        </w:tc>
        <w:tc>
          <w:tcPr>
            <w:tcW w:w="1802" w:type="dxa"/>
            <w:vAlign w:val="top"/>
          </w:tcPr>
          <w:p w14:paraId="2AD29AD4">
            <w:pPr>
              <w:rPr>
                <w:rFonts w:ascii="Arial"/>
                <w:strike/>
                <w:dstrike w:val="0"/>
                <w:color w:val="auto"/>
                <w:sz w:val="21"/>
                <w:highlight w:val="none"/>
              </w:rPr>
            </w:pPr>
          </w:p>
        </w:tc>
        <w:tc>
          <w:tcPr>
            <w:tcW w:w="1804" w:type="dxa"/>
            <w:vAlign w:val="top"/>
          </w:tcPr>
          <w:p w14:paraId="3F763267">
            <w:pPr>
              <w:rPr>
                <w:rFonts w:ascii="Arial"/>
                <w:strike/>
                <w:dstrike w:val="0"/>
                <w:color w:val="auto"/>
                <w:sz w:val="21"/>
                <w:highlight w:val="none"/>
              </w:rPr>
            </w:pPr>
          </w:p>
        </w:tc>
        <w:tc>
          <w:tcPr>
            <w:tcW w:w="1811" w:type="dxa"/>
            <w:tcBorders>
              <w:right w:val="single" w:color="000000" w:sz="6" w:space="0"/>
            </w:tcBorders>
            <w:vAlign w:val="top"/>
          </w:tcPr>
          <w:p w14:paraId="0CEE7453">
            <w:pPr>
              <w:rPr>
                <w:rFonts w:ascii="Arial"/>
                <w:strike/>
                <w:dstrike w:val="0"/>
                <w:color w:val="auto"/>
                <w:sz w:val="21"/>
                <w:highlight w:val="none"/>
              </w:rPr>
            </w:pPr>
          </w:p>
        </w:tc>
      </w:tr>
      <w:tr w14:paraId="43F0CB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2199" w:type="dxa"/>
            <w:tcBorders>
              <w:left w:val="single" w:color="000000" w:sz="6" w:space="0"/>
            </w:tcBorders>
            <w:vAlign w:val="top"/>
          </w:tcPr>
          <w:p w14:paraId="1D34E39C">
            <w:pPr>
              <w:pStyle w:val="33"/>
              <w:spacing w:before="116" w:line="220" w:lineRule="auto"/>
              <w:ind w:left="115"/>
              <w:rPr>
                <w:strike/>
                <w:dstrike w:val="0"/>
                <w:color w:val="auto"/>
                <w:sz w:val="24"/>
                <w:szCs w:val="24"/>
                <w:highlight w:val="none"/>
              </w:rPr>
            </w:pPr>
            <w:r>
              <w:rPr>
                <w:strike/>
                <w:dstrike w:val="0"/>
                <w:color w:val="auto"/>
                <w:spacing w:val="-2"/>
                <w:sz w:val="24"/>
                <w:szCs w:val="24"/>
                <w:highlight w:val="none"/>
              </w:rPr>
              <w:t>五、流动资产</w:t>
            </w:r>
          </w:p>
        </w:tc>
        <w:tc>
          <w:tcPr>
            <w:tcW w:w="1160" w:type="dxa"/>
            <w:vAlign w:val="top"/>
          </w:tcPr>
          <w:p w14:paraId="60D30CD3">
            <w:pPr>
              <w:rPr>
                <w:rFonts w:ascii="Arial"/>
                <w:strike/>
                <w:dstrike w:val="0"/>
                <w:color w:val="auto"/>
                <w:sz w:val="21"/>
                <w:highlight w:val="none"/>
              </w:rPr>
            </w:pPr>
          </w:p>
        </w:tc>
        <w:tc>
          <w:tcPr>
            <w:tcW w:w="1802" w:type="dxa"/>
            <w:vAlign w:val="top"/>
          </w:tcPr>
          <w:p w14:paraId="78DB8067">
            <w:pPr>
              <w:rPr>
                <w:rFonts w:ascii="Arial"/>
                <w:strike/>
                <w:dstrike w:val="0"/>
                <w:color w:val="auto"/>
                <w:sz w:val="21"/>
                <w:highlight w:val="none"/>
              </w:rPr>
            </w:pPr>
          </w:p>
        </w:tc>
        <w:tc>
          <w:tcPr>
            <w:tcW w:w="1804" w:type="dxa"/>
            <w:vAlign w:val="top"/>
          </w:tcPr>
          <w:p w14:paraId="512A3CB4">
            <w:pPr>
              <w:rPr>
                <w:rFonts w:ascii="Arial"/>
                <w:strike/>
                <w:dstrike w:val="0"/>
                <w:color w:val="auto"/>
                <w:sz w:val="21"/>
                <w:highlight w:val="none"/>
              </w:rPr>
            </w:pPr>
          </w:p>
        </w:tc>
        <w:tc>
          <w:tcPr>
            <w:tcW w:w="1811" w:type="dxa"/>
            <w:tcBorders>
              <w:right w:val="single" w:color="000000" w:sz="6" w:space="0"/>
            </w:tcBorders>
            <w:vAlign w:val="top"/>
          </w:tcPr>
          <w:p w14:paraId="0C15D0D2">
            <w:pPr>
              <w:rPr>
                <w:rFonts w:ascii="Arial"/>
                <w:strike/>
                <w:dstrike w:val="0"/>
                <w:color w:val="auto"/>
                <w:sz w:val="21"/>
                <w:highlight w:val="none"/>
              </w:rPr>
            </w:pPr>
          </w:p>
        </w:tc>
      </w:tr>
      <w:tr w14:paraId="047393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2199" w:type="dxa"/>
            <w:tcBorders>
              <w:left w:val="single" w:color="000000" w:sz="6" w:space="0"/>
            </w:tcBorders>
            <w:vAlign w:val="top"/>
          </w:tcPr>
          <w:p w14:paraId="25C52444">
            <w:pPr>
              <w:pStyle w:val="33"/>
              <w:spacing w:before="115" w:line="220" w:lineRule="auto"/>
              <w:ind w:left="113"/>
              <w:rPr>
                <w:strike/>
                <w:dstrike w:val="0"/>
                <w:color w:val="auto"/>
                <w:sz w:val="24"/>
                <w:szCs w:val="24"/>
                <w:highlight w:val="none"/>
              </w:rPr>
            </w:pPr>
            <w:r>
              <w:rPr>
                <w:strike/>
                <w:dstrike w:val="0"/>
                <w:color w:val="auto"/>
                <w:spacing w:val="-2"/>
                <w:sz w:val="24"/>
                <w:szCs w:val="24"/>
                <w:highlight w:val="none"/>
              </w:rPr>
              <w:t>六、流动负债</w:t>
            </w:r>
          </w:p>
        </w:tc>
        <w:tc>
          <w:tcPr>
            <w:tcW w:w="1160" w:type="dxa"/>
            <w:vAlign w:val="top"/>
          </w:tcPr>
          <w:p w14:paraId="511FF5C8">
            <w:pPr>
              <w:rPr>
                <w:rFonts w:ascii="Arial"/>
                <w:strike/>
                <w:dstrike w:val="0"/>
                <w:color w:val="auto"/>
                <w:sz w:val="21"/>
                <w:highlight w:val="none"/>
              </w:rPr>
            </w:pPr>
          </w:p>
        </w:tc>
        <w:tc>
          <w:tcPr>
            <w:tcW w:w="1802" w:type="dxa"/>
            <w:vAlign w:val="top"/>
          </w:tcPr>
          <w:p w14:paraId="1DC5A301">
            <w:pPr>
              <w:rPr>
                <w:rFonts w:ascii="Arial"/>
                <w:strike/>
                <w:dstrike w:val="0"/>
                <w:color w:val="auto"/>
                <w:sz w:val="21"/>
                <w:highlight w:val="none"/>
              </w:rPr>
            </w:pPr>
          </w:p>
        </w:tc>
        <w:tc>
          <w:tcPr>
            <w:tcW w:w="1804" w:type="dxa"/>
            <w:vAlign w:val="top"/>
          </w:tcPr>
          <w:p w14:paraId="615F24B0">
            <w:pPr>
              <w:rPr>
                <w:rFonts w:ascii="Arial"/>
                <w:strike/>
                <w:dstrike w:val="0"/>
                <w:color w:val="auto"/>
                <w:sz w:val="21"/>
                <w:highlight w:val="none"/>
              </w:rPr>
            </w:pPr>
          </w:p>
        </w:tc>
        <w:tc>
          <w:tcPr>
            <w:tcW w:w="1811" w:type="dxa"/>
            <w:tcBorders>
              <w:right w:val="single" w:color="000000" w:sz="6" w:space="0"/>
            </w:tcBorders>
            <w:vAlign w:val="top"/>
          </w:tcPr>
          <w:p w14:paraId="17D96C10">
            <w:pPr>
              <w:rPr>
                <w:rFonts w:ascii="Arial"/>
                <w:strike/>
                <w:dstrike w:val="0"/>
                <w:color w:val="auto"/>
                <w:sz w:val="21"/>
                <w:highlight w:val="none"/>
              </w:rPr>
            </w:pPr>
          </w:p>
        </w:tc>
      </w:tr>
      <w:tr w14:paraId="639CD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199" w:type="dxa"/>
            <w:tcBorders>
              <w:left w:val="single" w:color="000000" w:sz="6" w:space="0"/>
            </w:tcBorders>
            <w:vAlign w:val="top"/>
          </w:tcPr>
          <w:p w14:paraId="00896466">
            <w:pPr>
              <w:pStyle w:val="33"/>
              <w:spacing w:before="119" w:line="220" w:lineRule="auto"/>
              <w:ind w:left="110"/>
              <w:rPr>
                <w:strike/>
                <w:dstrike w:val="0"/>
                <w:color w:val="auto"/>
                <w:sz w:val="24"/>
                <w:szCs w:val="24"/>
                <w:highlight w:val="none"/>
              </w:rPr>
            </w:pPr>
            <w:r>
              <w:rPr>
                <w:strike/>
                <w:dstrike w:val="0"/>
                <w:color w:val="auto"/>
                <w:spacing w:val="-2"/>
                <w:sz w:val="24"/>
                <w:szCs w:val="24"/>
                <w:highlight w:val="none"/>
              </w:rPr>
              <w:t>七、负债合计</w:t>
            </w:r>
          </w:p>
        </w:tc>
        <w:tc>
          <w:tcPr>
            <w:tcW w:w="1160" w:type="dxa"/>
            <w:vAlign w:val="top"/>
          </w:tcPr>
          <w:p w14:paraId="0A451FF9">
            <w:pPr>
              <w:rPr>
                <w:rFonts w:ascii="Arial"/>
                <w:strike/>
                <w:dstrike w:val="0"/>
                <w:color w:val="auto"/>
                <w:sz w:val="21"/>
                <w:highlight w:val="none"/>
              </w:rPr>
            </w:pPr>
          </w:p>
        </w:tc>
        <w:tc>
          <w:tcPr>
            <w:tcW w:w="1802" w:type="dxa"/>
            <w:vAlign w:val="top"/>
          </w:tcPr>
          <w:p w14:paraId="7C8FCFE1">
            <w:pPr>
              <w:rPr>
                <w:rFonts w:ascii="Arial"/>
                <w:strike/>
                <w:dstrike w:val="0"/>
                <w:color w:val="auto"/>
                <w:sz w:val="21"/>
                <w:highlight w:val="none"/>
              </w:rPr>
            </w:pPr>
          </w:p>
        </w:tc>
        <w:tc>
          <w:tcPr>
            <w:tcW w:w="1804" w:type="dxa"/>
            <w:vAlign w:val="top"/>
          </w:tcPr>
          <w:p w14:paraId="68799C80">
            <w:pPr>
              <w:rPr>
                <w:rFonts w:ascii="Arial"/>
                <w:strike/>
                <w:dstrike w:val="0"/>
                <w:color w:val="auto"/>
                <w:sz w:val="21"/>
                <w:highlight w:val="none"/>
              </w:rPr>
            </w:pPr>
          </w:p>
        </w:tc>
        <w:tc>
          <w:tcPr>
            <w:tcW w:w="1811" w:type="dxa"/>
            <w:tcBorders>
              <w:right w:val="single" w:color="000000" w:sz="6" w:space="0"/>
            </w:tcBorders>
            <w:vAlign w:val="top"/>
          </w:tcPr>
          <w:p w14:paraId="4A1CC4E5">
            <w:pPr>
              <w:rPr>
                <w:rFonts w:ascii="Arial"/>
                <w:strike/>
                <w:dstrike w:val="0"/>
                <w:color w:val="auto"/>
                <w:sz w:val="21"/>
                <w:highlight w:val="none"/>
              </w:rPr>
            </w:pPr>
          </w:p>
        </w:tc>
      </w:tr>
      <w:tr w14:paraId="77A97A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5" w:hRule="atLeast"/>
        </w:trPr>
        <w:tc>
          <w:tcPr>
            <w:tcW w:w="2199" w:type="dxa"/>
            <w:tcBorders>
              <w:left w:val="single" w:color="000000" w:sz="6" w:space="0"/>
            </w:tcBorders>
            <w:vAlign w:val="top"/>
          </w:tcPr>
          <w:p w14:paraId="6184B352">
            <w:pPr>
              <w:pStyle w:val="33"/>
              <w:spacing w:before="118" w:line="220" w:lineRule="auto"/>
              <w:ind w:left="115"/>
              <w:rPr>
                <w:strike/>
                <w:dstrike w:val="0"/>
                <w:color w:val="auto"/>
                <w:sz w:val="24"/>
                <w:szCs w:val="24"/>
                <w:highlight w:val="none"/>
              </w:rPr>
            </w:pPr>
            <w:r>
              <w:rPr>
                <w:strike/>
                <w:dstrike w:val="0"/>
                <w:color w:val="auto"/>
                <w:spacing w:val="-2"/>
                <w:sz w:val="24"/>
                <w:szCs w:val="24"/>
                <w:highlight w:val="none"/>
              </w:rPr>
              <w:t>八、营业收入</w:t>
            </w:r>
          </w:p>
        </w:tc>
        <w:tc>
          <w:tcPr>
            <w:tcW w:w="1160" w:type="dxa"/>
            <w:vAlign w:val="top"/>
          </w:tcPr>
          <w:p w14:paraId="4F927112">
            <w:pPr>
              <w:rPr>
                <w:rFonts w:ascii="Arial"/>
                <w:strike/>
                <w:dstrike w:val="0"/>
                <w:color w:val="auto"/>
                <w:sz w:val="21"/>
                <w:highlight w:val="none"/>
              </w:rPr>
            </w:pPr>
          </w:p>
        </w:tc>
        <w:tc>
          <w:tcPr>
            <w:tcW w:w="1802" w:type="dxa"/>
            <w:vAlign w:val="top"/>
          </w:tcPr>
          <w:p w14:paraId="57363764">
            <w:pPr>
              <w:rPr>
                <w:rFonts w:ascii="Arial"/>
                <w:strike/>
                <w:dstrike w:val="0"/>
                <w:color w:val="auto"/>
                <w:sz w:val="21"/>
                <w:highlight w:val="none"/>
              </w:rPr>
            </w:pPr>
          </w:p>
        </w:tc>
        <w:tc>
          <w:tcPr>
            <w:tcW w:w="1804" w:type="dxa"/>
            <w:vAlign w:val="top"/>
          </w:tcPr>
          <w:p w14:paraId="52B8D991">
            <w:pPr>
              <w:rPr>
                <w:rFonts w:ascii="Arial"/>
                <w:strike/>
                <w:dstrike w:val="0"/>
                <w:color w:val="auto"/>
                <w:sz w:val="21"/>
                <w:highlight w:val="none"/>
              </w:rPr>
            </w:pPr>
          </w:p>
        </w:tc>
        <w:tc>
          <w:tcPr>
            <w:tcW w:w="1811" w:type="dxa"/>
            <w:tcBorders>
              <w:right w:val="single" w:color="000000" w:sz="6" w:space="0"/>
            </w:tcBorders>
            <w:vAlign w:val="top"/>
          </w:tcPr>
          <w:p w14:paraId="52B794BF">
            <w:pPr>
              <w:rPr>
                <w:rFonts w:ascii="Arial"/>
                <w:strike/>
                <w:dstrike w:val="0"/>
                <w:color w:val="auto"/>
                <w:sz w:val="21"/>
                <w:highlight w:val="none"/>
              </w:rPr>
            </w:pPr>
          </w:p>
        </w:tc>
      </w:tr>
      <w:tr w14:paraId="71BFABF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2199" w:type="dxa"/>
            <w:tcBorders>
              <w:left w:val="single" w:color="000000" w:sz="6" w:space="0"/>
            </w:tcBorders>
            <w:vAlign w:val="top"/>
          </w:tcPr>
          <w:p w14:paraId="6E1B8E35">
            <w:pPr>
              <w:pStyle w:val="33"/>
              <w:spacing w:before="123" w:line="220" w:lineRule="auto"/>
              <w:ind w:left="117"/>
              <w:rPr>
                <w:strike/>
                <w:dstrike w:val="0"/>
                <w:color w:val="auto"/>
                <w:sz w:val="24"/>
                <w:szCs w:val="24"/>
                <w:highlight w:val="none"/>
              </w:rPr>
            </w:pPr>
            <w:r>
              <w:rPr>
                <w:strike/>
                <w:dstrike w:val="0"/>
                <w:color w:val="auto"/>
                <w:spacing w:val="-3"/>
                <w:sz w:val="24"/>
                <w:szCs w:val="24"/>
                <w:highlight w:val="none"/>
              </w:rPr>
              <w:t>九、净利润</w:t>
            </w:r>
          </w:p>
        </w:tc>
        <w:tc>
          <w:tcPr>
            <w:tcW w:w="1160" w:type="dxa"/>
            <w:vAlign w:val="top"/>
          </w:tcPr>
          <w:p w14:paraId="653B0C7A">
            <w:pPr>
              <w:rPr>
                <w:rFonts w:ascii="Arial"/>
                <w:strike/>
                <w:dstrike w:val="0"/>
                <w:color w:val="auto"/>
                <w:sz w:val="21"/>
                <w:highlight w:val="none"/>
              </w:rPr>
            </w:pPr>
          </w:p>
        </w:tc>
        <w:tc>
          <w:tcPr>
            <w:tcW w:w="1802" w:type="dxa"/>
            <w:vAlign w:val="top"/>
          </w:tcPr>
          <w:p w14:paraId="7BF33606">
            <w:pPr>
              <w:rPr>
                <w:rFonts w:ascii="Arial"/>
                <w:strike/>
                <w:dstrike w:val="0"/>
                <w:color w:val="auto"/>
                <w:sz w:val="21"/>
                <w:highlight w:val="none"/>
              </w:rPr>
            </w:pPr>
          </w:p>
        </w:tc>
        <w:tc>
          <w:tcPr>
            <w:tcW w:w="1804" w:type="dxa"/>
            <w:vAlign w:val="top"/>
          </w:tcPr>
          <w:p w14:paraId="738FE538">
            <w:pPr>
              <w:rPr>
                <w:rFonts w:ascii="Arial"/>
                <w:strike/>
                <w:dstrike w:val="0"/>
                <w:color w:val="auto"/>
                <w:sz w:val="21"/>
                <w:highlight w:val="none"/>
              </w:rPr>
            </w:pPr>
          </w:p>
        </w:tc>
        <w:tc>
          <w:tcPr>
            <w:tcW w:w="1811" w:type="dxa"/>
            <w:tcBorders>
              <w:right w:val="single" w:color="000000" w:sz="6" w:space="0"/>
            </w:tcBorders>
            <w:vAlign w:val="top"/>
          </w:tcPr>
          <w:p w14:paraId="22A47A7E">
            <w:pPr>
              <w:rPr>
                <w:rFonts w:ascii="Arial"/>
                <w:strike/>
                <w:dstrike w:val="0"/>
                <w:color w:val="auto"/>
                <w:sz w:val="21"/>
                <w:highlight w:val="none"/>
              </w:rPr>
            </w:pPr>
          </w:p>
        </w:tc>
      </w:tr>
      <w:tr w14:paraId="6443E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199" w:type="dxa"/>
            <w:tcBorders>
              <w:left w:val="single" w:color="000000" w:sz="6" w:space="0"/>
              <w:bottom w:val="single" w:color="000000" w:sz="6" w:space="0"/>
            </w:tcBorders>
            <w:vAlign w:val="top"/>
          </w:tcPr>
          <w:p w14:paraId="793CC380">
            <w:pPr>
              <w:spacing w:line="244" w:lineRule="auto"/>
              <w:rPr>
                <w:rFonts w:ascii="Arial"/>
                <w:strike/>
                <w:dstrike w:val="0"/>
                <w:color w:val="auto"/>
                <w:sz w:val="21"/>
                <w:highlight w:val="none"/>
              </w:rPr>
            </w:pPr>
          </w:p>
          <w:p w14:paraId="70C60CAC">
            <w:pPr>
              <w:spacing w:before="69" w:line="74" w:lineRule="exact"/>
              <w:ind w:left="878"/>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pacing w:val="-7"/>
                <w:position w:val="-1"/>
                <w:sz w:val="24"/>
                <w:szCs w:val="24"/>
                <w:highlight w:val="none"/>
              </w:rPr>
              <w:t>……</w:t>
            </w:r>
          </w:p>
        </w:tc>
        <w:tc>
          <w:tcPr>
            <w:tcW w:w="1160" w:type="dxa"/>
            <w:tcBorders>
              <w:bottom w:val="single" w:color="000000" w:sz="6" w:space="0"/>
            </w:tcBorders>
            <w:vAlign w:val="top"/>
          </w:tcPr>
          <w:p w14:paraId="3A113538">
            <w:pPr>
              <w:rPr>
                <w:rFonts w:ascii="Arial"/>
                <w:strike/>
                <w:dstrike w:val="0"/>
                <w:color w:val="auto"/>
                <w:sz w:val="21"/>
                <w:highlight w:val="none"/>
              </w:rPr>
            </w:pPr>
          </w:p>
        </w:tc>
        <w:tc>
          <w:tcPr>
            <w:tcW w:w="1802" w:type="dxa"/>
            <w:tcBorders>
              <w:bottom w:val="single" w:color="000000" w:sz="6" w:space="0"/>
            </w:tcBorders>
            <w:vAlign w:val="top"/>
          </w:tcPr>
          <w:p w14:paraId="5CEA714A">
            <w:pPr>
              <w:rPr>
                <w:rFonts w:ascii="Arial"/>
                <w:strike/>
                <w:dstrike w:val="0"/>
                <w:color w:val="auto"/>
                <w:sz w:val="21"/>
                <w:highlight w:val="none"/>
              </w:rPr>
            </w:pPr>
          </w:p>
        </w:tc>
        <w:tc>
          <w:tcPr>
            <w:tcW w:w="1804" w:type="dxa"/>
            <w:tcBorders>
              <w:bottom w:val="single" w:color="000000" w:sz="6" w:space="0"/>
            </w:tcBorders>
            <w:vAlign w:val="top"/>
          </w:tcPr>
          <w:p w14:paraId="211AF64F">
            <w:pPr>
              <w:rPr>
                <w:rFonts w:ascii="Arial"/>
                <w:strike/>
                <w:dstrike w:val="0"/>
                <w:color w:val="auto"/>
                <w:sz w:val="21"/>
                <w:highlight w:val="none"/>
              </w:rPr>
            </w:pPr>
          </w:p>
        </w:tc>
        <w:tc>
          <w:tcPr>
            <w:tcW w:w="1811" w:type="dxa"/>
            <w:tcBorders>
              <w:bottom w:val="single" w:color="000000" w:sz="6" w:space="0"/>
              <w:right w:val="single" w:color="000000" w:sz="6" w:space="0"/>
            </w:tcBorders>
            <w:vAlign w:val="top"/>
          </w:tcPr>
          <w:p w14:paraId="12D5013C">
            <w:pPr>
              <w:rPr>
                <w:rFonts w:ascii="Arial"/>
                <w:strike/>
                <w:dstrike w:val="0"/>
                <w:color w:val="auto"/>
                <w:sz w:val="21"/>
                <w:highlight w:val="none"/>
              </w:rPr>
            </w:pPr>
          </w:p>
        </w:tc>
      </w:tr>
    </w:tbl>
    <w:p w14:paraId="5D44C1B7">
      <w:pPr>
        <w:pStyle w:val="3"/>
        <w:spacing w:line="368" w:lineRule="auto"/>
        <w:rPr>
          <w:strike/>
          <w:dstrike w:val="0"/>
          <w:color w:val="auto"/>
          <w:highlight w:val="none"/>
        </w:rPr>
      </w:pPr>
    </w:p>
    <w:p w14:paraId="34A261F8">
      <w:pPr>
        <w:spacing w:before="78"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w:t>
      </w:r>
      <w:r>
        <w:rPr>
          <w:rFonts w:ascii="Times New Roman" w:hAnsi="Times New Roman" w:eastAsia="Times New Roman" w:cs="Times New Roman"/>
          <w:strike/>
          <w:dstrike w:val="0"/>
          <w:color w:val="auto"/>
          <w:spacing w:val="-2"/>
          <w:sz w:val="24"/>
          <w:szCs w:val="24"/>
          <w:highlight w:val="none"/>
        </w:rPr>
        <w:t xml:space="preserve">1.  </w:t>
      </w:r>
      <w:r>
        <w:rPr>
          <w:rFonts w:ascii="宋体" w:hAnsi="宋体" w:eastAsia="宋体" w:cs="宋体"/>
          <w:strike/>
          <w:dstrike w:val="0"/>
          <w:color w:val="auto"/>
          <w:spacing w:val="-2"/>
          <w:sz w:val="24"/>
          <w:szCs w:val="24"/>
          <w:highlight w:val="none"/>
        </w:rPr>
        <w:t>若投标人为联合体，联合体各成员单位分别填写本表。</w:t>
      </w:r>
    </w:p>
    <w:p w14:paraId="14C589B6">
      <w:pPr>
        <w:spacing w:before="120" w:line="219" w:lineRule="auto"/>
        <w:ind w:left="47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 xml:space="preserve">2.  </w:t>
      </w:r>
      <w:r>
        <w:rPr>
          <w:rFonts w:ascii="宋体" w:hAnsi="宋体" w:eastAsia="宋体" w:cs="宋体"/>
          <w:strike/>
          <w:dstrike w:val="0"/>
          <w:color w:val="auto"/>
          <w:spacing w:val="-3"/>
          <w:sz w:val="24"/>
          <w:szCs w:val="24"/>
          <w:highlight w:val="none"/>
        </w:rPr>
        <w:t>新建企业按实际发生年份提供。</w:t>
      </w:r>
    </w:p>
    <w:p w14:paraId="65621F87">
      <w:pPr>
        <w:spacing w:line="219"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48D28B3">
      <w:pPr>
        <w:spacing w:before="47" w:line="219" w:lineRule="auto"/>
        <w:ind w:left="15"/>
        <w:rPr>
          <w:rFonts w:ascii="宋体" w:hAnsi="宋体" w:eastAsia="宋体" w:cs="宋体"/>
          <w:color w:val="auto"/>
          <w:sz w:val="24"/>
          <w:szCs w:val="24"/>
          <w:highlight w:val="none"/>
        </w:rPr>
      </w:pPr>
      <w:r>
        <w:rPr>
          <w:rFonts w:ascii="宋体" w:hAnsi="宋体" w:eastAsia="宋体" w:cs="宋体"/>
          <w:b/>
          <w:bCs/>
          <w:color w:val="auto"/>
          <w:spacing w:val="-10"/>
          <w:sz w:val="24"/>
          <w:szCs w:val="24"/>
          <w:highlight w:val="none"/>
        </w:rPr>
        <w:t>（三）</w:t>
      </w:r>
      <w:r>
        <w:rPr>
          <w:rFonts w:ascii="宋体" w:hAnsi="宋体" w:eastAsia="宋体" w:cs="宋体"/>
          <w:color w:val="auto"/>
          <w:spacing w:val="-63"/>
          <w:sz w:val="24"/>
          <w:szCs w:val="24"/>
          <w:highlight w:val="none"/>
        </w:rPr>
        <w:t xml:space="preserve"> </w:t>
      </w:r>
      <w:r>
        <w:rPr>
          <w:rFonts w:ascii="宋体" w:hAnsi="宋体" w:eastAsia="宋体" w:cs="宋体"/>
          <w:b/>
          <w:bCs/>
          <w:color w:val="auto"/>
          <w:spacing w:val="-10"/>
          <w:sz w:val="24"/>
          <w:szCs w:val="24"/>
          <w:highlight w:val="none"/>
        </w:rPr>
        <w:t>项目管理机构</w:t>
      </w:r>
    </w:p>
    <w:p w14:paraId="5F601989">
      <w:pPr>
        <w:spacing w:before="303" w:line="219" w:lineRule="auto"/>
        <w:ind w:left="15"/>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  </w:t>
      </w:r>
      <w:r>
        <w:rPr>
          <w:rFonts w:ascii="宋体" w:hAnsi="宋体" w:eastAsia="宋体" w:cs="宋体"/>
          <w:b/>
          <w:bCs/>
          <w:color w:val="auto"/>
          <w:spacing w:val="-3"/>
          <w:sz w:val="24"/>
          <w:szCs w:val="24"/>
          <w:highlight w:val="none"/>
        </w:rPr>
        <w:t>项目管理机构组成表</w:t>
      </w:r>
    </w:p>
    <w:p w14:paraId="180EA107">
      <w:pPr>
        <w:spacing w:line="144" w:lineRule="exact"/>
        <w:rPr>
          <w:color w:val="auto"/>
          <w:highlight w:val="none"/>
        </w:rPr>
      </w:pPr>
    </w:p>
    <w:tbl>
      <w:tblPr>
        <w:tblStyle w:val="32"/>
        <w:tblW w:w="8910"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83"/>
        <w:gridCol w:w="683"/>
        <w:gridCol w:w="838"/>
        <w:gridCol w:w="1363"/>
        <w:gridCol w:w="848"/>
        <w:gridCol w:w="1018"/>
        <w:gridCol w:w="1210"/>
        <w:gridCol w:w="1251"/>
        <w:gridCol w:w="1016"/>
      </w:tblGrid>
      <w:tr w14:paraId="49BDD6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96" w:hRule="atLeast"/>
        </w:trPr>
        <w:tc>
          <w:tcPr>
            <w:tcW w:w="683" w:type="dxa"/>
            <w:vMerge w:val="restart"/>
            <w:tcBorders>
              <w:top w:val="single" w:color="000000" w:sz="6" w:space="0"/>
              <w:left w:val="single" w:color="000000" w:sz="6" w:space="0"/>
              <w:bottom w:val="nil"/>
            </w:tcBorders>
            <w:vAlign w:val="top"/>
          </w:tcPr>
          <w:p w14:paraId="746AF1CF">
            <w:pPr>
              <w:spacing w:line="336" w:lineRule="auto"/>
              <w:rPr>
                <w:rFonts w:ascii="Arial"/>
                <w:color w:val="auto"/>
                <w:sz w:val="21"/>
                <w:highlight w:val="none"/>
              </w:rPr>
            </w:pPr>
          </w:p>
          <w:p w14:paraId="78D09CC7">
            <w:pPr>
              <w:pStyle w:val="33"/>
              <w:spacing w:before="78" w:line="220" w:lineRule="auto"/>
              <w:ind w:left="98"/>
              <w:rPr>
                <w:color w:val="auto"/>
                <w:sz w:val="24"/>
                <w:szCs w:val="24"/>
                <w:highlight w:val="none"/>
              </w:rPr>
            </w:pPr>
            <w:r>
              <w:rPr>
                <w:color w:val="auto"/>
                <w:spacing w:val="-3"/>
                <w:sz w:val="24"/>
                <w:szCs w:val="24"/>
                <w:highlight w:val="none"/>
              </w:rPr>
              <w:t>职务</w:t>
            </w:r>
          </w:p>
        </w:tc>
        <w:tc>
          <w:tcPr>
            <w:tcW w:w="683" w:type="dxa"/>
            <w:vMerge w:val="restart"/>
            <w:tcBorders>
              <w:top w:val="single" w:color="000000" w:sz="6" w:space="0"/>
              <w:bottom w:val="nil"/>
            </w:tcBorders>
            <w:vAlign w:val="top"/>
          </w:tcPr>
          <w:p w14:paraId="78AF6D0B">
            <w:pPr>
              <w:spacing w:line="336" w:lineRule="auto"/>
              <w:rPr>
                <w:rFonts w:ascii="Arial"/>
                <w:color w:val="auto"/>
                <w:sz w:val="21"/>
                <w:highlight w:val="none"/>
              </w:rPr>
            </w:pPr>
          </w:p>
          <w:p w14:paraId="10536EBE">
            <w:pPr>
              <w:pStyle w:val="33"/>
              <w:spacing w:before="78" w:line="220" w:lineRule="auto"/>
              <w:ind w:left="101"/>
              <w:rPr>
                <w:color w:val="auto"/>
                <w:sz w:val="24"/>
                <w:szCs w:val="24"/>
                <w:highlight w:val="none"/>
              </w:rPr>
            </w:pPr>
            <w:r>
              <w:rPr>
                <w:color w:val="auto"/>
                <w:spacing w:val="-3"/>
                <w:sz w:val="24"/>
                <w:szCs w:val="24"/>
                <w:highlight w:val="none"/>
              </w:rPr>
              <w:t>姓名</w:t>
            </w:r>
          </w:p>
        </w:tc>
        <w:tc>
          <w:tcPr>
            <w:tcW w:w="838" w:type="dxa"/>
            <w:vMerge w:val="restart"/>
            <w:tcBorders>
              <w:top w:val="single" w:color="000000" w:sz="6" w:space="0"/>
              <w:bottom w:val="nil"/>
            </w:tcBorders>
            <w:vAlign w:val="top"/>
          </w:tcPr>
          <w:p w14:paraId="0AC18C40">
            <w:pPr>
              <w:spacing w:line="336" w:lineRule="auto"/>
              <w:rPr>
                <w:rFonts w:ascii="Arial"/>
                <w:color w:val="auto"/>
                <w:sz w:val="21"/>
                <w:highlight w:val="none"/>
              </w:rPr>
            </w:pPr>
          </w:p>
          <w:p w14:paraId="1D5881E8">
            <w:pPr>
              <w:pStyle w:val="33"/>
              <w:spacing w:before="78" w:line="222" w:lineRule="auto"/>
              <w:ind w:left="179"/>
              <w:rPr>
                <w:color w:val="auto"/>
                <w:sz w:val="24"/>
                <w:szCs w:val="24"/>
                <w:highlight w:val="none"/>
              </w:rPr>
            </w:pPr>
            <w:r>
              <w:rPr>
                <w:color w:val="auto"/>
                <w:spacing w:val="-3"/>
                <w:sz w:val="24"/>
                <w:szCs w:val="24"/>
                <w:highlight w:val="none"/>
              </w:rPr>
              <w:t>职称</w:t>
            </w:r>
          </w:p>
        </w:tc>
        <w:tc>
          <w:tcPr>
            <w:tcW w:w="5690" w:type="dxa"/>
            <w:gridSpan w:val="5"/>
            <w:tcBorders>
              <w:top w:val="single" w:color="000000" w:sz="6" w:space="0"/>
            </w:tcBorders>
            <w:vAlign w:val="top"/>
          </w:tcPr>
          <w:p w14:paraId="6B34D8B7">
            <w:pPr>
              <w:pStyle w:val="33"/>
              <w:spacing w:before="99" w:line="220" w:lineRule="auto"/>
              <w:ind w:left="1772"/>
              <w:rPr>
                <w:color w:val="auto"/>
                <w:sz w:val="24"/>
                <w:szCs w:val="24"/>
                <w:highlight w:val="none"/>
              </w:rPr>
            </w:pPr>
            <w:r>
              <w:rPr>
                <w:color w:val="auto"/>
                <w:spacing w:val="-1"/>
                <w:sz w:val="24"/>
                <w:szCs w:val="24"/>
                <w:highlight w:val="none"/>
              </w:rPr>
              <w:t>执业或职业资格证明</w:t>
            </w:r>
          </w:p>
        </w:tc>
        <w:tc>
          <w:tcPr>
            <w:tcW w:w="1016" w:type="dxa"/>
            <w:vMerge w:val="restart"/>
            <w:tcBorders>
              <w:top w:val="single" w:color="000000" w:sz="6" w:space="0"/>
              <w:bottom w:val="nil"/>
              <w:right w:val="single" w:color="000000" w:sz="6" w:space="0"/>
            </w:tcBorders>
            <w:vAlign w:val="top"/>
          </w:tcPr>
          <w:p w14:paraId="7112468F">
            <w:pPr>
              <w:spacing w:line="337" w:lineRule="auto"/>
              <w:rPr>
                <w:rFonts w:ascii="Arial"/>
                <w:color w:val="auto"/>
                <w:sz w:val="21"/>
                <w:highlight w:val="none"/>
              </w:rPr>
            </w:pPr>
          </w:p>
          <w:p w14:paraId="29F3D764">
            <w:pPr>
              <w:pStyle w:val="33"/>
              <w:spacing w:before="78" w:line="221" w:lineRule="auto"/>
              <w:ind w:left="277"/>
              <w:rPr>
                <w:color w:val="auto"/>
                <w:sz w:val="24"/>
                <w:szCs w:val="24"/>
                <w:highlight w:val="none"/>
              </w:rPr>
            </w:pPr>
            <w:r>
              <w:rPr>
                <w:color w:val="auto"/>
                <w:spacing w:val="-4"/>
                <w:sz w:val="24"/>
                <w:szCs w:val="24"/>
                <w:highlight w:val="none"/>
              </w:rPr>
              <w:t>备注</w:t>
            </w:r>
          </w:p>
        </w:tc>
      </w:tr>
      <w:tr w14:paraId="66692D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8" w:hRule="atLeast"/>
        </w:trPr>
        <w:tc>
          <w:tcPr>
            <w:tcW w:w="683" w:type="dxa"/>
            <w:vMerge w:val="continue"/>
            <w:tcBorders>
              <w:top w:val="nil"/>
              <w:left w:val="single" w:color="000000" w:sz="6" w:space="0"/>
            </w:tcBorders>
            <w:vAlign w:val="top"/>
          </w:tcPr>
          <w:p w14:paraId="22FB4ABD">
            <w:pPr>
              <w:rPr>
                <w:rFonts w:ascii="Arial"/>
                <w:color w:val="auto"/>
                <w:sz w:val="21"/>
                <w:highlight w:val="none"/>
              </w:rPr>
            </w:pPr>
          </w:p>
        </w:tc>
        <w:tc>
          <w:tcPr>
            <w:tcW w:w="683" w:type="dxa"/>
            <w:vMerge w:val="continue"/>
            <w:tcBorders>
              <w:top w:val="nil"/>
            </w:tcBorders>
            <w:vAlign w:val="top"/>
          </w:tcPr>
          <w:p w14:paraId="2AE5C75B">
            <w:pPr>
              <w:rPr>
                <w:rFonts w:ascii="Arial"/>
                <w:color w:val="auto"/>
                <w:sz w:val="21"/>
                <w:highlight w:val="none"/>
              </w:rPr>
            </w:pPr>
          </w:p>
        </w:tc>
        <w:tc>
          <w:tcPr>
            <w:tcW w:w="838" w:type="dxa"/>
            <w:vMerge w:val="continue"/>
            <w:tcBorders>
              <w:top w:val="nil"/>
            </w:tcBorders>
            <w:vAlign w:val="top"/>
          </w:tcPr>
          <w:p w14:paraId="3DE59CBD">
            <w:pPr>
              <w:rPr>
                <w:rFonts w:ascii="Arial"/>
                <w:color w:val="auto"/>
                <w:sz w:val="21"/>
                <w:highlight w:val="none"/>
              </w:rPr>
            </w:pPr>
          </w:p>
        </w:tc>
        <w:tc>
          <w:tcPr>
            <w:tcW w:w="1363" w:type="dxa"/>
            <w:vAlign w:val="top"/>
          </w:tcPr>
          <w:p w14:paraId="15B24F8E">
            <w:pPr>
              <w:pStyle w:val="33"/>
              <w:spacing w:before="115" w:line="219" w:lineRule="auto"/>
              <w:ind w:left="204"/>
              <w:rPr>
                <w:color w:val="auto"/>
                <w:sz w:val="24"/>
                <w:szCs w:val="24"/>
                <w:highlight w:val="none"/>
              </w:rPr>
            </w:pPr>
            <w:r>
              <w:rPr>
                <w:color w:val="auto"/>
                <w:spacing w:val="-2"/>
                <w:sz w:val="24"/>
                <w:szCs w:val="24"/>
                <w:highlight w:val="none"/>
              </w:rPr>
              <w:t>证书名称</w:t>
            </w:r>
          </w:p>
        </w:tc>
        <w:tc>
          <w:tcPr>
            <w:tcW w:w="848" w:type="dxa"/>
            <w:vAlign w:val="top"/>
          </w:tcPr>
          <w:p w14:paraId="62F4C856">
            <w:pPr>
              <w:pStyle w:val="33"/>
              <w:spacing w:before="116" w:line="220" w:lineRule="auto"/>
              <w:ind w:left="192"/>
              <w:rPr>
                <w:color w:val="auto"/>
                <w:sz w:val="24"/>
                <w:szCs w:val="24"/>
                <w:highlight w:val="none"/>
              </w:rPr>
            </w:pPr>
            <w:r>
              <w:rPr>
                <w:color w:val="auto"/>
                <w:spacing w:val="-4"/>
                <w:sz w:val="24"/>
                <w:szCs w:val="24"/>
                <w:highlight w:val="none"/>
              </w:rPr>
              <w:t>级别</w:t>
            </w:r>
          </w:p>
        </w:tc>
        <w:tc>
          <w:tcPr>
            <w:tcW w:w="1018" w:type="dxa"/>
            <w:vAlign w:val="top"/>
          </w:tcPr>
          <w:p w14:paraId="2DB38D00">
            <w:pPr>
              <w:pStyle w:val="33"/>
              <w:spacing w:before="116" w:line="221" w:lineRule="auto"/>
              <w:ind w:left="276"/>
              <w:rPr>
                <w:color w:val="auto"/>
                <w:sz w:val="24"/>
                <w:szCs w:val="24"/>
                <w:highlight w:val="none"/>
              </w:rPr>
            </w:pPr>
            <w:r>
              <w:rPr>
                <w:color w:val="auto"/>
                <w:spacing w:val="-3"/>
                <w:sz w:val="24"/>
                <w:szCs w:val="24"/>
                <w:highlight w:val="none"/>
              </w:rPr>
              <w:t>证号</w:t>
            </w:r>
          </w:p>
        </w:tc>
        <w:tc>
          <w:tcPr>
            <w:tcW w:w="1210" w:type="dxa"/>
            <w:vAlign w:val="top"/>
          </w:tcPr>
          <w:p w14:paraId="67D97598">
            <w:pPr>
              <w:pStyle w:val="33"/>
              <w:spacing w:before="116" w:line="220" w:lineRule="auto"/>
              <w:ind w:left="375"/>
              <w:rPr>
                <w:color w:val="auto"/>
                <w:sz w:val="24"/>
                <w:szCs w:val="24"/>
                <w:highlight w:val="none"/>
              </w:rPr>
            </w:pPr>
            <w:r>
              <w:rPr>
                <w:color w:val="auto"/>
                <w:spacing w:val="-3"/>
                <w:sz w:val="24"/>
                <w:szCs w:val="24"/>
                <w:highlight w:val="none"/>
              </w:rPr>
              <w:t>专业</w:t>
            </w:r>
          </w:p>
        </w:tc>
        <w:tc>
          <w:tcPr>
            <w:tcW w:w="1251" w:type="dxa"/>
            <w:vAlign w:val="top"/>
          </w:tcPr>
          <w:p w14:paraId="02C96C0A">
            <w:pPr>
              <w:pStyle w:val="33"/>
              <w:spacing w:before="38" w:line="223" w:lineRule="auto"/>
              <w:ind w:left="156" w:right="137" w:firstLine="3"/>
              <w:rPr>
                <w:color w:val="auto"/>
                <w:sz w:val="24"/>
                <w:szCs w:val="24"/>
                <w:highlight w:val="none"/>
              </w:rPr>
            </w:pPr>
            <w:r>
              <w:rPr>
                <w:color w:val="auto"/>
                <w:spacing w:val="-3"/>
                <w:sz w:val="24"/>
                <w:szCs w:val="24"/>
                <w:highlight w:val="none"/>
              </w:rPr>
              <w:t>社会保险</w:t>
            </w:r>
            <w:r>
              <w:rPr>
                <w:color w:val="auto"/>
                <w:sz w:val="24"/>
                <w:szCs w:val="24"/>
                <w:highlight w:val="none"/>
              </w:rPr>
              <w:t xml:space="preserve"> </w:t>
            </w:r>
            <w:r>
              <w:rPr>
                <w:color w:val="auto"/>
                <w:spacing w:val="-2"/>
                <w:sz w:val="24"/>
                <w:szCs w:val="24"/>
                <w:highlight w:val="none"/>
              </w:rPr>
              <w:t>缴纳情况</w:t>
            </w:r>
          </w:p>
        </w:tc>
        <w:tc>
          <w:tcPr>
            <w:tcW w:w="1016" w:type="dxa"/>
            <w:vMerge w:val="continue"/>
            <w:tcBorders>
              <w:top w:val="nil"/>
              <w:right w:val="single" w:color="000000" w:sz="6" w:space="0"/>
            </w:tcBorders>
            <w:vAlign w:val="top"/>
          </w:tcPr>
          <w:p w14:paraId="75ECF503">
            <w:pPr>
              <w:rPr>
                <w:rFonts w:ascii="Arial"/>
                <w:color w:val="auto"/>
                <w:sz w:val="21"/>
                <w:highlight w:val="none"/>
              </w:rPr>
            </w:pPr>
          </w:p>
        </w:tc>
      </w:tr>
      <w:tr w14:paraId="1E4B62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83" w:type="dxa"/>
            <w:tcBorders>
              <w:left w:val="single" w:color="000000" w:sz="6" w:space="0"/>
            </w:tcBorders>
            <w:vAlign w:val="top"/>
          </w:tcPr>
          <w:p w14:paraId="6ED74D45">
            <w:pPr>
              <w:rPr>
                <w:rFonts w:ascii="Arial"/>
                <w:color w:val="auto"/>
                <w:sz w:val="21"/>
                <w:highlight w:val="none"/>
              </w:rPr>
            </w:pPr>
          </w:p>
        </w:tc>
        <w:tc>
          <w:tcPr>
            <w:tcW w:w="683" w:type="dxa"/>
            <w:vAlign w:val="top"/>
          </w:tcPr>
          <w:p w14:paraId="27B63607">
            <w:pPr>
              <w:rPr>
                <w:rFonts w:ascii="Arial"/>
                <w:color w:val="auto"/>
                <w:sz w:val="21"/>
                <w:highlight w:val="none"/>
              </w:rPr>
            </w:pPr>
          </w:p>
        </w:tc>
        <w:tc>
          <w:tcPr>
            <w:tcW w:w="838" w:type="dxa"/>
            <w:vAlign w:val="top"/>
          </w:tcPr>
          <w:p w14:paraId="504BFD54">
            <w:pPr>
              <w:rPr>
                <w:rFonts w:ascii="Arial"/>
                <w:color w:val="auto"/>
                <w:sz w:val="21"/>
                <w:highlight w:val="none"/>
              </w:rPr>
            </w:pPr>
          </w:p>
        </w:tc>
        <w:tc>
          <w:tcPr>
            <w:tcW w:w="1363" w:type="dxa"/>
            <w:vAlign w:val="top"/>
          </w:tcPr>
          <w:p w14:paraId="40F73037">
            <w:pPr>
              <w:rPr>
                <w:rFonts w:ascii="Arial"/>
                <w:color w:val="auto"/>
                <w:sz w:val="21"/>
                <w:highlight w:val="none"/>
              </w:rPr>
            </w:pPr>
          </w:p>
        </w:tc>
        <w:tc>
          <w:tcPr>
            <w:tcW w:w="848" w:type="dxa"/>
            <w:vAlign w:val="top"/>
          </w:tcPr>
          <w:p w14:paraId="6F18C8DE">
            <w:pPr>
              <w:rPr>
                <w:rFonts w:ascii="Arial"/>
                <w:color w:val="auto"/>
                <w:sz w:val="21"/>
                <w:highlight w:val="none"/>
              </w:rPr>
            </w:pPr>
          </w:p>
        </w:tc>
        <w:tc>
          <w:tcPr>
            <w:tcW w:w="1018" w:type="dxa"/>
            <w:vAlign w:val="top"/>
          </w:tcPr>
          <w:p w14:paraId="780B13CB">
            <w:pPr>
              <w:rPr>
                <w:rFonts w:ascii="Arial"/>
                <w:color w:val="auto"/>
                <w:sz w:val="21"/>
                <w:highlight w:val="none"/>
              </w:rPr>
            </w:pPr>
          </w:p>
        </w:tc>
        <w:tc>
          <w:tcPr>
            <w:tcW w:w="1210" w:type="dxa"/>
            <w:vAlign w:val="top"/>
          </w:tcPr>
          <w:p w14:paraId="68171240">
            <w:pPr>
              <w:rPr>
                <w:rFonts w:ascii="Arial"/>
                <w:color w:val="auto"/>
                <w:sz w:val="21"/>
                <w:highlight w:val="none"/>
              </w:rPr>
            </w:pPr>
          </w:p>
        </w:tc>
        <w:tc>
          <w:tcPr>
            <w:tcW w:w="1251" w:type="dxa"/>
            <w:vAlign w:val="top"/>
          </w:tcPr>
          <w:p w14:paraId="0D457A9D">
            <w:pPr>
              <w:rPr>
                <w:rFonts w:ascii="Arial"/>
                <w:color w:val="auto"/>
                <w:sz w:val="21"/>
                <w:highlight w:val="none"/>
              </w:rPr>
            </w:pPr>
          </w:p>
        </w:tc>
        <w:tc>
          <w:tcPr>
            <w:tcW w:w="1016" w:type="dxa"/>
            <w:tcBorders>
              <w:right w:val="single" w:color="000000" w:sz="6" w:space="0"/>
            </w:tcBorders>
            <w:vAlign w:val="top"/>
          </w:tcPr>
          <w:p w14:paraId="33AEFCAD">
            <w:pPr>
              <w:rPr>
                <w:rFonts w:ascii="Arial"/>
                <w:color w:val="auto"/>
                <w:sz w:val="21"/>
                <w:highlight w:val="none"/>
              </w:rPr>
            </w:pPr>
          </w:p>
        </w:tc>
      </w:tr>
      <w:tr w14:paraId="21A151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327ED121">
            <w:pPr>
              <w:rPr>
                <w:rFonts w:ascii="Arial"/>
                <w:color w:val="auto"/>
                <w:sz w:val="21"/>
                <w:highlight w:val="none"/>
              </w:rPr>
            </w:pPr>
          </w:p>
        </w:tc>
        <w:tc>
          <w:tcPr>
            <w:tcW w:w="683" w:type="dxa"/>
            <w:vAlign w:val="top"/>
          </w:tcPr>
          <w:p w14:paraId="5497A933">
            <w:pPr>
              <w:rPr>
                <w:rFonts w:ascii="Arial"/>
                <w:color w:val="auto"/>
                <w:sz w:val="21"/>
                <w:highlight w:val="none"/>
              </w:rPr>
            </w:pPr>
          </w:p>
        </w:tc>
        <w:tc>
          <w:tcPr>
            <w:tcW w:w="838" w:type="dxa"/>
            <w:vAlign w:val="top"/>
          </w:tcPr>
          <w:p w14:paraId="5EFA89BC">
            <w:pPr>
              <w:rPr>
                <w:rFonts w:ascii="Arial"/>
                <w:color w:val="auto"/>
                <w:sz w:val="21"/>
                <w:highlight w:val="none"/>
              </w:rPr>
            </w:pPr>
          </w:p>
        </w:tc>
        <w:tc>
          <w:tcPr>
            <w:tcW w:w="1363" w:type="dxa"/>
            <w:vAlign w:val="top"/>
          </w:tcPr>
          <w:p w14:paraId="148A8E0C">
            <w:pPr>
              <w:rPr>
                <w:rFonts w:ascii="Arial"/>
                <w:color w:val="auto"/>
                <w:sz w:val="21"/>
                <w:highlight w:val="none"/>
              </w:rPr>
            </w:pPr>
          </w:p>
        </w:tc>
        <w:tc>
          <w:tcPr>
            <w:tcW w:w="848" w:type="dxa"/>
            <w:vAlign w:val="top"/>
          </w:tcPr>
          <w:p w14:paraId="4A69BE17">
            <w:pPr>
              <w:rPr>
                <w:rFonts w:ascii="Arial"/>
                <w:color w:val="auto"/>
                <w:sz w:val="21"/>
                <w:highlight w:val="none"/>
              </w:rPr>
            </w:pPr>
          </w:p>
        </w:tc>
        <w:tc>
          <w:tcPr>
            <w:tcW w:w="1018" w:type="dxa"/>
            <w:vAlign w:val="top"/>
          </w:tcPr>
          <w:p w14:paraId="529A6C2F">
            <w:pPr>
              <w:rPr>
                <w:rFonts w:ascii="Arial"/>
                <w:color w:val="auto"/>
                <w:sz w:val="21"/>
                <w:highlight w:val="none"/>
              </w:rPr>
            </w:pPr>
          </w:p>
        </w:tc>
        <w:tc>
          <w:tcPr>
            <w:tcW w:w="1210" w:type="dxa"/>
            <w:vAlign w:val="top"/>
          </w:tcPr>
          <w:p w14:paraId="4D5437B6">
            <w:pPr>
              <w:rPr>
                <w:rFonts w:ascii="Arial"/>
                <w:color w:val="auto"/>
                <w:sz w:val="21"/>
                <w:highlight w:val="none"/>
              </w:rPr>
            </w:pPr>
          </w:p>
        </w:tc>
        <w:tc>
          <w:tcPr>
            <w:tcW w:w="1251" w:type="dxa"/>
            <w:vAlign w:val="top"/>
          </w:tcPr>
          <w:p w14:paraId="5159123D">
            <w:pPr>
              <w:rPr>
                <w:rFonts w:ascii="Arial"/>
                <w:color w:val="auto"/>
                <w:sz w:val="21"/>
                <w:highlight w:val="none"/>
              </w:rPr>
            </w:pPr>
          </w:p>
        </w:tc>
        <w:tc>
          <w:tcPr>
            <w:tcW w:w="1016" w:type="dxa"/>
            <w:tcBorders>
              <w:right w:val="single" w:color="000000" w:sz="6" w:space="0"/>
            </w:tcBorders>
            <w:vAlign w:val="top"/>
          </w:tcPr>
          <w:p w14:paraId="25651C9D">
            <w:pPr>
              <w:rPr>
                <w:rFonts w:ascii="Arial"/>
                <w:color w:val="auto"/>
                <w:sz w:val="21"/>
                <w:highlight w:val="none"/>
              </w:rPr>
            </w:pPr>
          </w:p>
        </w:tc>
      </w:tr>
      <w:tr w14:paraId="3B4986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83" w:type="dxa"/>
            <w:tcBorders>
              <w:left w:val="single" w:color="000000" w:sz="6" w:space="0"/>
            </w:tcBorders>
            <w:vAlign w:val="top"/>
          </w:tcPr>
          <w:p w14:paraId="23C3DBD8">
            <w:pPr>
              <w:rPr>
                <w:rFonts w:ascii="Arial"/>
                <w:color w:val="auto"/>
                <w:sz w:val="21"/>
                <w:highlight w:val="none"/>
              </w:rPr>
            </w:pPr>
          </w:p>
        </w:tc>
        <w:tc>
          <w:tcPr>
            <w:tcW w:w="683" w:type="dxa"/>
            <w:vAlign w:val="top"/>
          </w:tcPr>
          <w:p w14:paraId="7AA3D0C8">
            <w:pPr>
              <w:rPr>
                <w:rFonts w:ascii="Arial"/>
                <w:color w:val="auto"/>
                <w:sz w:val="21"/>
                <w:highlight w:val="none"/>
              </w:rPr>
            </w:pPr>
          </w:p>
        </w:tc>
        <w:tc>
          <w:tcPr>
            <w:tcW w:w="838" w:type="dxa"/>
            <w:vAlign w:val="top"/>
          </w:tcPr>
          <w:p w14:paraId="5F1C28B4">
            <w:pPr>
              <w:rPr>
                <w:rFonts w:ascii="Arial"/>
                <w:color w:val="auto"/>
                <w:sz w:val="21"/>
                <w:highlight w:val="none"/>
              </w:rPr>
            </w:pPr>
          </w:p>
        </w:tc>
        <w:tc>
          <w:tcPr>
            <w:tcW w:w="1363" w:type="dxa"/>
            <w:vAlign w:val="top"/>
          </w:tcPr>
          <w:p w14:paraId="182BAC82">
            <w:pPr>
              <w:rPr>
                <w:rFonts w:ascii="Arial"/>
                <w:color w:val="auto"/>
                <w:sz w:val="21"/>
                <w:highlight w:val="none"/>
              </w:rPr>
            </w:pPr>
          </w:p>
        </w:tc>
        <w:tc>
          <w:tcPr>
            <w:tcW w:w="848" w:type="dxa"/>
            <w:vAlign w:val="top"/>
          </w:tcPr>
          <w:p w14:paraId="76950BEF">
            <w:pPr>
              <w:rPr>
                <w:rFonts w:ascii="Arial"/>
                <w:color w:val="auto"/>
                <w:sz w:val="21"/>
                <w:highlight w:val="none"/>
              </w:rPr>
            </w:pPr>
          </w:p>
        </w:tc>
        <w:tc>
          <w:tcPr>
            <w:tcW w:w="1018" w:type="dxa"/>
            <w:vAlign w:val="top"/>
          </w:tcPr>
          <w:p w14:paraId="41C7A985">
            <w:pPr>
              <w:rPr>
                <w:rFonts w:ascii="Arial"/>
                <w:color w:val="auto"/>
                <w:sz w:val="21"/>
                <w:highlight w:val="none"/>
              </w:rPr>
            </w:pPr>
          </w:p>
        </w:tc>
        <w:tc>
          <w:tcPr>
            <w:tcW w:w="1210" w:type="dxa"/>
            <w:vAlign w:val="top"/>
          </w:tcPr>
          <w:p w14:paraId="66BFFBE3">
            <w:pPr>
              <w:rPr>
                <w:rFonts w:ascii="Arial"/>
                <w:color w:val="auto"/>
                <w:sz w:val="21"/>
                <w:highlight w:val="none"/>
              </w:rPr>
            </w:pPr>
          </w:p>
        </w:tc>
        <w:tc>
          <w:tcPr>
            <w:tcW w:w="1251" w:type="dxa"/>
            <w:vAlign w:val="top"/>
          </w:tcPr>
          <w:p w14:paraId="34342E1C">
            <w:pPr>
              <w:rPr>
                <w:rFonts w:ascii="Arial"/>
                <w:color w:val="auto"/>
                <w:sz w:val="21"/>
                <w:highlight w:val="none"/>
              </w:rPr>
            </w:pPr>
          </w:p>
        </w:tc>
        <w:tc>
          <w:tcPr>
            <w:tcW w:w="1016" w:type="dxa"/>
            <w:tcBorders>
              <w:right w:val="single" w:color="000000" w:sz="6" w:space="0"/>
            </w:tcBorders>
            <w:vAlign w:val="top"/>
          </w:tcPr>
          <w:p w14:paraId="5D6A05D2">
            <w:pPr>
              <w:rPr>
                <w:rFonts w:ascii="Arial"/>
                <w:color w:val="auto"/>
                <w:sz w:val="21"/>
                <w:highlight w:val="none"/>
              </w:rPr>
            </w:pPr>
          </w:p>
        </w:tc>
      </w:tr>
      <w:tr w14:paraId="107310A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6F409687">
            <w:pPr>
              <w:rPr>
                <w:rFonts w:ascii="Arial"/>
                <w:color w:val="auto"/>
                <w:sz w:val="21"/>
                <w:highlight w:val="none"/>
              </w:rPr>
            </w:pPr>
          </w:p>
        </w:tc>
        <w:tc>
          <w:tcPr>
            <w:tcW w:w="683" w:type="dxa"/>
            <w:vAlign w:val="top"/>
          </w:tcPr>
          <w:p w14:paraId="60787011">
            <w:pPr>
              <w:rPr>
                <w:rFonts w:ascii="Arial"/>
                <w:color w:val="auto"/>
                <w:sz w:val="21"/>
                <w:highlight w:val="none"/>
              </w:rPr>
            </w:pPr>
          </w:p>
        </w:tc>
        <w:tc>
          <w:tcPr>
            <w:tcW w:w="838" w:type="dxa"/>
            <w:vAlign w:val="top"/>
          </w:tcPr>
          <w:p w14:paraId="27578FE4">
            <w:pPr>
              <w:rPr>
                <w:rFonts w:ascii="Arial"/>
                <w:color w:val="auto"/>
                <w:sz w:val="21"/>
                <w:highlight w:val="none"/>
              </w:rPr>
            </w:pPr>
          </w:p>
        </w:tc>
        <w:tc>
          <w:tcPr>
            <w:tcW w:w="1363" w:type="dxa"/>
            <w:vAlign w:val="top"/>
          </w:tcPr>
          <w:p w14:paraId="0FEACB8D">
            <w:pPr>
              <w:rPr>
                <w:rFonts w:ascii="Arial"/>
                <w:color w:val="auto"/>
                <w:sz w:val="21"/>
                <w:highlight w:val="none"/>
              </w:rPr>
            </w:pPr>
          </w:p>
        </w:tc>
        <w:tc>
          <w:tcPr>
            <w:tcW w:w="848" w:type="dxa"/>
            <w:vAlign w:val="top"/>
          </w:tcPr>
          <w:p w14:paraId="56EE1E53">
            <w:pPr>
              <w:rPr>
                <w:rFonts w:ascii="Arial"/>
                <w:color w:val="auto"/>
                <w:sz w:val="21"/>
                <w:highlight w:val="none"/>
              </w:rPr>
            </w:pPr>
          </w:p>
        </w:tc>
        <w:tc>
          <w:tcPr>
            <w:tcW w:w="1018" w:type="dxa"/>
            <w:vAlign w:val="top"/>
          </w:tcPr>
          <w:p w14:paraId="0079B617">
            <w:pPr>
              <w:rPr>
                <w:rFonts w:ascii="Arial"/>
                <w:color w:val="auto"/>
                <w:sz w:val="21"/>
                <w:highlight w:val="none"/>
              </w:rPr>
            </w:pPr>
          </w:p>
        </w:tc>
        <w:tc>
          <w:tcPr>
            <w:tcW w:w="1210" w:type="dxa"/>
            <w:vAlign w:val="top"/>
          </w:tcPr>
          <w:p w14:paraId="33C48B2C">
            <w:pPr>
              <w:rPr>
                <w:rFonts w:ascii="Arial"/>
                <w:color w:val="auto"/>
                <w:sz w:val="21"/>
                <w:highlight w:val="none"/>
              </w:rPr>
            </w:pPr>
          </w:p>
        </w:tc>
        <w:tc>
          <w:tcPr>
            <w:tcW w:w="1251" w:type="dxa"/>
            <w:vAlign w:val="top"/>
          </w:tcPr>
          <w:p w14:paraId="03D1123F">
            <w:pPr>
              <w:rPr>
                <w:rFonts w:ascii="Arial"/>
                <w:color w:val="auto"/>
                <w:sz w:val="21"/>
                <w:highlight w:val="none"/>
              </w:rPr>
            </w:pPr>
          </w:p>
        </w:tc>
        <w:tc>
          <w:tcPr>
            <w:tcW w:w="1016" w:type="dxa"/>
            <w:tcBorders>
              <w:right w:val="single" w:color="000000" w:sz="6" w:space="0"/>
            </w:tcBorders>
            <w:vAlign w:val="top"/>
          </w:tcPr>
          <w:p w14:paraId="490AFCA6">
            <w:pPr>
              <w:rPr>
                <w:rFonts w:ascii="Arial"/>
                <w:color w:val="auto"/>
                <w:sz w:val="21"/>
                <w:highlight w:val="none"/>
              </w:rPr>
            </w:pPr>
          </w:p>
        </w:tc>
      </w:tr>
      <w:tr w14:paraId="42FF26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83" w:type="dxa"/>
            <w:tcBorders>
              <w:left w:val="single" w:color="000000" w:sz="6" w:space="0"/>
            </w:tcBorders>
            <w:vAlign w:val="top"/>
          </w:tcPr>
          <w:p w14:paraId="565B78DA">
            <w:pPr>
              <w:rPr>
                <w:rFonts w:ascii="Arial"/>
                <w:color w:val="auto"/>
                <w:sz w:val="21"/>
                <w:highlight w:val="none"/>
              </w:rPr>
            </w:pPr>
          </w:p>
        </w:tc>
        <w:tc>
          <w:tcPr>
            <w:tcW w:w="683" w:type="dxa"/>
            <w:vAlign w:val="top"/>
          </w:tcPr>
          <w:p w14:paraId="5BF00D8C">
            <w:pPr>
              <w:rPr>
                <w:rFonts w:ascii="Arial"/>
                <w:color w:val="auto"/>
                <w:sz w:val="21"/>
                <w:highlight w:val="none"/>
              </w:rPr>
            </w:pPr>
          </w:p>
        </w:tc>
        <w:tc>
          <w:tcPr>
            <w:tcW w:w="838" w:type="dxa"/>
            <w:vAlign w:val="top"/>
          </w:tcPr>
          <w:p w14:paraId="7420990C">
            <w:pPr>
              <w:rPr>
                <w:rFonts w:ascii="Arial"/>
                <w:color w:val="auto"/>
                <w:sz w:val="21"/>
                <w:highlight w:val="none"/>
              </w:rPr>
            </w:pPr>
          </w:p>
        </w:tc>
        <w:tc>
          <w:tcPr>
            <w:tcW w:w="1363" w:type="dxa"/>
            <w:vAlign w:val="top"/>
          </w:tcPr>
          <w:p w14:paraId="0524AF11">
            <w:pPr>
              <w:rPr>
                <w:rFonts w:ascii="Arial"/>
                <w:color w:val="auto"/>
                <w:sz w:val="21"/>
                <w:highlight w:val="none"/>
              </w:rPr>
            </w:pPr>
          </w:p>
        </w:tc>
        <w:tc>
          <w:tcPr>
            <w:tcW w:w="848" w:type="dxa"/>
            <w:vAlign w:val="top"/>
          </w:tcPr>
          <w:p w14:paraId="6B50C4DD">
            <w:pPr>
              <w:rPr>
                <w:rFonts w:ascii="Arial"/>
                <w:color w:val="auto"/>
                <w:sz w:val="21"/>
                <w:highlight w:val="none"/>
              </w:rPr>
            </w:pPr>
          </w:p>
        </w:tc>
        <w:tc>
          <w:tcPr>
            <w:tcW w:w="1018" w:type="dxa"/>
            <w:vAlign w:val="top"/>
          </w:tcPr>
          <w:p w14:paraId="08E74E9A">
            <w:pPr>
              <w:rPr>
                <w:rFonts w:ascii="Arial"/>
                <w:color w:val="auto"/>
                <w:sz w:val="21"/>
                <w:highlight w:val="none"/>
              </w:rPr>
            </w:pPr>
          </w:p>
        </w:tc>
        <w:tc>
          <w:tcPr>
            <w:tcW w:w="1210" w:type="dxa"/>
            <w:vAlign w:val="top"/>
          </w:tcPr>
          <w:p w14:paraId="51C873DA">
            <w:pPr>
              <w:rPr>
                <w:rFonts w:ascii="Arial"/>
                <w:color w:val="auto"/>
                <w:sz w:val="21"/>
                <w:highlight w:val="none"/>
              </w:rPr>
            </w:pPr>
          </w:p>
        </w:tc>
        <w:tc>
          <w:tcPr>
            <w:tcW w:w="1251" w:type="dxa"/>
            <w:vAlign w:val="top"/>
          </w:tcPr>
          <w:p w14:paraId="13A8A080">
            <w:pPr>
              <w:rPr>
                <w:rFonts w:ascii="Arial"/>
                <w:color w:val="auto"/>
                <w:sz w:val="21"/>
                <w:highlight w:val="none"/>
              </w:rPr>
            </w:pPr>
          </w:p>
        </w:tc>
        <w:tc>
          <w:tcPr>
            <w:tcW w:w="1016" w:type="dxa"/>
            <w:tcBorders>
              <w:right w:val="single" w:color="000000" w:sz="6" w:space="0"/>
            </w:tcBorders>
            <w:vAlign w:val="top"/>
          </w:tcPr>
          <w:p w14:paraId="573A71A0">
            <w:pPr>
              <w:rPr>
                <w:rFonts w:ascii="Arial"/>
                <w:color w:val="auto"/>
                <w:sz w:val="21"/>
                <w:highlight w:val="none"/>
              </w:rPr>
            </w:pPr>
          </w:p>
        </w:tc>
      </w:tr>
      <w:tr w14:paraId="1C56F7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41A3A6D3">
            <w:pPr>
              <w:rPr>
                <w:rFonts w:ascii="Arial"/>
                <w:color w:val="auto"/>
                <w:sz w:val="21"/>
                <w:highlight w:val="none"/>
              </w:rPr>
            </w:pPr>
          </w:p>
        </w:tc>
        <w:tc>
          <w:tcPr>
            <w:tcW w:w="683" w:type="dxa"/>
            <w:vAlign w:val="top"/>
          </w:tcPr>
          <w:p w14:paraId="7201A8EB">
            <w:pPr>
              <w:rPr>
                <w:rFonts w:ascii="Arial"/>
                <w:color w:val="auto"/>
                <w:sz w:val="21"/>
                <w:highlight w:val="none"/>
              </w:rPr>
            </w:pPr>
          </w:p>
        </w:tc>
        <w:tc>
          <w:tcPr>
            <w:tcW w:w="838" w:type="dxa"/>
            <w:vAlign w:val="top"/>
          </w:tcPr>
          <w:p w14:paraId="384C37DF">
            <w:pPr>
              <w:rPr>
                <w:rFonts w:ascii="Arial"/>
                <w:color w:val="auto"/>
                <w:sz w:val="21"/>
                <w:highlight w:val="none"/>
              </w:rPr>
            </w:pPr>
          </w:p>
        </w:tc>
        <w:tc>
          <w:tcPr>
            <w:tcW w:w="1363" w:type="dxa"/>
            <w:vAlign w:val="top"/>
          </w:tcPr>
          <w:p w14:paraId="2FF40B87">
            <w:pPr>
              <w:rPr>
                <w:rFonts w:ascii="Arial"/>
                <w:color w:val="auto"/>
                <w:sz w:val="21"/>
                <w:highlight w:val="none"/>
              </w:rPr>
            </w:pPr>
          </w:p>
        </w:tc>
        <w:tc>
          <w:tcPr>
            <w:tcW w:w="848" w:type="dxa"/>
            <w:vAlign w:val="top"/>
          </w:tcPr>
          <w:p w14:paraId="5E7C9281">
            <w:pPr>
              <w:rPr>
                <w:rFonts w:ascii="Arial"/>
                <w:color w:val="auto"/>
                <w:sz w:val="21"/>
                <w:highlight w:val="none"/>
              </w:rPr>
            </w:pPr>
          </w:p>
        </w:tc>
        <w:tc>
          <w:tcPr>
            <w:tcW w:w="1018" w:type="dxa"/>
            <w:vAlign w:val="top"/>
          </w:tcPr>
          <w:p w14:paraId="0B346571">
            <w:pPr>
              <w:rPr>
                <w:rFonts w:ascii="Arial"/>
                <w:color w:val="auto"/>
                <w:sz w:val="21"/>
                <w:highlight w:val="none"/>
              </w:rPr>
            </w:pPr>
          </w:p>
        </w:tc>
        <w:tc>
          <w:tcPr>
            <w:tcW w:w="1210" w:type="dxa"/>
            <w:vAlign w:val="top"/>
          </w:tcPr>
          <w:p w14:paraId="2CD3694E">
            <w:pPr>
              <w:rPr>
                <w:rFonts w:ascii="Arial"/>
                <w:color w:val="auto"/>
                <w:sz w:val="21"/>
                <w:highlight w:val="none"/>
              </w:rPr>
            </w:pPr>
          </w:p>
        </w:tc>
        <w:tc>
          <w:tcPr>
            <w:tcW w:w="1251" w:type="dxa"/>
            <w:vAlign w:val="top"/>
          </w:tcPr>
          <w:p w14:paraId="2ABE3BAC">
            <w:pPr>
              <w:rPr>
                <w:rFonts w:ascii="Arial"/>
                <w:color w:val="auto"/>
                <w:sz w:val="21"/>
                <w:highlight w:val="none"/>
              </w:rPr>
            </w:pPr>
          </w:p>
        </w:tc>
        <w:tc>
          <w:tcPr>
            <w:tcW w:w="1016" w:type="dxa"/>
            <w:tcBorders>
              <w:right w:val="single" w:color="000000" w:sz="6" w:space="0"/>
            </w:tcBorders>
            <w:vAlign w:val="top"/>
          </w:tcPr>
          <w:p w14:paraId="3C193312">
            <w:pPr>
              <w:rPr>
                <w:rFonts w:ascii="Arial"/>
                <w:color w:val="auto"/>
                <w:sz w:val="21"/>
                <w:highlight w:val="none"/>
              </w:rPr>
            </w:pPr>
          </w:p>
        </w:tc>
      </w:tr>
      <w:tr w14:paraId="3ABACB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6E5AE04E">
            <w:pPr>
              <w:rPr>
                <w:rFonts w:ascii="Arial"/>
                <w:color w:val="auto"/>
                <w:sz w:val="21"/>
                <w:highlight w:val="none"/>
              </w:rPr>
            </w:pPr>
          </w:p>
        </w:tc>
        <w:tc>
          <w:tcPr>
            <w:tcW w:w="683" w:type="dxa"/>
            <w:vAlign w:val="top"/>
          </w:tcPr>
          <w:p w14:paraId="025B53C5">
            <w:pPr>
              <w:rPr>
                <w:rFonts w:ascii="Arial"/>
                <w:color w:val="auto"/>
                <w:sz w:val="21"/>
                <w:highlight w:val="none"/>
              </w:rPr>
            </w:pPr>
          </w:p>
        </w:tc>
        <w:tc>
          <w:tcPr>
            <w:tcW w:w="838" w:type="dxa"/>
            <w:vAlign w:val="top"/>
          </w:tcPr>
          <w:p w14:paraId="27B6F2A3">
            <w:pPr>
              <w:rPr>
                <w:rFonts w:ascii="Arial"/>
                <w:color w:val="auto"/>
                <w:sz w:val="21"/>
                <w:highlight w:val="none"/>
              </w:rPr>
            </w:pPr>
          </w:p>
        </w:tc>
        <w:tc>
          <w:tcPr>
            <w:tcW w:w="1363" w:type="dxa"/>
            <w:vAlign w:val="top"/>
          </w:tcPr>
          <w:p w14:paraId="07D93EC2">
            <w:pPr>
              <w:rPr>
                <w:rFonts w:ascii="Arial"/>
                <w:color w:val="auto"/>
                <w:sz w:val="21"/>
                <w:highlight w:val="none"/>
              </w:rPr>
            </w:pPr>
          </w:p>
        </w:tc>
        <w:tc>
          <w:tcPr>
            <w:tcW w:w="848" w:type="dxa"/>
            <w:vAlign w:val="top"/>
          </w:tcPr>
          <w:p w14:paraId="5136DBF7">
            <w:pPr>
              <w:rPr>
                <w:rFonts w:ascii="Arial"/>
                <w:color w:val="auto"/>
                <w:sz w:val="21"/>
                <w:highlight w:val="none"/>
              </w:rPr>
            </w:pPr>
          </w:p>
        </w:tc>
        <w:tc>
          <w:tcPr>
            <w:tcW w:w="1018" w:type="dxa"/>
            <w:vAlign w:val="top"/>
          </w:tcPr>
          <w:p w14:paraId="00F03BE5">
            <w:pPr>
              <w:rPr>
                <w:rFonts w:ascii="Arial"/>
                <w:color w:val="auto"/>
                <w:sz w:val="21"/>
                <w:highlight w:val="none"/>
              </w:rPr>
            </w:pPr>
          </w:p>
        </w:tc>
        <w:tc>
          <w:tcPr>
            <w:tcW w:w="1210" w:type="dxa"/>
            <w:vAlign w:val="top"/>
          </w:tcPr>
          <w:p w14:paraId="675B675F">
            <w:pPr>
              <w:rPr>
                <w:rFonts w:ascii="Arial"/>
                <w:color w:val="auto"/>
                <w:sz w:val="21"/>
                <w:highlight w:val="none"/>
              </w:rPr>
            </w:pPr>
          </w:p>
        </w:tc>
        <w:tc>
          <w:tcPr>
            <w:tcW w:w="1251" w:type="dxa"/>
            <w:vAlign w:val="top"/>
          </w:tcPr>
          <w:p w14:paraId="4D2151F1">
            <w:pPr>
              <w:rPr>
                <w:rFonts w:ascii="Arial"/>
                <w:color w:val="auto"/>
                <w:sz w:val="21"/>
                <w:highlight w:val="none"/>
              </w:rPr>
            </w:pPr>
          </w:p>
        </w:tc>
        <w:tc>
          <w:tcPr>
            <w:tcW w:w="1016" w:type="dxa"/>
            <w:tcBorders>
              <w:right w:val="single" w:color="000000" w:sz="6" w:space="0"/>
            </w:tcBorders>
            <w:vAlign w:val="top"/>
          </w:tcPr>
          <w:p w14:paraId="6661BF78">
            <w:pPr>
              <w:rPr>
                <w:rFonts w:ascii="Arial"/>
                <w:color w:val="auto"/>
                <w:sz w:val="21"/>
                <w:highlight w:val="none"/>
              </w:rPr>
            </w:pPr>
          </w:p>
        </w:tc>
      </w:tr>
      <w:tr w14:paraId="42023A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83" w:type="dxa"/>
            <w:tcBorders>
              <w:left w:val="single" w:color="000000" w:sz="6" w:space="0"/>
            </w:tcBorders>
            <w:vAlign w:val="top"/>
          </w:tcPr>
          <w:p w14:paraId="1C5BEFA9">
            <w:pPr>
              <w:rPr>
                <w:rFonts w:ascii="Arial"/>
                <w:color w:val="auto"/>
                <w:sz w:val="21"/>
                <w:highlight w:val="none"/>
              </w:rPr>
            </w:pPr>
          </w:p>
        </w:tc>
        <w:tc>
          <w:tcPr>
            <w:tcW w:w="683" w:type="dxa"/>
            <w:vAlign w:val="top"/>
          </w:tcPr>
          <w:p w14:paraId="79A16868">
            <w:pPr>
              <w:rPr>
                <w:rFonts w:ascii="Arial"/>
                <w:color w:val="auto"/>
                <w:sz w:val="21"/>
                <w:highlight w:val="none"/>
              </w:rPr>
            </w:pPr>
          </w:p>
        </w:tc>
        <w:tc>
          <w:tcPr>
            <w:tcW w:w="838" w:type="dxa"/>
            <w:vAlign w:val="top"/>
          </w:tcPr>
          <w:p w14:paraId="789F3341">
            <w:pPr>
              <w:rPr>
                <w:rFonts w:ascii="Arial"/>
                <w:color w:val="auto"/>
                <w:sz w:val="21"/>
                <w:highlight w:val="none"/>
              </w:rPr>
            </w:pPr>
          </w:p>
        </w:tc>
        <w:tc>
          <w:tcPr>
            <w:tcW w:w="1363" w:type="dxa"/>
            <w:vAlign w:val="top"/>
          </w:tcPr>
          <w:p w14:paraId="5D2C9A3E">
            <w:pPr>
              <w:rPr>
                <w:rFonts w:ascii="Arial"/>
                <w:color w:val="auto"/>
                <w:sz w:val="21"/>
                <w:highlight w:val="none"/>
              </w:rPr>
            </w:pPr>
          </w:p>
        </w:tc>
        <w:tc>
          <w:tcPr>
            <w:tcW w:w="848" w:type="dxa"/>
            <w:vAlign w:val="top"/>
          </w:tcPr>
          <w:p w14:paraId="21D4CB05">
            <w:pPr>
              <w:rPr>
                <w:rFonts w:ascii="Arial"/>
                <w:color w:val="auto"/>
                <w:sz w:val="21"/>
                <w:highlight w:val="none"/>
              </w:rPr>
            </w:pPr>
          </w:p>
        </w:tc>
        <w:tc>
          <w:tcPr>
            <w:tcW w:w="1018" w:type="dxa"/>
            <w:vAlign w:val="top"/>
          </w:tcPr>
          <w:p w14:paraId="51EDC5FF">
            <w:pPr>
              <w:rPr>
                <w:rFonts w:ascii="Arial"/>
                <w:color w:val="auto"/>
                <w:sz w:val="21"/>
                <w:highlight w:val="none"/>
              </w:rPr>
            </w:pPr>
          </w:p>
        </w:tc>
        <w:tc>
          <w:tcPr>
            <w:tcW w:w="1210" w:type="dxa"/>
            <w:vAlign w:val="top"/>
          </w:tcPr>
          <w:p w14:paraId="66BE78BE">
            <w:pPr>
              <w:rPr>
                <w:rFonts w:ascii="Arial"/>
                <w:color w:val="auto"/>
                <w:sz w:val="21"/>
                <w:highlight w:val="none"/>
              </w:rPr>
            </w:pPr>
          </w:p>
        </w:tc>
        <w:tc>
          <w:tcPr>
            <w:tcW w:w="1251" w:type="dxa"/>
            <w:vAlign w:val="top"/>
          </w:tcPr>
          <w:p w14:paraId="791D2EBB">
            <w:pPr>
              <w:rPr>
                <w:rFonts w:ascii="Arial"/>
                <w:color w:val="auto"/>
                <w:sz w:val="21"/>
                <w:highlight w:val="none"/>
              </w:rPr>
            </w:pPr>
          </w:p>
        </w:tc>
        <w:tc>
          <w:tcPr>
            <w:tcW w:w="1016" w:type="dxa"/>
            <w:tcBorders>
              <w:right w:val="single" w:color="000000" w:sz="6" w:space="0"/>
            </w:tcBorders>
            <w:vAlign w:val="top"/>
          </w:tcPr>
          <w:p w14:paraId="58781939">
            <w:pPr>
              <w:rPr>
                <w:rFonts w:ascii="Arial"/>
                <w:color w:val="auto"/>
                <w:sz w:val="21"/>
                <w:highlight w:val="none"/>
              </w:rPr>
            </w:pPr>
          </w:p>
        </w:tc>
      </w:tr>
      <w:tr w14:paraId="12B5EB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23DCFE2A">
            <w:pPr>
              <w:rPr>
                <w:rFonts w:ascii="Arial"/>
                <w:color w:val="auto"/>
                <w:sz w:val="21"/>
                <w:highlight w:val="none"/>
              </w:rPr>
            </w:pPr>
          </w:p>
        </w:tc>
        <w:tc>
          <w:tcPr>
            <w:tcW w:w="683" w:type="dxa"/>
            <w:vAlign w:val="top"/>
          </w:tcPr>
          <w:p w14:paraId="3688323F">
            <w:pPr>
              <w:rPr>
                <w:rFonts w:ascii="Arial"/>
                <w:color w:val="auto"/>
                <w:sz w:val="21"/>
                <w:highlight w:val="none"/>
              </w:rPr>
            </w:pPr>
          </w:p>
        </w:tc>
        <w:tc>
          <w:tcPr>
            <w:tcW w:w="838" w:type="dxa"/>
            <w:vAlign w:val="top"/>
          </w:tcPr>
          <w:p w14:paraId="57D0ADF9">
            <w:pPr>
              <w:rPr>
                <w:rFonts w:ascii="Arial"/>
                <w:color w:val="auto"/>
                <w:sz w:val="21"/>
                <w:highlight w:val="none"/>
              </w:rPr>
            </w:pPr>
          </w:p>
        </w:tc>
        <w:tc>
          <w:tcPr>
            <w:tcW w:w="1363" w:type="dxa"/>
            <w:vAlign w:val="top"/>
          </w:tcPr>
          <w:p w14:paraId="25CB3545">
            <w:pPr>
              <w:rPr>
                <w:rFonts w:ascii="Arial"/>
                <w:color w:val="auto"/>
                <w:sz w:val="21"/>
                <w:highlight w:val="none"/>
              </w:rPr>
            </w:pPr>
          </w:p>
        </w:tc>
        <w:tc>
          <w:tcPr>
            <w:tcW w:w="848" w:type="dxa"/>
            <w:vAlign w:val="top"/>
          </w:tcPr>
          <w:p w14:paraId="65FE038B">
            <w:pPr>
              <w:rPr>
                <w:rFonts w:ascii="Arial"/>
                <w:color w:val="auto"/>
                <w:sz w:val="21"/>
                <w:highlight w:val="none"/>
              </w:rPr>
            </w:pPr>
          </w:p>
        </w:tc>
        <w:tc>
          <w:tcPr>
            <w:tcW w:w="1018" w:type="dxa"/>
            <w:vAlign w:val="top"/>
          </w:tcPr>
          <w:p w14:paraId="0152A403">
            <w:pPr>
              <w:rPr>
                <w:rFonts w:ascii="Arial"/>
                <w:color w:val="auto"/>
                <w:sz w:val="21"/>
                <w:highlight w:val="none"/>
              </w:rPr>
            </w:pPr>
          </w:p>
        </w:tc>
        <w:tc>
          <w:tcPr>
            <w:tcW w:w="1210" w:type="dxa"/>
            <w:vAlign w:val="top"/>
          </w:tcPr>
          <w:p w14:paraId="79E5ACD8">
            <w:pPr>
              <w:rPr>
                <w:rFonts w:ascii="Arial"/>
                <w:color w:val="auto"/>
                <w:sz w:val="21"/>
                <w:highlight w:val="none"/>
              </w:rPr>
            </w:pPr>
          </w:p>
        </w:tc>
        <w:tc>
          <w:tcPr>
            <w:tcW w:w="1251" w:type="dxa"/>
            <w:vAlign w:val="top"/>
          </w:tcPr>
          <w:p w14:paraId="2205B7FF">
            <w:pPr>
              <w:rPr>
                <w:rFonts w:ascii="Arial"/>
                <w:color w:val="auto"/>
                <w:sz w:val="21"/>
                <w:highlight w:val="none"/>
              </w:rPr>
            </w:pPr>
          </w:p>
        </w:tc>
        <w:tc>
          <w:tcPr>
            <w:tcW w:w="1016" w:type="dxa"/>
            <w:tcBorders>
              <w:right w:val="single" w:color="000000" w:sz="6" w:space="0"/>
            </w:tcBorders>
            <w:vAlign w:val="top"/>
          </w:tcPr>
          <w:p w14:paraId="26B5CA73">
            <w:pPr>
              <w:rPr>
                <w:rFonts w:ascii="Arial"/>
                <w:color w:val="auto"/>
                <w:sz w:val="21"/>
                <w:highlight w:val="none"/>
              </w:rPr>
            </w:pPr>
          </w:p>
        </w:tc>
      </w:tr>
      <w:tr w14:paraId="536F3A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83" w:type="dxa"/>
            <w:tcBorders>
              <w:left w:val="single" w:color="000000" w:sz="6" w:space="0"/>
            </w:tcBorders>
            <w:vAlign w:val="top"/>
          </w:tcPr>
          <w:p w14:paraId="0D638115">
            <w:pPr>
              <w:rPr>
                <w:rFonts w:ascii="Arial"/>
                <w:color w:val="auto"/>
                <w:sz w:val="21"/>
                <w:highlight w:val="none"/>
              </w:rPr>
            </w:pPr>
          </w:p>
        </w:tc>
        <w:tc>
          <w:tcPr>
            <w:tcW w:w="683" w:type="dxa"/>
            <w:vAlign w:val="top"/>
          </w:tcPr>
          <w:p w14:paraId="5B7788DE">
            <w:pPr>
              <w:rPr>
                <w:rFonts w:ascii="Arial"/>
                <w:color w:val="auto"/>
                <w:sz w:val="21"/>
                <w:highlight w:val="none"/>
              </w:rPr>
            </w:pPr>
          </w:p>
        </w:tc>
        <w:tc>
          <w:tcPr>
            <w:tcW w:w="838" w:type="dxa"/>
            <w:vAlign w:val="top"/>
          </w:tcPr>
          <w:p w14:paraId="1154AC41">
            <w:pPr>
              <w:rPr>
                <w:rFonts w:ascii="Arial"/>
                <w:color w:val="auto"/>
                <w:sz w:val="21"/>
                <w:highlight w:val="none"/>
              </w:rPr>
            </w:pPr>
          </w:p>
        </w:tc>
        <w:tc>
          <w:tcPr>
            <w:tcW w:w="1363" w:type="dxa"/>
            <w:vAlign w:val="top"/>
          </w:tcPr>
          <w:p w14:paraId="7C5DC7BD">
            <w:pPr>
              <w:rPr>
                <w:rFonts w:ascii="Arial"/>
                <w:color w:val="auto"/>
                <w:sz w:val="21"/>
                <w:highlight w:val="none"/>
              </w:rPr>
            </w:pPr>
          </w:p>
        </w:tc>
        <w:tc>
          <w:tcPr>
            <w:tcW w:w="848" w:type="dxa"/>
            <w:vAlign w:val="top"/>
          </w:tcPr>
          <w:p w14:paraId="6B6C01D7">
            <w:pPr>
              <w:rPr>
                <w:rFonts w:ascii="Arial"/>
                <w:color w:val="auto"/>
                <w:sz w:val="21"/>
                <w:highlight w:val="none"/>
              </w:rPr>
            </w:pPr>
          </w:p>
        </w:tc>
        <w:tc>
          <w:tcPr>
            <w:tcW w:w="1018" w:type="dxa"/>
            <w:vAlign w:val="top"/>
          </w:tcPr>
          <w:p w14:paraId="62EAD7E8">
            <w:pPr>
              <w:rPr>
                <w:rFonts w:ascii="Arial"/>
                <w:color w:val="auto"/>
                <w:sz w:val="21"/>
                <w:highlight w:val="none"/>
              </w:rPr>
            </w:pPr>
          </w:p>
        </w:tc>
        <w:tc>
          <w:tcPr>
            <w:tcW w:w="1210" w:type="dxa"/>
            <w:vAlign w:val="top"/>
          </w:tcPr>
          <w:p w14:paraId="51A3C9E8">
            <w:pPr>
              <w:rPr>
                <w:rFonts w:ascii="Arial"/>
                <w:color w:val="auto"/>
                <w:sz w:val="21"/>
                <w:highlight w:val="none"/>
              </w:rPr>
            </w:pPr>
          </w:p>
        </w:tc>
        <w:tc>
          <w:tcPr>
            <w:tcW w:w="1251" w:type="dxa"/>
            <w:vAlign w:val="top"/>
          </w:tcPr>
          <w:p w14:paraId="1A7600CA">
            <w:pPr>
              <w:rPr>
                <w:rFonts w:ascii="Arial"/>
                <w:color w:val="auto"/>
                <w:sz w:val="21"/>
                <w:highlight w:val="none"/>
              </w:rPr>
            </w:pPr>
          </w:p>
        </w:tc>
        <w:tc>
          <w:tcPr>
            <w:tcW w:w="1016" w:type="dxa"/>
            <w:tcBorders>
              <w:right w:val="single" w:color="000000" w:sz="6" w:space="0"/>
            </w:tcBorders>
            <w:vAlign w:val="top"/>
          </w:tcPr>
          <w:p w14:paraId="5075C266">
            <w:pPr>
              <w:rPr>
                <w:rFonts w:ascii="Arial"/>
                <w:color w:val="auto"/>
                <w:sz w:val="21"/>
                <w:highlight w:val="none"/>
              </w:rPr>
            </w:pPr>
          </w:p>
        </w:tc>
      </w:tr>
      <w:tr w14:paraId="35AE752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6A0F9721">
            <w:pPr>
              <w:rPr>
                <w:rFonts w:ascii="Arial"/>
                <w:color w:val="auto"/>
                <w:sz w:val="21"/>
                <w:highlight w:val="none"/>
              </w:rPr>
            </w:pPr>
          </w:p>
        </w:tc>
        <w:tc>
          <w:tcPr>
            <w:tcW w:w="683" w:type="dxa"/>
            <w:vAlign w:val="top"/>
          </w:tcPr>
          <w:p w14:paraId="7D8FD7E9">
            <w:pPr>
              <w:rPr>
                <w:rFonts w:ascii="Arial"/>
                <w:color w:val="auto"/>
                <w:sz w:val="21"/>
                <w:highlight w:val="none"/>
              </w:rPr>
            </w:pPr>
          </w:p>
        </w:tc>
        <w:tc>
          <w:tcPr>
            <w:tcW w:w="838" w:type="dxa"/>
            <w:vAlign w:val="top"/>
          </w:tcPr>
          <w:p w14:paraId="5F97CEE7">
            <w:pPr>
              <w:rPr>
                <w:rFonts w:ascii="Arial"/>
                <w:color w:val="auto"/>
                <w:sz w:val="21"/>
                <w:highlight w:val="none"/>
              </w:rPr>
            </w:pPr>
          </w:p>
        </w:tc>
        <w:tc>
          <w:tcPr>
            <w:tcW w:w="1363" w:type="dxa"/>
            <w:vAlign w:val="top"/>
          </w:tcPr>
          <w:p w14:paraId="02AB3A61">
            <w:pPr>
              <w:rPr>
                <w:rFonts w:ascii="Arial"/>
                <w:color w:val="auto"/>
                <w:sz w:val="21"/>
                <w:highlight w:val="none"/>
              </w:rPr>
            </w:pPr>
          </w:p>
        </w:tc>
        <w:tc>
          <w:tcPr>
            <w:tcW w:w="848" w:type="dxa"/>
            <w:vAlign w:val="top"/>
          </w:tcPr>
          <w:p w14:paraId="3DD4B636">
            <w:pPr>
              <w:rPr>
                <w:rFonts w:ascii="Arial"/>
                <w:color w:val="auto"/>
                <w:sz w:val="21"/>
                <w:highlight w:val="none"/>
              </w:rPr>
            </w:pPr>
          </w:p>
        </w:tc>
        <w:tc>
          <w:tcPr>
            <w:tcW w:w="1018" w:type="dxa"/>
            <w:vAlign w:val="top"/>
          </w:tcPr>
          <w:p w14:paraId="1737EE8C">
            <w:pPr>
              <w:rPr>
                <w:rFonts w:ascii="Arial"/>
                <w:color w:val="auto"/>
                <w:sz w:val="21"/>
                <w:highlight w:val="none"/>
              </w:rPr>
            </w:pPr>
          </w:p>
        </w:tc>
        <w:tc>
          <w:tcPr>
            <w:tcW w:w="1210" w:type="dxa"/>
            <w:vAlign w:val="top"/>
          </w:tcPr>
          <w:p w14:paraId="1FF12D7B">
            <w:pPr>
              <w:rPr>
                <w:rFonts w:ascii="Arial"/>
                <w:color w:val="auto"/>
                <w:sz w:val="21"/>
                <w:highlight w:val="none"/>
              </w:rPr>
            </w:pPr>
          </w:p>
        </w:tc>
        <w:tc>
          <w:tcPr>
            <w:tcW w:w="1251" w:type="dxa"/>
            <w:vAlign w:val="top"/>
          </w:tcPr>
          <w:p w14:paraId="18FDB599">
            <w:pPr>
              <w:rPr>
                <w:rFonts w:ascii="Arial"/>
                <w:color w:val="auto"/>
                <w:sz w:val="21"/>
                <w:highlight w:val="none"/>
              </w:rPr>
            </w:pPr>
          </w:p>
        </w:tc>
        <w:tc>
          <w:tcPr>
            <w:tcW w:w="1016" w:type="dxa"/>
            <w:tcBorders>
              <w:right w:val="single" w:color="000000" w:sz="6" w:space="0"/>
            </w:tcBorders>
            <w:vAlign w:val="top"/>
          </w:tcPr>
          <w:p w14:paraId="0411BF79">
            <w:pPr>
              <w:rPr>
                <w:rFonts w:ascii="Arial"/>
                <w:color w:val="auto"/>
                <w:sz w:val="21"/>
                <w:highlight w:val="none"/>
              </w:rPr>
            </w:pPr>
          </w:p>
        </w:tc>
      </w:tr>
      <w:tr w14:paraId="1E567C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403E1C29">
            <w:pPr>
              <w:rPr>
                <w:rFonts w:ascii="Arial"/>
                <w:color w:val="auto"/>
                <w:sz w:val="21"/>
                <w:highlight w:val="none"/>
              </w:rPr>
            </w:pPr>
          </w:p>
        </w:tc>
        <w:tc>
          <w:tcPr>
            <w:tcW w:w="683" w:type="dxa"/>
            <w:vAlign w:val="top"/>
          </w:tcPr>
          <w:p w14:paraId="58CBF4DA">
            <w:pPr>
              <w:rPr>
                <w:rFonts w:ascii="Arial"/>
                <w:color w:val="auto"/>
                <w:sz w:val="21"/>
                <w:highlight w:val="none"/>
              </w:rPr>
            </w:pPr>
          </w:p>
        </w:tc>
        <w:tc>
          <w:tcPr>
            <w:tcW w:w="838" w:type="dxa"/>
            <w:vAlign w:val="top"/>
          </w:tcPr>
          <w:p w14:paraId="5F21FCC8">
            <w:pPr>
              <w:rPr>
                <w:rFonts w:ascii="Arial"/>
                <w:color w:val="auto"/>
                <w:sz w:val="21"/>
                <w:highlight w:val="none"/>
              </w:rPr>
            </w:pPr>
          </w:p>
        </w:tc>
        <w:tc>
          <w:tcPr>
            <w:tcW w:w="1363" w:type="dxa"/>
            <w:vAlign w:val="top"/>
          </w:tcPr>
          <w:p w14:paraId="7057EAC7">
            <w:pPr>
              <w:rPr>
                <w:rFonts w:ascii="Arial"/>
                <w:color w:val="auto"/>
                <w:sz w:val="21"/>
                <w:highlight w:val="none"/>
              </w:rPr>
            </w:pPr>
          </w:p>
        </w:tc>
        <w:tc>
          <w:tcPr>
            <w:tcW w:w="848" w:type="dxa"/>
            <w:vAlign w:val="top"/>
          </w:tcPr>
          <w:p w14:paraId="7261B5F0">
            <w:pPr>
              <w:rPr>
                <w:rFonts w:ascii="Arial"/>
                <w:color w:val="auto"/>
                <w:sz w:val="21"/>
                <w:highlight w:val="none"/>
              </w:rPr>
            </w:pPr>
          </w:p>
        </w:tc>
        <w:tc>
          <w:tcPr>
            <w:tcW w:w="1018" w:type="dxa"/>
            <w:vAlign w:val="top"/>
          </w:tcPr>
          <w:p w14:paraId="7B31F56E">
            <w:pPr>
              <w:rPr>
                <w:rFonts w:ascii="Arial"/>
                <w:color w:val="auto"/>
                <w:sz w:val="21"/>
                <w:highlight w:val="none"/>
              </w:rPr>
            </w:pPr>
          </w:p>
        </w:tc>
        <w:tc>
          <w:tcPr>
            <w:tcW w:w="1210" w:type="dxa"/>
            <w:vAlign w:val="top"/>
          </w:tcPr>
          <w:p w14:paraId="3E7CF8E7">
            <w:pPr>
              <w:rPr>
                <w:rFonts w:ascii="Arial"/>
                <w:color w:val="auto"/>
                <w:sz w:val="21"/>
                <w:highlight w:val="none"/>
              </w:rPr>
            </w:pPr>
          </w:p>
        </w:tc>
        <w:tc>
          <w:tcPr>
            <w:tcW w:w="1251" w:type="dxa"/>
            <w:vAlign w:val="top"/>
          </w:tcPr>
          <w:p w14:paraId="0CF813F3">
            <w:pPr>
              <w:rPr>
                <w:rFonts w:ascii="Arial"/>
                <w:color w:val="auto"/>
                <w:sz w:val="21"/>
                <w:highlight w:val="none"/>
              </w:rPr>
            </w:pPr>
          </w:p>
        </w:tc>
        <w:tc>
          <w:tcPr>
            <w:tcW w:w="1016" w:type="dxa"/>
            <w:tcBorders>
              <w:right w:val="single" w:color="000000" w:sz="6" w:space="0"/>
            </w:tcBorders>
            <w:vAlign w:val="top"/>
          </w:tcPr>
          <w:p w14:paraId="1FCFB624">
            <w:pPr>
              <w:rPr>
                <w:rFonts w:ascii="Arial"/>
                <w:color w:val="auto"/>
                <w:sz w:val="21"/>
                <w:highlight w:val="none"/>
              </w:rPr>
            </w:pPr>
          </w:p>
        </w:tc>
      </w:tr>
      <w:tr w14:paraId="7BD1339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83" w:type="dxa"/>
            <w:tcBorders>
              <w:left w:val="single" w:color="000000" w:sz="6" w:space="0"/>
            </w:tcBorders>
            <w:vAlign w:val="top"/>
          </w:tcPr>
          <w:p w14:paraId="333743B1">
            <w:pPr>
              <w:rPr>
                <w:rFonts w:ascii="Arial"/>
                <w:color w:val="auto"/>
                <w:sz w:val="21"/>
                <w:highlight w:val="none"/>
              </w:rPr>
            </w:pPr>
          </w:p>
        </w:tc>
        <w:tc>
          <w:tcPr>
            <w:tcW w:w="683" w:type="dxa"/>
            <w:vAlign w:val="top"/>
          </w:tcPr>
          <w:p w14:paraId="4A825129">
            <w:pPr>
              <w:rPr>
                <w:rFonts w:ascii="Arial"/>
                <w:color w:val="auto"/>
                <w:sz w:val="21"/>
                <w:highlight w:val="none"/>
              </w:rPr>
            </w:pPr>
          </w:p>
        </w:tc>
        <w:tc>
          <w:tcPr>
            <w:tcW w:w="838" w:type="dxa"/>
            <w:vAlign w:val="top"/>
          </w:tcPr>
          <w:p w14:paraId="1EE208BE">
            <w:pPr>
              <w:rPr>
                <w:rFonts w:ascii="Arial"/>
                <w:color w:val="auto"/>
                <w:sz w:val="21"/>
                <w:highlight w:val="none"/>
              </w:rPr>
            </w:pPr>
          </w:p>
        </w:tc>
        <w:tc>
          <w:tcPr>
            <w:tcW w:w="1363" w:type="dxa"/>
            <w:vAlign w:val="top"/>
          </w:tcPr>
          <w:p w14:paraId="4F6B6447">
            <w:pPr>
              <w:rPr>
                <w:rFonts w:ascii="Arial"/>
                <w:color w:val="auto"/>
                <w:sz w:val="21"/>
                <w:highlight w:val="none"/>
              </w:rPr>
            </w:pPr>
          </w:p>
        </w:tc>
        <w:tc>
          <w:tcPr>
            <w:tcW w:w="848" w:type="dxa"/>
            <w:vAlign w:val="top"/>
          </w:tcPr>
          <w:p w14:paraId="6FF38B9F">
            <w:pPr>
              <w:rPr>
                <w:rFonts w:ascii="Arial"/>
                <w:color w:val="auto"/>
                <w:sz w:val="21"/>
                <w:highlight w:val="none"/>
              </w:rPr>
            </w:pPr>
          </w:p>
        </w:tc>
        <w:tc>
          <w:tcPr>
            <w:tcW w:w="1018" w:type="dxa"/>
            <w:vAlign w:val="top"/>
          </w:tcPr>
          <w:p w14:paraId="7C78C039">
            <w:pPr>
              <w:rPr>
                <w:rFonts w:ascii="Arial"/>
                <w:color w:val="auto"/>
                <w:sz w:val="21"/>
                <w:highlight w:val="none"/>
              </w:rPr>
            </w:pPr>
          </w:p>
        </w:tc>
        <w:tc>
          <w:tcPr>
            <w:tcW w:w="1210" w:type="dxa"/>
            <w:vAlign w:val="top"/>
          </w:tcPr>
          <w:p w14:paraId="0C0A0F8B">
            <w:pPr>
              <w:rPr>
                <w:rFonts w:ascii="Arial"/>
                <w:color w:val="auto"/>
                <w:sz w:val="21"/>
                <w:highlight w:val="none"/>
              </w:rPr>
            </w:pPr>
          </w:p>
        </w:tc>
        <w:tc>
          <w:tcPr>
            <w:tcW w:w="1251" w:type="dxa"/>
            <w:vAlign w:val="top"/>
          </w:tcPr>
          <w:p w14:paraId="37C57698">
            <w:pPr>
              <w:rPr>
                <w:rFonts w:ascii="Arial"/>
                <w:color w:val="auto"/>
                <w:sz w:val="21"/>
                <w:highlight w:val="none"/>
              </w:rPr>
            </w:pPr>
          </w:p>
        </w:tc>
        <w:tc>
          <w:tcPr>
            <w:tcW w:w="1016" w:type="dxa"/>
            <w:tcBorders>
              <w:right w:val="single" w:color="000000" w:sz="6" w:space="0"/>
            </w:tcBorders>
            <w:vAlign w:val="top"/>
          </w:tcPr>
          <w:p w14:paraId="394D827D">
            <w:pPr>
              <w:rPr>
                <w:rFonts w:ascii="Arial"/>
                <w:color w:val="auto"/>
                <w:sz w:val="21"/>
                <w:highlight w:val="none"/>
              </w:rPr>
            </w:pPr>
          </w:p>
        </w:tc>
      </w:tr>
      <w:tr w14:paraId="65446E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83" w:type="dxa"/>
            <w:tcBorders>
              <w:left w:val="single" w:color="000000" w:sz="6" w:space="0"/>
            </w:tcBorders>
            <w:vAlign w:val="top"/>
          </w:tcPr>
          <w:p w14:paraId="16015468">
            <w:pPr>
              <w:rPr>
                <w:rFonts w:ascii="Arial"/>
                <w:color w:val="auto"/>
                <w:sz w:val="21"/>
                <w:highlight w:val="none"/>
              </w:rPr>
            </w:pPr>
          </w:p>
        </w:tc>
        <w:tc>
          <w:tcPr>
            <w:tcW w:w="683" w:type="dxa"/>
            <w:vAlign w:val="top"/>
          </w:tcPr>
          <w:p w14:paraId="0150049A">
            <w:pPr>
              <w:rPr>
                <w:rFonts w:ascii="Arial"/>
                <w:color w:val="auto"/>
                <w:sz w:val="21"/>
                <w:highlight w:val="none"/>
              </w:rPr>
            </w:pPr>
          </w:p>
        </w:tc>
        <w:tc>
          <w:tcPr>
            <w:tcW w:w="838" w:type="dxa"/>
            <w:vAlign w:val="top"/>
          </w:tcPr>
          <w:p w14:paraId="7571E1CA">
            <w:pPr>
              <w:rPr>
                <w:rFonts w:ascii="Arial"/>
                <w:color w:val="auto"/>
                <w:sz w:val="21"/>
                <w:highlight w:val="none"/>
              </w:rPr>
            </w:pPr>
          </w:p>
        </w:tc>
        <w:tc>
          <w:tcPr>
            <w:tcW w:w="1363" w:type="dxa"/>
            <w:vAlign w:val="top"/>
          </w:tcPr>
          <w:p w14:paraId="6D54513E">
            <w:pPr>
              <w:rPr>
                <w:rFonts w:ascii="Arial"/>
                <w:color w:val="auto"/>
                <w:sz w:val="21"/>
                <w:highlight w:val="none"/>
              </w:rPr>
            </w:pPr>
          </w:p>
        </w:tc>
        <w:tc>
          <w:tcPr>
            <w:tcW w:w="848" w:type="dxa"/>
            <w:vAlign w:val="top"/>
          </w:tcPr>
          <w:p w14:paraId="07520230">
            <w:pPr>
              <w:rPr>
                <w:rFonts w:ascii="Arial"/>
                <w:color w:val="auto"/>
                <w:sz w:val="21"/>
                <w:highlight w:val="none"/>
              </w:rPr>
            </w:pPr>
          </w:p>
        </w:tc>
        <w:tc>
          <w:tcPr>
            <w:tcW w:w="1018" w:type="dxa"/>
            <w:vAlign w:val="top"/>
          </w:tcPr>
          <w:p w14:paraId="427FDACC">
            <w:pPr>
              <w:rPr>
                <w:rFonts w:ascii="Arial"/>
                <w:color w:val="auto"/>
                <w:sz w:val="21"/>
                <w:highlight w:val="none"/>
              </w:rPr>
            </w:pPr>
          </w:p>
        </w:tc>
        <w:tc>
          <w:tcPr>
            <w:tcW w:w="1210" w:type="dxa"/>
            <w:vAlign w:val="top"/>
          </w:tcPr>
          <w:p w14:paraId="3B801874">
            <w:pPr>
              <w:rPr>
                <w:rFonts w:ascii="Arial"/>
                <w:color w:val="auto"/>
                <w:sz w:val="21"/>
                <w:highlight w:val="none"/>
              </w:rPr>
            </w:pPr>
          </w:p>
        </w:tc>
        <w:tc>
          <w:tcPr>
            <w:tcW w:w="1251" w:type="dxa"/>
            <w:vAlign w:val="top"/>
          </w:tcPr>
          <w:p w14:paraId="0B57C0CA">
            <w:pPr>
              <w:rPr>
                <w:rFonts w:ascii="Arial"/>
                <w:color w:val="auto"/>
                <w:sz w:val="21"/>
                <w:highlight w:val="none"/>
              </w:rPr>
            </w:pPr>
          </w:p>
        </w:tc>
        <w:tc>
          <w:tcPr>
            <w:tcW w:w="1016" w:type="dxa"/>
            <w:tcBorders>
              <w:right w:val="single" w:color="000000" w:sz="6" w:space="0"/>
            </w:tcBorders>
            <w:vAlign w:val="top"/>
          </w:tcPr>
          <w:p w14:paraId="2EDB6D8F">
            <w:pPr>
              <w:rPr>
                <w:rFonts w:ascii="Arial"/>
                <w:color w:val="auto"/>
                <w:sz w:val="21"/>
                <w:highlight w:val="none"/>
              </w:rPr>
            </w:pPr>
          </w:p>
        </w:tc>
      </w:tr>
      <w:tr w14:paraId="477DAB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683" w:type="dxa"/>
            <w:tcBorders>
              <w:left w:val="single" w:color="000000" w:sz="6" w:space="0"/>
              <w:bottom w:val="single" w:color="000000" w:sz="6" w:space="0"/>
            </w:tcBorders>
            <w:vAlign w:val="top"/>
          </w:tcPr>
          <w:p w14:paraId="2E0ABC38">
            <w:pPr>
              <w:rPr>
                <w:rFonts w:ascii="Arial"/>
                <w:color w:val="auto"/>
                <w:sz w:val="21"/>
                <w:highlight w:val="none"/>
              </w:rPr>
            </w:pPr>
          </w:p>
        </w:tc>
        <w:tc>
          <w:tcPr>
            <w:tcW w:w="683" w:type="dxa"/>
            <w:tcBorders>
              <w:bottom w:val="single" w:color="000000" w:sz="6" w:space="0"/>
            </w:tcBorders>
            <w:vAlign w:val="top"/>
          </w:tcPr>
          <w:p w14:paraId="00D8CEFA">
            <w:pPr>
              <w:rPr>
                <w:rFonts w:ascii="Arial"/>
                <w:color w:val="auto"/>
                <w:sz w:val="21"/>
                <w:highlight w:val="none"/>
              </w:rPr>
            </w:pPr>
          </w:p>
        </w:tc>
        <w:tc>
          <w:tcPr>
            <w:tcW w:w="838" w:type="dxa"/>
            <w:tcBorders>
              <w:bottom w:val="single" w:color="000000" w:sz="6" w:space="0"/>
            </w:tcBorders>
            <w:vAlign w:val="top"/>
          </w:tcPr>
          <w:p w14:paraId="74040D7A">
            <w:pPr>
              <w:rPr>
                <w:rFonts w:ascii="Arial"/>
                <w:color w:val="auto"/>
                <w:sz w:val="21"/>
                <w:highlight w:val="none"/>
              </w:rPr>
            </w:pPr>
          </w:p>
        </w:tc>
        <w:tc>
          <w:tcPr>
            <w:tcW w:w="1363" w:type="dxa"/>
            <w:tcBorders>
              <w:bottom w:val="single" w:color="000000" w:sz="6" w:space="0"/>
            </w:tcBorders>
            <w:vAlign w:val="top"/>
          </w:tcPr>
          <w:p w14:paraId="70FFF870">
            <w:pPr>
              <w:rPr>
                <w:rFonts w:ascii="Arial"/>
                <w:color w:val="auto"/>
                <w:sz w:val="21"/>
                <w:highlight w:val="none"/>
              </w:rPr>
            </w:pPr>
          </w:p>
        </w:tc>
        <w:tc>
          <w:tcPr>
            <w:tcW w:w="848" w:type="dxa"/>
            <w:tcBorders>
              <w:bottom w:val="single" w:color="000000" w:sz="6" w:space="0"/>
            </w:tcBorders>
            <w:vAlign w:val="top"/>
          </w:tcPr>
          <w:p w14:paraId="23E50996">
            <w:pPr>
              <w:rPr>
                <w:rFonts w:ascii="Arial"/>
                <w:color w:val="auto"/>
                <w:sz w:val="21"/>
                <w:highlight w:val="none"/>
              </w:rPr>
            </w:pPr>
          </w:p>
        </w:tc>
        <w:tc>
          <w:tcPr>
            <w:tcW w:w="1018" w:type="dxa"/>
            <w:tcBorders>
              <w:bottom w:val="single" w:color="000000" w:sz="6" w:space="0"/>
            </w:tcBorders>
            <w:vAlign w:val="top"/>
          </w:tcPr>
          <w:p w14:paraId="141C4587">
            <w:pPr>
              <w:rPr>
                <w:rFonts w:ascii="Arial"/>
                <w:color w:val="auto"/>
                <w:sz w:val="21"/>
                <w:highlight w:val="none"/>
              </w:rPr>
            </w:pPr>
          </w:p>
        </w:tc>
        <w:tc>
          <w:tcPr>
            <w:tcW w:w="1210" w:type="dxa"/>
            <w:tcBorders>
              <w:bottom w:val="single" w:color="000000" w:sz="6" w:space="0"/>
            </w:tcBorders>
            <w:vAlign w:val="top"/>
          </w:tcPr>
          <w:p w14:paraId="4489DB85">
            <w:pPr>
              <w:rPr>
                <w:rFonts w:ascii="Arial"/>
                <w:color w:val="auto"/>
                <w:sz w:val="21"/>
                <w:highlight w:val="none"/>
              </w:rPr>
            </w:pPr>
          </w:p>
        </w:tc>
        <w:tc>
          <w:tcPr>
            <w:tcW w:w="1251" w:type="dxa"/>
            <w:tcBorders>
              <w:bottom w:val="single" w:color="000000" w:sz="6" w:space="0"/>
            </w:tcBorders>
            <w:vAlign w:val="top"/>
          </w:tcPr>
          <w:p w14:paraId="12FFD3FF">
            <w:pPr>
              <w:rPr>
                <w:rFonts w:ascii="Arial"/>
                <w:color w:val="auto"/>
                <w:sz w:val="21"/>
                <w:highlight w:val="none"/>
              </w:rPr>
            </w:pPr>
          </w:p>
        </w:tc>
        <w:tc>
          <w:tcPr>
            <w:tcW w:w="1016" w:type="dxa"/>
            <w:tcBorders>
              <w:bottom w:val="single" w:color="000000" w:sz="6" w:space="0"/>
              <w:right w:val="single" w:color="000000" w:sz="6" w:space="0"/>
            </w:tcBorders>
            <w:vAlign w:val="top"/>
          </w:tcPr>
          <w:p w14:paraId="0AAF6576">
            <w:pPr>
              <w:rPr>
                <w:rFonts w:ascii="Arial"/>
                <w:color w:val="auto"/>
                <w:sz w:val="21"/>
                <w:highlight w:val="none"/>
              </w:rPr>
            </w:pPr>
          </w:p>
        </w:tc>
      </w:tr>
    </w:tbl>
    <w:p w14:paraId="38D68149">
      <w:pPr>
        <w:spacing w:before="37" w:line="350" w:lineRule="auto"/>
        <w:ind w:left="11" w:firstLine="47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注：拟派项目管理机构主要人员必须在浙江省水利厅“浙江省水利建设市场信息”</w:t>
      </w:r>
      <w:r>
        <w:rPr>
          <w:rFonts w:ascii="宋体" w:hAnsi="宋体" w:eastAsia="宋体" w:cs="宋体"/>
          <w:color w:val="auto"/>
          <w:spacing w:val="6"/>
          <w:sz w:val="24"/>
          <w:szCs w:val="24"/>
          <w:highlight w:val="none"/>
        </w:rPr>
        <w:t xml:space="preserve"> </w:t>
      </w:r>
      <w:r>
        <w:rPr>
          <w:rFonts w:ascii="宋体" w:hAnsi="宋体" w:eastAsia="宋体" w:cs="宋体"/>
          <w:color w:val="auto"/>
          <w:sz w:val="24"/>
          <w:szCs w:val="24"/>
          <w:highlight w:val="none"/>
        </w:rPr>
        <w:t>上已经公示。投标人应在“原件的复制件”中提供 “浙江省水利工程建设管理系统</w:t>
      </w:r>
      <w:r>
        <w:rPr>
          <w:rFonts w:ascii="宋体" w:hAnsi="宋体" w:eastAsia="宋体" w:cs="宋体"/>
          <w:color w:val="auto"/>
          <w:spacing w:val="-2"/>
          <w:sz w:val="24"/>
          <w:szCs w:val="24"/>
          <w:highlight w:val="none"/>
        </w:rPr>
        <w:t>（透明工程）”的打印件，打印件应含有“浙江水利透明工程”水印。</w:t>
      </w:r>
    </w:p>
    <w:p w14:paraId="3AD2CAF8">
      <w:pPr>
        <w:spacing w:line="35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21FC85FD">
      <w:pPr>
        <w:spacing w:before="47" w:line="219" w:lineRule="auto"/>
        <w:ind w:left="5"/>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2.</w:t>
      </w:r>
      <w:r>
        <w:rPr>
          <w:rFonts w:ascii="宋体" w:hAnsi="宋体" w:eastAsia="宋体" w:cs="宋体"/>
          <w:b/>
          <w:bCs/>
          <w:color w:val="auto"/>
          <w:spacing w:val="-2"/>
          <w:sz w:val="24"/>
          <w:szCs w:val="24"/>
          <w:highlight w:val="none"/>
        </w:rPr>
        <w:t>主要人员简历表</w:t>
      </w:r>
    </w:p>
    <w:p w14:paraId="231DDACA">
      <w:pPr>
        <w:spacing w:line="147" w:lineRule="exact"/>
        <w:rPr>
          <w:color w:val="auto"/>
          <w:highlight w:val="none"/>
        </w:rPr>
      </w:pPr>
    </w:p>
    <w:tbl>
      <w:tblPr>
        <w:tblStyle w:val="32"/>
        <w:tblW w:w="884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207"/>
        <w:gridCol w:w="326"/>
        <w:gridCol w:w="1243"/>
        <w:gridCol w:w="762"/>
        <w:gridCol w:w="1253"/>
        <w:gridCol w:w="110"/>
        <w:gridCol w:w="1318"/>
        <w:gridCol w:w="1311"/>
        <w:gridCol w:w="1318"/>
      </w:tblGrid>
      <w:tr w14:paraId="068891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1533" w:type="dxa"/>
            <w:gridSpan w:val="2"/>
            <w:tcBorders>
              <w:top w:val="single" w:color="000000" w:sz="6" w:space="0"/>
              <w:left w:val="single" w:color="000000" w:sz="6" w:space="0"/>
            </w:tcBorders>
            <w:vAlign w:val="top"/>
          </w:tcPr>
          <w:p w14:paraId="445D3351">
            <w:pPr>
              <w:pStyle w:val="33"/>
              <w:spacing w:before="107" w:line="220" w:lineRule="auto"/>
              <w:ind w:left="284"/>
              <w:rPr>
                <w:color w:val="auto"/>
                <w:sz w:val="24"/>
                <w:szCs w:val="24"/>
                <w:highlight w:val="none"/>
              </w:rPr>
            </w:pPr>
            <w:r>
              <w:rPr>
                <w:color w:val="auto"/>
                <w:spacing w:val="-5"/>
                <w:sz w:val="24"/>
                <w:szCs w:val="24"/>
                <w:highlight w:val="none"/>
              </w:rPr>
              <w:t>姓</w:t>
            </w:r>
            <w:r>
              <w:rPr>
                <w:color w:val="auto"/>
                <w:spacing w:val="3"/>
                <w:sz w:val="24"/>
                <w:szCs w:val="24"/>
                <w:highlight w:val="none"/>
              </w:rPr>
              <w:t xml:space="preserve">    </w:t>
            </w:r>
            <w:r>
              <w:rPr>
                <w:color w:val="auto"/>
                <w:spacing w:val="-5"/>
                <w:sz w:val="24"/>
                <w:szCs w:val="24"/>
                <w:highlight w:val="none"/>
              </w:rPr>
              <w:t>名</w:t>
            </w:r>
          </w:p>
        </w:tc>
        <w:tc>
          <w:tcPr>
            <w:tcW w:w="1243" w:type="dxa"/>
            <w:tcBorders>
              <w:top w:val="single" w:color="000000" w:sz="6" w:space="0"/>
            </w:tcBorders>
            <w:vAlign w:val="top"/>
          </w:tcPr>
          <w:p w14:paraId="132A3BB7">
            <w:pPr>
              <w:rPr>
                <w:rFonts w:ascii="Arial"/>
                <w:color w:val="auto"/>
                <w:sz w:val="21"/>
                <w:highlight w:val="none"/>
              </w:rPr>
            </w:pPr>
          </w:p>
        </w:tc>
        <w:tc>
          <w:tcPr>
            <w:tcW w:w="762" w:type="dxa"/>
            <w:tcBorders>
              <w:top w:val="single" w:color="000000" w:sz="6" w:space="0"/>
            </w:tcBorders>
            <w:vAlign w:val="top"/>
          </w:tcPr>
          <w:p w14:paraId="18E7096D">
            <w:pPr>
              <w:pStyle w:val="33"/>
              <w:spacing w:before="107" w:line="220" w:lineRule="auto"/>
              <w:ind w:left="145"/>
              <w:rPr>
                <w:color w:val="auto"/>
                <w:sz w:val="24"/>
                <w:szCs w:val="24"/>
                <w:highlight w:val="none"/>
              </w:rPr>
            </w:pPr>
            <w:r>
              <w:rPr>
                <w:color w:val="auto"/>
                <w:spacing w:val="-3"/>
                <w:sz w:val="24"/>
                <w:szCs w:val="24"/>
                <w:highlight w:val="none"/>
              </w:rPr>
              <w:t>年龄</w:t>
            </w:r>
          </w:p>
        </w:tc>
        <w:tc>
          <w:tcPr>
            <w:tcW w:w="1253" w:type="dxa"/>
            <w:tcBorders>
              <w:top w:val="single" w:color="000000" w:sz="6" w:space="0"/>
            </w:tcBorders>
            <w:vAlign w:val="top"/>
          </w:tcPr>
          <w:p w14:paraId="5E7ED3BD">
            <w:pPr>
              <w:rPr>
                <w:rFonts w:ascii="Arial"/>
                <w:color w:val="auto"/>
                <w:sz w:val="21"/>
                <w:highlight w:val="none"/>
              </w:rPr>
            </w:pPr>
          </w:p>
        </w:tc>
        <w:tc>
          <w:tcPr>
            <w:tcW w:w="2739" w:type="dxa"/>
            <w:gridSpan w:val="3"/>
            <w:tcBorders>
              <w:top w:val="single" w:color="000000" w:sz="6" w:space="0"/>
            </w:tcBorders>
            <w:vAlign w:val="top"/>
          </w:tcPr>
          <w:p w14:paraId="31D34FB8">
            <w:pPr>
              <w:pStyle w:val="33"/>
              <w:spacing w:before="107" w:line="221" w:lineRule="auto"/>
              <w:ind w:left="663"/>
              <w:rPr>
                <w:color w:val="auto"/>
                <w:sz w:val="24"/>
                <w:szCs w:val="24"/>
                <w:highlight w:val="none"/>
              </w:rPr>
            </w:pPr>
            <w:r>
              <w:rPr>
                <w:color w:val="auto"/>
                <w:spacing w:val="-8"/>
                <w:sz w:val="24"/>
                <w:szCs w:val="24"/>
                <w:highlight w:val="none"/>
              </w:rPr>
              <w:t>学</w:t>
            </w:r>
            <w:r>
              <w:rPr>
                <w:color w:val="auto"/>
                <w:spacing w:val="1"/>
                <w:sz w:val="24"/>
                <w:szCs w:val="24"/>
                <w:highlight w:val="none"/>
              </w:rPr>
              <w:t xml:space="preserve">        </w:t>
            </w:r>
            <w:r>
              <w:rPr>
                <w:color w:val="auto"/>
                <w:spacing w:val="-8"/>
                <w:sz w:val="24"/>
                <w:szCs w:val="24"/>
                <w:highlight w:val="none"/>
              </w:rPr>
              <w:t>历</w:t>
            </w:r>
          </w:p>
        </w:tc>
        <w:tc>
          <w:tcPr>
            <w:tcW w:w="1318" w:type="dxa"/>
            <w:tcBorders>
              <w:top w:val="single" w:color="000000" w:sz="6" w:space="0"/>
              <w:right w:val="single" w:color="000000" w:sz="6" w:space="0"/>
            </w:tcBorders>
            <w:vAlign w:val="top"/>
          </w:tcPr>
          <w:p w14:paraId="07CA77E5">
            <w:pPr>
              <w:rPr>
                <w:rFonts w:ascii="Arial"/>
                <w:color w:val="auto"/>
                <w:sz w:val="21"/>
                <w:highlight w:val="none"/>
              </w:rPr>
            </w:pPr>
          </w:p>
        </w:tc>
      </w:tr>
      <w:tr w14:paraId="5936F3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33" w:type="dxa"/>
            <w:gridSpan w:val="2"/>
            <w:tcBorders>
              <w:left w:val="single" w:color="000000" w:sz="6" w:space="0"/>
            </w:tcBorders>
            <w:vAlign w:val="top"/>
          </w:tcPr>
          <w:p w14:paraId="5B7B445F">
            <w:pPr>
              <w:pStyle w:val="33"/>
              <w:spacing w:before="103" w:line="220" w:lineRule="auto"/>
              <w:ind w:left="284"/>
              <w:rPr>
                <w:color w:val="auto"/>
                <w:sz w:val="24"/>
                <w:szCs w:val="24"/>
                <w:highlight w:val="none"/>
              </w:rPr>
            </w:pPr>
            <w:r>
              <w:rPr>
                <w:color w:val="auto"/>
                <w:spacing w:val="-2"/>
                <w:sz w:val="24"/>
                <w:szCs w:val="24"/>
                <w:highlight w:val="none"/>
              </w:rPr>
              <w:t>执业资格</w:t>
            </w:r>
          </w:p>
        </w:tc>
        <w:tc>
          <w:tcPr>
            <w:tcW w:w="3258" w:type="dxa"/>
            <w:gridSpan w:val="3"/>
            <w:vAlign w:val="top"/>
          </w:tcPr>
          <w:p w14:paraId="13F57CA6">
            <w:pPr>
              <w:rPr>
                <w:rFonts w:ascii="Arial"/>
                <w:color w:val="auto"/>
                <w:sz w:val="21"/>
                <w:highlight w:val="none"/>
              </w:rPr>
            </w:pPr>
          </w:p>
        </w:tc>
        <w:tc>
          <w:tcPr>
            <w:tcW w:w="2739" w:type="dxa"/>
            <w:gridSpan w:val="3"/>
            <w:vAlign w:val="top"/>
          </w:tcPr>
          <w:p w14:paraId="48A6DC4E">
            <w:pPr>
              <w:pStyle w:val="33"/>
              <w:spacing w:before="103" w:line="219" w:lineRule="auto"/>
              <w:ind w:left="183"/>
              <w:rPr>
                <w:color w:val="auto"/>
                <w:sz w:val="24"/>
                <w:szCs w:val="24"/>
                <w:highlight w:val="none"/>
              </w:rPr>
            </w:pPr>
            <w:r>
              <w:rPr>
                <w:color w:val="auto"/>
                <w:spacing w:val="-2"/>
                <w:sz w:val="24"/>
                <w:szCs w:val="24"/>
                <w:highlight w:val="none"/>
              </w:rPr>
              <w:t>安全生产考核合格证书</w:t>
            </w:r>
          </w:p>
        </w:tc>
        <w:tc>
          <w:tcPr>
            <w:tcW w:w="1318" w:type="dxa"/>
            <w:tcBorders>
              <w:right w:val="single" w:color="000000" w:sz="6" w:space="0"/>
            </w:tcBorders>
            <w:vAlign w:val="top"/>
          </w:tcPr>
          <w:p w14:paraId="799ACC57">
            <w:pPr>
              <w:rPr>
                <w:rFonts w:ascii="Arial"/>
                <w:color w:val="auto"/>
                <w:sz w:val="21"/>
                <w:highlight w:val="none"/>
              </w:rPr>
            </w:pPr>
          </w:p>
        </w:tc>
      </w:tr>
      <w:tr w14:paraId="21F8AD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33" w:type="dxa"/>
            <w:gridSpan w:val="2"/>
            <w:tcBorders>
              <w:left w:val="single" w:color="000000" w:sz="6" w:space="0"/>
            </w:tcBorders>
            <w:vAlign w:val="top"/>
          </w:tcPr>
          <w:p w14:paraId="7C742B02">
            <w:pPr>
              <w:pStyle w:val="33"/>
              <w:spacing w:before="104" w:line="222" w:lineRule="auto"/>
              <w:ind w:left="285"/>
              <w:rPr>
                <w:color w:val="auto"/>
                <w:sz w:val="24"/>
                <w:szCs w:val="24"/>
                <w:highlight w:val="none"/>
              </w:rPr>
            </w:pPr>
            <w:r>
              <w:rPr>
                <w:color w:val="auto"/>
                <w:spacing w:val="-6"/>
                <w:sz w:val="24"/>
                <w:szCs w:val="24"/>
                <w:highlight w:val="none"/>
              </w:rPr>
              <w:t>职</w:t>
            </w:r>
            <w:r>
              <w:rPr>
                <w:color w:val="auto"/>
                <w:spacing w:val="2"/>
                <w:sz w:val="24"/>
                <w:szCs w:val="24"/>
                <w:highlight w:val="none"/>
              </w:rPr>
              <w:t xml:space="preserve">    </w:t>
            </w:r>
            <w:r>
              <w:rPr>
                <w:color w:val="auto"/>
                <w:spacing w:val="-6"/>
                <w:sz w:val="24"/>
                <w:szCs w:val="24"/>
                <w:highlight w:val="none"/>
              </w:rPr>
              <w:t>称</w:t>
            </w:r>
          </w:p>
        </w:tc>
        <w:tc>
          <w:tcPr>
            <w:tcW w:w="1243" w:type="dxa"/>
            <w:vAlign w:val="top"/>
          </w:tcPr>
          <w:p w14:paraId="32B48862">
            <w:pPr>
              <w:rPr>
                <w:rFonts w:ascii="Arial"/>
                <w:color w:val="auto"/>
                <w:sz w:val="21"/>
                <w:highlight w:val="none"/>
              </w:rPr>
            </w:pPr>
          </w:p>
        </w:tc>
        <w:tc>
          <w:tcPr>
            <w:tcW w:w="762" w:type="dxa"/>
            <w:vAlign w:val="top"/>
          </w:tcPr>
          <w:p w14:paraId="7815C2BA">
            <w:pPr>
              <w:pStyle w:val="33"/>
              <w:spacing w:before="104" w:line="220" w:lineRule="auto"/>
              <w:ind w:left="145"/>
              <w:rPr>
                <w:color w:val="auto"/>
                <w:sz w:val="24"/>
                <w:szCs w:val="24"/>
                <w:highlight w:val="none"/>
              </w:rPr>
            </w:pPr>
            <w:r>
              <w:rPr>
                <w:color w:val="auto"/>
                <w:spacing w:val="-3"/>
                <w:sz w:val="24"/>
                <w:szCs w:val="24"/>
                <w:highlight w:val="none"/>
              </w:rPr>
              <w:t>职务</w:t>
            </w:r>
          </w:p>
        </w:tc>
        <w:tc>
          <w:tcPr>
            <w:tcW w:w="1253" w:type="dxa"/>
            <w:vAlign w:val="top"/>
          </w:tcPr>
          <w:p w14:paraId="25CC2E3B">
            <w:pPr>
              <w:rPr>
                <w:rFonts w:ascii="Arial"/>
                <w:color w:val="auto"/>
                <w:sz w:val="21"/>
                <w:highlight w:val="none"/>
              </w:rPr>
            </w:pPr>
          </w:p>
        </w:tc>
        <w:tc>
          <w:tcPr>
            <w:tcW w:w="2739" w:type="dxa"/>
            <w:gridSpan w:val="3"/>
            <w:vAlign w:val="top"/>
          </w:tcPr>
          <w:p w14:paraId="3A5DCAC6">
            <w:pPr>
              <w:pStyle w:val="33"/>
              <w:spacing w:before="104" w:line="219" w:lineRule="auto"/>
              <w:ind w:left="538"/>
              <w:rPr>
                <w:color w:val="auto"/>
                <w:sz w:val="24"/>
                <w:szCs w:val="24"/>
                <w:highlight w:val="none"/>
              </w:rPr>
            </w:pPr>
            <w:r>
              <w:rPr>
                <w:color w:val="auto"/>
                <w:spacing w:val="-2"/>
                <w:sz w:val="24"/>
                <w:szCs w:val="24"/>
                <w:highlight w:val="none"/>
              </w:rPr>
              <w:t>拟在本合同任职</w:t>
            </w:r>
          </w:p>
        </w:tc>
        <w:tc>
          <w:tcPr>
            <w:tcW w:w="1318" w:type="dxa"/>
            <w:tcBorders>
              <w:right w:val="single" w:color="000000" w:sz="6" w:space="0"/>
            </w:tcBorders>
            <w:vAlign w:val="top"/>
          </w:tcPr>
          <w:p w14:paraId="1820F3BA">
            <w:pPr>
              <w:rPr>
                <w:rFonts w:ascii="Arial"/>
                <w:color w:val="auto"/>
                <w:sz w:val="21"/>
                <w:highlight w:val="none"/>
              </w:rPr>
            </w:pPr>
          </w:p>
        </w:tc>
      </w:tr>
      <w:tr w14:paraId="70A25F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533" w:type="dxa"/>
            <w:gridSpan w:val="2"/>
            <w:tcBorders>
              <w:left w:val="single" w:color="000000" w:sz="6" w:space="0"/>
            </w:tcBorders>
            <w:vAlign w:val="top"/>
          </w:tcPr>
          <w:p w14:paraId="57B870A8">
            <w:pPr>
              <w:pStyle w:val="33"/>
              <w:spacing w:before="104" w:line="220" w:lineRule="auto"/>
              <w:ind w:left="289"/>
              <w:rPr>
                <w:color w:val="auto"/>
                <w:sz w:val="24"/>
                <w:szCs w:val="24"/>
                <w:highlight w:val="none"/>
              </w:rPr>
            </w:pPr>
            <w:r>
              <w:rPr>
                <w:color w:val="auto"/>
                <w:spacing w:val="-3"/>
                <w:sz w:val="24"/>
                <w:szCs w:val="24"/>
                <w:highlight w:val="none"/>
              </w:rPr>
              <w:t>毕业学校</w:t>
            </w:r>
          </w:p>
        </w:tc>
        <w:tc>
          <w:tcPr>
            <w:tcW w:w="7315" w:type="dxa"/>
            <w:gridSpan w:val="7"/>
            <w:tcBorders>
              <w:right w:val="single" w:color="000000" w:sz="6" w:space="0"/>
            </w:tcBorders>
            <w:vAlign w:val="top"/>
          </w:tcPr>
          <w:p w14:paraId="5B1CAF94">
            <w:pPr>
              <w:pStyle w:val="33"/>
              <w:spacing w:before="104" w:line="220" w:lineRule="auto"/>
              <w:ind w:left="1440"/>
              <w:rPr>
                <w:color w:val="auto"/>
                <w:sz w:val="24"/>
                <w:szCs w:val="24"/>
                <w:highlight w:val="none"/>
              </w:rPr>
            </w:pPr>
            <w:r>
              <w:rPr>
                <w:color w:val="auto"/>
                <w:spacing w:val="-2"/>
                <w:sz w:val="24"/>
                <w:szCs w:val="24"/>
                <w:highlight w:val="none"/>
              </w:rPr>
              <w:t>年毕业于</w:t>
            </w:r>
            <w:r>
              <w:rPr>
                <w:color w:val="auto"/>
                <w:spacing w:val="1"/>
                <w:sz w:val="24"/>
                <w:szCs w:val="24"/>
                <w:highlight w:val="none"/>
              </w:rPr>
              <w:t xml:space="preserve">                 </w:t>
            </w:r>
            <w:r>
              <w:rPr>
                <w:color w:val="auto"/>
                <w:spacing w:val="-2"/>
                <w:sz w:val="24"/>
                <w:szCs w:val="24"/>
                <w:highlight w:val="none"/>
              </w:rPr>
              <w:t>学校         专业</w:t>
            </w:r>
          </w:p>
        </w:tc>
      </w:tr>
      <w:tr w14:paraId="55E3EFD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8848" w:type="dxa"/>
            <w:gridSpan w:val="9"/>
            <w:tcBorders>
              <w:left w:val="single" w:color="000000" w:sz="6" w:space="0"/>
              <w:right w:val="single" w:color="000000" w:sz="6" w:space="0"/>
            </w:tcBorders>
            <w:vAlign w:val="top"/>
          </w:tcPr>
          <w:p w14:paraId="4F70CD50">
            <w:pPr>
              <w:pStyle w:val="33"/>
              <w:spacing w:before="105" w:line="220" w:lineRule="auto"/>
              <w:ind w:left="3466"/>
              <w:rPr>
                <w:color w:val="auto"/>
                <w:sz w:val="24"/>
                <w:szCs w:val="24"/>
                <w:highlight w:val="none"/>
              </w:rPr>
            </w:pPr>
            <w:r>
              <w:rPr>
                <w:color w:val="auto"/>
                <w:spacing w:val="-2"/>
                <w:sz w:val="24"/>
                <w:szCs w:val="24"/>
                <w:highlight w:val="none"/>
              </w:rPr>
              <w:t>主要施工管理经历</w:t>
            </w:r>
          </w:p>
        </w:tc>
      </w:tr>
      <w:tr w14:paraId="38BB883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05A5D8E9">
            <w:pPr>
              <w:pStyle w:val="33"/>
              <w:spacing w:before="104" w:line="222" w:lineRule="auto"/>
              <w:ind w:left="372"/>
              <w:rPr>
                <w:color w:val="auto"/>
                <w:sz w:val="24"/>
                <w:szCs w:val="24"/>
                <w:highlight w:val="none"/>
              </w:rPr>
            </w:pPr>
            <w:r>
              <w:rPr>
                <w:color w:val="auto"/>
                <w:spacing w:val="-6"/>
                <w:sz w:val="24"/>
                <w:szCs w:val="24"/>
                <w:highlight w:val="none"/>
              </w:rPr>
              <w:t>时间</w:t>
            </w:r>
          </w:p>
        </w:tc>
        <w:tc>
          <w:tcPr>
            <w:tcW w:w="3694" w:type="dxa"/>
            <w:gridSpan w:val="5"/>
            <w:vAlign w:val="top"/>
          </w:tcPr>
          <w:p w14:paraId="29D297FF">
            <w:pPr>
              <w:pStyle w:val="33"/>
              <w:spacing w:before="104" w:line="220" w:lineRule="auto"/>
              <w:ind w:left="891"/>
              <w:rPr>
                <w:color w:val="auto"/>
                <w:sz w:val="24"/>
                <w:szCs w:val="24"/>
                <w:highlight w:val="none"/>
              </w:rPr>
            </w:pPr>
            <w:r>
              <w:rPr>
                <w:color w:val="auto"/>
                <w:spacing w:val="-2"/>
                <w:sz w:val="24"/>
                <w:szCs w:val="24"/>
                <w:highlight w:val="none"/>
              </w:rPr>
              <w:t>参加过的类似项目</w:t>
            </w:r>
          </w:p>
        </w:tc>
        <w:tc>
          <w:tcPr>
            <w:tcW w:w="1318" w:type="dxa"/>
            <w:vAlign w:val="top"/>
          </w:tcPr>
          <w:p w14:paraId="3FC6466C">
            <w:pPr>
              <w:pStyle w:val="33"/>
              <w:spacing w:before="104" w:line="220" w:lineRule="auto"/>
              <w:ind w:left="187"/>
              <w:rPr>
                <w:color w:val="auto"/>
                <w:sz w:val="24"/>
                <w:szCs w:val="24"/>
                <w:highlight w:val="none"/>
              </w:rPr>
            </w:pPr>
            <w:r>
              <w:rPr>
                <w:color w:val="auto"/>
                <w:spacing w:val="-2"/>
                <w:sz w:val="24"/>
                <w:szCs w:val="24"/>
                <w:highlight w:val="none"/>
              </w:rPr>
              <w:t>担任职务</w:t>
            </w:r>
          </w:p>
        </w:tc>
        <w:tc>
          <w:tcPr>
            <w:tcW w:w="2629" w:type="dxa"/>
            <w:gridSpan w:val="2"/>
            <w:tcBorders>
              <w:right w:val="single" w:color="000000" w:sz="6" w:space="0"/>
            </w:tcBorders>
            <w:vAlign w:val="top"/>
          </w:tcPr>
          <w:p w14:paraId="7FB125E7">
            <w:pPr>
              <w:pStyle w:val="33"/>
              <w:spacing w:before="104" w:line="220" w:lineRule="auto"/>
              <w:ind w:left="367"/>
              <w:rPr>
                <w:color w:val="auto"/>
                <w:sz w:val="24"/>
                <w:szCs w:val="24"/>
                <w:highlight w:val="none"/>
              </w:rPr>
            </w:pPr>
            <w:r>
              <w:rPr>
                <w:color w:val="auto"/>
                <w:spacing w:val="-2"/>
                <w:sz w:val="24"/>
                <w:szCs w:val="24"/>
                <w:highlight w:val="none"/>
              </w:rPr>
              <w:t>发包人及联系电话</w:t>
            </w:r>
          </w:p>
        </w:tc>
      </w:tr>
      <w:tr w14:paraId="258F4C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207" w:type="dxa"/>
            <w:tcBorders>
              <w:left w:val="single" w:color="000000" w:sz="6" w:space="0"/>
            </w:tcBorders>
            <w:vAlign w:val="top"/>
          </w:tcPr>
          <w:p w14:paraId="3C887095">
            <w:pPr>
              <w:rPr>
                <w:rFonts w:ascii="Arial"/>
                <w:color w:val="auto"/>
                <w:sz w:val="21"/>
                <w:highlight w:val="none"/>
              </w:rPr>
            </w:pPr>
          </w:p>
        </w:tc>
        <w:tc>
          <w:tcPr>
            <w:tcW w:w="3694" w:type="dxa"/>
            <w:gridSpan w:val="5"/>
            <w:vAlign w:val="top"/>
          </w:tcPr>
          <w:p w14:paraId="482AED2D">
            <w:pPr>
              <w:rPr>
                <w:rFonts w:ascii="Arial"/>
                <w:color w:val="auto"/>
                <w:sz w:val="21"/>
                <w:highlight w:val="none"/>
              </w:rPr>
            </w:pPr>
          </w:p>
        </w:tc>
        <w:tc>
          <w:tcPr>
            <w:tcW w:w="1318" w:type="dxa"/>
            <w:vAlign w:val="top"/>
          </w:tcPr>
          <w:p w14:paraId="023E840B">
            <w:pPr>
              <w:rPr>
                <w:rFonts w:ascii="Arial"/>
                <w:color w:val="auto"/>
                <w:sz w:val="21"/>
                <w:highlight w:val="none"/>
              </w:rPr>
            </w:pPr>
          </w:p>
        </w:tc>
        <w:tc>
          <w:tcPr>
            <w:tcW w:w="2629" w:type="dxa"/>
            <w:gridSpan w:val="2"/>
            <w:tcBorders>
              <w:right w:val="single" w:color="000000" w:sz="6" w:space="0"/>
            </w:tcBorders>
            <w:vAlign w:val="top"/>
          </w:tcPr>
          <w:p w14:paraId="17925354">
            <w:pPr>
              <w:rPr>
                <w:rFonts w:ascii="Arial"/>
                <w:color w:val="auto"/>
                <w:sz w:val="21"/>
                <w:highlight w:val="none"/>
              </w:rPr>
            </w:pPr>
          </w:p>
        </w:tc>
      </w:tr>
      <w:tr w14:paraId="11EA77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5572306E">
            <w:pPr>
              <w:rPr>
                <w:rFonts w:ascii="Arial"/>
                <w:color w:val="auto"/>
                <w:sz w:val="21"/>
                <w:highlight w:val="none"/>
              </w:rPr>
            </w:pPr>
          </w:p>
        </w:tc>
        <w:tc>
          <w:tcPr>
            <w:tcW w:w="3694" w:type="dxa"/>
            <w:gridSpan w:val="5"/>
            <w:vAlign w:val="top"/>
          </w:tcPr>
          <w:p w14:paraId="5E311A6E">
            <w:pPr>
              <w:rPr>
                <w:rFonts w:ascii="Arial"/>
                <w:color w:val="auto"/>
                <w:sz w:val="21"/>
                <w:highlight w:val="none"/>
              </w:rPr>
            </w:pPr>
          </w:p>
        </w:tc>
        <w:tc>
          <w:tcPr>
            <w:tcW w:w="1318" w:type="dxa"/>
            <w:vAlign w:val="top"/>
          </w:tcPr>
          <w:p w14:paraId="5EEADB9F">
            <w:pPr>
              <w:rPr>
                <w:rFonts w:ascii="Arial"/>
                <w:color w:val="auto"/>
                <w:sz w:val="21"/>
                <w:highlight w:val="none"/>
              </w:rPr>
            </w:pPr>
          </w:p>
        </w:tc>
        <w:tc>
          <w:tcPr>
            <w:tcW w:w="2629" w:type="dxa"/>
            <w:gridSpan w:val="2"/>
            <w:tcBorders>
              <w:right w:val="single" w:color="000000" w:sz="6" w:space="0"/>
            </w:tcBorders>
            <w:vAlign w:val="top"/>
          </w:tcPr>
          <w:p w14:paraId="60A543D8">
            <w:pPr>
              <w:rPr>
                <w:rFonts w:ascii="Arial"/>
                <w:color w:val="auto"/>
                <w:sz w:val="21"/>
                <w:highlight w:val="none"/>
              </w:rPr>
            </w:pPr>
          </w:p>
        </w:tc>
      </w:tr>
      <w:tr w14:paraId="5C4594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6BDBA9AA">
            <w:pPr>
              <w:rPr>
                <w:rFonts w:ascii="Arial"/>
                <w:color w:val="auto"/>
                <w:sz w:val="21"/>
                <w:highlight w:val="none"/>
              </w:rPr>
            </w:pPr>
          </w:p>
        </w:tc>
        <w:tc>
          <w:tcPr>
            <w:tcW w:w="3694" w:type="dxa"/>
            <w:gridSpan w:val="5"/>
            <w:vAlign w:val="top"/>
          </w:tcPr>
          <w:p w14:paraId="4DD5720B">
            <w:pPr>
              <w:rPr>
                <w:rFonts w:ascii="Arial"/>
                <w:color w:val="auto"/>
                <w:sz w:val="21"/>
                <w:highlight w:val="none"/>
              </w:rPr>
            </w:pPr>
          </w:p>
        </w:tc>
        <w:tc>
          <w:tcPr>
            <w:tcW w:w="1318" w:type="dxa"/>
            <w:vAlign w:val="top"/>
          </w:tcPr>
          <w:p w14:paraId="3F098BE0">
            <w:pPr>
              <w:rPr>
                <w:rFonts w:ascii="Arial"/>
                <w:color w:val="auto"/>
                <w:sz w:val="21"/>
                <w:highlight w:val="none"/>
              </w:rPr>
            </w:pPr>
          </w:p>
        </w:tc>
        <w:tc>
          <w:tcPr>
            <w:tcW w:w="2629" w:type="dxa"/>
            <w:gridSpan w:val="2"/>
            <w:tcBorders>
              <w:right w:val="single" w:color="000000" w:sz="6" w:space="0"/>
            </w:tcBorders>
            <w:vAlign w:val="top"/>
          </w:tcPr>
          <w:p w14:paraId="53E21BF7">
            <w:pPr>
              <w:rPr>
                <w:rFonts w:ascii="Arial"/>
                <w:color w:val="auto"/>
                <w:sz w:val="21"/>
                <w:highlight w:val="none"/>
              </w:rPr>
            </w:pPr>
          </w:p>
        </w:tc>
      </w:tr>
      <w:tr w14:paraId="49182F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6DED7677">
            <w:pPr>
              <w:rPr>
                <w:rFonts w:ascii="Arial"/>
                <w:color w:val="auto"/>
                <w:sz w:val="21"/>
                <w:highlight w:val="none"/>
              </w:rPr>
            </w:pPr>
          </w:p>
        </w:tc>
        <w:tc>
          <w:tcPr>
            <w:tcW w:w="3694" w:type="dxa"/>
            <w:gridSpan w:val="5"/>
            <w:vAlign w:val="top"/>
          </w:tcPr>
          <w:p w14:paraId="67A1C0C6">
            <w:pPr>
              <w:rPr>
                <w:rFonts w:ascii="Arial"/>
                <w:color w:val="auto"/>
                <w:sz w:val="21"/>
                <w:highlight w:val="none"/>
              </w:rPr>
            </w:pPr>
          </w:p>
        </w:tc>
        <w:tc>
          <w:tcPr>
            <w:tcW w:w="1318" w:type="dxa"/>
            <w:vAlign w:val="top"/>
          </w:tcPr>
          <w:p w14:paraId="1BCA1C9E">
            <w:pPr>
              <w:rPr>
                <w:rFonts w:ascii="Arial"/>
                <w:color w:val="auto"/>
                <w:sz w:val="21"/>
                <w:highlight w:val="none"/>
              </w:rPr>
            </w:pPr>
          </w:p>
        </w:tc>
        <w:tc>
          <w:tcPr>
            <w:tcW w:w="2629" w:type="dxa"/>
            <w:gridSpan w:val="2"/>
            <w:tcBorders>
              <w:right w:val="single" w:color="000000" w:sz="6" w:space="0"/>
            </w:tcBorders>
            <w:vAlign w:val="top"/>
          </w:tcPr>
          <w:p w14:paraId="17542CEF">
            <w:pPr>
              <w:rPr>
                <w:rFonts w:ascii="Arial"/>
                <w:color w:val="auto"/>
                <w:sz w:val="21"/>
                <w:highlight w:val="none"/>
              </w:rPr>
            </w:pPr>
          </w:p>
        </w:tc>
      </w:tr>
      <w:tr w14:paraId="38D8400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207" w:type="dxa"/>
            <w:tcBorders>
              <w:left w:val="single" w:color="000000" w:sz="6" w:space="0"/>
            </w:tcBorders>
            <w:vAlign w:val="top"/>
          </w:tcPr>
          <w:p w14:paraId="5BA8AFDD">
            <w:pPr>
              <w:rPr>
                <w:rFonts w:ascii="Arial"/>
                <w:color w:val="auto"/>
                <w:sz w:val="21"/>
                <w:highlight w:val="none"/>
              </w:rPr>
            </w:pPr>
          </w:p>
        </w:tc>
        <w:tc>
          <w:tcPr>
            <w:tcW w:w="3694" w:type="dxa"/>
            <w:gridSpan w:val="5"/>
            <w:vAlign w:val="top"/>
          </w:tcPr>
          <w:p w14:paraId="3B6698DF">
            <w:pPr>
              <w:rPr>
                <w:rFonts w:ascii="Arial"/>
                <w:color w:val="auto"/>
                <w:sz w:val="21"/>
                <w:highlight w:val="none"/>
              </w:rPr>
            </w:pPr>
          </w:p>
        </w:tc>
        <w:tc>
          <w:tcPr>
            <w:tcW w:w="1318" w:type="dxa"/>
            <w:vAlign w:val="top"/>
          </w:tcPr>
          <w:p w14:paraId="28E87259">
            <w:pPr>
              <w:rPr>
                <w:rFonts w:ascii="Arial"/>
                <w:color w:val="auto"/>
                <w:sz w:val="21"/>
                <w:highlight w:val="none"/>
              </w:rPr>
            </w:pPr>
          </w:p>
        </w:tc>
        <w:tc>
          <w:tcPr>
            <w:tcW w:w="2629" w:type="dxa"/>
            <w:gridSpan w:val="2"/>
            <w:tcBorders>
              <w:right w:val="single" w:color="000000" w:sz="6" w:space="0"/>
            </w:tcBorders>
            <w:vAlign w:val="top"/>
          </w:tcPr>
          <w:p w14:paraId="57475875">
            <w:pPr>
              <w:rPr>
                <w:rFonts w:ascii="Arial"/>
                <w:color w:val="auto"/>
                <w:sz w:val="21"/>
                <w:highlight w:val="none"/>
              </w:rPr>
            </w:pPr>
          </w:p>
        </w:tc>
      </w:tr>
      <w:tr w14:paraId="688661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51FFEF69">
            <w:pPr>
              <w:rPr>
                <w:rFonts w:ascii="Arial"/>
                <w:color w:val="auto"/>
                <w:sz w:val="21"/>
                <w:highlight w:val="none"/>
              </w:rPr>
            </w:pPr>
          </w:p>
        </w:tc>
        <w:tc>
          <w:tcPr>
            <w:tcW w:w="3694" w:type="dxa"/>
            <w:gridSpan w:val="5"/>
            <w:vAlign w:val="top"/>
          </w:tcPr>
          <w:p w14:paraId="6B04F85F">
            <w:pPr>
              <w:rPr>
                <w:rFonts w:ascii="Arial"/>
                <w:color w:val="auto"/>
                <w:sz w:val="21"/>
                <w:highlight w:val="none"/>
              </w:rPr>
            </w:pPr>
          </w:p>
        </w:tc>
        <w:tc>
          <w:tcPr>
            <w:tcW w:w="1318" w:type="dxa"/>
            <w:vAlign w:val="top"/>
          </w:tcPr>
          <w:p w14:paraId="331A4B93">
            <w:pPr>
              <w:rPr>
                <w:rFonts w:ascii="Arial"/>
                <w:color w:val="auto"/>
                <w:sz w:val="21"/>
                <w:highlight w:val="none"/>
              </w:rPr>
            </w:pPr>
          </w:p>
        </w:tc>
        <w:tc>
          <w:tcPr>
            <w:tcW w:w="2629" w:type="dxa"/>
            <w:gridSpan w:val="2"/>
            <w:tcBorders>
              <w:right w:val="single" w:color="000000" w:sz="6" w:space="0"/>
            </w:tcBorders>
            <w:vAlign w:val="top"/>
          </w:tcPr>
          <w:p w14:paraId="27C602BF">
            <w:pPr>
              <w:rPr>
                <w:rFonts w:ascii="Arial"/>
                <w:color w:val="auto"/>
                <w:sz w:val="21"/>
                <w:highlight w:val="none"/>
              </w:rPr>
            </w:pPr>
          </w:p>
        </w:tc>
      </w:tr>
      <w:tr w14:paraId="7C3ECE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50B53FD3">
            <w:pPr>
              <w:rPr>
                <w:rFonts w:ascii="Arial"/>
                <w:color w:val="auto"/>
                <w:sz w:val="21"/>
                <w:highlight w:val="none"/>
              </w:rPr>
            </w:pPr>
          </w:p>
        </w:tc>
        <w:tc>
          <w:tcPr>
            <w:tcW w:w="3694" w:type="dxa"/>
            <w:gridSpan w:val="5"/>
            <w:vAlign w:val="top"/>
          </w:tcPr>
          <w:p w14:paraId="79DB1AE9">
            <w:pPr>
              <w:rPr>
                <w:rFonts w:ascii="Arial"/>
                <w:color w:val="auto"/>
                <w:sz w:val="21"/>
                <w:highlight w:val="none"/>
              </w:rPr>
            </w:pPr>
          </w:p>
        </w:tc>
        <w:tc>
          <w:tcPr>
            <w:tcW w:w="1318" w:type="dxa"/>
            <w:vAlign w:val="top"/>
          </w:tcPr>
          <w:p w14:paraId="7FA11005">
            <w:pPr>
              <w:rPr>
                <w:rFonts w:ascii="Arial"/>
                <w:color w:val="auto"/>
                <w:sz w:val="21"/>
                <w:highlight w:val="none"/>
              </w:rPr>
            </w:pPr>
          </w:p>
        </w:tc>
        <w:tc>
          <w:tcPr>
            <w:tcW w:w="2629" w:type="dxa"/>
            <w:gridSpan w:val="2"/>
            <w:tcBorders>
              <w:right w:val="single" w:color="000000" w:sz="6" w:space="0"/>
            </w:tcBorders>
            <w:vAlign w:val="top"/>
          </w:tcPr>
          <w:p w14:paraId="072C3A87">
            <w:pPr>
              <w:rPr>
                <w:rFonts w:ascii="Arial"/>
                <w:color w:val="auto"/>
                <w:sz w:val="21"/>
                <w:highlight w:val="none"/>
              </w:rPr>
            </w:pPr>
          </w:p>
        </w:tc>
      </w:tr>
      <w:tr w14:paraId="1C34C7F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1207" w:type="dxa"/>
            <w:tcBorders>
              <w:left w:val="single" w:color="000000" w:sz="6" w:space="0"/>
            </w:tcBorders>
            <w:vAlign w:val="top"/>
          </w:tcPr>
          <w:p w14:paraId="1A413FBA">
            <w:pPr>
              <w:rPr>
                <w:rFonts w:ascii="Arial"/>
                <w:color w:val="auto"/>
                <w:sz w:val="21"/>
                <w:highlight w:val="none"/>
              </w:rPr>
            </w:pPr>
          </w:p>
        </w:tc>
        <w:tc>
          <w:tcPr>
            <w:tcW w:w="3694" w:type="dxa"/>
            <w:gridSpan w:val="5"/>
            <w:vAlign w:val="top"/>
          </w:tcPr>
          <w:p w14:paraId="172C87E1">
            <w:pPr>
              <w:rPr>
                <w:rFonts w:ascii="Arial"/>
                <w:color w:val="auto"/>
                <w:sz w:val="21"/>
                <w:highlight w:val="none"/>
              </w:rPr>
            </w:pPr>
          </w:p>
        </w:tc>
        <w:tc>
          <w:tcPr>
            <w:tcW w:w="1318" w:type="dxa"/>
            <w:vAlign w:val="top"/>
          </w:tcPr>
          <w:p w14:paraId="72415021">
            <w:pPr>
              <w:rPr>
                <w:rFonts w:ascii="Arial"/>
                <w:color w:val="auto"/>
                <w:sz w:val="21"/>
                <w:highlight w:val="none"/>
              </w:rPr>
            </w:pPr>
          </w:p>
        </w:tc>
        <w:tc>
          <w:tcPr>
            <w:tcW w:w="2629" w:type="dxa"/>
            <w:gridSpan w:val="2"/>
            <w:tcBorders>
              <w:right w:val="single" w:color="000000" w:sz="6" w:space="0"/>
            </w:tcBorders>
            <w:vAlign w:val="top"/>
          </w:tcPr>
          <w:p w14:paraId="650D1B50">
            <w:pPr>
              <w:rPr>
                <w:rFonts w:ascii="Arial"/>
                <w:color w:val="auto"/>
                <w:sz w:val="21"/>
                <w:highlight w:val="none"/>
              </w:rPr>
            </w:pPr>
          </w:p>
        </w:tc>
      </w:tr>
      <w:tr w14:paraId="126313A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6D713725">
            <w:pPr>
              <w:rPr>
                <w:rFonts w:ascii="Arial"/>
                <w:color w:val="auto"/>
                <w:sz w:val="21"/>
                <w:highlight w:val="none"/>
              </w:rPr>
            </w:pPr>
          </w:p>
        </w:tc>
        <w:tc>
          <w:tcPr>
            <w:tcW w:w="3694" w:type="dxa"/>
            <w:gridSpan w:val="5"/>
            <w:vAlign w:val="top"/>
          </w:tcPr>
          <w:p w14:paraId="7C1631C0">
            <w:pPr>
              <w:rPr>
                <w:rFonts w:ascii="Arial"/>
                <w:color w:val="auto"/>
                <w:sz w:val="21"/>
                <w:highlight w:val="none"/>
              </w:rPr>
            </w:pPr>
          </w:p>
        </w:tc>
        <w:tc>
          <w:tcPr>
            <w:tcW w:w="1318" w:type="dxa"/>
            <w:vAlign w:val="top"/>
          </w:tcPr>
          <w:p w14:paraId="600589CD">
            <w:pPr>
              <w:rPr>
                <w:rFonts w:ascii="Arial"/>
                <w:color w:val="auto"/>
                <w:sz w:val="21"/>
                <w:highlight w:val="none"/>
              </w:rPr>
            </w:pPr>
          </w:p>
        </w:tc>
        <w:tc>
          <w:tcPr>
            <w:tcW w:w="2629" w:type="dxa"/>
            <w:gridSpan w:val="2"/>
            <w:tcBorders>
              <w:right w:val="single" w:color="000000" w:sz="6" w:space="0"/>
            </w:tcBorders>
            <w:vAlign w:val="top"/>
          </w:tcPr>
          <w:p w14:paraId="5EE0CCFB">
            <w:pPr>
              <w:rPr>
                <w:rFonts w:ascii="Arial"/>
                <w:color w:val="auto"/>
                <w:sz w:val="21"/>
                <w:highlight w:val="none"/>
              </w:rPr>
            </w:pPr>
          </w:p>
        </w:tc>
      </w:tr>
      <w:tr w14:paraId="63CF0ED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0B5335CF">
            <w:pPr>
              <w:rPr>
                <w:rFonts w:ascii="Arial"/>
                <w:color w:val="auto"/>
                <w:sz w:val="21"/>
                <w:highlight w:val="none"/>
              </w:rPr>
            </w:pPr>
          </w:p>
        </w:tc>
        <w:tc>
          <w:tcPr>
            <w:tcW w:w="3694" w:type="dxa"/>
            <w:gridSpan w:val="5"/>
            <w:vAlign w:val="top"/>
          </w:tcPr>
          <w:p w14:paraId="16949682">
            <w:pPr>
              <w:rPr>
                <w:rFonts w:ascii="Arial"/>
                <w:color w:val="auto"/>
                <w:sz w:val="21"/>
                <w:highlight w:val="none"/>
              </w:rPr>
            </w:pPr>
          </w:p>
        </w:tc>
        <w:tc>
          <w:tcPr>
            <w:tcW w:w="1318" w:type="dxa"/>
            <w:vAlign w:val="top"/>
          </w:tcPr>
          <w:p w14:paraId="34110429">
            <w:pPr>
              <w:rPr>
                <w:rFonts w:ascii="Arial"/>
                <w:color w:val="auto"/>
                <w:sz w:val="21"/>
                <w:highlight w:val="none"/>
              </w:rPr>
            </w:pPr>
          </w:p>
        </w:tc>
        <w:tc>
          <w:tcPr>
            <w:tcW w:w="2629" w:type="dxa"/>
            <w:gridSpan w:val="2"/>
            <w:tcBorders>
              <w:right w:val="single" w:color="000000" w:sz="6" w:space="0"/>
            </w:tcBorders>
            <w:vAlign w:val="top"/>
          </w:tcPr>
          <w:p w14:paraId="24B25347">
            <w:pPr>
              <w:rPr>
                <w:rFonts w:ascii="Arial"/>
                <w:color w:val="auto"/>
                <w:sz w:val="21"/>
                <w:highlight w:val="none"/>
              </w:rPr>
            </w:pPr>
          </w:p>
        </w:tc>
      </w:tr>
      <w:tr w14:paraId="4676F1E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1207" w:type="dxa"/>
            <w:tcBorders>
              <w:left w:val="single" w:color="000000" w:sz="6" w:space="0"/>
            </w:tcBorders>
            <w:vAlign w:val="top"/>
          </w:tcPr>
          <w:p w14:paraId="4EFAAE3D">
            <w:pPr>
              <w:rPr>
                <w:rFonts w:ascii="Arial"/>
                <w:color w:val="auto"/>
                <w:sz w:val="21"/>
                <w:highlight w:val="none"/>
              </w:rPr>
            </w:pPr>
          </w:p>
        </w:tc>
        <w:tc>
          <w:tcPr>
            <w:tcW w:w="3694" w:type="dxa"/>
            <w:gridSpan w:val="5"/>
            <w:vAlign w:val="top"/>
          </w:tcPr>
          <w:p w14:paraId="35BBCA9D">
            <w:pPr>
              <w:rPr>
                <w:rFonts w:ascii="Arial"/>
                <w:color w:val="auto"/>
                <w:sz w:val="21"/>
                <w:highlight w:val="none"/>
              </w:rPr>
            </w:pPr>
          </w:p>
        </w:tc>
        <w:tc>
          <w:tcPr>
            <w:tcW w:w="1318" w:type="dxa"/>
            <w:vAlign w:val="top"/>
          </w:tcPr>
          <w:p w14:paraId="68F13051">
            <w:pPr>
              <w:rPr>
                <w:rFonts w:ascii="Arial"/>
                <w:color w:val="auto"/>
                <w:sz w:val="21"/>
                <w:highlight w:val="none"/>
              </w:rPr>
            </w:pPr>
          </w:p>
        </w:tc>
        <w:tc>
          <w:tcPr>
            <w:tcW w:w="2629" w:type="dxa"/>
            <w:gridSpan w:val="2"/>
            <w:tcBorders>
              <w:right w:val="single" w:color="000000" w:sz="6" w:space="0"/>
            </w:tcBorders>
            <w:vAlign w:val="top"/>
          </w:tcPr>
          <w:p w14:paraId="37B25607">
            <w:pPr>
              <w:rPr>
                <w:rFonts w:ascii="Arial"/>
                <w:color w:val="auto"/>
                <w:sz w:val="21"/>
                <w:highlight w:val="none"/>
              </w:rPr>
            </w:pPr>
          </w:p>
        </w:tc>
      </w:tr>
      <w:tr w14:paraId="64E3A75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1207" w:type="dxa"/>
            <w:tcBorders>
              <w:left w:val="single" w:color="000000" w:sz="6" w:space="0"/>
            </w:tcBorders>
            <w:vAlign w:val="top"/>
          </w:tcPr>
          <w:p w14:paraId="1F9E84DD">
            <w:pPr>
              <w:rPr>
                <w:rFonts w:ascii="Arial"/>
                <w:color w:val="auto"/>
                <w:sz w:val="21"/>
                <w:highlight w:val="none"/>
              </w:rPr>
            </w:pPr>
          </w:p>
        </w:tc>
        <w:tc>
          <w:tcPr>
            <w:tcW w:w="3694" w:type="dxa"/>
            <w:gridSpan w:val="5"/>
            <w:vAlign w:val="top"/>
          </w:tcPr>
          <w:p w14:paraId="4B105CE6">
            <w:pPr>
              <w:rPr>
                <w:rFonts w:ascii="Arial"/>
                <w:color w:val="auto"/>
                <w:sz w:val="21"/>
                <w:highlight w:val="none"/>
              </w:rPr>
            </w:pPr>
          </w:p>
        </w:tc>
        <w:tc>
          <w:tcPr>
            <w:tcW w:w="1318" w:type="dxa"/>
            <w:vAlign w:val="top"/>
          </w:tcPr>
          <w:p w14:paraId="060CEFBA">
            <w:pPr>
              <w:rPr>
                <w:rFonts w:ascii="Arial"/>
                <w:color w:val="auto"/>
                <w:sz w:val="21"/>
                <w:highlight w:val="none"/>
              </w:rPr>
            </w:pPr>
          </w:p>
        </w:tc>
        <w:tc>
          <w:tcPr>
            <w:tcW w:w="2629" w:type="dxa"/>
            <w:gridSpan w:val="2"/>
            <w:tcBorders>
              <w:right w:val="single" w:color="000000" w:sz="6" w:space="0"/>
            </w:tcBorders>
            <w:vAlign w:val="top"/>
          </w:tcPr>
          <w:p w14:paraId="21A77B80">
            <w:pPr>
              <w:rPr>
                <w:rFonts w:ascii="Arial"/>
                <w:color w:val="auto"/>
                <w:sz w:val="21"/>
                <w:highlight w:val="none"/>
              </w:rPr>
            </w:pPr>
          </w:p>
        </w:tc>
      </w:tr>
      <w:tr w14:paraId="659589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207" w:type="dxa"/>
            <w:tcBorders>
              <w:left w:val="single" w:color="000000" w:sz="6" w:space="0"/>
              <w:bottom w:val="single" w:color="000000" w:sz="6" w:space="0"/>
            </w:tcBorders>
            <w:vAlign w:val="top"/>
          </w:tcPr>
          <w:p w14:paraId="62AA7429">
            <w:pPr>
              <w:rPr>
                <w:rFonts w:ascii="Arial"/>
                <w:color w:val="auto"/>
                <w:sz w:val="21"/>
                <w:highlight w:val="none"/>
              </w:rPr>
            </w:pPr>
          </w:p>
        </w:tc>
        <w:tc>
          <w:tcPr>
            <w:tcW w:w="3694" w:type="dxa"/>
            <w:gridSpan w:val="5"/>
            <w:tcBorders>
              <w:bottom w:val="single" w:color="000000" w:sz="6" w:space="0"/>
            </w:tcBorders>
            <w:vAlign w:val="top"/>
          </w:tcPr>
          <w:p w14:paraId="45CEC947">
            <w:pPr>
              <w:rPr>
                <w:rFonts w:ascii="Arial"/>
                <w:color w:val="auto"/>
                <w:sz w:val="21"/>
                <w:highlight w:val="none"/>
              </w:rPr>
            </w:pPr>
          </w:p>
        </w:tc>
        <w:tc>
          <w:tcPr>
            <w:tcW w:w="1318" w:type="dxa"/>
            <w:tcBorders>
              <w:bottom w:val="single" w:color="000000" w:sz="6" w:space="0"/>
            </w:tcBorders>
            <w:vAlign w:val="top"/>
          </w:tcPr>
          <w:p w14:paraId="148751C6">
            <w:pPr>
              <w:rPr>
                <w:rFonts w:ascii="Arial"/>
                <w:color w:val="auto"/>
                <w:sz w:val="21"/>
                <w:highlight w:val="none"/>
              </w:rPr>
            </w:pPr>
          </w:p>
        </w:tc>
        <w:tc>
          <w:tcPr>
            <w:tcW w:w="2629" w:type="dxa"/>
            <w:gridSpan w:val="2"/>
            <w:tcBorders>
              <w:bottom w:val="single" w:color="000000" w:sz="6" w:space="0"/>
              <w:right w:val="single" w:color="000000" w:sz="6" w:space="0"/>
            </w:tcBorders>
            <w:vAlign w:val="top"/>
          </w:tcPr>
          <w:p w14:paraId="37335638">
            <w:pPr>
              <w:rPr>
                <w:rFonts w:ascii="Arial"/>
                <w:color w:val="auto"/>
                <w:sz w:val="21"/>
                <w:highlight w:val="none"/>
              </w:rPr>
            </w:pPr>
          </w:p>
        </w:tc>
      </w:tr>
    </w:tbl>
    <w:p w14:paraId="3153C5D0">
      <w:pPr>
        <w:spacing w:before="37" w:line="347" w:lineRule="auto"/>
        <w:ind w:left="11" w:right="74" w:hanging="2"/>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注：主要人员指项目负责人、技术负责人、</w:t>
      </w:r>
      <w:r>
        <w:rPr>
          <w:rFonts w:ascii="宋体" w:hAnsi="宋体" w:eastAsia="宋体" w:cs="宋体"/>
          <w:strike/>
          <w:dstrike w:val="0"/>
          <w:color w:val="auto"/>
          <w:spacing w:val="-3"/>
          <w:sz w:val="24"/>
          <w:szCs w:val="24"/>
          <w:highlight w:val="none"/>
        </w:rPr>
        <w:t>副项目负责人（若有）</w:t>
      </w:r>
      <w:r>
        <w:rPr>
          <w:rFonts w:ascii="宋体" w:hAnsi="宋体" w:eastAsia="宋体" w:cs="宋体"/>
          <w:color w:val="auto"/>
          <w:spacing w:val="-3"/>
          <w:sz w:val="24"/>
          <w:szCs w:val="24"/>
          <w:highlight w:val="none"/>
        </w:rPr>
        <w:t>、专职安全生产管</w:t>
      </w:r>
      <w:r>
        <w:rPr>
          <w:rFonts w:ascii="宋体" w:hAnsi="宋体" w:eastAsia="宋体" w:cs="宋体"/>
          <w:color w:val="auto"/>
          <w:spacing w:val="9"/>
          <w:sz w:val="24"/>
          <w:szCs w:val="24"/>
          <w:highlight w:val="none"/>
        </w:rPr>
        <w:t xml:space="preserve"> </w:t>
      </w:r>
      <w:r>
        <w:rPr>
          <w:rFonts w:ascii="宋体" w:hAnsi="宋体" w:eastAsia="宋体" w:cs="宋体"/>
          <w:color w:val="auto"/>
          <w:spacing w:val="-9"/>
          <w:sz w:val="24"/>
          <w:szCs w:val="24"/>
          <w:highlight w:val="none"/>
        </w:rPr>
        <w:t>理人员。</w:t>
      </w:r>
    </w:p>
    <w:p w14:paraId="32C1B636">
      <w:pPr>
        <w:spacing w:line="347"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33E6565">
      <w:pPr>
        <w:spacing w:before="47" w:line="220" w:lineRule="auto"/>
        <w:ind w:left="32"/>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3.</w:t>
      </w:r>
      <w:r>
        <w:rPr>
          <w:rFonts w:ascii="Times New Roman" w:hAnsi="Times New Roman" w:eastAsia="Times New Roman" w:cs="Times New Roman"/>
          <w:b/>
          <w:bCs/>
          <w:color w:val="auto"/>
          <w:spacing w:val="23"/>
          <w:w w:val="101"/>
          <w:sz w:val="24"/>
          <w:szCs w:val="24"/>
          <w:highlight w:val="none"/>
        </w:rPr>
        <w:t xml:space="preserve"> </w:t>
      </w:r>
      <w:r>
        <w:rPr>
          <w:rFonts w:ascii="宋体" w:hAnsi="宋体" w:eastAsia="宋体" w:cs="宋体"/>
          <w:b/>
          <w:bCs/>
          <w:color w:val="auto"/>
          <w:spacing w:val="-3"/>
          <w:sz w:val="24"/>
          <w:szCs w:val="24"/>
          <w:highlight w:val="none"/>
        </w:rPr>
        <w:t>近年完成的类似项目情况表</w:t>
      </w:r>
    </w:p>
    <w:p w14:paraId="6E5ABD55">
      <w:pPr>
        <w:spacing w:before="182" w:line="220" w:lineRule="auto"/>
        <w:ind w:left="2946"/>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近年完成的类似项目情况表</w:t>
      </w:r>
    </w:p>
    <w:p w14:paraId="2A3B3642">
      <w:pPr>
        <w:spacing w:before="179" w:line="220" w:lineRule="auto"/>
        <w:ind w:left="1880"/>
        <w:rPr>
          <w:rFonts w:ascii="宋体" w:hAnsi="宋体" w:eastAsia="宋体" w:cs="宋体"/>
          <w:strike/>
          <w:dstrike w:val="0"/>
          <w:color w:val="auto"/>
          <w:sz w:val="24"/>
          <w:szCs w:val="24"/>
          <w:highlight w:val="none"/>
        </w:rPr>
      </w:pPr>
      <w:r>
        <w:rPr>
          <w:rFonts w:ascii="宋体" w:hAnsi="宋体" w:eastAsia="宋体" w:cs="宋体"/>
          <w:strike/>
          <w:dstrike w:val="0"/>
          <w:color w:val="auto"/>
          <w:spacing w:val="-8"/>
          <w:sz w:val="24"/>
          <w:szCs w:val="24"/>
          <w:highlight w:val="none"/>
        </w:rPr>
        <w:t>（近年指</w:t>
      </w:r>
      <w:r>
        <w:rPr>
          <w:rFonts w:ascii="宋体" w:hAnsi="宋体" w:eastAsia="宋体" w:cs="宋体"/>
          <w:strike/>
          <w:dstrike w:val="0"/>
          <w:color w:val="auto"/>
          <w:spacing w:val="-102"/>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8"/>
          <w:sz w:val="24"/>
          <w:szCs w:val="24"/>
          <w:highlight w:val="none"/>
        </w:rPr>
        <w:t>年</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8"/>
          <w:sz w:val="24"/>
          <w:szCs w:val="24"/>
          <w:highlight w:val="none"/>
        </w:rPr>
        <w:t>月</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8"/>
          <w:sz w:val="24"/>
          <w:szCs w:val="24"/>
          <w:highlight w:val="none"/>
        </w:rPr>
        <w:t>日至投标截止时间）</w:t>
      </w:r>
    </w:p>
    <w:p w14:paraId="0638CA57">
      <w:pPr>
        <w:spacing w:line="146" w:lineRule="exact"/>
        <w:rPr>
          <w:strike/>
          <w:dstrike w:val="0"/>
          <w:color w:val="auto"/>
          <w:highlight w:val="none"/>
        </w:rPr>
      </w:pPr>
    </w:p>
    <w:tbl>
      <w:tblPr>
        <w:tblStyle w:val="32"/>
        <w:tblW w:w="8776"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6A67C5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7" w:hRule="atLeast"/>
        </w:trPr>
        <w:tc>
          <w:tcPr>
            <w:tcW w:w="2207" w:type="dxa"/>
            <w:tcBorders>
              <w:top w:val="single" w:color="000000" w:sz="6" w:space="0"/>
              <w:left w:val="single" w:color="000000" w:sz="6" w:space="0"/>
            </w:tcBorders>
            <w:vAlign w:val="top"/>
          </w:tcPr>
          <w:p w14:paraId="3253840A">
            <w:pPr>
              <w:pStyle w:val="33"/>
              <w:spacing w:before="121" w:line="222" w:lineRule="auto"/>
              <w:ind w:left="624"/>
              <w:rPr>
                <w:strike/>
                <w:dstrike w:val="0"/>
                <w:color w:val="auto"/>
                <w:sz w:val="24"/>
                <w:szCs w:val="24"/>
                <w:highlight w:val="none"/>
              </w:rPr>
            </w:pPr>
            <w:r>
              <w:rPr>
                <w:strike/>
                <w:dstrike w:val="0"/>
                <w:color w:val="auto"/>
                <w:spacing w:val="-2"/>
                <w:sz w:val="24"/>
                <w:szCs w:val="24"/>
                <w:highlight w:val="none"/>
              </w:rPr>
              <w:t>合同名称</w:t>
            </w:r>
          </w:p>
        </w:tc>
        <w:tc>
          <w:tcPr>
            <w:tcW w:w="6569" w:type="dxa"/>
            <w:tcBorders>
              <w:top w:val="single" w:color="000000" w:sz="6" w:space="0"/>
              <w:right w:val="single" w:color="000000" w:sz="6" w:space="0"/>
            </w:tcBorders>
            <w:vAlign w:val="top"/>
          </w:tcPr>
          <w:p w14:paraId="15A29937">
            <w:pPr>
              <w:rPr>
                <w:rFonts w:ascii="Arial"/>
                <w:strike/>
                <w:dstrike w:val="0"/>
                <w:color w:val="auto"/>
                <w:sz w:val="21"/>
                <w:highlight w:val="none"/>
              </w:rPr>
            </w:pPr>
          </w:p>
        </w:tc>
      </w:tr>
      <w:tr w14:paraId="48DE9A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08C6F864">
            <w:pPr>
              <w:pStyle w:val="33"/>
              <w:spacing w:before="121" w:line="220" w:lineRule="auto"/>
              <w:ind w:left="264"/>
              <w:rPr>
                <w:strike/>
                <w:dstrike w:val="0"/>
                <w:color w:val="auto"/>
                <w:sz w:val="24"/>
                <w:szCs w:val="24"/>
                <w:highlight w:val="none"/>
              </w:rPr>
            </w:pPr>
            <w:r>
              <w:rPr>
                <w:strike/>
                <w:dstrike w:val="0"/>
                <w:color w:val="auto"/>
                <w:spacing w:val="-2"/>
                <w:sz w:val="24"/>
                <w:szCs w:val="24"/>
                <w:highlight w:val="none"/>
              </w:rPr>
              <w:t>合同项目所在地</w:t>
            </w:r>
          </w:p>
        </w:tc>
        <w:tc>
          <w:tcPr>
            <w:tcW w:w="6569" w:type="dxa"/>
            <w:tcBorders>
              <w:right w:val="single" w:color="000000" w:sz="6" w:space="0"/>
            </w:tcBorders>
            <w:vAlign w:val="top"/>
          </w:tcPr>
          <w:p w14:paraId="096FA7FA">
            <w:pPr>
              <w:rPr>
                <w:rFonts w:ascii="Arial"/>
                <w:strike/>
                <w:dstrike w:val="0"/>
                <w:color w:val="auto"/>
                <w:sz w:val="21"/>
                <w:highlight w:val="none"/>
              </w:rPr>
            </w:pPr>
          </w:p>
        </w:tc>
      </w:tr>
      <w:tr w14:paraId="4DE4A4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422615C7">
            <w:pPr>
              <w:pStyle w:val="33"/>
              <w:spacing w:before="119" w:line="220" w:lineRule="auto"/>
              <w:ind w:left="506"/>
              <w:rPr>
                <w:strike/>
                <w:dstrike w:val="0"/>
                <w:color w:val="auto"/>
                <w:sz w:val="24"/>
                <w:szCs w:val="24"/>
                <w:highlight w:val="none"/>
              </w:rPr>
            </w:pPr>
            <w:r>
              <w:rPr>
                <w:strike/>
                <w:dstrike w:val="0"/>
                <w:color w:val="auto"/>
                <w:spacing w:val="-3"/>
                <w:sz w:val="24"/>
                <w:szCs w:val="24"/>
                <w:highlight w:val="none"/>
              </w:rPr>
              <w:t>发包人名称</w:t>
            </w:r>
          </w:p>
        </w:tc>
        <w:tc>
          <w:tcPr>
            <w:tcW w:w="6569" w:type="dxa"/>
            <w:tcBorders>
              <w:right w:val="single" w:color="000000" w:sz="6" w:space="0"/>
            </w:tcBorders>
            <w:vAlign w:val="top"/>
          </w:tcPr>
          <w:p w14:paraId="47EEF165">
            <w:pPr>
              <w:rPr>
                <w:rFonts w:ascii="Arial"/>
                <w:strike/>
                <w:dstrike w:val="0"/>
                <w:color w:val="auto"/>
                <w:sz w:val="21"/>
                <w:highlight w:val="none"/>
              </w:rPr>
            </w:pPr>
          </w:p>
        </w:tc>
      </w:tr>
      <w:tr w14:paraId="3867A34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top"/>
          </w:tcPr>
          <w:p w14:paraId="4D2F30A3">
            <w:pPr>
              <w:pStyle w:val="33"/>
              <w:spacing w:before="120" w:line="220" w:lineRule="auto"/>
              <w:ind w:left="506"/>
              <w:rPr>
                <w:strike/>
                <w:dstrike w:val="0"/>
                <w:color w:val="auto"/>
                <w:sz w:val="24"/>
                <w:szCs w:val="24"/>
                <w:highlight w:val="none"/>
              </w:rPr>
            </w:pPr>
            <w:r>
              <w:rPr>
                <w:strike/>
                <w:dstrike w:val="0"/>
                <w:color w:val="auto"/>
                <w:spacing w:val="-3"/>
                <w:sz w:val="24"/>
                <w:szCs w:val="24"/>
                <w:highlight w:val="none"/>
              </w:rPr>
              <w:t>发包人地址</w:t>
            </w:r>
          </w:p>
        </w:tc>
        <w:tc>
          <w:tcPr>
            <w:tcW w:w="6569" w:type="dxa"/>
            <w:tcBorders>
              <w:right w:val="single" w:color="000000" w:sz="6" w:space="0"/>
            </w:tcBorders>
            <w:vAlign w:val="top"/>
          </w:tcPr>
          <w:p w14:paraId="001CBA41">
            <w:pPr>
              <w:rPr>
                <w:rFonts w:ascii="Arial"/>
                <w:strike/>
                <w:dstrike w:val="0"/>
                <w:color w:val="auto"/>
                <w:sz w:val="21"/>
                <w:highlight w:val="none"/>
              </w:rPr>
            </w:pPr>
          </w:p>
        </w:tc>
      </w:tr>
      <w:tr w14:paraId="3553DB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1A6EE4EB">
            <w:pPr>
              <w:pStyle w:val="33"/>
              <w:spacing w:before="124" w:line="220" w:lineRule="auto"/>
              <w:ind w:left="506"/>
              <w:rPr>
                <w:strike/>
                <w:dstrike w:val="0"/>
                <w:color w:val="auto"/>
                <w:sz w:val="24"/>
                <w:szCs w:val="24"/>
                <w:highlight w:val="none"/>
              </w:rPr>
            </w:pPr>
            <w:r>
              <w:rPr>
                <w:strike/>
                <w:dstrike w:val="0"/>
                <w:color w:val="auto"/>
                <w:spacing w:val="-3"/>
                <w:sz w:val="24"/>
                <w:szCs w:val="24"/>
                <w:highlight w:val="none"/>
              </w:rPr>
              <w:t>发包人电话</w:t>
            </w:r>
          </w:p>
        </w:tc>
        <w:tc>
          <w:tcPr>
            <w:tcW w:w="6569" w:type="dxa"/>
            <w:tcBorders>
              <w:right w:val="single" w:color="000000" w:sz="6" w:space="0"/>
            </w:tcBorders>
            <w:vAlign w:val="top"/>
          </w:tcPr>
          <w:p w14:paraId="24E93B7E">
            <w:pPr>
              <w:rPr>
                <w:rFonts w:ascii="Arial"/>
                <w:strike/>
                <w:dstrike w:val="0"/>
                <w:color w:val="auto"/>
                <w:sz w:val="21"/>
                <w:highlight w:val="none"/>
              </w:rPr>
            </w:pPr>
          </w:p>
        </w:tc>
      </w:tr>
      <w:tr w14:paraId="51B5B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4A7C9D68">
            <w:pPr>
              <w:pStyle w:val="33"/>
              <w:spacing w:before="122" w:line="218" w:lineRule="auto"/>
              <w:ind w:left="503"/>
              <w:rPr>
                <w:strike/>
                <w:dstrike w:val="0"/>
                <w:color w:val="auto"/>
                <w:sz w:val="24"/>
                <w:szCs w:val="24"/>
                <w:highlight w:val="none"/>
              </w:rPr>
            </w:pPr>
            <w:r>
              <w:rPr>
                <w:strike/>
                <w:dstrike w:val="0"/>
                <w:color w:val="auto"/>
                <w:spacing w:val="-2"/>
                <w:sz w:val="24"/>
                <w:szCs w:val="24"/>
                <w:highlight w:val="none"/>
              </w:rPr>
              <w:t>签约合同价</w:t>
            </w:r>
          </w:p>
        </w:tc>
        <w:tc>
          <w:tcPr>
            <w:tcW w:w="6569" w:type="dxa"/>
            <w:tcBorders>
              <w:right w:val="single" w:color="000000" w:sz="6" w:space="0"/>
            </w:tcBorders>
            <w:vAlign w:val="top"/>
          </w:tcPr>
          <w:p w14:paraId="55AAEE64">
            <w:pPr>
              <w:rPr>
                <w:rFonts w:ascii="Arial"/>
                <w:strike/>
                <w:dstrike w:val="0"/>
                <w:color w:val="auto"/>
                <w:sz w:val="21"/>
                <w:highlight w:val="none"/>
              </w:rPr>
            </w:pPr>
          </w:p>
        </w:tc>
      </w:tr>
      <w:tr w14:paraId="69C9F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top"/>
          </w:tcPr>
          <w:p w14:paraId="2D54D358">
            <w:pPr>
              <w:pStyle w:val="33"/>
              <w:spacing w:before="123" w:line="220" w:lineRule="auto"/>
              <w:ind w:left="624"/>
              <w:rPr>
                <w:strike/>
                <w:dstrike w:val="0"/>
                <w:color w:val="auto"/>
                <w:sz w:val="24"/>
                <w:szCs w:val="24"/>
                <w:highlight w:val="none"/>
              </w:rPr>
            </w:pPr>
            <w:r>
              <w:rPr>
                <w:strike/>
                <w:dstrike w:val="0"/>
                <w:color w:val="auto"/>
                <w:spacing w:val="-2"/>
                <w:sz w:val="24"/>
                <w:szCs w:val="24"/>
                <w:highlight w:val="none"/>
              </w:rPr>
              <w:t>开工日期</w:t>
            </w:r>
          </w:p>
        </w:tc>
        <w:tc>
          <w:tcPr>
            <w:tcW w:w="6569" w:type="dxa"/>
            <w:tcBorders>
              <w:right w:val="single" w:color="000000" w:sz="6" w:space="0"/>
            </w:tcBorders>
            <w:vAlign w:val="top"/>
          </w:tcPr>
          <w:p w14:paraId="46E8333A">
            <w:pPr>
              <w:rPr>
                <w:rFonts w:ascii="Arial"/>
                <w:strike/>
                <w:dstrike w:val="0"/>
                <w:color w:val="auto"/>
                <w:sz w:val="21"/>
                <w:highlight w:val="none"/>
              </w:rPr>
            </w:pPr>
          </w:p>
        </w:tc>
      </w:tr>
      <w:tr w14:paraId="1A70E8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0DD0EDD8">
            <w:pPr>
              <w:pStyle w:val="33"/>
              <w:spacing w:before="125" w:line="220" w:lineRule="auto"/>
              <w:ind w:left="625"/>
              <w:rPr>
                <w:strike/>
                <w:dstrike w:val="0"/>
                <w:color w:val="auto"/>
                <w:sz w:val="24"/>
                <w:szCs w:val="24"/>
                <w:highlight w:val="none"/>
              </w:rPr>
            </w:pPr>
            <w:r>
              <w:rPr>
                <w:strike/>
                <w:dstrike w:val="0"/>
                <w:color w:val="auto"/>
                <w:spacing w:val="-3"/>
                <w:sz w:val="24"/>
                <w:szCs w:val="24"/>
                <w:highlight w:val="none"/>
              </w:rPr>
              <w:t>完工日期</w:t>
            </w:r>
          </w:p>
        </w:tc>
        <w:tc>
          <w:tcPr>
            <w:tcW w:w="6569" w:type="dxa"/>
            <w:tcBorders>
              <w:right w:val="single" w:color="000000" w:sz="6" w:space="0"/>
            </w:tcBorders>
            <w:vAlign w:val="top"/>
          </w:tcPr>
          <w:p w14:paraId="481F86BB">
            <w:pPr>
              <w:rPr>
                <w:rFonts w:ascii="Arial"/>
                <w:strike/>
                <w:dstrike w:val="0"/>
                <w:color w:val="auto"/>
                <w:sz w:val="21"/>
                <w:highlight w:val="none"/>
              </w:rPr>
            </w:pPr>
          </w:p>
        </w:tc>
      </w:tr>
      <w:tr w14:paraId="422B0A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704B94F7">
            <w:pPr>
              <w:pStyle w:val="33"/>
              <w:spacing w:before="123" w:line="220" w:lineRule="auto"/>
              <w:ind w:left="503"/>
              <w:rPr>
                <w:strike/>
                <w:dstrike w:val="0"/>
                <w:color w:val="auto"/>
                <w:sz w:val="24"/>
                <w:szCs w:val="24"/>
                <w:highlight w:val="none"/>
              </w:rPr>
            </w:pPr>
            <w:r>
              <w:rPr>
                <w:strike/>
                <w:dstrike w:val="0"/>
                <w:color w:val="auto"/>
                <w:spacing w:val="-2"/>
                <w:sz w:val="24"/>
                <w:szCs w:val="24"/>
                <w:highlight w:val="none"/>
              </w:rPr>
              <w:t>承担的工作</w:t>
            </w:r>
          </w:p>
        </w:tc>
        <w:tc>
          <w:tcPr>
            <w:tcW w:w="6569" w:type="dxa"/>
            <w:tcBorders>
              <w:right w:val="single" w:color="000000" w:sz="6" w:space="0"/>
            </w:tcBorders>
            <w:vAlign w:val="top"/>
          </w:tcPr>
          <w:p w14:paraId="33AE290D">
            <w:pPr>
              <w:rPr>
                <w:rFonts w:ascii="Arial"/>
                <w:strike/>
                <w:dstrike w:val="0"/>
                <w:color w:val="auto"/>
                <w:sz w:val="21"/>
                <w:highlight w:val="none"/>
              </w:rPr>
            </w:pPr>
          </w:p>
        </w:tc>
      </w:tr>
      <w:tr w14:paraId="3352435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top"/>
          </w:tcPr>
          <w:p w14:paraId="41607841">
            <w:pPr>
              <w:pStyle w:val="33"/>
              <w:spacing w:before="125" w:line="220" w:lineRule="auto"/>
              <w:ind w:left="626"/>
              <w:rPr>
                <w:strike/>
                <w:dstrike w:val="0"/>
                <w:color w:val="auto"/>
                <w:sz w:val="24"/>
                <w:szCs w:val="24"/>
                <w:highlight w:val="none"/>
              </w:rPr>
            </w:pPr>
            <w:r>
              <w:rPr>
                <w:strike/>
                <w:dstrike w:val="0"/>
                <w:color w:val="auto"/>
                <w:spacing w:val="-3"/>
                <w:sz w:val="24"/>
                <w:szCs w:val="24"/>
                <w:highlight w:val="none"/>
              </w:rPr>
              <w:t>工程质量</w:t>
            </w:r>
          </w:p>
        </w:tc>
        <w:tc>
          <w:tcPr>
            <w:tcW w:w="6569" w:type="dxa"/>
            <w:tcBorders>
              <w:right w:val="single" w:color="000000" w:sz="6" w:space="0"/>
            </w:tcBorders>
            <w:vAlign w:val="top"/>
          </w:tcPr>
          <w:p w14:paraId="7B613B57">
            <w:pPr>
              <w:rPr>
                <w:rFonts w:ascii="Arial"/>
                <w:strike/>
                <w:dstrike w:val="0"/>
                <w:color w:val="auto"/>
                <w:sz w:val="21"/>
                <w:highlight w:val="none"/>
              </w:rPr>
            </w:pPr>
          </w:p>
        </w:tc>
      </w:tr>
      <w:tr w14:paraId="59AA3B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2491C445">
            <w:pPr>
              <w:pStyle w:val="33"/>
              <w:spacing w:before="128" w:line="220" w:lineRule="auto"/>
              <w:ind w:left="506"/>
              <w:rPr>
                <w:strike/>
                <w:dstrike w:val="0"/>
                <w:color w:val="auto"/>
                <w:sz w:val="24"/>
                <w:szCs w:val="24"/>
                <w:highlight w:val="none"/>
              </w:rPr>
            </w:pPr>
            <w:r>
              <w:rPr>
                <w:strike/>
                <w:dstrike w:val="0"/>
                <w:color w:val="auto"/>
                <w:spacing w:val="-3"/>
                <w:sz w:val="24"/>
                <w:szCs w:val="24"/>
                <w:highlight w:val="none"/>
              </w:rPr>
              <w:t>项目负责人</w:t>
            </w:r>
          </w:p>
        </w:tc>
        <w:tc>
          <w:tcPr>
            <w:tcW w:w="6569" w:type="dxa"/>
            <w:tcBorders>
              <w:right w:val="single" w:color="000000" w:sz="6" w:space="0"/>
            </w:tcBorders>
            <w:vAlign w:val="top"/>
          </w:tcPr>
          <w:p w14:paraId="2D5C874C">
            <w:pPr>
              <w:rPr>
                <w:rFonts w:ascii="Arial"/>
                <w:strike/>
                <w:dstrike w:val="0"/>
                <w:color w:val="auto"/>
                <w:sz w:val="21"/>
                <w:highlight w:val="none"/>
              </w:rPr>
            </w:pPr>
          </w:p>
        </w:tc>
      </w:tr>
      <w:tr w14:paraId="7683628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2A1F07C7">
            <w:pPr>
              <w:pStyle w:val="33"/>
              <w:spacing w:before="126" w:line="220" w:lineRule="auto"/>
              <w:ind w:left="266"/>
              <w:rPr>
                <w:strike/>
                <w:dstrike w:val="0"/>
                <w:color w:val="auto"/>
                <w:sz w:val="24"/>
                <w:szCs w:val="24"/>
                <w:highlight w:val="none"/>
              </w:rPr>
            </w:pPr>
            <w:r>
              <w:rPr>
                <w:strike/>
                <w:dstrike w:val="0"/>
                <w:color w:val="auto"/>
                <w:spacing w:val="-2"/>
                <w:sz w:val="24"/>
                <w:szCs w:val="24"/>
                <w:highlight w:val="none"/>
              </w:rPr>
              <w:t>项目技术负责人</w:t>
            </w:r>
          </w:p>
        </w:tc>
        <w:tc>
          <w:tcPr>
            <w:tcW w:w="6569" w:type="dxa"/>
            <w:tcBorders>
              <w:right w:val="single" w:color="000000" w:sz="6" w:space="0"/>
            </w:tcBorders>
            <w:vAlign w:val="top"/>
          </w:tcPr>
          <w:p w14:paraId="455B92F8">
            <w:pPr>
              <w:rPr>
                <w:rFonts w:ascii="Arial"/>
                <w:strike/>
                <w:dstrike w:val="0"/>
                <w:color w:val="auto"/>
                <w:sz w:val="21"/>
                <w:highlight w:val="none"/>
              </w:rPr>
            </w:pPr>
          </w:p>
        </w:tc>
      </w:tr>
      <w:tr w14:paraId="66D5F1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207" w:type="dxa"/>
            <w:tcBorders>
              <w:left w:val="single" w:color="000000" w:sz="6" w:space="0"/>
            </w:tcBorders>
            <w:vAlign w:val="top"/>
          </w:tcPr>
          <w:p w14:paraId="6B7666EC">
            <w:pPr>
              <w:pStyle w:val="33"/>
              <w:spacing w:before="45" w:line="339" w:lineRule="auto"/>
              <w:ind w:left="382" w:right="143" w:hanging="238"/>
              <w:rPr>
                <w:strike/>
                <w:dstrike w:val="0"/>
                <w:color w:val="auto"/>
                <w:sz w:val="24"/>
                <w:szCs w:val="24"/>
                <w:highlight w:val="none"/>
              </w:rPr>
            </w:pPr>
            <w:r>
              <w:rPr>
                <w:strike/>
                <w:dstrike w:val="0"/>
                <w:color w:val="auto"/>
                <w:spacing w:val="-2"/>
                <w:sz w:val="24"/>
                <w:szCs w:val="24"/>
                <w:highlight w:val="none"/>
              </w:rPr>
              <w:t>监理人和总监理工</w:t>
            </w:r>
            <w:r>
              <w:rPr>
                <w:strike/>
                <w:dstrike w:val="0"/>
                <w:color w:val="auto"/>
                <w:spacing w:val="4"/>
                <w:sz w:val="24"/>
                <w:szCs w:val="24"/>
                <w:highlight w:val="none"/>
              </w:rPr>
              <w:t xml:space="preserve"> </w:t>
            </w:r>
            <w:r>
              <w:rPr>
                <w:strike/>
                <w:dstrike w:val="0"/>
                <w:color w:val="auto"/>
                <w:spacing w:val="-2"/>
                <w:sz w:val="24"/>
                <w:szCs w:val="24"/>
                <w:highlight w:val="none"/>
              </w:rPr>
              <w:t>程师以及电话</w:t>
            </w:r>
          </w:p>
        </w:tc>
        <w:tc>
          <w:tcPr>
            <w:tcW w:w="6569" w:type="dxa"/>
            <w:tcBorders>
              <w:right w:val="single" w:color="000000" w:sz="6" w:space="0"/>
            </w:tcBorders>
            <w:vAlign w:val="top"/>
          </w:tcPr>
          <w:p w14:paraId="6A1F6ECA">
            <w:pPr>
              <w:rPr>
                <w:rFonts w:ascii="Arial"/>
                <w:strike/>
                <w:dstrike w:val="0"/>
                <w:color w:val="auto"/>
                <w:sz w:val="21"/>
                <w:highlight w:val="none"/>
              </w:rPr>
            </w:pPr>
          </w:p>
        </w:tc>
      </w:tr>
      <w:tr w14:paraId="757AF3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trPr>
        <w:tc>
          <w:tcPr>
            <w:tcW w:w="2207" w:type="dxa"/>
            <w:tcBorders>
              <w:left w:val="single" w:color="000000" w:sz="6" w:space="0"/>
            </w:tcBorders>
            <w:vAlign w:val="top"/>
          </w:tcPr>
          <w:p w14:paraId="2580C1C6">
            <w:pPr>
              <w:spacing w:line="320" w:lineRule="auto"/>
              <w:rPr>
                <w:rFonts w:ascii="Arial"/>
                <w:strike/>
                <w:dstrike w:val="0"/>
                <w:color w:val="auto"/>
                <w:sz w:val="21"/>
                <w:highlight w:val="none"/>
              </w:rPr>
            </w:pPr>
          </w:p>
          <w:p w14:paraId="535E6854">
            <w:pPr>
              <w:spacing w:line="320" w:lineRule="auto"/>
              <w:rPr>
                <w:rFonts w:ascii="Arial"/>
                <w:strike/>
                <w:dstrike w:val="0"/>
                <w:color w:val="auto"/>
                <w:sz w:val="21"/>
                <w:highlight w:val="none"/>
              </w:rPr>
            </w:pPr>
          </w:p>
          <w:p w14:paraId="7182C606">
            <w:pPr>
              <w:pStyle w:val="33"/>
              <w:spacing w:before="78" w:line="220" w:lineRule="auto"/>
              <w:ind w:left="384"/>
              <w:rPr>
                <w:strike/>
                <w:dstrike w:val="0"/>
                <w:color w:val="auto"/>
                <w:sz w:val="24"/>
                <w:szCs w:val="24"/>
                <w:highlight w:val="none"/>
              </w:rPr>
            </w:pPr>
            <w:r>
              <w:rPr>
                <w:strike/>
                <w:dstrike w:val="0"/>
                <w:color w:val="auto"/>
                <w:spacing w:val="-2"/>
                <w:sz w:val="24"/>
                <w:szCs w:val="24"/>
                <w:highlight w:val="none"/>
              </w:rPr>
              <w:t>合同项目描述</w:t>
            </w:r>
          </w:p>
        </w:tc>
        <w:tc>
          <w:tcPr>
            <w:tcW w:w="6569" w:type="dxa"/>
            <w:tcBorders>
              <w:right w:val="single" w:color="000000" w:sz="6" w:space="0"/>
            </w:tcBorders>
            <w:vAlign w:val="top"/>
          </w:tcPr>
          <w:p w14:paraId="34473E05">
            <w:pPr>
              <w:rPr>
                <w:rFonts w:ascii="Arial"/>
                <w:strike/>
                <w:dstrike w:val="0"/>
                <w:color w:val="auto"/>
                <w:sz w:val="21"/>
                <w:highlight w:val="none"/>
              </w:rPr>
            </w:pPr>
          </w:p>
        </w:tc>
      </w:tr>
      <w:tr w14:paraId="118352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419" w:hRule="atLeast"/>
        </w:trPr>
        <w:tc>
          <w:tcPr>
            <w:tcW w:w="2207" w:type="dxa"/>
            <w:tcBorders>
              <w:left w:val="single" w:color="000000" w:sz="6" w:space="0"/>
              <w:bottom w:val="single" w:color="000000" w:sz="6" w:space="0"/>
            </w:tcBorders>
            <w:vAlign w:val="top"/>
          </w:tcPr>
          <w:p w14:paraId="0B7F4AD5">
            <w:pPr>
              <w:spacing w:line="437" w:lineRule="auto"/>
              <w:rPr>
                <w:rFonts w:ascii="Arial"/>
                <w:strike/>
                <w:dstrike w:val="0"/>
                <w:color w:val="auto"/>
                <w:sz w:val="21"/>
                <w:highlight w:val="none"/>
              </w:rPr>
            </w:pPr>
          </w:p>
          <w:p w14:paraId="5BEAD787">
            <w:pPr>
              <w:pStyle w:val="33"/>
              <w:spacing w:before="78" w:line="221" w:lineRule="auto"/>
              <w:ind w:left="866"/>
              <w:rPr>
                <w:strike/>
                <w:dstrike w:val="0"/>
                <w:color w:val="auto"/>
                <w:sz w:val="24"/>
                <w:szCs w:val="24"/>
                <w:highlight w:val="none"/>
              </w:rPr>
            </w:pPr>
            <w:r>
              <w:rPr>
                <w:strike/>
                <w:dstrike w:val="0"/>
                <w:color w:val="auto"/>
                <w:spacing w:val="-4"/>
                <w:sz w:val="24"/>
                <w:szCs w:val="24"/>
                <w:highlight w:val="none"/>
              </w:rPr>
              <w:t>备注</w:t>
            </w:r>
          </w:p>
        </w:tc>
        <w:tc>
          <w:tcPr>
            <w:tcW w:w="6569" w:type="dxa"/>
            <w:tcBorders>
              <w:bottom w:val="single" w:color="000000" w:sz="6" w:space="0"/>
              <w:right w:val="single" w:color="000000" w:sz="6" w:space="0"/>
            </w:tcBorders>
            <w:vAlign w:val="top"/>
          </w:tcPr>
          <w:p w14:paraId="0CA881A5">
            <w:pPr>
              <w:pStyle w:val="33"/>
              <w:spacing w:before="51" w:line="348" w:lineRule="auto"/>
              <w:ind w:left="108" w:right="102"/>
              <w:jc w:val="both"/>
              <w:rPr>
                <w:strike/>
                <w:dstrike w:val="0"/>
                <w:color w:val="auto"/>
                <w:sz w:val="24"/>
                <w:szCs w:val="24"/>
                <w:highlight w:val="none"/>
              </w:rPr>
            </w:pPr>
            <w:r>
              <w:rPr>
                <w:strike/>
                <w:dstrike w:val="0"/>
                <w:color w:val="auto"/>
                <w:spacing w:val="4"/>
                <w:sz w:val="24"/>
                <w:szCs w:val="24"/>
                <w:highlight w:val="none"/>
              </w:rPr>
              <w:t>合同项目描述内容至少包括项目概况、本合同在项目中的地</w:t>
            </w:r>
            <w:r>
              <w:rPr>
                <w:strike/>
                <w:dstrike w:val="0"/>
                <w:color w:val="auto"/>
                <w:sz w:val="24"/>
                <w:szCs w:val="24"/>
                <w:highlight w:val="none"/>
              </w:rPr>
              <w:t xml:space="preserve"> </w:t>
            </w:r>
            <w:r>
              <w:rPr>
                <w:strike/>
                <w:dstrike w:val="0"/>
                <w:color w:val="auto"/>
                <w:spacing w:val="-5"/>
                <w:sz w:val="24"/>
                <w:szCs w:val="24"/>
                <w:highlight w:val="none"/>
              </w:rPr>
              <w:t>位（部位、合同价格所占比例）和合同工程完工（竣工）验收</w:t>
            </w:r>
            <w:r>
              <w:rPr>
                <w:strike/>
                <w:dstrike w:val="0"/>
                <w:color w:val="auto"/>
                <w:spacing w:val="2"/>
                <w:sz w:val="24"/>
                <w:szCs w:val="24"/>
                <w:highlight w:val="none"/>
              </w:rPr>
              <w:t xml:space="preserve"> </w:t>
            </w:r>
            <w:r>
              <w:rPr>
                <w:strike/>
                <w:dstrike w:val="0"/>
                <w:color w:val="auto"/>
                <w:spacing w:val="-4"/>
                <w:sz w:val="24"/>
                <w:szCs w:val="24"/>
                <w:highlight w:val="none"/>
              </w:rPr>
              <w:t>鉴定书有关验收结论。</w:t>
            </w:r>
          </w:p>
        </w:tc>
      </w:tr>
    </w:tbl>
    <w:p w14:paraId="64405DF7">
      <w:pPr>
        <w:spacing w:before="35"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注：相关材料复制件在“原件的复制件”中提供。</w:t>
      </w:r>
    </w:p>
    <w:p w14:paraId="2829A0FE">
      <w:pPr>
        <w:spacing w:line="219"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458F54A4">
      <w:pPr>
        <w:spacing w:before="60" w:line="214" w:lineRule="auto"/>
        <w:ind w:left="1844"/>
        <w:rPr>
          <w:rFonts w:ascii="宋体" w:hAnsi="宋体" w:eastAsia="宋体" w:cs="宋体"/>
          <w:strike/>
          <w:dstrike w:val="0"/>
          <w:color w:val="auto"/>
          <w:sz w:val="30"/>
          <w:szCs w:val="30"/>
          <w:highlight w:val="none"/>
        </w:rPr>
      </w:pPr>
      <w:r>
        <w:rPr>
          <w:rFonts w:ascii="宋体" w:hAnsi="宋体" w:eastAsia="宋体" w:cs="宋体"/>
          <w:b/>
          <w:bCs/>
          <w:strike/>
          <w:dstrike w:val="0"/>
          <w:color w:val="auto"/>
          <w:spacing w:val="4"/>
          <w:sz w:val="30"/>
          <w:szCs w:val="30"/>
          <w:highlight w:val="none"/>
        </w:rPr>
        <w:t>业绩汇总表（资格业绩的汇总</w:t>
      </w:r>
      <w:r>
        <w:rPr>
          <w:rFonts w:ascii="宋体" w:hAnsi="宋体" w:eastAsia="宋体" w:cs="宋体"/>
          <w:b/>
          <w:bCs/>
          <w:strike/>
          <w:dstrike w:val="0"/>
          <w:color w:val="auto"/>
          <w:spacing w:val="-24"/>
          <w:sz w:val="30"/>
          <w:szCs w:val="30"/>
          <w:highlight w:val="none"/>
        </w:rPr>
        <w:t>）（</w:t>
      </w:r>
      <w:r>
        <w:rPr>
          <w:rFonts w:ascii="宋体" w:hAnsi="宋体" w:eastAsia="宋体" w:cs="宋体"/>
          <w:b/>
          <w:bCs/>
          <w:i/>
          <w:iCs/>
          <w:strike/>
          <w:dstrike w:val="0"/>
          <w:color w:val="auto"/>
          <w:spacing w:val="4"/>
          <w:sz w:val="31"/>
          <w:szCs w:val="31"/>
          <w:highlight w:val="none"/>
        </w:rPr>
        <w:t>若有</w:t>
      </w:r>
      <w:r>
        <w:rPr>
          <w:rFonts w:ascii="宋体" w:hAnsi="宋体" w:eastAsia="宋体" w:cs="宋体"/>
          <w:b/>
          <w:bCs/>
          <w:strike/>
          <w:dstrike w:val="0"/>
          <w:color w:val="auto"/>
          <w:spacing w:val="4"/>
          <w:sz w:val="30"/>
          <w:szCs w:val="30"/>
          <w:highlight w:val="none"/>
        </w:rPr>
        <w:t>）</w:t>
      </w:r>
    </w:p>
    <w:p w14:paraId="13AA730C">
      <w:pPr>
        <w:spacing w:before="15"/>
        <w:rPr>
          <w:strike/>
          <w:dstrike w:val="0"/>
          <w:color w:val="auto"/>
          <w:highlight w:val="none"/>
        </w:rPr>
      </w:pPr>
    </w:p>
    <w:p w14:paraId="5E0C189D">
      <w:pPr>
        <w:spacing w:before="14"/>
        <w:rPr>
          <w:strike/>
          <w:dstrike w:val="0"/>
          <w:color w:val="auto"/>
          <w:highlight w:val="none"/>
        </w:rPr>
      </w:pPr>
    </w:p>
    <w:tbl>
      <w:tblPr>
        <w:tblStyle w:val="32"/>
        <w:tblW w:w="863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2"/>
        <w:gridCol w:w="1321"/>
        <w:gridCol w:w="1146"/>
        <w:gridCol w:w="1376"/>
        <w:gridCol w:w="1685"/>
        <w:gridCol w:w="1153"/>
        <w:gridCol w:w="1211"/>
      </w:tblGrid>
      <w:tr w14:paraId="7E9696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3" w:hRule="atLeast"/>
        </w:trPr>
        <w:tc>
          <w:tcPr>
            <w:tcW w:w="742" w:type="dxa"/>
            <w:tcBorders>
              <w:top w:val="single" w:color="000000" w:sz="10" w:space="0"/>
              <w:left w:val="single" w:color="000000" w:sz="10" w:space="0"/>
            </w:tcBorders>
            <w:vAlign w:val="top"/>
          </w:tcPr>
          <w:p w14:paraId="51C1DF89">
            <w:pPr>
              <w:spacing w:line="250" w:lineRule="auto"/>
              <w:rPr>
                <w:rFonts w:ascii="Arial"/>
                <w:strike/>
                <w:dstrike w:val="0"/>
                <w:color w:val="auto"/>
                <w:sz w:val="21"/>
                <w:highlight w:val="none"/>
              </w:rPr>
            </w:pPr>
          </w:p>
          <w:p w14:paraId="381BA7F2">
            <w:pPr>
              <w:spacing w:line="250" w:lineRule="auto"/>
              <w:rPr>
                <w:rFonts w:ascii="Arial"/>
                <w:strike/>
                <w:dstrike w:val="0"/>
                <w:color w:val="auto"/>
                <w:sz w:val="21"/>
                <w:highlight w:val="none"/>
              </w:rPr>
            </w:pPr>
          </w:p>
          <w:p w14:paraId="27CB0DE3">
            <w:pPr>
              <w:spacing w:line="251" w:lineRule="auto"/>
              <w:rPr>
                <w:rFonts w:ascii="Arial"/>
                <w:strike/>
                <w:dstrike w:val="0"/>
                <w:color w:val="auto"/>
                <w:sz w:val="21"/>
                <w:highlight w:val="none"/>
              </w:rPr>
            </w:pPr>
          </w:p>
          <w:p w14:paraId="5774A92E">
            <w:pPr>
              <w:pStyle w:val="33"/>
              <w:spacing w:before="78" w:line="221" w:lineRule="auto"/>
              <w:ind w:left="125"/>
              <w:rPr>
                <w:strike/>
                <w:dstrike w:val="0"/>
                <w:color w:val="auto"/>
                <w:sz w:val="24"/>
                <w:szCs w:val="24"/>
                <w:highlight w:val="none"/>
              </w:rPr>
            </w:pPr>
            <w:r>
              <w:rPr>
                <w:strike/>
                <w:dstrike w:val="0"/>
                <w:color w:val="auto"/>
                <w:spacing w:val="-3"/>
                <w:sz w:val="24"/>
                <w:szCs w:val="24"/>
                <w:highlight w:val="none"/>
              </w:rPr>
              <w:t>序号</w:t>
            </w:r>
          </w:p>
        </w:tc>
        <w:tc>
          <w:tcPr>
            <w:tcW w:w="1321" w:type="dxa"/>
            <w:tcBorders>
              <w:top w:val="single" w:color="000000" w:sz="10" w:space="0"/>
            </w:tcBorders>
            <w:vAlign w:val="top"/>
          </w:tcPr>
          <w:p w14:paraId="1CDBE86D">
            <w:pPr>
              <w:spacing w:line="298" w:lineRule="auto"/>
              <w:rPr>
                <w:rFonts w:ascii="Arial"/>
                <w:strike/>
                <w:dstrike w:val="0"/>
                <w:color w:val="auto"/>
                <w:sz w:val="21"/>
                <w:highlight w:val="none"/>
              </w:rPr>
            </w:pPr>
          </w:p>
          <w:p w14:paraId="1CB99893">
            <w:pPr>
              <w:spacing w:line="298" w:lineRule="auto"/>
              <w:rPr>
                <w:rFonts w:ascii="Arial"/>
                <w:strike/>
                <w:dstrike w:val="0"/>
                <w:color w:val="auto"/>
                <w:sz w:val="21"/>
                <w:highlight w:val="none"/>
              </w:rPr>
            </w:pPr>
          </w:p>
          <w:p w14:paraId="2C6FB5BD">
            <w:pPr>
              <w:pStyle w:val="33"/>
              <w:spacing w:before="78" w:line="230" w:lineRule="auto"/>
              <w:ind w:left="412" w:right="66" w:hanging="355"/>
              <w:rPr>
                <w:strike/>
                <w:dstrike w:val="0"/>
                <w:color w:val="auto"/>
                <w:sz w:val="24"/>
                <w:szCs w:val="24"/>
                <w:highlight w:val="none"/>
              </w:rPr>
            </w:pPr>
            <w:r>
              <w:rPr>
                <w:strike/>
                <w:dstrike w:val="0"/>
                <w:color w:val="auto"/>
                <w:spacing w:val="-3"/>
                <w:sz w:val="24"/>
                <w:szCs w:val="24"/>
                <w:highlight w:val="none"/>
              </w:rPr>
              <w:t>该业绩证明</w:t>
            </w:r>
            <w:r>
              <w:rPr>
                <w:strike/>
                <w:dstrike w:val="0"/>
                <w:color w:val="auto"/>
                <w:sz w:val="24"/>
                <w:szCs w:val="24"/>
                <w:highlight w:val="none"/>
              </w:rPr>
              <w:t xml:space="preserve"> </w:t>
            </w:r>
            <w:r>
              <w:rPr>
                <w:strike/>
                <w:dstrike w:val="0"/>
                <w:color w:val="auto"/>
                <w:spacing w:val="-3"/>
                <w:sz w:val="24"/>
                <w:szCs w:val="24"/>
                <w:highlight w:val="none"/>
              </w:rPr>
              <w:t>对象</w:t>
            </w:r>
          </w:p>
        </w:tc>
        <w:tc>
          <w:tcPr>
            <w:tcW w:w="1146" w:type="dxa"/>
            <w:tcBorders>
              <w:top w:val="single" w:color="000000" w:sz="10" w:space="0"/>
            </w:tcBorders>
            <w:vAlign w:val="top"/>
          </w:tcPr>
          <w:p w14:paraId="4CE20F1F">
            <w:pPr>
              <w:spacing w:line="250" w:lineRule="auto"/>
              <w:rPr>
                <w:rFonts w:ascii="Arial"/>
                <w:strike/>
                <w:dstrike w:val="0"/>
                <w:color w:val="auto"/>
                <w:sz w:val="21"/>
                <w:highlight w:val="none"/>
              </w:rPr>
            </w:pPr>
          </w:p>
          <w:p w14:paraId="1C6675D4">
            <w:pPr>
              <w:spacing w:line="251" w:lineRule="auto"/>
              <w:rPr>
                <w:rFonts w:ascii="Arial"/>
                <w:strike/>
                <w:dstrike w:val="0"/>
                <w:color w:val="auto"/>
                <w:sz w:val="21"/>
                <w:highlight w:val="none"/>
              </w:rPr>
            </w:pPr>
          </w:p>
          <w:p w14:paraId="340611C4">
            <w:pPr>
              <w:spacing w:line="251" w:lineRule="auto"/>
              <w:rPr>
                <w:rFonts w:ascii="Arial"/>
                <w:strike/>
                <w:dstrike w:val="0"/>
                <w:color w:val="auto"/>
                <w:sz w:val="21"/>
                <w:highlight w:val="none"/>
              </w:rPr>
            </w:pPr>
          </w:p>
          <w:p w14:paraId="61B5EDAF">
            <w:pPr>
              <w:pStyle w:val="33"/>
              <w:spacing w:before="78" w:line="220" w:lineRule="auto"/>
              <w:ind w:left="92"/>
              <w:rPr>
                <w:strike/>
                <w:dstrike w:val="0"/>
                <w:color w:val="auto"/>
                <w:sz w:val="24"/>
                <w:szCs w:val="24"/>
                <w:highlight w:val="none"/>
              </w:rPr>
            </w:pPr>
            <w:r>
              <w:rPr>
                <w:strike/>
                <w:dstrike w:val="0"/>
                <w:color w:val="auto"/>
                <w:spacing w:val="-3"/>
                <w:sz w:val="24"/>
                <w:szCs w:val="24"/>
                <w:highlight w:val="none"/>
              </w:rPr>
              <w:t>项目名称</w:t>
            </w:r>
          </w:p>
        </w:tc>
        <w:tc>
          <w:tcPr>
            <w:tcW w:w="1376" w:type="dxa"/>
            <w:tcBorders>
              <w:top w:val="single" w:color="000000" w:sz="10" w:space="0"/>
            </w:tcBorders>
            <w:vAlign w:val="top"/>
          </w:tcPr>
          <w:p w14:paraId="514B8A2C">
            <w:pPr>
              <w:spacing w:line="298" w:lineRule="auto"/>
              <w:rPr>
                <w:rFonts w:ascii="Arial"/>
                <w:strike/>
                <w:dstrike w:val="0"/>
                <w:color w:val="auto"/>
                <w:sz w:val="21"/>
                <w:highlight w:val="none"/>
              </w:rPr>
            </w:pPr>
          </w:p>
          <w:p w14:paraId="2BB799F3">
            <w:pPr>
              <w:spacing w:line="299" w:lineRule="auto"/>
              <w:rPr>
                <w:rFonts w:ascii="Arial"/>
                <w:strike/>
                <w:dstrike w:val="0"/>
                <w:color w:val="auto"/>
                <w:sz w:val="21"/>
                <w:highlight w:val="none"/>
              </w:rPr>
            </w:pPr>
          </w:p>
          <w:p w14:paraId="7C93AB58">
            <w:pPr>
              <w:pStyle w:val="33"/>
              <w:spacing w:before="78" w:line="230" w:lineRule="auto"/>
              <w:ind w:left="90" w:right="103"/>
              <w:rPr>
                <w:strike/>
                <w:dstrike w:val="0"/>
                <w:color w:val="auto"/>
                <w:sz w:val="24"/>
                <w:szCs w:val="24"/>
                <w:highlight w:val="none"/>
              </w:rPr>
            </w:pPr>
            <w:r>
              <w:rPr>
                <w:strike/>
                <w:dstrike w:val="0"/>
                <w:color w:val="auto"/>
                <w:spacing w:val="14"/>
                <w:sz w:val="24"/>
                <w:szCs w:val="24"/>
                <w:highlight w:val="none"/>
              </w:rPr>
              <w:t>建设单位(</w:t>
            </w:r>
            <w:r>
              <w:rPr>
                <w:strike/>
                <w:dstrike w:val="0"/>
                <w:color w:val="auto"/>
                <w:spacing w:val="1"/>
                <w:sz w:val="24"/>
                <w:szCs w:val="24"/>
                <w:highlight w:val="none"/>
              </w:rPr>
              <w:t xml:space="preserve"> </w:t>
            </w:r>
            <w:r>
              <w:rPr>
                <w:strike/>
                <w:dstrike w:val="0"/>
                <w:color w:val="auto"/>
                <w:spacing w:val="-6"/>
                <w:sz w:val="24"/>
                <w:szCs w:val="24"/>
                <w:highlight w:val="none"/>
              </w:rPr>
              <w:t>项目业主）</w:t>
            </w:r>
          </w:p>
        </w:tc>
        <w:tc>
          <w:tcPr>
            <w:tcW w:w="1685" w:type="dxa"/>
            <w:tcBorders>
              <w:top w:val="single" w:color="000000" w:sz="10" w:space="0"/>
            </w:tcBorders>
            <w:vAlign w:val="top"/>
          </w:tcPr>
          <w:p w14:paraId="5F7DEAA1">
            <w:pPr>
              <w:spacing w:line="287" w:lineRule="auto"/>
              <w:rPr>
                <w:rFonts w:ascii="Arial"/>
                <w:strike/>
                <w:dstrike w:val="0"/>
                <w:color w:val="auto"/>
                <w:sz w:val="21"/>
                <w:highlight w:val="none"/>
              </w:rPr>
            </w:pPr>
          </w:p>
          <w:p w14:paraId="02133283">
            <w:pPr>
              <w:pStyle w:val="33"/>
              <w:spacing w:before="78" w:line="233" w:lineRule="auto"/>
              <w:ind w:left="128" w:right="116" w:firstLine="3"/>
              <w:rPr>
                <w:strike/>
                <w:dstrike w:val="0"/>
                <w:color w:val="auto"/>
                <w:sz w:val="24"/>
                <w:szCs w:val="24"/>
                <w:highlight w:val="none"/>
              </w:rPr>
            </w:pPr>
            <w:r>
              <w:rPr>
                <w:strike/>
                <w:dstrike w:val="0"/>
                <w:color w:val="auto"/>
                <w:spacing w:val="-3"/>
                <w:sz w:val="24"/>
                <w:szCs w:val="24"/>
                <w:highlight w:val="none"/>
              </w:rPr>
              <w:t>与评审有关的</w:t>
            </w:r>
            <w:r>
              <w:rPr>
                <w:strike/>
                <w:dstrike w:val="0"/>
                <w:color w:val="auto"/>
                <w:spacing w:val="2"/>
                <w:sz w:val="24"/>
                <w:szCs w:val="24"/>
                <w:highlight w:val="none"/>
              </w:rPr>
              <w:t xml:space="preserve"> </w:t>
            </w:r>
            <w:r>
              <w:rPr>
                <w:strike/>
                <w:dstrike w:val="0"/>
                <w:color w:val="auto"/>
                <w:spacing w:val="-2"/>
                <w:sz w:val="24"/>
                <w:szCs w:val="24"/>
                <w:highlight w:val="none"/>
              </w:rPr>
              <w:t>时间、规模、</w:t>
            </w:r>
            <w:r>
              <w:rPr>
                <w:strike/>
                <w:dstrike w:val="0"/>
                <w:color w:val="auto"/>
                <w:sz w:val="24"/>
                <w:szCs w:val="24"/>
                <w:highlight w:val="none"/>
              </w:rPr>
              <w:t xml:space="preserve"> </w:t>
            </w:r>
            <w:r>
              <w:rPr>
                <w:strike/>
                <w:dstrike w:val="0"/>
                <w:color w:val="auto"/>
                <w:spacing w:val="-2"/>
                <w:sz w:val="24"/>
                <w:szCs w:val="24"/>
                <w:highlight w:val="none"/>
              </w:rPr>
              <w:t>技术指标及其</w:t>
            </w:r>
          </w:p>
          <w:p w14:paraId="4C6E6E29">
            <w:pPr>
              <w:pStyle w:val="33"/>
              <w:spacing w:before="26" w:line="220" w:lineRule="auto"/>
              <w:ind w:left="487"/>
              <w:rPr>
                <w:strike/>
                <w:dstrike w:val="0"/>
                <w:color w:val="auto"/>
                <w:sz w:val="24"/>
                <w:szCs w:val="24"/>
                <w:highlight w:val="none"/>
              </w:rPr>
            </w:pPr>
            <w:r>
              <w:rPr>
                <w:strike/>
                <w:dstrike w:val="0"/>
                <w:color w:val="auto"/>
                <w:spacing w:val="-3"/>
                <w:sz w:val="24"/>
                <w:szCs w:val="24"/>
                <w:highlight w:val="none"/>
              </w:rPr>
              <w:t>他要求</w:t>
            </w:r>
          </w:p>
        </w:tc>
        <w:tc>
          <w:tcPr>
            <w:tcW w:w="1153" w:type="dxa"/>
            <w:tcBorders>
              <w:top w:val="single" w:color="000000" w:sz="10" w:space="0"/>
            </w:tcBorders>
            <w:vAlign w:val="top"/>
          </w:tcPr>
          <w:p w14:paraId="15365E8D">
            <w:pPr>
              <w:spacing w:line="298" w:lineRule="auto"/>
              <w:rPr>
                <w:rFonts w:ascii="Arial"/>
                <w:strike/>
                <w:dstrike w:val="0"/>
                <w:color w:val="auto"/>
                <w:sz w:val="21"/>
                <w:highlight w:val="none"/>
              </w:rPr>
            </w:pPr>
          </w:p>
          <w:p w14:paraId="7AC773CE">
            <w:pPr>
              <w:spacing w:line="299" w:lineRule="auto"/>
              <w:rPr>
                <w:rFonts w:ascii="Arial"/>
                <w:strike/>
                <w:dstrike w:val="0"/>
                <w:color w:val="auto"/>
                <w:sz w:val="21"/>
                <w:highlight w:val="none"/>
              </w:rPr>
            </w:pPr>
          </w:p>
          <w:p w14:paraId="3BDAF546">
            <w:pPr>
              <w:pStyle w:val="33"/>
              <w:spacing w:before="78" w:line="229" w:lineRule="auto"/>
              <w:ind w:left="108" w:right="84"/>
              <w:rPr>
                <w:strike/>
                <w:dstrike w:val="0"/>
                <w:color w:val="auto"/>
                <w:sz w:val="24"/>
                <w:szCs w:val="24"/>
                <w:highlight w:val="none"/>
              </w:rPr>
            </w:pPr>
            <w:r>
              <w:rPr>
                <w:strike/>
                <w:dstrike w:val="0"/>
                <w:color w:val="auto"/>
                <w:spacing w:val="-3"/>
                <w:sz w:val="24"/>
                <w:szCs w:val="24"/>
                <w:highlight w:val="none"/>
              </w:rPr>
              <w:t>提交证明</w:t>
            </w:r>
            <w:r>
              <w:rPr>
                <w:strike/>
                <w:dstrike w:val="0"/>
                <w:color w:val="auto"/>
                <w:sz w:val="24"/>
                <w:szCs w:val="24"/>
                <w:highlight w:val="none"/>
              </w:rPr>
              <w:t xml:space="preserve"> </w:t>
            </w:r>
            <w:r>
              <w:rPr>
                <w:strike/>
                <w:dstrike w:val="0"/>
                <w:color w:val="auto"/>
                <w:spacing w:val="-3"/>
                <w:sz w:val="24"/>
                <w:szCs w:val="24"/>
                <w:highlight w:val="none"/>
              </w:rPr>
              <w:t>材料内容</w:t>
            </w:r>
          </w:p>
        </w:tc>
        <w:tc>
          <w:tcPr>
            <w:tcW w:w="1211" w:type="dxa"/>
            <w:tcBorders>
              <w:top w:val="single" w:color="000000" w:sz="10" w:space="0"/>
              <w:right w:val="single" w:color="000000" w:sz="10" w:space="0"/>
            </w:tcBorders>
            <w:vAlign w:val="top"/>
          </w:tcPr>
          <w:p w14:paraId="3E64AFCA">
            <w:pPr>
              <w:spacing w:line="298" w:lineRule="auto"/>
              <w:rPr>
                <w:rFonts w:ascii="Arial"/>
                <w:strike/>
                <w:dstrike w:val="0"/>
                <w:color w:val="auto"/>
                <w:sz w:val="21"/>
                <w:highlight w:val="none"/>
              </w:rPr>
            </w:pPr>
          </w:p>
          <w:p w14:paraId="3C6F34C1">
            <w:pPr>
              <w:spacing w:line="298" w:lineRule="auto"/>
              <w:rPr>
                <w:rFonts w:ascii="Arial"/>
                <w:strike/>
                <w:dstrike w:val="0"/>
                <w:color w:val="auto"/>
                <w:sz w:val="21"/>
                <w:highlight w:val="none"/>
              </w:rPr>
            </w:pPr>
          </w:p>
          <w:p w14:paraId="0BB607B7">
            <w:pPr>
              <w:pStyle w:val="33"/>
              <w:spacing w:before="78" w:line="230" w:lineRule="auto"/>
              <w:ind w:left="127" w:right="113"/>
              <w:rPr>
                <w:strike/>
                <w:dstrike w:val="0"/>
                <w:color w:val="auto"/>
                <w:sz w:val="24"/>
                <w:szCs w:val="24"/>
                <w:highlight w:val="none"/>
              </w:rPr>
            </w:pPr>
            <w:r>
              <w:rPr>
                <w:strike/>
                <w:dstrike w:val="0"/>
                <w:color w:val="auto"/>
                <w:spacing w:val="-3"/>
                <w:sz w:val="24"/>
                <w:szCs w:val="24"/>
                <w:highlight w:val="none"/>
              </w:rPr>
              <w:t>在投标文</w:t>
            </w:r>
            <w:r>
              <w:rPr>
                <w:strike/>
                <w:dstrike w:val="0"/>
                <w:color w:val="auto"/>
                <w:spacing w:val="2"/>
                <w:sz w:val="24"/>
                <w:szCs w:val="24"/>
                <w:highlight w:val="none"/>
              </w:rPr>
              <w:t xml:space="preserve"> </w:t>
            </w:r>
            <w:r>
              <w:rPr>
                <w:strike/>
                <w:dstrike w:val="0"/>
                <w:color w:val="auto"/>
                <w:spacing w:val="-3"/>
                <w:sz w:val="24"/>
                <w:szCs w:val="24"/>
                <w:highlight w:val="none"/>
              </w:rPr>
              <w:t>件的位置</w:t>
            </w:r>
          </w:p>
        </w:tc>
      </w:tr>
      <w:tr w14:paraId="4D44EA0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42" w:type="dxa"/>
            <w:tcBorders>
              <w:left w:val="single" w:color="000000" w:sz="10" w:space="0"/>
            </w:tcBorders>
            <w:vAlign w:val="top"/>
          </w:tcPr>
          <w:p w14:paraId="0287B15D">
            <w:pPr>
              <w:spacing w:line="247" w:lineRule="auto"/>
              <w:rPr>
                <w:rFonts w:ascii="Arial"/>
                <w:strike/>
                <w:dstrike w:val="0"/>
                <w:color w:val="auto"/>
                <w:sz w:val="21"/>
                <w:highlight w:val="none"/>
              </w:rPr>
            </w:pPr>
          </w:p>
          <w:p w14:paraId="0E8A390F">
            <w:pPr>
              <w:spacing w:line="247" w:lineRule="auto"/>
              <w:rPr>
                <w:rFonts w:ascii="Arial"/>
                <w:strike/>
                <w:dstrike w:val="0"/>
                <w:color w:val="auto"/>
                <w:sz w:val="21"/>
                <w:highlight w:val="none"/>
              </w:rPr>
            </w:pPr>
          </w:p>
          <w:p w14:paraId="67E4BE13">
            <w:pPr>
              <w:spacing w:line="248" w:lineRule="auto"/>
              <w:rPr>
                <w:rFonts w:ascii="Arial"/>
                <w:strike/>
                <w:dstrike w:val="0"/>
                <w:color w:val="auto"/>
                <w:sz w:val="21"/>
                <w:highlight w:val="none"/>
              </w:rPr>
            </w:pPr>
          </w:p>
          <w:p w14:paraId="2836EE04">
            <w:pPr>
              <w:spacing w:before="69" w:line="186" w:lineRule="auto"/>
              <w:ind w:left="324"/>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1</w:t>
            </w:r>
          </w:p>
        </w:tc>
        <w:tc>
          <w:tcPr>
            <w:tcW w:w="1321" w:type="dxa"/>
            <w:vAlign w:val="top"/>
          </w:tcPr>
          <w:p w14:paraId="29350034">
            <w:pPr>
              <w:spacing w:line="293" w:lineRule="auto"/>
              <w:rPr>
                <w:rFonts w:ascii="Arial"/>
                <w:strike/>
                <w:dstrike w:val="0"/>
                <w:color w:val="auto"/>
                <w:sz w:val="21"/>
                <w:highlight w:val="none"/>
              </w:rPr>
            </w:pPr>
          </w:p>
          <w:p w14:paraId="04AB536E">
            <w:pPr>
              <w:spacing w:line="293" w:lineRule="auto"/>
              <w:rPr>
                <w:rFonts w:ascii="Arial"/>
                <w:strike/>
                <w:dstrike w:val="0"/>
                <w:color w:val="auto"/>
                <w:sz w:val="21"/>
                <w:highlight w:val="none"/>
              </w:rPr>
            </w:pPr>
          </w:p>
          <w:p w14:paraId="79321FEF">
            <w:pPr>
              <w:spacing w:line="294" w:lineRule="auto"/>
              <w:rPr>
                <w:rFonts w:ascii="Arial"/>
                <w:strike/>
                <w:dstrike w:val="0"/>
                <w:color w:val="auto"/>
                <w:sz w:val="21"/>
                <w:highlight w:val="none"/>
              </w:rPr>
            </w:pPr>
          </w:p>
          <w:p w14:paraId="751FDA56">
            <w:pPr>
              <w:spacing w:before="69" w:line="75" w:lineRule="exact"/>
              <w:ind w:left="462"/>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i/>
                <w:iCs/>
                <w:strike/>
                <w:dstrike w:val="0"/>
                <w:color w:val="auto"/>
                <w:spacing w:val="-8"/>
                <w:position w:val="-1"/>
                <w:sz w:val="24"/>
                <w:szCs w:val="24"/>
                <w:highlight w:val="none"/>
              </w:rPr>
              <w:t>……</w:t>
            </w:r>
          </w:p>
        </w:tc>
        <w:tc>
          <w:tcPr>
            <w:tcW w:w="1146" w:type="dxa"/>
            <w:vAlign w:val="top"/>
          </w:tcPr>
          <w:p w14:paraId="726C8DE6">
            <w:pPr>
              <w:rPr>
                <w:rFonts w:ascii="Arial"/>
                <w:strike/>
                <w:dstrike w:val="0"/>
                <w:color w:val="auto"/>
                <w:sz w:val="21"/>
                <w:highlight w:val="none"/>
              </w:rPr>
            </w:pPr>
          </w:p>
        </w:tc>
        <w:tc>
          <w:tcPr>
            <w:tcW w:w="1376" w:type="dxa"/>
            <w:vAlign w:val="top"/>
          </w:tcPr>
          <w:p w14:paraId="79D31B9F">
            <w:pPr>
              <w:rPr>
                <w:rFonts w:ascii="Arial"/>
                <w:strike/>
                <w:dstrike w:val="0"/>
                <w:color w:val="auto"/>
                <w:sz w:val="21"/>
                <w:highlight w:val="none"/>
              </w:rPr>
            </w:pPr>
          </w:p>
        </w:tc>
        <w:tc>
          <w:tcPr>
            <w:tcW w:w="1685" w:type="dxa"/>
            <w:vAlign w:val="top"/>
          </w:tcPr>
          <w:p w14:paraId="3AB7C24F">
            <w:pPr>
              <w:rPr>
                <w:rFonts w:ascii="Arial"/>
                <w:strike/>
                <w:dstrike w:val="0"/>
                <w:color w:val="auto"/>
                <w:sz w:val="21"/>
                <w:highlight w:val="none"/>
              </w:rPr>
            </w:pPr>
          </w:p>
        </w:tc>
        <w:tc>
          <w:tcPr>
            <w:tcW w:w="1153" w:type="dxa"/>
            <w:vAlign w:val="top"/>
          </w:tcPr>
          <w:p w14:paraId="5EDA24C1">
            <w:pPr>
              <w:rPr>
                <w:rFonts w:ascii="Arial"/>
                <w:strike/>
                <w:dstrike w:val="0"/>
                <w:color w:val="auto"/>
                <w:sz w:val="21"/>
                <w:highlight w:val="none"/>
              </w:rPr>
            </w:pPr>
          </w:p>
        </w:tc>
        <w:tc>
          <w:tcPr>
            <w:tcW w:w="1211" w:type="dxa"/>
            <w:tcBorders>
              <w:right w:val="single" w:color="000000" w:sz="10" w:space="0"/>
            </w:tcBorders>
            <w:vAlign w:val="top"/>
          </w:tcPr>
          <w:p w14:paraId="43CB83FB">
            <w:pPr>
              <w:spacing w:line="378" w:lineRule="auto"/>
              <w:rPr>
                <w:rFonts w:ascii="Arial"/>
                <w:strike/>
                <w:dstrike w:val="0"/>
                <w:color w:val="auto"/>
                <w:sz w:val="21"/>
                <w:highlight w:val="none"/>
              </w:rPr>
            </w:pPr>
          </w:p>
          <w:p w14:paraId="7157EDC6">
            <w:pPr>
              <w:pStyle w:val="33"/>
              <w:spacing w:before="81" w:line="213" w:lineRule="auto"/>
              <w:ind w:left="117"/>
              <w:rPr>
                <w:strike/>
                <w:dstrike w:val="0"/>
                <w:color w:val="auto"/>
                <w:sz w:val="25"/>
                <w:szCs w:val="25"/>
                <w:highlight w:val="none"/>
              </w:rPr>
            </w:pPr>
            <w:r>
              <w:rPr>
                <w:i/>
                <w:iCs/>
                <w:strike/>
                <w:dstrike w:val="0"/>
                <w:color w:val="auto"/>
                <w:spacing w:val="7"/>
                <w:sz w:val="25"/>
                <w:szCs w:val="25"/>
                <w:highlight w:val="none"/>
              </w:rPr>
              <w:t>例如：投</w:t>
            </w:r>
          </w:p>
          <w:p w14:paraId="148DEDE1">
            <w:pPr>
              <w:pStyle w:val="33"/>
              <w:spacing w:before="21" w:line="212" w:lineRule="auto"/>
              <w:jc w:val="right"/>
              <w:rPr>
                <w:rFonts w:ascii="Times New Roman" w:hAnsi="Times New Roman" w:eastAsia="Times New Roman" w:cs="Times New Roman"/>
                <w:strike/>
                <w:dstrike w:val="0"/>
                <w:color w:val="auto"/>
                <w:sz w:val="24"/>
                <w:szCs w:val="24"/>
                <w:highlight w:val="none"/>
              </w:rPr>
            </w:pPr>
            <w:r>
              <w:rPr>
                <w:i/>
                <w:iCs/>
                <w:strike/>
                <w:dstrike w:val="0"/>
                <w:color w:val="auto"/>
                <w:spacing w:val="-11"/>
                <w:sz w:val="25"/>
                <w:szCs w:val="25"/>
                <w:highlight w:val="none"/>
              </w:rPr>
              <w:t>标</w:t>
            </w:r>
            <w:r>
              <w:rPr>
                <w:i/>
                <w:iCs/>
                <w:strike/>
                <w:dstrike w:val="0"/>
                <w:color w:val="auto"/>
                <w:spacing w:val="-10"/>
                <w:sz w:val="25"/>
                <w:szCs w:val="25"/>
                <w:highlight w:val="none"/>
              </w:rPr>
              <w:t>文件第</w:t>
            </w:r>
            <w:r>
              <w:rPr>
                <w:rFonts w:ascii="Times New Roman" w:hAnsi="Times New Roman" w:eastAsia="Times New Roman" w:cs="Times New Roman"/>
                <w:i/>
                <w:iCs/>
                <w:strike/>
                <w:dstrike w:val="0"/>
                <w:color w:val="auto"/>
                <w:spacing w:val="31"/>
                <w:sz w:val="24"/>
                <w:szCs w:val="24"/>
                <w:highlight w:val="none"/>
              </w:rPr>
              <w:t>X</w:t>
            </w:r>
          </w:p>
          <w:p w14:paraId="7AFD825F">
            <w:pPr>
              <w:pStyle w:val="33"/>
              <w:spacing w:before="25" w:line="214" w:lineRule="auto"/>
              <w:ind w:left="483"/>
              <w:rPr>
                <w:strike/>
                <w:dstrike w:val="0"/>
                <w:color w:val="auto"/>
                <w:sz w:val="25"/>
                <w:szCs w:val="25"/>
                <w:highlight w:val="none"/>
              </w:rPr>
            </w:pPr>
            <w:r>
              <w:rPr>
                <w:i/>
                <w:iCs/>
                <w:strike/>
                <w:dstrike w:val="0"/>
                <w:color w:val="auto"/>
                <w:spacing w:val="54"/>
                <w:sz w:val="25"/>
                <w:szCs w:val="25"/>
                <w:highlight w:val="none"/>
              </w:rPr>
              <w:t>页</w:t>
            </w:r>
          </w:p>
        </w:tc>
      </w:tr>
      <w:tr w14:paraId="7DEAC0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trPr>
        <w:tc>
          <w:tcPr>
            <w:tcW w:w="742" w:type="dxa"/>
            <w:tcBorders>
              <w:left w:val="single" w:color="000000" w:sz="10" w:space="0"/>
            </w:tcBorders>
            <w:vAlign w:val="top"/>
          </w:tcPr>
          <w:p w14:paraId="65878804">
            <w:pPr>
              <w:rPr>
                <w:rFonts w:ascii="Arial"/>
                <w:strike/>
                <w:dstrike w:val="0"/>
                <w:color w:val="auto"/>
                <w:sz w:val="21"/>
                <w:highlight w:val="none"/>
              </w:rPr>
            </w:pPr>
          </w:p>
        </w:tc>
        <w:tc>
          <w:tcPr>
            <w:tcW w:w="1321" w:type="dxa"/>
            <w:vAlign w:val="top"/>
          </w:tcPr>
          <w:p w14:paraId="6D2173B1">
            <w:pPr>
              <w:rPr>
                <w:rFonts w:ascii="Arial"/>
                <w:strike/>
                <w:dstrike w:val="0"/>
                <w:color w:val="auto"/>
                <w:sz w:val="21"/>
                <w:highlight w:val="none"/>
              </w:rPr>
            </w:pPr>
          </w:p>
        </w:tc>
        <w:tc>
          <w:tcPr>
            <w:tcW w:w="1146" w:type="dxa"/>
            <w:vAlign w:val="top"/>
          </w:tcPr>
          <w:p w14:paraId="422A1368">
            <w:pPr>
              <w:rPr>
                <w:rFonts w:ascii="Arial"/>
                <w:strike/>
                <w:dstrike w:val="0"/>
                <w:color w:val="auto"/>
                <w:sz w:val="21"/>
                <w:highlight w:val="none"/>
              </w:rPr>
            </w:pPr>
          </w:p>
        </w:tc>
        <w:tc>
          <w:tcPr>
            <w:tcW w:w="1376" w:type="dxa"/>
            <w:vAlign w:val="top"/>
          </w:tcPr>
          <w:p w14:paraId="66A32976">
            <w:pPr>
              <w:rPr>
                <w:rFonts w:ascii="Arial"/>
                <w:strike/>
                <w:dstrike w:val="0"/>
                <w:color w:val="auto"/>
                <w:sz w:val="21"/>
                <w:highlight w:val="none"/>
              </w:rPr>
            </w:pPr>
          </w:p>
        </w:tc>
        <w:tc>
          <w:tcPr>
            <w:tcW w:w="1685" w:type="dxa"/>
            <w:vAlign w:val="top"/>
          </w:tcPr>
          <w:p w14:paraId="0DA0E465">
            <w:pPr>
              <w:rPr>
                <w:rFonts w:ascii="Arial"/>
                <w:strike/>
                <w:dstrike w:val="0"/>
                <w:color w:val="auto"/>
                <w:sz w:val="21"/>
                <w:highlight w:val="none"/>
              </w:rPr>
            </w:pPr>
          </w:p>
        </w:tc>
        <w:tc>
          <w:tcPr>
            <w:tcW w:w="1153" w:type="dxa"/>
            <w:vAlign w:val="top"/>
          </w:tcPr>
          <w:p w14:paraId="482A92A5">
            <w:pPr>
              <w:rPr>
                <w:rFonts w:ascii="Arial"/>
                <w:strike/>
                <w:dstrike w:val="0"/>
                <w:color w:val="auto"/>
                <w:sz w:val="21"/>
                <w:highlight w:val="none"/>
              </w:rPr>
            </w:pPr>
          </w:p>
        </w:tc>
        <w:tc>
          <w:tcPr>
            <w:tcW w:w="1211" w:type="dxa"/>
            <w:tcBorders>
              <w:right w:val="single" w:color="000000" w:sz="10" w:space="0"/>
            </w:tcBorders>
            <w:vAlign w:val="top"/>
          </w:tcPr>
          <w:p w14:paraId="49CFF2CA">
            <w:pPr>
              <w:rPr>
                <w:rFonts w:ascii="Arial"/>
                <w:strike/>
                <w:dstrike w:val="0"/>
                <w:color w:val="auto"/>
                <w:sz w:val="21"/>
                <w:highlight w:val="none"/>
              </w:rPr>
            </w:pPr>
          </w:p>
        </w:tc>
      </w:tr>
      <w:tr w14:paraId="63D8AC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42" w:type="dxa"/>
            <w:tcBorders>
              <w:left w:val="single" w:color="000000" w:sz="10" w:space="0"/>
              <w:bottom w:val="single" w:color="000000" w:sz="10" w:space="0"/>
            </w:tcBorders>
            <w:vAlign w:val="top"/>
          </w:tcPr>
          <w:p w14:paraId="2444D152">
            <w:pPr>
              <w:rPr>
                <w:rFonts w:ascii="Arial"/>
                <w:strike/>
                <w:dstrike w:val="0"/>
                <w:color w:val="auto"/>
                <w:sz w:val="21"/>
                <w:highlight w:val="none"/>
              </w:rPr>
            </w:pPr>
          </w:p>
        </w:tc>
        <w:tc>
          <w:tcPr>
            <w:tcW w:w="1321" w:type="dxa"/>
            <w:tcBorders>
              <w:bottom w:val="single" w:color="000000" w:sz="10" w:space="0"/>
            </w:tcBorders>
            <w:vAlign w:val="top"/>
          </w:tcPr>
          <w:p w14:paraId="332BE1DD">
            <w:pPr>
              <w:rPr>
                <w:rFonts w:ascii="Arial"/>
                <w:strike/>
                <w:dstrike w:val="0"/>
                <w:color w:val="auto"/>
                <w:sz w:val="21"/>
                <w:highlight w:val="none"/>
              </w:rPr>
            </w:pPr>
          </w:p>
        </w:tc>
        <w:tc>
          <w:tcPr>
            <w:tcW w:w="1146" w:type="dxa"/>
            <w:tcBorders>
              <w:bottom w:val="single" w:color="000000" w:sz="10" w:space="0"/>
            </w:tcBorders>
            <w:vAlign w:val="top"/>
          </w:tcPr>
          <w:p w14:paraId="5A56D41F">
            <w:pPr>
              <w:rPr>
                <w:rFonts w:ascii="Arial"/>
                <w:strike/>
                <w:dstrike w:val="0"/>
                <w:color w:val="auto"/>
                <w:sz w:val="21"/>
                <w:highlight w:val="none"/>
              </w:rPr>
            </w:pPr>
          </w:p>
        </w:tc>
        <w:tc>
          <w:tcPr>
            <w:tcW w:w="1376" w:type="dxa"/>
            <w:tcBorders>
              <w:bottom w:val="single" w:color="000000" w:sz="10" w:space="0"/>
            </w:tcBorders>
            <w:vAlign w:val="top"/>
          </w:tcPr>
          <w:p w14:paraId="7C7E0899">
            <w:pPr>
              <w:rPr>
                <w:rFonts w:ascii="Arial"/>
                <w:strike/>
                <w:dstrike w:val="0"/>
                <w:color w:val="auto"/>
                <w:sz w:val="21"/>
                <w:highlight w:val="none"/>
              </w:rPr>
            </w:pPr>
          </w:p>
        </w:tc>
        <w:tc>
          <w:tcPr>
            <w:tcW w:w="1685" w:type="dxa"/>
            <w:tcBorders>
              <w:bottom w:val="single" w:color="000000" w:sz="10" w:space="0"/>
            </w:tcBorders>
            <w:vAlign w:val="top"/>
          </w:tcPr>
          <w:p w14:paraId="67E89437">
            <w:pPr>
              <w:rPr>
                <w:rFonts w:ascii="Arial"/>
                <w:strike/>
                <w:dstrike w:val="0"/>
                <w:color w:val="auto"/>
                <w:sz w:val="21"/>
                <w:highlight w:val="none"/>
              </w:rPr>
            </w:pPr>
          </w:p>
        </w:tc>
        <w:tc>
          <w:tcPr>
            <w:tcW w:w="1153" w:type="dxa"/>
            <w:tcBorders>
              <w:bottom w:val="single" w:color="000000" w:sz="10" w:space="0"/>
            </w:tcBorders>
            <w:vAlign w:val="top"/>
          </w:tcPr>
          <w:p w14:paraId="0D866F82">
            <w:pPr>
              <w:rPr>
                <w:rFonts w:ascii="Arial"/>
                <w:strike/>
                <w:dstrike w:val="0"/>
                <w:color w:val="auto"/>
                <w:sz w:val="21"/>
                <w:highlight w:val="none"/>
              </w:rPr>
            </w:pPr>
          </w:p>
        </w:tc>
        <w:tc>
          <w:tcPr>
            <w:tcW w:w="1211" w:type="dxa"/>
            <w:tcBorders>
              <w:bottom w:val="single" w:color="000000" w:sz="10" w:space="0"/>
              <w:right w:val="single" w:color="000000" w:sz="10" w:space="0"/>
            </w:tcBorders>
            <w:vAlign w:val="top"/>
          </w:tcPr>
          <w:p w14:paraId="79F6655A">
            <w:pPr>
              <w:rPr>
                <w:rFonts w:ascii="Arial"/>
                <w:strike/>
                <w:dstrike w:val="0"/>
                <w:color w:val="auto"/>
                <w:sz w:val="21"/>
                <w:highlight w:val="none"/>
              </w:rPr>
            </w:pPr>
          </w:p>
        </w:tc>
      </w:tr>
    </w:tbl>
    <w:p w14:paraId="2594C87C">
      <w:pPr>
        <w:pStyle w:val="3"/>
        <w:rPr>
          <w:color w:val="auto"/>
          <w:highlight w:val="none"/>
        </w:rPr>
      </w:pPr>
    </w:p>
    <w:p w14:paraId="6D6C8F11">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2B4F514A">
      <w:pPr>
        <w:spacing w:before="47" w:line="220" w:lineRule="auto"/>
        <w:ind w:left="6"/>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6"/>
          <w:sz w:val="24"/>
          <w:szCs w:val="24"/>
          <w:highlight w:val="none"/>
        </w:rPr>
        <w:t>（四）</w:t>
      </w:r>
      <w:r>
        <w:rPr>
          <w:rFonts w:ascii="宋体" w:hAnsi="宋体" w:eastAsia="宋体" w:cs="宋体"/>
          <w:strike/>
          <w:dstrike w:val="0"/>
          <w:color w:val="auto"/>
          <w:spacing w:val="-65"/>
          <w:sz w:val="24"/>
          <w:szCs w:val="24"/>
          <w:highlight w:val="none"/>
        </w:rPr>
        <w:t xml:space="preserve"> </w:t>
      </w:r>
      <w:r>
        <w:rPr>
          <w:rFonts w:ascii="宋体" w:hAnsi="宋体" w:eastAsia="宋体" w:cs="宋体"/>
          <w:b/>
          <w:bCs/>
          <w:strike/>
          <w:dstrike w:val="0"/>
          <w:color w:val="auto"/>
          <w:spacing w:val="-6"/>
          <w:sz w:val="24"/>
          <w:szCs w:val="24"/>
          <w:highlight w:val="none"/>
        </w:rPr>
        <w:t>正在施工的和新承接的项目情况表</w:t>
      </w:r>
    </w:p>
    <w:p w14:paraId="7BDE0DB4">
      <w:pPr>
        <w:spacing w:before="182" w:line="220" w:lineRule="auto"/>
        <w:ind w:left="2591"/>
        <w:rPr>
          <w:rFonts w:ascii="宋体" w:hAnsi="宋体" w:eastAsia="宋体" w:cs="宋体"/>
          <w:strike/>
          <w:dstrike w:val="0"/>
          <w:color w:val="auto"/>
          <w:sz w:val="24"/>
          <w:szCs w:val="24"/>
          <w:highlight w:val="none"/>
        </w:rPr>
      </w:pPr>
      <w:r>
        <w:rPr>
          <w:rFonts w:ascii="宋体" w:hAnsi="宋体" w:eastAsia="宋体" w:cs="宋体"/>
          <w:b/>
          <w:bCs/>
          <w:strike/>
          <w:dstrike w:val="0"/>
          <w:color w:val="auto"/>
          <w:spacing w:val="-3"/>
          <w:sz w:val="24"/>
          <w:szCs w:val="24"/>
          <w:highlight w:val="none"/>
        </w:rPr>
        <w:t>正在施工的和新承接的项目情况表</w:t>
      </w:r>
    </w:p>
    <w:p w14:paraId="2093A9FF">
      <w:pPr>
        <w:spacing w:line="144" w:lineRule="exact"/>
        <w:rPr>
          <w:strike/>
          <w:dstrike w:val="0"/>
          <w:color w:val="auto"/>
          <w:highlight w:val="none"/>
        </w:rPr>
      </w:pPr>
    </w:p>
    <w:tbl>
      <w:tblPr>
        <w:tblStyle w:val="32"/>
        <w:tblW w:w="8776" w:type="dxa"/>
        <w:tblInd w:w="10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67C05C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207" w:type="dxa"/>
            <w:tcBorders>
              <w:top w:val="single" w:color="000000" w:sz="6" w:space="0"/>
              <w:left w:val="single" w:color="000000" w:sz="6" w:space="0"/>
            </w:tcBorders>
            <w:vAlign w:val="top"/>
          </w:tcPr>
          <w:p w14:paraId="54B29063">
            <w:pPr>
              <w:pStyle w:val="33"/>
              <w:spacing w:before="121" w:line="222" w:lineRule="auto"/>
              <w:ind w:left="624"/>
              <w:rPr>
                <w:strike/>
                <w:dstrike w:val="0"/>
                <w:color w:val="auto"/>
                <w:sz w:val="24"/>
                <w:szCs w:val="24"/>
                <w:highlight w:val="none"/>
              </w:rPr>
            </w:pPr>
            <w:r>
              <w:rPr>
                <w:strike/>
                <w:dstrike w:val="0"/>
                <w:color w:val="auto"/>
                <w:spacing w:val="-2"/>
                <w:sz w:val="24"/>
                <w:szCs w:val="24"/>
                <w:highlight w:val="none"/>
              </w:rPr>
              <w:t>合同名称</w:t>
            </w:r>
          </w:p>
        </w:tc>
        <w:tc>
          <w:tcPr>
            <w:tcW w:w="6569" w:type="dxa"/>
            <w:tcBorders>
              <w:top w:val="single" w:color="000000" w:sz="6" w:space="0"/>
              <w:right w:val="single" w:color="000000" w:sz="6" w:space="0"/>
            </w:tcBorders>
            <w:vAlign w:val="top"/>
          </w:tcPr>
          <w:p w14:paraId="71EEF18A">
            <w:pPr>
              <w:rPr>
                <w:rFonts w:ascii="Arial"/>
                <w:strike/>
                <w:dstrike w:val="0"/>
                <w:color w:val="auto"/>
                <w:sz w:val="21"/>
                <w:highlight w:val="none"/>
              </w:rPr>
            </w:pPr>
          </w:p>
        </w:tc>
      </w:tr>
      <w:tr w14:paraId="74182E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3BE17A7D">
            <w:pPr>
              <w:pStyle w:val="33"/>
              <w:spacing w:before="119" w:line="220" w:lineRule="auto"/>
              <w:ind w:left="264"/>
              <w:rPr>
                <w:strike/>
                <w:dstrike w:val="0"/>
                <w:color w:val="auto"/>
                <w:sz w:val="24"/>
                <w:szCs w:val="24"/>
                <w:highlight w:val="none"/>
              </w:rPr>
            </w:pPr>
            <w:r>
              <w:rPr>
                <w:strike/>
                <w:dstrike w:val="0"/>
                <w:color w:val="auto"/>
                <w:spacing w:val="-2"/>
                <w:sz w:val="24"/>
                <w:szCs w:val="24"/>
                <w:highlight w:val="none"/>
              </w:rPr>
              <w:t>合同项目所在地</w:t>
            </w:r>
          </w:p>
        </w:tc>
        <w:tc>
          <w:tcPr>
            <w:tcW w:w="6569" w:type="dxa"/>
            <w:tcBorders>
              <w:right w:val="single" w:color="000000" w:sz="6" w:space="0"/>
            </w:tcBorders>
            <w:vAlign w:val="top"/>
          </w:tcPr>
          <w:p w14:paraId="68B4A93C">
            <w:pPr>
              <w:rPr>
                <w:rFonts w:ascii="Arial"/>
                <w:strike/>
                <w:dstrike w:val="0"/>
                <w:color w:val="auto"/>
                <w:sz w:val="21"/>
                <w:highlight w:val="none"/>
              </w:rPr>
            </w:pPr>
          </w:p>
        </w:tc>
      </w:tr>
      <w:tr w14:paraId="4271828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top"/>
          </w:tcPr>
          <w:p w14:paraId="40E754D3">
            <w:pPr>
              <w:pStyle w:val="33"/>
              <w:spacing w:before="119" w:line="220" w:lineRule="auto"/>
              <w:ind w:left="506"/>
              <w:rPr>
                <w:strike/>
                <w:dstrike w:val="0"/>
                <w:color w:val="auto"/>
                <w:sz w:val="24"/>
                <w:szCs w:val="24"/>
                <w:highlight w:val="none"/>
              </w:rPr>
            </w:pPr>
            <w:r>
              <w:rPr>
                <w:strike/>
                <w:dstrike w:val="0"/>
                <w:color w:val="auto"/>
                <w:spacing w:val="-3"/>
                <w:sz w:val="24"/>
                <w:szCs w:val="24"/>
                <w:highlight w:val="none"/>
              </w:rPr>
              <w:t>发包人名称</w:t>
            </w:r>
          </w:p>
        </w:tc>
        <w:tc>
          <w:tcPr>
            <w:tcW w:w="6569" w:type="dxa"/>
            <w:tcBorders>
              <w:right w:val="single" w:color="000000" w:sz="6" w:space="0"/>
            </w:tcBorders>
            <w:vAlign w:val="top"/>
          </w:tcPr>
          <w:p w14:paraId="0923A63E">
            <w:pPr>
              <w:rPr>
                <w:rFonts w:ascii="Arial"/>
                <w:strike/>
                <w:dstrike w:val="0"/>
                <w:color w:val="auto"/>
                <w:sz w:val="21"/>
                <w:highlight w:val="none"/>
              </w:rPr>
            </w:pPr>
          </w:p>
        </w:tc>
      </w:tr>
      <w:tr w14:paraId="7BB9D5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7F539516">
            <w:pPr>
              <w:pStyle w:val="33"/>
              <w:spacing w:before="121" w:line="220" w:lineRule="auto"/>
              <w:ind w:left="506"/>
              <w:rPr>
                <w:strike/>
                <w:dstrike w:val="0"/>
                <w:color w:val="auto"/>
                <w:sz w:val="24"/>
                <w:szCs w:val="24"/>
                <w:highlight w:val="none"/>
              </w:rPr>
            </w:pPr>
            <w:r>
              <w:rPr>
                <w:strike/>
                <w:dstrike w:val="0"/>
                <w:color w:val="auto"/>
                <w:spacing w:val="-3"/>
                <w:sz w:val="24"/>
                <w:szCs w:val="24"/>
                <w:highlight w:val="none"/>
              </w:rPr>
              <w:t>发包人地址</w:t>
            </w:r>
          </w:p>
        </w:tc>
        <w:tc>
          <w:tcPr>
            <w:tcW w:w="6569" w:type="dxa"/>
            <w:tcBorders>
              <w:right w:val="single" w:color="000000" w:sz="6" w:space="0"/>
            </w:tcBorders>
            <w:vAlign w:val="top"/>
          </w:tcPr>
          <w:p w14:paraId="3D8569D1">
            <w:pPr>
              <w:rPr>
                <w:rFonts w:ascii="Arial"/>
                <w:strike/>
                <w:dstrike w:val="0"/>
                <w:color w:val="auto"/>
                <w:sz w:val="21"/>
                <w:highlight w:val="none"/>
              </w:rPr>
            </w:pPr>
          </w:p>
        </w:tc>
      </w:tr>
      <w:tr w14:paraId="06DB4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73C0731C">
            <w:pPr>
              <w:pStyle w:val="33"/>
              <w:spacing w:before="122" w:line="220" w:lineRule="auto"/>
              <w:ind w:left="506"/>
              <w:rPr>
                <w:strike/>
                <w:dstrike w:val="0"/>
                <w:color w:val="auto"/>
                <w:sz w:val="24"/>
                <w:szCs w:val="24"/>
                <w:highlight w:val="none"/>
              </w:rPr>
            </w:pPr>
            <w:r>
              <w:rPr>
                <w:strike/>
                <w:dstrike w:val="0"/>
                <w:color w:val="auto"/>
                <w:spacing w:val="-3"/>
                <w:sz w:val="24"/>
                <w:szCs w:val="24"/>
                <w:highlight w:val="none"/>
              </w:rPr>
              <w:t>发包人电话</w:t>
            </w:r>
          </w:p>
        </w:tc>
        <w:tc>
          <w:tcPr>
            <w:tcW w:w="6569" w:type="dxa"/>
            <w:tcBorders>
              <w:right w:val="single" w:color="000000" w:sz="6" w:space="0"/>
            </w:tcBorders>
            <w:vAlign w:val="top"/>
          </w:tcPr>
          <w:p w14:paraId="60D552E0">
            <w:pPr>
              <w:rPr>
                <w:rFonts w:ascii="Arial"/>
                <w:strike/>
                <w:dstrike w:val="0"/>
                <w:color w:val="auto"/>
                <w:sz w:val="21"/>
                <w:highlight w:val="none"/>
              </w:rPr>
            </w:pPr>
          </w:p>
        </w:tc>
      </w:tr>
      <w:tr w14:paraId="6FD92C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top"/>
          </w:tcPr>
          <w:p w14:paraId="15C9E000">
            <w:pPr>
              <w:pStyle w:val="33"/>
              <w:spacing w:before="122" w:line="218" w:lineRule="auto"/>
              <w:ind w:left="503"/>
              <w:rPr>
                <w:strike/>
                <w:dstrike w:val="0"/>
                <w:color w:val="auto"/>
                <w:sz w:val="24"/>
                <w:szCs w:val="24"/>
                <w:highlight w:val="none"/>
              </w:rPr>
            </w:pPr>
            <w:r>
              <w:rPr>
                <w:strike/>
                <w:dstrike w:val="0"/>
                <w:color w:val="auto"/>
                <w:spacing w:val="-2"/>
                <w:sz w:val="24"/>
                <w:szCs w:val="24"/>
                <w:highlight w:val="none"/>
              </w:rPr>
              <w:t>签约合同价</w:t>
            </w:r>
          </w:p>
        </w:tc>
        <w:tc>
          <w:tcPr>
            <w:tcW w:w="6569" w:type="dxa"/>
            <w:tcBorders>
              <w:right w:val="single" w:color="000000" w:sz="6" w:space="0"/>
            </w:tcBorders>
            <w:vAlign w:val="top"/>
          </w:tcPr>
          <w:p w14:paraId="0D3D09D9">
            <w:pPr>
              <w:rPr>
                <w:rFonts w:ascii="Arial"/>
                <w:strike/>
                <w:dstrike w:val="0"/>
                <w:color w:val="auto"/>
                <w:sz w:val="21"/>
                <w:highlight w:val="none"/>
              </w:rPr>
            </w:pPr>
          </w:p>
        </w:tc>
      </w:tr>
      <w:tr w14:paraId="30E34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4FA6877B">
            <w:pPr>
              <w:pStyle w:val="33"/>
              <w:spacing w:before="124" w:line="220" w:lineRule="auto"/>
              <w:ind w:left="624"/>
              <w:rPr>
                <w:strike/>
                <w:dstrike w:val="0"/>
                <w:color w:val="auto"/>
                <w:sz w:val="24"/>
                <w:szCs w:val="24"/>
                <w:highlight w:val="none"/>
              </w:rPr>
            </w:pPr>
            <w:r>
              <w:rPr>
                <w:strike/>
                <w:dstrike w:val="0"/>
                <w:color w:val="auto"/>
                <w:spacing w:val="-2"/>
                <w:sz w:val="24"/>
                <w:szCs w:val="24"/>
                <w:highlight w:val="none"/>
              </w:rPr>
              <w:t>开工日期</w:t>
            </w:r>
          </w:p>
        </w:tc>
        <w:tc>
          <w:tcPr>
            <w:tcW w:w="6569" w:type="dxa"/>
            <w:tcBorders>
              <w:right w:val="single" w:color="000000" w:sz="6" w:space="0"/>
            </w:tcBorders>
            <w:vAlign w:val="top"/>
          </w:tcPr>
          <w:p w14:paraId="26EE0B9E">
            <w:pPr>
              <w:rPr>
                <w:rFonts w:ascii="Arial"/>
                <w:strike/>
                <w:dstrike w:val="0"/>
                <w:color w:val="auto"/>
                <w:sz w:val="21"/>
                <w:highlight w:val="none"/>
              </w:rPr>
            </w:pPr>
          </w:p>
        </w:tc>
      </w:tr>
      <w:tr w14:paraId="6FFAB1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53A8C8EC">
            <w:pPr>
              <w:pStyle w:val="33"/>
              <w:spacing w:before="124" w:line="220" w:lineRule="auto"/>
              <w:ind w:left="383"/>
              <w:rPr>
                <w:strike/>
                <w:dstrike w:val="0"/>
                <w:color w:val="auto"/>
                <w:sz w:val="24"/>
                <w:szCs w:val="24"/>
                <w:highlight w:val="none"/>
              </w:rPr>
            </w:pPr>
            <w:r>
              <w:rPr>
                <w:strike/>
                <w:dstrike w:val="0"/>
                <w:color w:val="auto"/>
                <w:spacing w:val="-2"/>
                <w:sz w:val="24"/>
                <w:szCs w:val="24"/>
                <w:highlight w:val="none"/>
              </w:rPr>
              <w:t>计划完工日期</w:t>
            </w:r>
          </w:p>
        </w:tc>
        <w:tc>
          <w:tcPr>
            <w:tcW w:w="6569" w:type="dxa"/>
            <w:tcBorders>
              <w:right w:val="single" w:color="000000" w:sz="6" w:space="0"/>
            </w:tcBorders>
            <w:vAlign w:val="top"/>
          </w:tcPr>
          <w:p w14:paraId="770D20FA">
            <w:pPr>
              <w:rPr>
                <w:rFonts w:ascii="Arial"/>
                <w:strike/>
                <w:dstrike w:val="0"/>
                <w:color w:val="auto"/>
                <w:sz w:val="21"/>
                <w:highlight w:val="none"/>
              </w:rPr>
            </w:pPr>
          </w:p>
        </w:tc>
      </w:tr>
      <w:tr w14:paraId="1CA4FDD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top"/>
          </w:tcPr>
          <w:p w14:paraId="78C3BC3B">
            <w:pPr>
              <w:pStyle w:val="33"/>
              <w:spacing w:before="124" w:line="220" w:lineRule="auto"/>
              <w:ind w:left="503"/>
              <w:rPr>
                <w:strike/>
                <w:dstrike w:val="0"/>
                <w:color w:val="auto"/>
                <w:sz w:val="24"/>
                <w:szCs w:val="24"/>
                <w:highlight w:val="none"/>
              </w:rPr>
            </w:pPr>
            <w:r>
              <w:rPr>
                <w:strike/>
                <w:dstrike w:val="0"/>
                <w:color w:val="auto"/>
                <w:spacing w:val="-2"/>
                <w:sz w:val="24"/>
                <w:szCs w:val="24"/>
                <w:highlight w:val="none"/>
              </w:rPr>
              <w:t>承担的工作</w:t>
            </w:r>
          </w:p>
        </w:tc>
        <w:tc>
          <w:tcPr>
            <w:tcW w:w="6569" w:type="dxa"/>
            <w:tcBorders>
              <w:right w:val="single" w:color="000000" w:sz="6" w:space="0"/>
            </w:tcBorders>
            <w:vAlign w:val="top"/>
          </w:tcPr>
          <w:p w14:paraId="0CA68129">
            <w:pPr>
              <w:rPr>
                <w:rFonts w:ascii="Arial"/>
                <w:strike/>
                <w:dstrike w:val="0"/>
                <w:color w:val="auto"/>
                <w:sz w:val="21"/>
                <w:highlight w:val="none"/>
              </w:rPr>
            </w:pPr>
          </w:p>
        </w:tc>
      </w:tr>
      <w:tr w14:paraId="6D41AA1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553DEDFA">
            <w:pPr>
              <w:pStyle w:val="33"/>
              <w:spacing w:before="126" w:line="220" w:lineRule="auto"/>
              <w:ind w:left="626"/>
              <w:rPr>
                <w:strike/>
                <w:dstrike w:val="0"/>
                <w:color w:val="auto"/>
                <w:sz w:val="24"/>
                <w:szCs w:val="24"/>
                <w:highlight w:val="none"/>
              </w:rPr>
            </w:pPr>
            <w:r>
              <w:rPr>
                <w:strike/>
                <w:dstrike w:val="0"/>
                <w:color w:val="auto"/>
                <w:spacing w:val="-3"/>
                <w:sz w:val="24"/>
                <w:szCs w:val="24"/>
                <w:highlight w:val="none"/>
              </w:rPr>
              <w:t>工程质量</w:t>
            </w:r>
          </w:p>
        </w:tc>
        <w:tc>
          <w:tcPr>
            <w:tcW w:w="6569" w:type="dxa"/>
            <w:tcBorders>
              <w:right w:val="single" w:color="000000" w:sz="6" w:space="0"/>
            </w:tcBorders>
            <w:vAlign w:val="top"/>
          </w:tcPr>
          <w:p w14:paraId="5108E524">
            <w:pPr>
              <w:rPr>
                <w:rFonts w:ascii="Arial"/>
                <w:strike/>
                <w:dstrike w:val="0"/>
                <w:color w:val="auto"/>
                <w:sz w:val="21"/>
                <w:highlight w:val="none"/>
              </w:rPr>
            </w:pPr>
          </w:p>
        </w:tc>
      </w:tr>
      <w:tr w14:paraId="4BC9BD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6346E5C3">
            <w:pPr>
              <w:pStyle w:val="33"/>
              <w:spacing w:before="126" w:line="220" w:lineRule="auto"/>
              <w:ind w:left="506"/>
              <w:rPr>
                <w:strike/>
                <w:dstrike w:val="0"/>
                <w:color w:val="auto"/>
                <w:sz w:val="24"/>
                <w:szCs w:val="24"/>
                <w:highlight w:val="none"/>
              </w:rPr>
            </w:pPr>
            <w:r>
              <w:rPr>
                <w:strike/>
                <w:dstrike w:val="0"/>
                <w:color w:val="auto"/>
                <w:spacing w:val="-3"/>
                <w:sz w:val="24"/>
                <w:szCs w:val="24"/>
                <w:highlight w:val="none"/>
              </w:rPr>
              <w:t>项目负责人</w:t>
            </w:r>
          </w:p>
        </w:tc>
        <w:tc>
          <w:tcPr>
            <w:tcW w:w="6569" w:type="dxa"/>
            <w:tcBorders>
              <w:right w:val="single" w:color="000000" w:sz="6" w:space="0"/>
            </w:tcBorders>
            <w:vAlign w:val="top"/>
          </w:tcPr>
          <w:p w14:paraId="664B1A1B">
            <w:pPr>
              <w:rPr>
                <w:rFonts w:ascii="Arial"/>
                <w:strike/>
                <w:dstrike w:val="0"/>
                <w:color w:val="auto"/>
                <w:sz w:val="21"/>
                <w:highlight w:val="none"/>
              </w:rPr>
            </w:pPr>
          </w:p>
        </w:tc>
      </w:tr>
      <w:tr w14:paraId="436024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top"/>
          </w:tcPr>
          <w:p w14:paraId="10B1CF36">
            <w:pPr>
              <w:pStyle w:val="33"/>
              <w:spacing w:before="126" w:line="220" w:lineRule="auto"/>
              <w:ind w:left="504"/>
              <w:rPr>
                <w:strike/>
                <w:dstrike w:val="0"/>
                <w:color w:val="auto"/>
                <w:sz w:val="24"/>
                <w:szCs w:val="24"/>
                <w:highlight w:val="none"/>
              </w:rPr>
            </w:pPr>
            <w:r>
              <w:rPr>
                <w:strike/>
                <w:dstrike w:val="0"/>
                <w:color w:val="auto"/>
                <w:spacing w:val="-2"/>
                <w:sz w:val="24"/>
                <w:szCs w:val="24"/>
                <w:highlight w:val="none"/>
              </w:rPr>
              <w:t>技术负责人</w:t>
            </w:r>
          </w:p>
        </w:tc>
        <w:tc>
          <w:tcPr>
            <w:tcW w:w="6569" w:type="dxa"/>
            <w:tcBorders>
              <w:right w:val="single" w:color="000000" w:sz="6" w:space="0"/>
            </w:tcBorders>
            <w:vAlign w:val="top"/>
          </w:tcPr>
          <w:p w14:paraId="62382EEB">
            <w:pPr>
              <w:rPr>
                <w:rFonts w:ascii="Arial"/>
                <w:strike/>
                <w:dstrike w:val="0"/>
                <w:color w:val="auto"/>
                <w:sz w:val="21"/>
                <w:highlight w:val="none"/>
              </w:rPr>
            </w:pPr>
          </w:p>
        </w:tc>
      </w:tr>
      <w:tr w14:paraId="567C67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512BBA29">
            <w:pPr>
              <w:pStyle w:val="33"/>
              <w:spacing w:before="127" w:line="220" w:lineRule="auto"/>
              <w:ind w:left="387"/>
              <w:rPr>
                <w:strike/>
                <w:dstrike w:val="0"/>
                <w:color w:val="auto"/>
                <w:sz w:val="24"/>
                <w:szCs w:val="24"/>
                <w:highlight w:val="none"/>
              </w:rPr>
            </w:pPr>
            <w:r>
              <w:rPr>
                <w:strike/>
                <w:dstrike w:val="0"/>
                <w:color w:val="auto"/>
                <w:spacing w:val="-2"/>
                <w:sz w:val="24"/>
                <w:szCs w:val="24"/>
                <w:highlight w:val="none"/>
              </w:rPr>
              <w:t>副项目负责人</w:t>
            </w:r>
          </w:p>
        </w:tc>
        <w:tc>
          <w:tcPr>
            <w:tcW w:w="6569" w:type="dxa"/>
            <w:tcBorders>
              <w:right w:val="single" w:color="000000" w:sz="6" w:space="0"/>
            </w:tcBorders>
            <w:vAlign w:val="top"/>
          </w:tcPr>
          <w:p w14:paraId="0D36C133">
            <w:pPr>
              <w:rPr>
                <w:rFonts w:ascii="Arial"/>
                <w:strike/>
                <w:dstrike w:val="0"/>
                <w:color w:val="auto"/>
                <w:sz w:val="21"/>
                <w:highlight w:val="none"/>
              </w:rPr>
            </w:pPr>
          </w:p>
        </w:tc>
      </w:tr>
      <w:tr w14:paraId="0FF75A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207" w:type="dxa"/>
            <w:tcBorders>
              <w:left w:val="single" w:color="000000" w:sz="6" w:space="0"/>
            </w:tcBorders>
            <w:vAlign w:val="top"/>
          </w:tcPr>
          <w:p w14:paraId="2885EA7B">
            <w:pPr>
              <w:pStyle w:val="33"/>
              <w:spacing w:before="48" w:line="338" w:lineRule="auto"/>
              <w:ind w:left="382" w:right="143" w:hanging="238"/>
              <w:rPr>
                <w:strike/>
                <w:dstrike w:val="0"/>
                <w:color w:val="auto"/>
                <w:sz w:val="24"/>
                <w:szCs w:val="24"/>
                <w:highlight w:val="none"/>
              </w:rPr>
            </w:pPr>
            <w:r>
              <w:rPr>
                <w:strike/>
                <w:dstrike w:val="0"/>
                <w:color w:val="auto"/>
                <w:spacing w:val="-2"/>
                <w:sz w:val="24"/>
                <w:szCs w:val="24"/>
                <w:highlight w:val="none"/>
              </w:rPr>
              <w:t>监理人和总监理工</w:t>
            </w:r>
            <w:r>
              <w:rPr>
                <w:strike/>
                <w:dstrike w:val="0"/>
                <w:color w:val="auto"/>
                <w:spacing w:val="4"/>
                <w:sz w:val="24"/>
                <w:szCs w:val="24"/>
                <w:highlight w:val="none"/>
              </w:rPr>
              <w:t xml:space="preserve"> </w:t>
            </w:r>
            <w:r>
              <w:rPr>
                <w:strike/>
                <w:dstrike w:val="0"/>
                <w:color w:val="auto"/>
                <w:spacing w:val="-2"/>
                <w:sz w:val="24"/>
                <w:szCs w:val="24"/>
                <w:highlight w:val="none"/>
              </w:rPr>
              <w:t>程师以及电话</w:t>
            </w:r>
          </w:p>
        </w:tc>
        <w:tc>
          <w:tcPr>
            <w:tcW w:w="6569" w:type="dxa"/>
            <w:tcBorders>
              <w:right w:val="single" w:color="000000" w:sz="6" w:space="0"/>
            </w:tcBorders>
            <w:vAlign w:val="top"/>
          </w:tcPr>
          <w:p w14:paraId="0A4388BE">
            <w:pPr>
              <w:rPr>
                <w:rFonts w:ascii="Arial"/>
                <w:strike/>
                <w:dstrike w:val="0"/>
                <w:color w:val="auto"/>
                <w:sz w:val="21"/>
                <w:highlight w:val="none"/>
              </w:rPr>
            </w:pPr>
          </w:p>
        </w:tc>
      </w:tr>
      <w:tr w14:paraId="7EDDBAC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956" w:hRule="atLeast"/>
        </w:trPr>
        <w:tc>
          <w:tcPr>
            <w:tcW w:w="2207" w:type="dxa"/>
            <w:tcBorders>
              <w:left w:val="single" w:color="000000" w:sz="6" w:space="0"/>
            </w:tcBorders>
            <w:vAlign w:val="top"/>
          </w:tcPr>
          <w:p w14:paraId="4FAB1CF9">
            <w:pPr>
              <w:spacing w:line="355" w:lineRule="auto"/>
              <w:rPr>
                <w:rFonts w:ascii="Arial"/>
                <w:strike/>
                <w:dstrike w:val="0"/>
                <w:color w:val="auto"/>
                <w:sz w:val="21"/>
                <w:highlight w:val="none"/>
              </w:rPr>
            </w:pPr>
          </w:p>
          <w:p w14:paraId="44DCB520">
            <w:pPr>
              <w:spacing w:line="355" w:lineRule="auto"/>
              <w:rPr>
                <w:rFonts w:ascii="Arial"/>
                <w:strike/>
                <w:dstrike w:val="0"/>
                <w:color w:val="auto"/>
                <w:sz w:val="21"/>
                <w:highlight w:val="none"/>
              </w:rPr>
            </w:pPr>
          </w:p>
          <w:p w14:paraId="2AA34C61">
            <w:pPr>
              <w:pStyle w:val="33"/>
              <w:spacing w:before="78" w:line="220" w:lineRule="auto"/>
              <w:ind w:left="626"/>
              <w:rPr>
                <w:strike/>
                <w:dstrike w:val="0"/>
                <w:color w:val="auto"/>
                <w:sz w:val="24"/>
                <w:szCs w:val="24"/>
                <w:highlight w:val="none"/>
              </w:rPr>
            </w:pPr>
            <w:r>
              <w:rPr>
                <w:strike/>
                <w:dstrike w:val="0"/>
                <w:color w:val="auto"/>
                <w:spacing w:val="-3"/>
                <w:sz w:val="24"/>
                <w:szCs w:val="24"/>
                <w:highlight w:val="none"/>
              </w:rPr>
              <w:t>项目描述</w:t>
            </w:r>
          </w:p>
        </w:tc>
        <w:tc>
          <w:tcPr>
            <w:tcW w:w="6569" w:type="dxa"/>
            <w:tcBorders>
              <w:right w:val="single" w:color="000000" w:sz="6" w:space="0"/>
            </w:tcBorders>
            <w:vAlign w:val="top"/>
          </w:tcPr>
          <w:p w14:paraId="2AC8C213">
            <w:pPr>
              <w:rPr>
                <w:rFonts w:ascii="Arial"/>
                <w:strike/>
                <w:dstrike w:val="0"/>
                <w:color w:val="auto"/>
                <w:sz w:val="21"/>
                <w:highlight w:val="none"/>
              </w:rPr>
            </w:pPr>
          </w:p>
        </w:tc>
      </w:tr>
      <w:tr w14:paraId="63F57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050" w:hRule="atLeast"/>
        </w:trPr>
        <w:tc>
          <w:tcPr>
            <w:tcW w:w="2207" w:type="dxa"/>
            <w:tcBorders>
              <w:left w:val="single" w:color="000000" w:sz="6" w:space="0"/>
              <w:bottom w:val="single" w:color="000000" w:sz="6" w:space="0"/>
            </w:tcBorders>
            <w:vAlign w:val="top"/>
          </w:tcPr>
          <w:p w14:paraId="20297F8C">
            <w:pPr>
              <w:spacing w:line="254" w:lineRule="auto"/>
              <w:rPr>
                <w:rFonts w:ascii="Arial"/>
                <w:strike/>
                <w:dstrike w:val="0"/>
                <w:color w:val="auto"/>
                <w:sz w:val="21"/>
                <w:highlight w:val="none"/>
              </w:rPr>
            </w:pPr>
          </w:p>
          <w:p w14:paraId="3CA88952">
            <w:pPr>
              <w:pStyle w:val="33"/>
              <w:spacing w:before="78" w:line="221" w:lineRule="auto"/>
              <w:ind w:left="866"/>
              <w:rPr>
                <w:strike/>
                <w:dstrike w:val="0"/>
                <w:color w:val="auto"/>
                <w:sz w:val="24"/>
                <w:szCs w:val="24"/>
                <w:highlight w:val="none"/>
              </w:rPr>
            </w:pPr>
            <w:r>
              <w:rPr>
                <w:strike/>
                <w:dstrike w:val="0"/>
                <w:color w:val="auto"/>
                <w:spacing w:val="-4"/>
                <w:sz w:val="24"/>
                <w:szCs w:val="24"/>
                <w:highlight w:val="none"/>
              </w:rPr>
              <w:t>备注</w:t>
            </w:r>
          </w:p>
        </w:tc>
        <w:tc>
          <w:tcPr>
            <w:tcW w:w="6569" w:type="dxa"/>
            <w:tcBorders>
              <w:bottom w:val="single" w:color="000000" w:sz="6" w:space="0"/>
              <w:right w:val="single" w:color="000000" w:sz="6" w:space="0"/>
            </w:tcBorders>
            <w:vAlign w:val="top"/>
          </w:tcPr>
          <w:p w14:paraId="138971D6">
            <w:pPr>
              <w:pStyle w:val="33"/>
              <w:spacing w:before="98" w:line="346" w:lineRule="auto"/>
              <w:ind w:left="108" w:right="118" w:firstLine="3"/>
              <w:rPr>
                <w:strike/>
                <w:dstrike w:val="0"/>
                <w:color w:val="auto"/>
                <w:sz w:val="24"/>
                <w:szCs w:val="24"/>
                <w:highlight w:val="none"/>
              </w:rPr>
            </w:pPr>
            <w:r>
              <w:rPr>
                <w:strike/>
                <w:dstrike w:val="0"/>
                <w:color w:val="auto"/>
                <w:spacing w:val="-6"/>
                <w:sz w:val="24"/>
                <w:szCs w:val="24"/>
                <w:highlight w:val="none"/>
              </w:rPr>
              <w:t>项目描述内容至少包括项目概况、本合同在项目中的地位（部</w:t>
            </w:r>
            <w:r>
              <w:rPr>
                <w:strike/>
                <w:dstrike w:val="0"/>
                <w:color w:val="auto"/>
                <w:spacing w:val="9"/>
                <w:sz w:val="24"/>
                <w:szCs w:val="24"/>
                <w:highlight w:val="none"/>
              </w:rPr>
              <w:t xml:space="preserve"> </w:t>
            </w:r>
            <w:r>
              <w:rPr>
                <w:strike/>
                <w:dstrike w:val="0"/>
                <w:color w:val="auto"/>
                <w:spacing w:val="-4"/>
                <w:sz w:val="24"/>
                <w:szCs w:val="24"/>
                <w:highlight w:val="none"/>
              </w:rPr>
              <w:t>位、合同价格所占比例）。</w:t>
            </w:r>
          </w:p>
        </w:tc>
      </w:tr>
    </w:tbl>
    <w:p w14:paraId="64710642">
      <w:pPr>
        <w:spacing w:before="35" w:line="219"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注：相关材料复制件在“原件的复制件”中提供。</w:t>
      </w:r>
    </w:p>
    <w:p w14:paraId="736727BB">
      <w:pPr>
        <w:spacing w:line="219"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8A899B4">
      <w:pPr>
        <w:spacing w:before="47" w:line="220" w:lineRule="auto"/>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（五）原件的复制件</w:t>
      </w:r>
    </w:p>
    <w:p w14:paraId="00872729">
      <w:pPr>
        <w:spacing w:before="182" w:line="219" w:lineRule="auto"/>
        <w:ind w:left="492"/>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详见投标人须知前附表第</w:t>
      </w:r>
      <w:r>
        <w:rPr>
          <w:rFonts w:ascii="Times New Roman" w:hAnsi="Times New Roman" w:eastAsia="Times New Roman" w:cs="Times New Roman"/>
          <w:color w:val="auto"/>
          <w:spacing w:val="-3"/>
          <w:sz w:val="24"/>
          <w:szCs w:val="24"/>
          <w:highlight w:val="none"/>
        </w:rPr>
        <w:t>10.3</w:t>
      </w:r>
      <w:r>
        <w:rPr>
          <w:rFonts w:ascii="宋体" w:hAnsi="宋体" w:eastAsia="宋体" w:cs="宋体"/>
          <w:color w:val="auto"/>
          <w:spacing w:val="-3"/>
          <w:sz w:val="24"/>
          <w:szCs w:val="24"/>
          <w:highlight w:val="none"/>
        </w:rPr>
        <w:t>款规定。</w:t>
      </w:r>
    </w:p>
    <w:p w14:paraId="2C756F1C">
      <w:pPr>
        <w:spacing w:before="180" w:line="220" w:lineRule="auto"/>
        <w:ind w:left="469"/>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投标人须将上述原件的复制件及其他认为必须的复制件制作在投标文件中。</w:t>
      </w:r>
    </w:p>
    <w:p w14:paraId="0C7F5034">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39624A7C">
      <w:pPr>
        <w:spacing w:before="47" w:line="220" w:lineRule="auto"/>
        <w:ind w:left="301"/>
        <w:rPr>
          <w:rFonts w:ascii="宋体" w:hAnsi="宋体" w:eastAsia="宋体" w:cs="宋体"/>
          <w:color w:val="auto"/>
          <w:sz w:val="24"/>
          <w:szCs w:val="24"/>
          <w:highlight w:val="none"/>
        </w:rPr>
      </w:pPr>
      <w:r>
        <w:rPr>
          <w:rFonts w:ascii="Times New Roman" w:hAnsi="Times New Roman" w:eastAsia="Times New Roman" w:cs="Times New Roman"/>
          <w:b/>
          <w:bCs/>
          <w:color w:val="auto"/>
          <w:spacing w:val="-3"/>
          <w:sz w:val="24"/>
          <w:szCs w:val="24"/>
          <w:highlight w:val="none"/>
        </w:rPr>
        <w:t xml:space="preserve">1.  </w:t>
      </w:r>
      <w:r>
        <w:rPr>
          <w:rFonts w:ascii="宋体" w:hAnsi="宋体" w:eastAsia="宋体" w:cs="宋体"/>
          <w:b/>
          <w:bCs/>
          <w:color w:val="auto"/>
          <w:spacing w:val="-3"/>
          <w:sz w:val="24"/>
          <w:szCs w:val="24"/>
          <w:highlight w:val="none"/>
        </w:rPr>
        <w:t>企业法人营业执照</w:t>
      </w:r>
    </w:p>
    <w:p w14:paraId="06930106">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A35A969">
      <w:pPr>
        <w:spacing w:before="47" w:line="219" w:lineRule="auto"/>
        <w:ind w:left="290"/>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2.  </w:t>
      </w:r>
      <w:r>
        <w:rPr>
          <w:rFonts w:ascii="宋体" w:hAnsi="宋体" w:eastAsia="宋体" w:cs="宋体"/>
          <w:b/>
          <w:bCs/>
          <w:color w:val="auto"/>
          <w:spacing w:val="-2"/>
          <w:sz w:val="24"/>
          <w:szCs w:val="24"/>
          <w:highlight w:val="none"/>
        </w:rPr>
        <w:t>建筑业企业资质证书</w:t>
      </w:r>
    </w:p>
    <w:p w14:paraId="3FEDDB9F">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87828B3">
      <w:pPr>
        <w:spacing w:before="47" w:line="220" w:lineRule="auto"/>
        <w:ind w:left="289"/>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3.  </w:t>
      </w:r>
      <w:r>
        <w:rPr>
          <w:rFonts w:ascii="宋体" w:hAnsi="宋体" w:eastAsia="宋体" w:cs="宋体"/>
          <w:b/>
          <w:bCs/>
          <w:color w:val="auto"/>
          <w:spacing w:val="-2"/>
          <w:sz w:val="24"/>
          <w:szCs w:val="24"/>
          <w:highlight w:val="none"/>
        </w:rPr>
        <w:t>企业安全生产许可证</w:t>
      </w:r>
    </w:p>
    <w:p w14:paraId="137BD849">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45AE548">
      <w:pPr>
        <w:spacing w:before="47" w:line="219" w:lineRule="auto"/>
        <w:ind w:left="291"/>
        <w:rPr>
          <w:rFonts w:ascii="宋体" w:hAnsi="宋体" w:eastAsia="宋体" w:cs="宋体"/>
          <w:color w:val="auto"/>
          <w:sz w:val="24"/>
          <w:szCs w:val="24"/>
          <w:highlight w:val="none"/>
        </w:rPr>
      </w:pPr>
      <w:r>
        <w:rPr>
          <w:rFonts w:ascii="Times New Roman" w:hAnsi="Times New Roman" w:eastAsia="Times New Roman" w:cs="Times New Roman"/>
          <w:b/>
          <w:bCs/>
          <w:color w:val="auto"/>
          <w:spacing w:val="-2"/>
          <w:sz w:val="24"/>
          <w:szCs w:val="24"/>
          <w:highlight w:val="none"/>
        </w:rPr>
        <w:t xml:space="preserve">4.  </w:t>
      </w:r>
      <w:r>
        <w:rPr>
          <w:rFonts w:ascii="宋体" w:hAnsi="宋体" w:eastAsia="宋体" w:cs="宋体"/>
          <w:b/>
          <w:bCs/>
          <w:color w:val="auto"/>
          <w:spacing w:val="-2"/>
          <w:sz w:val="24"/>
          <w:szCs w:val="24"/>
          <w:highlight w:val="none"/>
        </w:rPr>
        <w:t>企业主要负责人</w:t>
      </w:r>
      <w:r>
        <w:rPr>
          <w:rFonts w:ascii="Times New Roman" w:hAnsi="Times New Roman" w:eastAsia="Times New Roman" w:cs="Times New Roman"/>
          <w:b/>
          <w:bCs/>
          <w:color w:val="auto"/>
          <w:spacing w:val="-2"/>
          <w:sz w:val="24"/>
          <w:szCs w:val="24"/>
          <w:highlight w:val="none"/>
        </w:rPr>
        <w:t>“</w:t>
      </w:r>
      <w:r>
        <w:rPr>
          <w:rFonts w:ascii="宋体" w:hAnsi="宋体" w:eastAsia="宋体" w:cs="宋体"/>
          <w:b/>
          <w:bCs/>
          <w:color w:val="auto"/>
          <w:spacing w:val="-2"/>
          <w:sz w:val="24"/>
          <w:szCs w:val="24"/>
          <w:highlight w:val="none"/>
        </w:rPr>
        <w:t>三类人员</w:t>
      </w:r>
      <w:r>
        <w:rPr>
          <w:rFonts w:ascii="Times New Roman" w:hAnsi="Times New Roman" w:eastAsia="Times New Roman" w:cs="Times New Roman"/>
          <w:b/>
          <w:bCs/>
          <w:color w:val="auto"/>
          <w:spacing w:val="-2"/>
          <w:sz w:val="24"/>
          <w:szCs w:val="24"/>
          <w:highlight w:val="none"/>
        </w:rPr>
        <w:t>”A</w:t>
      </w:r>
      <w:r>
        <w:rPr>
          <w:rFonts w:ascii="宋体" w:hAnsi="宋体" w:eastAsia="宋体" w:cs="宋体"/>
          <w:b/>
          <w:bCs/>
          <w:color w:val="auto"/>
          <w:spacing w:val="-2"/>
          <w:sz w:val="24"/>
          <w:szCs w:val="24"/>
          <w:highlight w:val="none"/>
        </w:rPr>
        <w:t>类证书及任命书</w:t>
      </w:r>
    </w:p>
    <w:p w14:paraId="0BF3828E">
      <w:pPr>
        <w:spacing w:line="219" w:lineRule="auto"/>
        <w:rPr>
          <w:rFonts w:ascii="宋体" w:hAnsi="宋体" w:eastAsia="宋体" w:cs="宋体"/>
          <w:color w:val="auto"/>
          <w:sz w:val="24"/>
          <w:szCs w:val="24"/>
          <w:highlight w:val="none"/>
        </w:rPr>
      </w:pPr>
    </w:p>
    <w:tbl>
      <w:tblPr>
        <w:tblStyle w:val="32"/>
        <w:tblW w:w="8149"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17"/>
        <w:gridCol w:w="3176"/>
        <w:gridCol w:w="1133"/>
        <w:gridCol w:w="3123"/>
      </w:tblGrid>
      <w:tr w14:paraId="063A9E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717" w:type="dxa"/>
            <w:vAlign w:val="top"/>
          </w:tcPr>
          <w:p w14:paraId="6413BD09">
            <w:pPr>
              <w:pStyle w:val="33"/>
              <w:spacing w:before="69" w:line="221" w:lineRule="auto"/>
              <w:ind w:left="123"/>
              <w:rPr>
                <w:sz w:val="24"/>
                <w:szCs w:val="24"/>
              </w:rPr>
            </w:pPr>
            <w:r>
              <w:rPr>
                <w:spacing w:val="-3"/>
                <w:sz w:val="24"/>
                <w:szCs w:val="24"/>
              </w:rPr>
              <w:t>序号</w:t>
            </w:r>
          </w:p>
        </w:tc>
        <w:tc>
          <w:tcPr>
            <w:tcW w:w="3176" w:type="dxa"/>
            <w:vAlign w:val="top"/>
          </w:tcPr>
          <w:p w14:paraId="68C87DA8">
            <w:pPr>
              <w:pStyle w:val="33"/>
              <w:spacing w:before="69" w:line="220" w:lineRule="auto"/>
              <w:ind w:left="1380"/>
              <w:rPr>
                <w:sz w:val="24"/>
                <w:szCs w:val="24"/>
              </w:rPr>
            </w:pPr>
            <w:r>
              <w:rPr>
                <w:spacing w:val="-9"/>
                <w:sz w:val="24"/>
                <w:szCs w:val="24"/>
              </w:rPr>
              <w:t>岗位</w:t>
            </w:r>
          </w:p>
        </w:tc>
        <w:tc>
          <w:tcPr>
            <w:tcW w:w="1133" w:type="dxa"/>
            <w:vAlign w:val="top"/>
          </w:tcPr>
          <w:p w14:paraId="03045F09">
            <w:pPr>
              <w:pStyle w:val="33"/>
              <w:spacing w:before="69" w:line="220" w:lineRule="auto"/>
              <w:ind w:left="331"/>
              <w:rPr>
                <w:sz w:val="24"/>
                <w:szCs w:val="24"/>
              </w:rPr>
            </w:pPr>
            <w:r>
              <w:rPr>
                <w:spacing w:val="-3"/>
                <w:sz w:val="24"/>
                <w:szCs w:val="24"/>
              </w:rPr>
              <w:t>姓名</w:t>
            </w:r>
          </w:p>
        </w:tc>
        <w:tc>
          <w:tcPr>
            <w:tcW w:w="3123" w:type="dxa"/>
            <w:vAlign w:val="top"/>
          </w:tcPr>
          <w:p w14:paraId="7F1AB97B">
            <w:pPr>
              <w:pStyle w:val="33"/>
              <w:spacing w:before="69" w:line="220" w:lineRule="auto"/>
              <w:ind w:left="973"/>
              <w:rPr>
                <w:sz w:val="24"/>
                <w:szCs w:val="24"/>
              </w:rPr>
            </w:pPr>
            <w:r>
              <w:rPr>
                <w:spacing w:val="-3"/>
                <w:sz w:val="24"/>
                <w:szCs w:val="24"/>
              </w:rPr>
              <w:t>身份证号码</w:t>
            </w:r>
          </w:p>
        </w:tc>
      </w:tr>
      <w:tr w14:paraId="745379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717" w:type="dxa"/>
            <w:vAlign w:val="top"/>
          </w:tcPr>
          <w:p w14:paraId="40D74003">
            <w:pPr>
              <w:spacing w:before="124" w:line="235" w:lineRule="auto"/>
              <w:ind w:left="323"/>
              <w:rPr>
                <w:rFonts w:ascii="Times New Roman" w:hAnsi="Times New Roman" w:eastAsia="Times New Roman" w:cs="Times New Roman"/>
                <w:sz w:val="24"/>
                <w:szCs w:val="24"/>
              </w:rPr>
            </w:pPr>
            <w:r>
              <w:rPr>
                <w:rFonts w:ascii="Times New Roman" w:hAnsi="Times New Roman" w:eastAsia="Times New Roman" w:cs="Times New Roman"/>
                <w:sz w:val="24"/>
                <w:szCs w:val="24"/>
              </w:rPr>
              <w:t>1</w:t>
            </w:r>
          </w:p>
        </w:tc>
        <w:tc>
          <w:tcPr>
            <w:tcW w:w="3176" w:type="dxa"/>
            <w:vAlign w:val="top"/>
          </w:tcPr>
          <w:p w14:paraId="1B231178">
            <w:pPr>
              <w:pStyle w:val="33"/>
              <w:spacing w:before="86" w:line="220" w:lineRule="auto"/>
              <w:ind w:left="113"/>
              <w:rPr>
                <w:sz w:val="24"/>
                <w:szCs w:val="24"/>
              </w:rPr>
            </w:pPr>
            <w:r>
              <w:rPr>
                <w:spacing w:val="-2"/>
                <w:sz w:val="24"/>
                <w:szCs w:val="24"/>
              </w:rPr>
              <w:t>法定代表人</w:t>
            </w:r>
          </w:p>
        </w:tc>
        <w:tc>
          <w:tcPr>
            <w:tcW w:w="1133" w:type="dxa"/>
            <w:vAlign w:val="top"/>
          </w:tcPr>
          <w:p w14:paraId="46F695DB">
            <w:pPr>
              <w:rPr>
                <w:rFonts w:ascii="Arial"/>
                <w:sz w:val="21"/>
              </w:rPr>
            </w:pPr>
          </w:p>
        </w:tc>
        <w:tc>
          <w:tcPr>
            <w:tcW w:w="3123" w:type="dxa"/>
            <w:vAlign w:val="top"/>
          </w:tcPr>
          <w:p w14:paraId="6E7944E7">
            <w:pPr>
              <w:rPr>
                <w:rFonts w:ascii="Arial"/>
                <w:sz w:val="21"/>
              </w:rPr>
            </w:pPr>
          </w:p>
        </w:tc>
      </w:tr>
      <w:tr w14:paraId="23FC92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717" w:type="dxa"/>
            <w:vAlign w:val="top"/>
          </w:tcPr>
          <w:p w14:paraId="730B9925">
            <w:pPr>
              <w:spacing w:before="125" w:line="235" w:lineRule="auto"/>
              <w:ind w:left="300"/>
              <w:rPr>
                <w:rFonts w:ascii="Times New Roman" w:hAnsi="Times New Roman" w:eastAsia="Times New Roman" w:cs="Times New Roman"/>
                <w:sz w:val="24"/>
                <w:szCs w:val="24"/>
              </w:rPr>
            </w:pPr>
            <w:r>
              <w:rPr>
                <w:rFonts w:ascii="Times New Roman" w:hAnsi="Times New Roman" w:eastAsia="Times New Roman" w:cs="Times New Roman"/>
                <w:sz w:val="24"/>
                <w:szCs w:val="24"/>
              </w:rPr>
              <w:t>2</w:t>
            </w:r>
          </w:p>
        </w:tc>
        <w:tc>
          <w:tcPr>
            <w:tcW w:w="3176" w:type="dxa"/>
            <w:vAlign w:val="top"/>
          </w:tcPr>
          <w:p w14:paraId="5BB4DE17">
            <w:pPr>
              <w:pStyle w:val="33"/>
              <w:spacing w:before="88" w:line="230" w:lineRule="auto"/>
              <w:ind w:left="116"/>
              <w:rPr>
                <w:sz w:val="24"/>
                <w:szCs w:val="24"/>
              </w:rPr>
            </w:pPr>
            <w:r>
              <w:rPr>
                <w:spacing w:val="-3"/>
                <w:sz w:val="24"/>
                <w:szCs w:val="24"/>
              </w:rPr>
              <w:t>企业经理</w:t>
            </w:r>
          </w:p>
        </w:tc>
        <w:tc>
          <w:tcPr>
            <w:tcW w:w="1133" w:type="dxa"/>
            <w:vAlign w:val="top"/>
          </w:tcPr>
          <w:p w14:paraId="0E26560E">
            <w:pPr>
              <w:rPr>
                <w:rFonts w:ascii="Arial"/>
                <w:sz w:val="21"/>
              </w:rPr>
            </w:pPr>
          </w:p>
        </w:tc>
        <w:tc>
          <w:tcPr>
            <w:tcW w:w="3123" w:type="dxa"/>
            <w:vAlign w:val="top"/>
          </w:tcPr>
          <w:p w14:paraId="77ACD5FA">
            <w:pPr>
              <w:rPr>
                <w:rFonts w:ascii="Arial"/>
                <w:sz w:val="21"/>
              </w:rPr>
            </w:pPr>
          </w:p>
        </w:tc>
      </w:tr>
      <w:tr w14:paraId="6200A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6" w:hRule="atLeast"/>
        </w:trPr>
        <w:tc>
          <w:tcPr>
            <w:tcW w:w="717" w:type="dxa"/>
            <w:vAlign w:val="top"/>
          </w:tcPr>
          <w:p w14:paraId="1350B5FC">
            <w:pPr>
              <w:spacing w:before="130" w:line="232" w:lineRule="auto"/>
              <w:ind w:left="304"/>
              <w:rPr>
                <w:rFonts w:ascii="Times New Roman" w:hAnsi="Times New Roman" w:eastAsia="Times New Roman" w:cs="Times New Roman"/>
                <w:sz w:val="24"/>
                <w:szCs w:val="24"/>
              </w:rPr>
            </w:pPr>
            <w:r>
              <w:rPr>
                <w:rFonts w:ascii="Times New Roman" w:hAnsi="Times New Roman" w:eastAsia="Times New Roman" w:cs="Times New Roman"/>
                <w:sz w:val="24"/>
                <w:szCs w:val="24"/>
              </w:rPr>
              <w:t>3</w:t>
            </w:r>
          </w:p>
        </w:tc>
        <w:tc>
          <w:tcPr>
            <w:tcW w:w="3176" w:type="dxa"/>
            <w:vAlign w:val="top"/>
          </w:tcPr>
          <w:p w14:paraId="1F0D14D0">
            <w:pPr>
              <w:pStyle w:val="33"/>
              <w:spacing w:before="89" w:line="220" w:lineRule="auto"/>
              <w:ind w:left="116"/>
              <w:rPr>
                <w:sz w:val="24"/>
                <w:szCs w:val="24"/>
              </w:rPr>
            </w:pPr>
            <w:r>
              <w:rPr>
                <w:spacing w:val="-2"/>
                <w:sz w:val="24"/>
                <w:szCs w:val="24"/>
              </w:rPr>
              <w:t>企业分管安全生产的副经理</w:t>
            </w:r>
          </w:p>
        </w:tc>
        <w:tc>
          <w:tcPr>
            <w:tcW w:w="1133" w:type="dxa"/>
            <w:vAlign w:val="top"/>
          </w:tcPr>
          <w:p w14:paraId="3A604B7F">
            <w:pPr>
              <w:rPr>
                <w:rFonts w:ascii="Arial"/>
                <w:sz w:val="21"/>
              </w:rPr>
            </w:pPr>
          </w:p>
        </w:tc>
        <w:tc>
          <w:tcPr>
            <w:tcW w:w="3123" w:type="dxa"/>
            <w:vAlign w:val="top"/>
          </w:tcPr>
          <w:p w14:paraId="0C8D6237">
            <w:pPr>
              <w:rPr>
                <w:rFonts w:ascii="Arial"/>
                <w:sz w:val="21"/>
              </w:rPr>
            </w:pPr>
          </w:p>
        </w:tc>
      </w:tr>
      <w:tr w14:paraId="2F79A0F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4" w:hRule="atLeast"/>
        </w:trPr>
        <w:tc>
          <w:tcPr>
            <w:tcW w:w="717" w:type="dxa"/>
            <w:vAlign w:val="top"/>
          </w:tcPr>
          <w:p w14:paraId="051B7839">
            <w:pPr>
              <w:spacing w:before="131" w:line="235" w:lineRule="auto"/>
              <w:ind w:left="298"/>
              <w:rPr>
                <w:rFonts w:ascii="Times New Roman" w:hAnsi="Times New Roman" w:eastAsia="Times New Roman" w:cs="Times New Roman"/>
                <w:sz w:val="24"/>
                <w:szCs w:val="24"/>
              </w:rPr>
            </w:pPr>
            <w:r>
              <w:rPr>
                <w:rFonts w:ascii="Times New Roman" w:hAnsi="Times New Roman" w:eastAsia="Times New Roman" w:cs="Times New Roman"/>
                <w:sz w:val="24"/>
                <w:szCs w:val="24"/>
              </w:rPr>
              <w:t>4</w:t>
            </w:r>
          </w:p>
        </w:tc>
        <w:tc>
          <w:tcPr>
            <w:tcW w:w="3176" w:type="dxa"/>
            <w:vAlign w:val="top"/>
          </w:tcPr>
          <w:p w14:paraId="40E3AB25">
            <w:pPr>
              <w:pStyle w:val="33"/>
              <w:spacing w:before="90" w:line="220" w:lineRule="auto"/>
              <w:ind w:left="116"/>
              <w:rPr>
                <w:sz w:val="24"/>
                <w:szCs w:val="24"/>
              </w:rPr>
            </w:pPr>
            <w:r>
              <w:rPr>
                <w:spacing w:val="-2"/>
                <w:sz w:val="24"/>
                <w:szCs w:val="24"/>
              </w:rPr>
              <w:t>企业技术负责人</w:t>
            </w:r>
          </w:p>
        </w:tc>
        <w:tc>
          <w:tcPr>
            <w:tcW w:w="1133" w:type="dxa"/>
            <w:vAlign w:val="top"/>
          </w:tcPr>
          <w:p w14:paraId="1E17D76C">
            <w:pPr>
              <w:rPr>
                <w:rFonts w:ascii="Arial"/>
                <w:sz w:val="21"/>
              </w:rPr>
            </w:pPr>
          </w:p>
        </w:tc>
        <w:tc>
          <w:tcPr>
            <w:tcW w:w="3123" w:type="dxa"/>
            <w:vAlign w:val="top"/>
          </w:tcPr>
          <w:p w14:paraId="49AD71AF">
            <w:pPr>
              <w:rPr>
                <w:rFonts w:ascii="Arial"/>
                <w:sz w:val="21"/>
              </w:rPr>
            </w:pPr>
          </w:p>
        </w:tc>
      </w:tr>
    </w:tbl>
    <w:p w14:paraId="507903E4">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2593A575">
      <w:pPr>
        <w:spacing w:before="78" w:line="271" w:lineRule="auto"/>
        <w:ind w:right="75" w:firstLine="238"/>
        <w:rPr>
          <w:rFonts w:ascii="宋体" w:hAnsi="宋体" w:eastAsia="宋体" w:cs="宋体"/>
          <w:sz w:val="24"/>
          <w:szCs w:val="24"/>
        </w:rPr>
      </w:pPr>
      <w:r>
        <w:rPr>
          <w:rFonts w:ascii="Times New Roman" w:hAnsi="Times New Roman" w:eastAsia="Times New Roman" w:cs="Times New Roman"/>
          <w:b/>
          <w:bCs/>
          <w:color w:val="auto"/>
          <w:spacing w:val="-2"/>
          <w:sz w:val="24"/>
          <w:szCs w:val="24"/>
          <w:highlight w:val="none"/>
        </w:rPr>
        <w:t xml:space="preserve">5.  </w:t>
      </w:r>
      <w:r>
        <w:rPr>
          <w:rFonts w:ascii="宋体" w:hAnsi="宋体" w:eastAsia="宋体" w:cs="宋体"/>
          <w:b/>
          <w:bCs/>
          <w:spacing w:val="-2"/>
          <w:sz w:val="24"/>
          <w:szCs w:val="24"/>
        </w:rPr>
        <w:t>项目负责人、技术负责人（如选择提供建造师证书）、</w:t>
      </w:r>
      <w:r>
        <w:rPr>
          <w:rFonts w:ascii="宋体" w:hAnsi="宋体" w:eastAsia="宋体" w:cs="宋体"/>
          <w:b/>
          <w:bCs/>
          <w:strike/>
          <w:dstrike w:val="0"/>
          <w:spacing w:val="-2"/>
          <w:sz w:val="24"/>
          <w:szCs w:val="24"/>
        </w:rPr>
        <w:t>副项目负责人</w:t>
      </w:r>
      <w:r>
        <w:rPr>
          <w:rFonts w:ascii="宋体" w:hAnsi="宋体" w:eastAsia="宋体" w:cs="宋体"/>
          <w:b/>
          <w:bCs/>
          <w:strike/>
          <w:dstrike w:val="0"/>
          <w:spacing w:val="-3"/>
          <w:sz w:val="24"/>
          <w:szCs w:val="24"/>
        </w:rPr>
        <w:t>（如有）</w:t>
      </w:r>
      <w:r>
        <w:rPr>
          <w:rFonts w:ascii="宋体" w:hAnsi="宋体" w:eastAsia="宋体" w:cs="宋体"/>
          <w:b/>
          <w:bCs/>
          <w:spacing w:val="-4"/>
          <w:sz w:val="24"/>
          <w:szCs w:val="24"/>
        </w:rPr>
        <w:t>注册执业证书</w:t>
      </w:r>
    </w:p>
    <w:p w14:paraId="43D68091">
      <w:pPr>
        <w:spacing w:before="47" w:line="219" w:lineRule="auto"/>
        <w:ind w:left="293"/>
        <w:rPr>
          <w:rFonts w:ascii="宋体" w:hAnsi="宋体" w:eastAsia="宋体" w:cs="宋体"/>
          <w:color w:val="auto"/>
          <w:sz w:val="24"/>
          <w:szCs w:val="24"/>
          <w:highlight w:val="none"/>
        </w:rPr>
      </w:pPr>
    </w:p>
    <w:p w14:paraId="4B6DEE98">
      <w:pPr>
        <w:spacing w:line="219" w:lineRule="auto"/>
        <w:rPr>
          <w:rFonts w:ascii="宋体" w:hAnsi="宋体" w:eastAsia="宋体" w:cs="宋体"/>
          <w:color w:val="auto"/>
          <w:sz w:val="24"/>
          <w:szCs w:val="24"/>
          <w:highlight w:val="none"/>
        </w:rPr>
      </w:pPr>
    </w:p>
    <w:p w14:paraId="586B0C61">
      <w:pPr>
        <w:pStyle w:val="17"/>
        <w:rPr>
          <w:color w:val="auto"/>
          <w:highlight w:val="none"/>
        </w:rPr>
        <w:sectPr>
          <w:pgSz w:w="11905" w:h="16843"/>
          <w:pgMar w:top="1429" w:right="1361" w:bottom="1253" w:left="1621" w:header="0" w:footer="1094" w:gutter="0"/>
          <w:pgNumType w:fmt="decimal"/>
          <w:cols w:space="0" w:num="1"/>
          <w:rtlGutter w:val="0"/>
          <w:docGrid w:linePitch="0" w:charSpace="0"/>
        </w:sectPr>
      </w:pPr>
    </w:p>
    <w:p w14:paraId="41B770A3">
      <w:pPr>
        <w:spacing w:before="78" w:line="233" w:lineRule="auto"/>
        <w:ind w:left="52"/>
        <w:rPr>
          <w:rFonts w:ascii="宋体" w:hAnsi="宋体" w:eastAsia="宋体" w:cs="宋体"/>
          <w:sz w:val="24"/>
          <w:szCs w:val="24"/>
        </w:rPr>
      </w:pPr>
      <w:r>
        <w:rPr>
          <w:rFonts w:ascii="Times New Roman" w:hAnsi="Times New Roman" w:eastAsia="Times New Roman" w:cs="Times New Roman"/>
          <w:b/>
          <w:bCs/>
          <w:color w:val="auto"/>
          <w:spacing w:val="-2"/>
          <w:sz w:val="24"/>
          <w:szCs w:val="24"/>
          <w:highlight w:val="none"/>
        </w:rPr>
        <w:t xml:space="preserve">6.  </w:t>
      </w:r>
      <w:r>
        <w:rPr>
          <w:rFonts w:ascii="宋体" w:hAnsi="宋体" w:eastAsia="宋体" w:cs="宋体"/>
          <w:b/>
          <w:bCs/>
          <w:color w:val="auto"/>
          <w:spacing w:val="-2"/>
          <w:sz w:val="24"/>
          <w:szCs w:val="24"/>
          <w:highlight w:val="none"/>
        </w:rPr>
        <w:t>技术负责人（如选择提供职称证书）</w:t>
      </w:r>
      <w:r>
        <w:rPr>
          <w:rFonts w:ascii="宋体" w:hAnsi="宋体" w:eastAsia="宋体" w:cs="宋体"/>
          <w:b/>
          <w:bCs/>
          <w:spacing w:val="-2"/>
          <w:sz w:val="24"/>
          <w:szCs w:val="24"/>
        </w:rPr>
        <w:t>、</w:t>
      </w:r>
      <w:r>
        <w:rPr>
          <w:rFonts w:ascii="宋体" w:hAnsi="宋体" w:eastAsia="宋体" w:cs="宋体"/>
          <w:b/>
          <w:bCs/>
          <w:strike/>
          <w:dstrike w:val="0"/>
          <w:spacing w:val="-2"/>
          <w:sz w:val="24"/>
          <w:szCs w:val="24"/>
        </w:rPr>
        <w:t>副项目负责人（如有）</w:t>
      </w:r>
      <w:r>
        <w:rPr>
          <w:rFonts w:ascii="宋体" w:hAnsi="宋体" w:eastAsia="宋体" w:cs="宋体"/>
          <w:b/>
          <w:bCs/>
          <w:spacing w:val="-2"/>
          <w:sz w:val="24"/>
          <w:szCs w:val="24"/>
        </w:rPr>
        <w:t>职称证书</w:t>
      </w:r>
    </w:p>
    <w:p w14:paraId="1E018C54">
      <w:pPr>
        <w:spacing w:before="47" w:line="219" w:lineRule="auto"/>
        <w:ind w:left="294"/>
        <w:rPr>
          <w:rFonts w:ascii="宋体" w:hAnsi="宋体" w:eastAsia="宋体" w:cs="宋体"/>
          <w:color w:val="auto"/>
          <w:sz w:val="24"/>
          <w:szCs w:val="24"/>
          <w:highlight w:val="none"/>
        </w:rPr>
      </w:pPr>
    </w:p>
    <w:p w14:paraId="39179E18">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79F6309">
      <w:pPr>
        <w:numPr>
          <w:ilvl w:val="0"/>
          <w:numId w:val="0"/>
        </w:numPr>
        <w:spacing w:before="47" w:line="219" w:lineRule="auto"/>
        <w:rPr>
          <w:rFonts w:ascii="宋体" w:hAnsi="宋体" w:eastAsia="宋体" w:cs="宋体"/>
          <w:color w:val="auto"/>
          <w:sz w:val="24"/>
          <w:szCs w:val="24"/>
          <w:highlight w:val="none"/>
        </w:rPr>
      </w:pPr>
      <w:r>
        <w:rPr>
          <w:rFonts w:hint="eastAsia" w:ascii="宋体" w:hAnsi="宋体" w:eastAsia="宋体" w:cs="宋体"/>
          <w:b/>
          <w:bCs/>
          <w:color w:val="auto"/>
          <w:spacing w:val="-2"/>
          <w:sz w:val="24"/>
          <w:szCs w:val="24"/>
          <w:highlight w:val="none"/>
          <w:lang w:val="en-US" w:eastAsia="zh-CN"/>
        </w:rPr>
        <w:t>7.</w:t>
      </w:r>
      <w:r>
        <w:rPr>
          <w:rFonts w:ascii="宋体" w:hAnsi="宋体" w:eastAsia="宋体" w:cs="宋体"/>
          <w:b/>
          <w:bCs/>
          <w:color w:val="auto"/>
          <w:spacing w:val="-2"/>
          <w:sz w:val="24"/>
          <w:szCs w:val="24"/>
          <w:highlight w:val="none"/>
        </w:rPr>
        <w:t>项目负责人“三类人员”</w:t>
      </w:r>
      <w:r>
        <w:rPr>
          <w:rFonts w:ascii="Times New Roman" w:hAnsi="Times New Roman" w:eastAsia="Times New Roman" w:cs="Times New Roman"/>
          <w:b/>
          <w:bCs/>
          <w:color w:val="auto"/>
          <w:spacing w:val="-2"/>
          <w:sz w:val="24"/>
          <w:szCs w:val="24"/>
          <w:highlight w:val="none"/>
        </w:rPr>
        <w:t>B</w:t>
      </w:r>
      <w:r>
        <w:rPr>
          <w:rFonts w:ascii="宋体" w:hAnsi="宋体" w:eastAsia="宋体" w:cs="宋体"/>
          <w:b/>
          <w:bCs/>
          <w:color w:val="auto"/>
          <w:spacing w:val="-2"/>
          <w:sz w:val="24"/>
          <w:szCs w:val="24"/>
          <w:highlight w:val="none"/>
        </w:rPr>
        <w:t>类证书</w:t>
      </w:r>
    </w:p>
    <w:p w14:paraId="770708AE">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3999C17D">
      <w:pPr>
        <w:spacing w:before="47" w:line="219" w:lineRule="auto"/>
        <w:ind w:left="293"/>
        <w:rPr>
          <w:rFonts w:ascii="宋体" w:hAnsi="宋体" w:eastAsia="宋体" w:cs="宋体"/>
          <w:color w:val="auto"/>
          <w:sz w:val="24"/>
          <w:szCs w:val="24"/>
          <w:highlight w:val="none"/>
        </w:rPr>
      </w:pPr>
      <w:r>
        <w:rPr>
          <w:rFonts w:hint="eastAsia" w:ascii="Times New Roman" w:hAnsi="Times New Roman" w:eastAsia="宋体" w:cs="Times New Roman"/>
          <w:b/>
          <w:bCs/>
          <w:color w:val="auto"/>
          <w:spacing w:val="-2"/>
          <w:sz w:val="24"/>
          <w:szCs w:val="24"/>
          <w:highlight w:val="none"/>
          <w:lang w:val="en-US" w:eastAsia="zh-CN"/>
        </w:rPr>
        <w:t>8</w:t>
      </w:r>
      <w:r>
        <w:rPr>
          <w:rFonts w:ascii="Times New Roman" w:hAnsi="Times New Roman" w:eastAsia="Times New Roman" w:cs="Times New Roman"/>
          <w:b/>
          <w:bCs/>
          <w:color w:val="auto"/>
          <w:spacing w:val="-2"/>
          <w:sz w:val="24"/>
          <w:szCs w:val="24"/>
          <w:highlight w:val="none"/>
        </w:rPr>
        <w:t xml:space="preserve">.  </w:t>
      </w:r>
      <w:r>
        <w:rPr>
          <w:rFonts w:ascii="宋体" w:hAnsi="宋体" w:eastAsia="宋体" w:cs="宋体"/>
          <w:b/>
          <w:bCs/>
          <w:color w:val="auto"/>
          <w:spacing w:val="-2"/>
          <w:sz w:val="24"/>
          <w:szCs w:val="24"/>
          <w:highlight w:val="none"/>
        </w:rPr>
        <w:t>施工现场专职安全生产管理人员“三类人员”</w:t>
      </w:r>
      <w:r>
        <w:rPr>
          <w:rFonts w:ascii="Times New Roman" w:hAnsi="Times New Roman" w:eastAsia="Times New Roman" w:cs="Times New Roman"/>
          <w:b/>
          <w:bCs/>
          <w:color w:val="auto"/>
          <w:spacing w:val="-2"/>
          <w:sz w:val="24"/>
          <w:szCs w:val="24"/>
          <w:highlight w:val="none"/>
        </w:rPr>
        <w:t>C</w:t>
      </w:r>
      <w:r>
        <w:rPr>
          <w:rFonts w:ascii="宋体" w:hAnsi="宋体" w:eastAsia="宋体" w:cs="宋体"/>
          <w:b/>
          <w:bCs/>
          <w:color w:val="auto"/>
          <w:spacing w:val="-2"/>
          <w:sz w:val="24"/>
          <w:szCs w:val="24"/>
          <w:highlight w:val="none"/>
        </w:rPr>
        <w:t>类证书</w:t>
      </w:r>
    </w:p>
    <w:p w14:paraId="5F350E6F">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A8F5843">
      <w:pPr>
        <w:spacing w:before="47" w:line="347" w:lineRule="auto"/>
        <w:ind w:firstLine="473"/>
        <w:rPr>
          <w:rFonts w:ascii="宋体" w:hAnsi="宋体" w:eastAsia="宋体" w:cs="宋体"/>
          <w:color w:val="auto"/>
          <w:sz w:val="24"/>
          <w:szCs w:val="24"/>
          <w:highlight w:val="none"/>
        </w:rPr>
      </w:pPr>
      <w:r>
        <w:rPr>
          <w:rFonts w:hint="eastAsia" w:ascii="Times New Roman" w:hAnsi="Times New Roman" w:eastAsia="宋体" w:cs="Times New Roman"/>
          <w:b/>
          <w:bCs/>
          <w:color w:val="auto"/>
          <w:spacing w:val="-10"/>
          <w:sz w:val="24"/>
          <w:szCs w:val="24"/>
          <w:highlight w:val="none"/>
          <w:lang w:val="en-US" w:eastAsia="zh-CN"/>
        </w:rPr>
        <w:t>9</w:t>
      </w:r>
      <w:r>
        <w:rPr>
          <w:rFonts w:ascii="Times New Roman" w:hAnsi="Times New Roman" w:eastAsia="Times New Roman" w:cs="Times New Roman"/>
          <w:b/>
          <w:bCs/>
          <w:color w:val="auto"/>
          <w:spacing w:val="-10"/>
          <w:sz w:val="24"/>
          <w:szCs w:val="24"/>
          <w:highlight w:val="none"/>
        </w:rPr>
        <w:t xml:space="preserve">.  </w:t>
      </w:r>
      <w:r>
        <w:rPr>
          <w:rFonts w:ascii="宋体" w:hAnsi="宋体" w:eastAsia="宋体" w:cs="宋体"/>
          <w:b/>
          <w:bCs/>
          <w:color w:val="auto"/>
          <w:spacing w:val="-10"/>
          <w:sz w:val="24"/>
          <w:szCs w:val="24"/>
          <w:highlight w:val="none"/>
        </w:rPr>
        <w:t>项目组主要人员在浙江省水利厅“浙江省水利工程建设管理系统（透明工程）”</w:t>
      </w:r>
      <w:r>
        <w:rPr>
          <w:rFonts w:ascii="宋体" w:hAnsi="宋体" w:eastAsia="宋体" w:cs="宋体"/>
          <w:color w:val="auto"/>
          <w:spacing w:val="17"/>
          <w:sz w:val="24"/>
          <w:szCs w:val="24"/>
          <w:highlight w:val="none"/>
        </w:rPr>
        <w:t xml:space="preserve"> </w:t>
      </w:r>
      <w:r>
        <w:rPr>
          <w:rFonts w:ascii="宋体" w:hAnsi="宋体" w:eastAsia="宋体" w:cs="宋体"/>
          <w:b/>
          <w:bCs/>
          <w:color w:val="auto"/>
          <w:spacing w:val="-4"/>
          <w:sz w:val="24"/>
          <w:szCs w:val="24"/>
          <w:highlight w:val="none"/>
        </w:rPr>
        <w:t>下载人员信息打印件</w:t>
      </w:r>
    </w:p>
    <w:p w14:paraId="089A89FE">
      <w:pPr>
        <w:spacing w:line="347"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3415735B">
      <w:pPr>
        <w:spacing w:before="48" w:line="218" w:lineRule="auto"/>
        <w:ind w:left="301"/>
        <w:rPr>
          <w:rFonts w:ascii="宋体" w:hAnsi="宋体" w:eastAsia="宋体" w:cs="宋体"/>
          <w:strike/>
          <w:dstrike w:val="0"/>
          <w:color w:val="auto"/>
          <w:sz w:val="24"/>
          <w:szCs w:val="24"/>
          <w:highlight w:val="none"/>
        </w:rPr>
      </w:pPr>
      <w:r>
        <w:rPr>
          <w:rFonts w:hint="eastAsia" w:ascii="Times New Roman" w:hAnsi="Times New Roman" w:eastAsia="宋体" w:cs="Times New Roman"/>
          <w:b/>
          <w:bCs/>
          <w:strike/>
          <w:dstrike w:val="0"/>
          <w:color w:val="auto"/>
          <w:spacing w:val="-2"/>
          <w:sz w:val="24"/>
          <w:szCs w:val="24"/>
          <w:highlight w:val="none"/>
          <w:lang w:val="en-US" w:eastAsia="zh-CN"/>
        </w:rPr>
        <w:t>10</w:t>
      </w:r>
      <w:r>
        <w:rPr>
          <w:rFonts w:ascii="Times New Roman" w:hAnsi="Times New Roman" w:eastAsia="Times New Roman" w:cs="Times New Roman"/>
          <w:b/>
          <w:bCs/>
          <w:strike/>
          <w:dstrike w:val="0"/>
          <w:color w:val="auto"/>
          <w:spacing w:val="-2"/>
          <w:sz w:val="24"/>
          <w:szCs w:val="24"/>
          <w:highlight w:val="none"/>
        </w:rPr>
        <w:t xml:space="preserve">.  </w:t>
      </w:r>
      <w:r>
        <w:rPr>
          <w:rFonts w:ascii="宋体" w:hAnsi="宋体" w:eastAsia="宋体" w:cs="宋体"/>
          <w:b/>
          <w:bCs/>
          <w:strike/>
          <w:dstrike w:val="0"/>
          <w:color w:val="auto"/>
          <w:spacing w:val="-2"/>
          <w:sz w:val="24"/>
          <w:szCs w:val="24"/>
          <w:highlight w:val="none"/>
        </w:rPr>
        <w:t>符合招标公告要求的类似项目业绩证明材料</w:t>
      </w:r>
    </w:p>
    <w:p w14:paraId="20C6D261">
      <w:pPr>
        <w:spacing w:before="184" w:line="219" w:lineRule="auto"/>
        <w:ind w:left="29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注：如提供的是联合体业绩，还须提供联合体协议书。</w:t>
      </w:r>
    </w:p>
    <w:p w14:paraId="5A9E2793">
      <w:pPr>
        <w:spacing w:line="219" w:lineRule="auto"/>
        <w:rPr>
          <w:rFonts w:ascii="宋体" w:hAnsi="宋体" w:eastAsia="宋体" w:cs="宋体"/>
          <w:strike/>
          <w:dstrike w:val="0"/>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646CF68">
      <w:pPr>
        <w:spacing w:before="47" w:line="219" w:lineRule="auto"/>
        <w:ind w:left="301"/>
        <w:rPr>
          <w:rFonts w:ascii="宋体" w:hAnsi="宋体" w:eastAsia="宋体" w:cs="宋体"/>
          <w:color w:val="auto"/>
          <w:sz w:val="24"/>
          <w:szCs w:val="24"/>
          <w:highlight w:val="none"/>
        </w:rPr>
      </w:pPr>
      <w:r>
        <w:rPr>
          <w:rFonts w:ascii="Times New Roman" w:hAnsi="Times New Roman" w:eastAsia="Times New Roman" w:cs="Times New Roman"/>
          <w:b/>
          <w:bCs/>
          <w:color w:val="auto"/>
          <w:spacing w:val="-4"/>
          <w:sz w:val="24"/>
          <w:szCs w:val="24"/>
          <w:highlight w:val="none"/>
        </w:rPr>
        <w:t>1</w:t>
      </w:r>
      <w:r>
        <w:rPr>
          <w:rFonts w:hint="eastAsia" w:ascii="Times New Roman" w:hAnsi="Times New Roman" w:eastAsia="宋体" w:cs="Times New Roman"/>
          <w:b/>
          <w:bCs/>
          <w:color w:val="auto"/>
          <w:spacing w:val="-4"/>
          <w:sz w:val="24"/>
          <w:szCs w:val="24"/>
          <w:highlight w:val="none"/>
          <w:lang w:val="en-US" w:eastAsia="zh-CN"/>
        </w:rPr>
        <w:t>1</w:t>
      </w:r>
      <w:r>
        <w:rPr>
          <w:rFonts w:ascii="Times New Roman" w:hAnsi="Times New Roman" w:eastAsia="Times New Roman" w:cs="Times New Roman"/>
          <w:b/>
          <w:bCs/>
          <w:color w:val="auto"/>
          <w:spacing w:val="-4"/>
          <w:sz w:val="24"/>
          <w:szCs w:val="24"/>
          <w:highlight w:val="none"/>
        </w:rPr>
        <w:t xml:space="preserve">.  </w:t>
      </w:r>
      <w:r>
        <w:rPr>
          <w:rFonts w:ascii="宋体" w:hAnsi="宋体" w:eastAsia="宋体" w:cs="宋体"/>
          <w:b/>
          <w:bCs/>
          <w:color w:val="auto"/>
          <w:spacing w:val="-4"/>
          <w:sz w:val="24"/>
          <w:szCs w:val="24"/>
          <w:highlight w:val="none"/>
        </w:rPr>
        <w:t>拟派项目组主要人员、委托代理人（若有）</w:t>
      </w:r>
      <w:r>
        <w:rPr>
          <w:rFonts w:ascii="宋体" w:hAnsi="宋体" w:eastAsia="宋体" w:cs="宋体"/>
          <w:color w:val="auto"/>
          <w:spacing w:val="-62"/>
          <w:sz w:val="24"/>
          <w:szCs w:val="24"/>
          <w:highlight w:val="none"/>
        </w:rPr>
        <w:t xml:space="preserve"> </w:t>
      </w:r>
      <w:r>
        <w:rPr>
          <w:rFonts w:ascii="宋体" w:hAnsi="宋体" w:eastAsia="宋体" w:cs="宋体"/>
          <w:b/>
          <w:bCs/>
          <w:color w:val="auto"/>
          <w:spacing w:val="-4"/>
          <w:sz w:val="24"/>
          <w:szCs w:val="24"/>
          <w:highlight w:val="none"/>
        </w:rPr>
        <w:t>社保证明</w:t>
      </w:r>
    </w:p>
    <w:p w14:paraId="1D6E1963">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4EDD754">
      <w:pPr>
        <w:spacing w:before="48" w:line="220" w:lineRule="auto"/>
        <w:ind w:left="301"/>
        <w:rPr>
          <w:rFonts w:ascii="宋体" w:hAnsi="宋体" w:eastAsia="宋体" w:cs="宋体"/>
          <w:color w:val="auto"/>
          <w:sz w:val="24"/>
          <w:szCs w:val="24"/>
          <w:highlight w:val="none"/>
        </w:rPr>
      </w:pPr>
      <w:r>
        <w:rPr>
          <w:rFonts w:ascii="Times New Roman" w:hAnsi="Times New Roman" w:eastAsia="Times New Roman" w:cs="Times New Roman"/>
          <w:b/>
          <w:bCs/>
          <w:color w:val="auto"/>
          <w:spacing w:val="-5"/>
          <w:sz w:val="24"/>
          <w:szCs w:val="24"/>
          <w:highlight w:val="none"/>
        </w:rPr>
        <w:t>12.</w:t>
      </w:r>
      <w:r>
        <w:rPr>
          <w:rFonts w:ascii="Times New Roman" w:hAnsi="Times New Roman" w:eastAsia="Times New Roman" w:cs="Times New Roman"/>
          <w:b/>
          <w:bCs/>
          <w:color w:val="auto"/>
          <w:spacing w:val="5"/>
          <w:sz w:val="24"/>
          <w:szCs w:val="24"/>
          <w:highlight w:val="none"/>
        </w:rPr>
        <w:t xml:space="preserve">  </w:t>
      </w:r>
      <w:r>
        <w:rPr>
          <w:rFonts w:ascii="宋体" w:hAnsi="宋体" w:eastAsia="宋体" w:cs="宋体"/>
          <w:b/>
          <w:bCs/>
          <w:color w:val="auto"/>
          <w:spacing w:val="-5"/>
          <w:sz w:val="24"/>
          <w:szCs w:val="24"/>
          <w:highlight w:val="none"/>
        </w:rPr>
        <w:t>其他</w:t>
      </w:r>
    </w:p>
    <w:p w14:paraId="53B38F83">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2CF8E643">
      <w:pPr>
        <w:spacing w:before="56" w:line="219" w:lineRule="auto"/>
        <w:ind w:left="3362"/>
        <w:outlineLvl w:val="1"/>
        <w:rPr>
          <w:rFonts w:ascii="宋体" w:hAnsi="宋体" w:eastAsia="宋体" w:cs="宋体"/>
          <w:color w:val="auto"/>
          <w:sz w:val="28"/>
          <w:szCs w:val="28"/>
          <w:highlight w:val="none"/>
        </w:rPr>
      </w:pPr>
      <w:bookmarkStart w:id="828" w:name="bookmark1305"/>
      <w:bookmarkEnd w:id="828"/>
      <w:bookmarkStart w:id="829" w:name="bookmark1306"/>
      <w:bookmarkEnd w:id="829"/>
      <w:bookmarkStart w:id="830" w:name="_Toc29512"/>
      <w:bookmarkStart w:id="831" w:name="_Toc7110"/>
      <w:r>
        <w:rPr>
          <w:rFonts w:hint="eastAsia" w:ascii="宋体" w:hAnsi="宋体" w:eastAsia="宋体" w:cs="宋体"/>
          <w:b/>
          <w:bCs/>
          <w:color w:val="auto"/>
          <w:spacing w:val="-6"/>
          <w:sz w:val="28"/>
          <w:szCs w:val="28"/>
          <w:highlight w:val="none"/>
          <w:lang w:eastAsia="zh-CN"/>
        </w:rPr>
        <w:t>五</w:t>
      </w:r>
      <w:r>
        <w:rPr>
          <w:rFonts w:ascii="宋体" w:hAnsi="宋体" w:eastAsia="宋体" w:cs="宋体"/>
          <w:b/>
          <w:bCs/>
          <w:color w:val="auto"/>
          <w:spacing w:val="-6"/>
          <w:sz w:val="28"/>
          <w:szCs w:val="28"/>
          <w:highlight w:val="none"/>
        </w:rPr>
        <w:t>、其他材料</w:t>
      </w:r>
      <w:bookmarkEnd w:id="830"/>
      <w:bookmarkEnd w:id="831"/>
    </w:p>
    <w:p w14:paraId="0B329682">
      <w:pPr>
        <w:pStyle w:val="3"/>
        <w:spacing w:line="328" w:lineRule="auto"/>
        <w:rPr>
          <w:color w:val="auto"/>
          <w:highlight w:val="none"/>
        </w:rPr>
      </w:pPr>
    </w:p>
    <w:p w14:paraId="77952FE9">
      <w:pPr>
        <w:pStyle w:val="3"/>
        <w:spacing w:line="328" w:lineRule="auto"/>
        <w:rPr>
          <w:color w:val="auto"/>
          <w:highlight w:val="none"/>
        </w:rPr>
      </w:pPr>
    </w:p>
    <w:p w14:paraId="7EAE5776">
      <w:pPr>
        <w:spacing w:before="78" w:line="219" w:lineRule="auto"/>
        <w:ind w:left="2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1</w:t>
      </w:r>
      <w:r>
        <w:rPr>
          <w:rFonts w:ascii="宋体" w:hAnsi="宋体" w:eastAsia="宋体" w:cs="宋体"/>
          <w:color w:val="auto"/>
          <w:spacing w:val="-4"/>
          <w:sz w:val="24"/>
          <w:szCs w:val="24"/>
          <w:highlight w:val="none"/>
        </w:rPr>
        <w:t>）投标承诺书</w:t>
      </w:r>
    </w:p>
    <w:p w14:paraId="162ED301">
      <w:pPr>
        <w:spacing w:before="182" w:line="220" w:lineRule="auto"/>
        <w:ind w:left="289"/>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ascii="Times New Roman" w:hAnsi="Times New Roman" w:eastAsia="Times New Roman" w:cs="Times New Roman"/>
          <w:strike/>
          <w:dstrike w:val="0"/>
          <w:color w:val="auto"/>
          <w:spacing w:val="-2"/>
          <w:sz w:val="24"/>
          <w:szCs w:val="24"/>
          <w:highlight w:val="none"/>
        </w:rPr>
        <w:t>2</w:t>
      </w:r>
      <w:r>
        <w:rPr>
          <w:rFonts w:ascii="宋体" w:hAnsi="宋体" w:eastAsia="宋体" w:cs="宋体"/>
          <w:strike/>
          <w:dstrike w:val="0"/>
          <w:color w:val="auto"/>
          <w:spacing w:val="-2"/>
          <w:sz w:val="24"/>
          <w:szCs w:val="24"/>
          <w:highlight w:val="none"/>
        </w:rPr>
        <w:t>）中小企业声明函（若有）</w:t>
      </w:r>
    </w:p>
    <w:p w14:paraId="6CB7B877">
      <w:pPr>
        <w:spacing w:before="182" w:line="219" w:lineRule="auto"/>
        <w:ind w:left="289"/>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）其他材料</w:t>
      </w:r>
    </w:p>
    <w:p w14:paraId="2896E45E">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7D2967F">
      <w:pPr>
        <w:spacing w:before="87" w:line="223" w:lineRule="auto"/>
        <w:ind w:left="2878"/>
        <w:rPr>
          <w:rFonts w:ascii="宋体" w:hAnsi="宋体" w:eastAsia="宋体" w:cs="宋体"/>
          <w:color w:val="auto"/>
          <w:sz w:val="43"/>
          <w:szCs w:val="43"/>
          <w:highlight w:val="none"/>
        </w:rPr>
      </w:pPr>
      <w:r>
        <w:rPr>
          <w:rFonts w:ascii="宋体" w:hAnsi="宋体" w:eastAsia="宋体" w:cs="宋体"/>
          <w:b/>
          <w:bCs/>
          <w:color w:val="auto"/>
          <w:spacing w:val="-13"/>
          <w:sz w:val="43"/>
          <w:szCs w:val="43"/>
          <w:highlight w:val="none"/>
        </w:rPr>
        <w:t>投</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3"/>
          <w:sz w:val="43"/>
          <w:szCs w:val="43"/>
          <w:highlight w:val="none"/>
        </w:rPr>
        <w:t>标</w:t>
      </w:r>
      <w:r>
        <w:rPr>
          <w:rFonts w:ascii="宋体" w:hAnsi="宋体" w:eastAsia="宋体" w:cs="宋体"/>
          <w:color w:val="auto"/>
          <w:spacing w:val="26"/>
          <w:sz w:val="43"/>
          <w:szCs w:val="43"/>
          <w:highlight w:val="none"/>
        </w:rPr>
        <w:t xml:space="preserve"> </w:t>
      </w:r>
      <w:r>
        <w:rPr>
          <w:rFonts w:ascii="宋体" w:hAnsi="宋体" w:eastAsia="宋体" w:cs="宋体"/>
          <w:b/>
          <w:bCs/>
          <w:color w:val="auto"/>
          <w:spacing w:val="-13"/>
          <w:sz w:val="43"/>
          <w:szCs w:val="43"/>
          <w:highlight w:val="none"/>
        </w:rPr>
        <w:t>承</w:t>
      </w:r>
      <w:r>
        <w:rPr>
          <w:rFonts w:ascii="宋体" w:hAnsi="宋体" w:eastAsia="宋体" w:cs="宋体"/>
          <w:color w:val="auto"/>
          <w:spacing w:val="25"/>
          <w:sz w:val="43"/>
          <w:szCs w:val="43"/>
          <w:highlight w:val="none"/>
        </w:rPr>
        <w:t xml:space="preserve"> </w:t>
      </w:r>
      <w:r>
        <w:rPr>
          <w:rFonts w:ascii="宋体" w:hAnsi="宋体" w:eastAsia="宋体" w:cs="宋体"/>
          <w:b/>
          <w:bCs/>
          <w:color w:val="auto"/>
          <w:spacing w:val="-13"/>
          <w:sz w:val="43"/>
          <w:szCs w:val="43"/>
          <w:highlight w:val="none"/>
        </w:rPr>
        <w:t>诺</w:t>
      </w:r>
      <w:r>
        <w:rPr>
          <w:rFonts w:ascii="宋体" w:hAnsi="宋体" w:eastAsia="宋体" w:cs="宋体"/>
          <w:color w:val="auto"/>
          <w:spacing w:val="34"/>
          <w:sz w:val="43"/>
          <w:szCs w:val="43"/>
          <w:highlight w:val="none"/>
        </w:rPr>
        <w:t xml:space="preserve"> </w:t>
      </w:r>
      <w:r>
        <w:rPr>
          <w:rFonts w:ascii="宋体" w:hAnsi="宋体" w:eastAsia="宋体" w:cs="宋体"/>
          <w:b/>
          <w:bCs/>
          <w:color w:val="auto"/>
          <w:spacing w:val="-13"/>
          <w:sz w:val="43"/>
          <w:szCs w:val="43"/>
          <w:highlight w:val="none"/>
        </w:rPr>
        <w:t>书</w:t>
      </w:r>
    </w:p>
    <w:p w14:paraId="4765BBD2">
      <w:pPr>
        <w:tabs>
          <w:tab w:val="left" w:pos="2767"/>
        </w:tabs>
        <w:spacing w:before="307" w:line="213" w:lineRule="auto"/>
        <w:ind w:left="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招标人名称</w:t>
      </w:r>
      <w:r>
        <w:rPr>
          <w:rFonts w:ascii="宋体" w:hAnsi="宋体" w:eastAsia="宋体" w:cs="宋体"/>
          <w:color w:val="auto"/>
          <w:spacing w:val="-31"/>
          <w:sz w:val="24"/>
          <w:szCs w:val="24"/>
          <w:highlight w:val="none"/>
        </w:rPr>
        <w:t>）：</w:t>
      </w:r>
    </w:p>
    <w:p w14:paraId="6AD39792">
      <w:pPr>
        <w:spacing w:before="288" w:line="212" w:lineRule="auto"/>
        <w:ind w:left="500"/>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本投标人</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6"/>
          <w:sz w:val="24"/>
          <w:szCs w:val="24"/>
          <w:highlight w:val="none"/>
        </w:rPr>
        <w:t>（</w:t>
      </w:r>
      <w:r>
        <w:rPr>
          <w:rFonts w:ascii="宋体" w:hAnsi="宋体" w:eastAsia="宋体" w:cs="宋体"/>
          <w:i/>
          <w:iCs/>
          <w:color w:val="auto"/>
          <w:spacing w:val="-6"/>
          <w:sz w:val="25"/>
          <w:szCs w:val="25"/>
          <w:highlight w:val="none"/>
        </w:rPr>
        <w:t>投标人名称</w:t>
      </w:r>
      <w:r>
        <w:rPr>
          <w:rFonts w:ascii="宋体" w:hAnsi="宋体" w:eastAsia="宋体" w:cs="宋体"/>
          <w:color w:val="auto"/>
          <w:spacing w:val="-6"/>
          <w:sz w:val="24"/>
          <w:szCs w:val="24"/>
          <w:highlight w:val="none"/>
        </w:rPr>
        <w:t>）郑重承诺：</w:t>
      </w:r>
    </w:p>
    <w:p w14:paraId="4988B83B">
      <w:pPr>
        <w:spacing w:before="153" w:line="312" w:lineRule="auto"/>
        <w:ind w:left="15" w:right="150" w:firstLine="502"/>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、拟派本招标项目</w:t>
      </w:r>
      <w:r>
        <w:rPr>
          <w:rFonts w:ascii="宋体" w:hAnsi="宋体" w:eastAsia="宋体" w:cs="宋体"/>
          <w:color w:val="auto"/>
          <w:spacing w:val="-74"/>
          <w:sz w:val="24"/>
          <w:szCs w:val="24"/>
          <w:highlight w:val="none"/>
        </w:rPr>
        <w:t xml:space="preserve"> </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i/>
          <w:iCs/>
          <w:color w:val="auto"/>
          <w:spacing w:val="-2"/>
          <w:sz w:val="25"/>
          <w:szCs w:val="25"/>
          <w:highlight w:val="none"/>
        </w:rPr>
        <w:t>项目名称</w:t>
      </w:r>
      <w:r>
        <w:rPr>
          <w:rFonts w:ascii="宋体" w:hAnsi="宋体" w:eastAsia="宋体" w:cs="宋体"/>
          <w:color w:val="auto"/>
          <w:spacing w:val="-47"/>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7"/>
          <w:sz w:val="24"/>
          <w:szCs w:val="24"/>
          <w:highlight w:val="none"/>
        </w:rPr>
        <w:t>（</w:t>
      </w:r>
      <w:r>
        <w:rPr>
          <w:rFonts w:ascii="宋体" w:hAnsi="宋体" w:eastAsia="宋体" w:cs="宋体"/>
          <w:i/>
          <w:iCs/>
          <w:color w:val="auto"/>
          <w:spacing w:val="-2"/>
          <w:sz w:val="25"/>
          <w:szCs w:val="25"/>
          <w:highlight w:val="none"/>
        </w:rPr>
        <w:t>标段名称</w:t>
      </w:r>
      <w:r>
        <w:rPr>
          <w:rFonts w:ascii="宋体" w:hAnsi="宋体" w:eastAsia="宋体" w:cs="宋体"/>
          <w:color w:val="auto"/>
          <w:spacing w:val="-2"/>
          <w:sz w:val="24"/>
          <w:szCs w:val="24"/>
          <w:highlight w:val="none"/>
        </w:rPr>
        <w:t>）的</w:t>
      </w:r>
      <w:r>
        <w:rPr>
          <w:rFonts w:ascii="宋体" w:hAnsi="宋体" w:eastAsia="宋体" w:cs="宋体"/>
          <w:color w:val="auto"/>
          <w:sz w:val="24"/>
          <w:szCs w:val="24"/>
          <w:highlight w:val="none"/>
        </w:rPr>
        <w:t xml:space="preserve"> 项目负责人在投标截止时间无在其他任何在建合同工程上担</w:t>
      </w:r>
      <w:r>
        <w:rPr>
          <w:rFonts w:ascii="宋体" w:hAnsi="宋体" w:eastAsia="宋体" w:cs="宋体"/>
          <w:color w:val="auto"/>
          <w:spacing w:val="-1"/>
          <w:sz w:val="24"/>
          <w:szCs w:val="24"/>
          <w:highlight w:val="none"/>
        </w:rPr>
        <w:t>任项目负责人（包括工</w:t>
      </w:r>
      <w:r>
        <w:rPr>
          <w:rFonts w:ascii="宋体" w:hAnsi="宋体" w:eastAsia="宋体" w:cs="宋体"/>
          <w:color w:val="auto"/>
          <w:sz w:val="24"/>
          <w:szCs w:val="24"/>
          <w:highlight w:val="none"/>
        </w:rPr>
        <w:t xml:space="preserve"> 程总承包项目中的施工负责人）的情形。在建合同工程的开</w:t>
      </w:r>
      <w:r>
        <w:rPr>
          <w:rFonts w:ascii="宋体" w:hAnsi="宋体" w:eastAsia="宋体" w:cs="宋体"/>
          <w:color w:val="auto"/>
          <w:spacing w:val="-1"/>
          <w:sz w:val="24"/>
          <w:szCs w:val="24"/>
          <w:highlight w:val="none"/>
        </w:rPr>
        <w:t>始时间为合同工程中标</w:t>
      </w:r>
      <w:r>
        <w:rPr>
          <w:rFonts w:ascii="宋体" w:hAnsi="宋体" w:eastAsia="宋体" w:cs="宋体"/>
          <w:color w:val="auto"/>
          <w:sz w:val="24"/>
          <w:szCs w:val="24"/>
          <w:highlight w:val="none"/>
        </w:rPr>
        <w:t xml:space="preserve"> 通知书发出之日（不通过招标方式的，开始时间为合同签</w:t>
      </w:r>
      <w:r>
        <w:rPr>
          <w:rFonts w:ascii="宋体" w:hAnsi="宋体" w:eastAsia="宋体" w:cs="宋体"/>
          <w:color w:val="auto"/>
          <w:spacing w:val="-1"/>
          <w:sz w:val="24"/>
          <w:szCs w:val="24"/>
          <w:highlight w:val="none"/>
        </w:rPr>
        <w:t>订之日），结束时间为该</w:t>
      </w:r>
      <w:r>
        <w:rPr>
          <w:rFonts w:ascii="宋体" w:hAnsi="宋体" w:eastAsia="宋体" w:cs="宋体"/>
          <w:color w:val="auto"/>
          <w:spacing w:val="1"/>
          <w:sz w:val="24"/>
          <w:szCs w:val="24"/>
          <w:highlight w:val="none"/>
        </w:rPr>
        <w:t xml:space="preserve"> </w:t>
      </w:r>
      <w:r>
        <w:rPr>
          <w:rFonts w:ascii="宋体" w:hAnsi="宋体" w:eastAsia="宋体" w:cs="宋体"/>
          <w:color w:val="auto"/>
          <w:spacing w:val="-3"/>
          <w:sz w:val="24"/>
          <w:szCs w:val="24"/>
          <w:highlight w:val="none"/>
        </w:rPr>
        <w:t>合同通过验收或合同解除之日。</w:t>
      </w:r>
    </w:p>
    <w:p w14:paraId="42C1A5D6">
      <w:pPr>
        <w:spacing w:before="151" w:line="303" w:lineRule="auto"/>
        <w:ind w:left="6" w:right="27" w:firstLine="488"/>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 xml:space="preserve">、投标人及法定代表人 </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w:t>
      </w:r>
      <w:r>
        <w:rPr>
          <w:rFonts w:ascii="宋体" w:hAnsi="宋体" w:eastAsia="宋体" w:cs="宋体"/>
          <w:i/>
          <w:iCs/>
          <w:color w:val="auto"/>
          <w:spacing w:val="-1"/>
          <w:sz w:val="25"/>
          <w:szCs w:val="25"/>
          <w:highlight w:val="none"/>
        </w:rPr>
        <w:t>姓名</w:t>
      </w:r>
      <w:r>
        <w:rPr>
          <w:rFonts w:ascii="宋体" w:hAnsi="宋体" w:eastAsia="宋体" w:cs="宋体"/>
          <w:color w:val="auto"/>
          <w:spacing w:val="-15"/>
          <w:sz w:val="24"/>
          <w:szCs w:val="24"/>
          <w:highlight w:val="none"/>
        </w:rPr>
        <w:t>）（</w:t>
      </w:r>
      <w:r>
        <w:rPr>
          <w:rFonts w:ascii="宋体" w:hAnsi="宋体" w:eastAsia="宋体" w:cs="宋体"/>
          <w:color w:val="auto"/>
          <w:spacing w:val="-1"/>
          <w:sz w:val="24"/>
          <w:szCs w:val="24"/>
          <w:highlight w:val="none"/>
        </w:rPr>
        <w:t>身份证号码</w:t>
      </w:r>
      <w:r>
        <w:rPr>
          <w:rFonts w:ascii="宋体" w:hAnsi="宋体" w:eastAsia="宋体" w:cs="宋体"/>
          <w:color w:val="auto"/>
          <w:spacing w:val="-15"/>
          <w:sz w:val="24"/>
          <w:szCs w:val="24"/>
          <w:highlight w:val="none"/>
        </w:rPr>
        <w:t>：</w:t>
      </w:r>
      <w:r>
        <w:rPr>
          <w:rFonts w:ascii="宋体" w:hAnsi="宋体" w:eastAsia="宋体" w:cs="宋体"/>
          <w:color w:val="auto"/>
          <w:spacing w:val="119"/>
          <w:sz w:val="24"/>
          <w:szCs w:val="24"/>
          <w:highlight w:val="none"/>
          <w:u w:val="single" w:color="auto"/>
        </w:rPr>
        <w:t xml:space="preserve"> </w:t>
      </w:r>
      <w:r>
        <w:rPr>
          <w:rFonts w:ascii="宋体" w:hAnsi="宋体" w:eastAsia="宋体" w:cs="宋体"/>
          <w:color w:val="auto"/>
          <w:spacing w:val="-15"/>
          <w:sz w:val="24"/>
          <w:szCs w:val="24"/>
          <w:highlight w:val="none"/>
          <w:u w:val="single" w:color="auto"/>
        </w:rPr>
        <w:t>（</w:t>
      </w:r>
      <w:r>
        <w:rPr>
          <w:rFonts w:ascii="宋体" w:hAnsi="宋体" w:eastAsia="宋体" w:cs="宋体"/>
          <w:i/>
          <w:iCs/>
          <w:color w:val="auto"/>
          <w:spacing w:val="-1"/>
          <w:sz w:val="25"/>
          <w:szCs w:val="25"/>
          <w:highlight w:val="none"/>
          <w:u w:val="single" w:color="auto"/>
        </w:rPr>
        <w:t>如联合体投</w:t>
      </w:r>
      <w:r>
        <w:rPr>
          <w:rFonts w:ascii="宋体" w:hAnsi="宋体" w:eastAsia="宋体" w:cs="宋体"/>
          <w:i/>
          <w:iCs/>
          <w:color w:val="auto"/>
          <w:spacing w:val="-2"/>
          <w:sz w:val="25"/>
          <w:szCs w:val="25"/>
          <w:highlight w:val="none"/>
          <w:u w:val="single" w:color="auto"/>
        </w:rPr>
        <w:t>标，</w:t>
      </w:r>
      <w:r>
        <w:rPr>
          <w:rFonts w:ascii="宋体" w:hAnsi="宋体" w:eastAsia="宋体" w:cs="宋体"/>
          <w:color w:val="auto"/>
          <w:sz w:val="25"/>
          <w:szCs w:val="25"/>
          <w:highlight w:val="none"/>
        </w:rPr>
        <w:t xml:space="preserve"> </w:t>
      </w:r>
      <w:r>
        <w:rPr>
          <w:rFonts w:ascii="宋体" w:hAnsi="宋体" w:eastAsia="宋体" w:cs="宋体"/>
          <w:i/>
          <w:iCs/>
          <w:color w:val="auto"/>
          <w:spacing w:val="-2"/>
          <w:sz w:val="25"/>
          <w:szCs w:val="25"/>
          <w:highlight w:val="none"/>
          <w:u w:val="single" w:color="auto"/>
        </w:rPr>
        <w:t>联合体各方均须填写</w:t>
      </w:r>
      <w:r>
        <w:rPr>
          <w:rFonts w:ascii="宋体" w:hAnsi="宋体" w:eastAsia="宋体" w:cs="宋体"/>
          <w:color w:val="auto"/>
          <w:spacing w:val="-52"/>
          <w:sz w:val="24"/>
          <w:szCs w:val="24"/>
          <w:highlight w:val="none"/>
          <w:u w:val="single" w:color="auto"/>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86"/>
          <w:sz w:val="24"/>
          <w:szCs w:val="24"/>
          <w:highlight w:val="none"/>
        </w:rPr>
        <w:t xml:space="preserve"> </w:t>
      </w:r>
      <w:r>
        <w:rPr>
          <w:rFonts w:ascii="宋体" w:hAnsi="宋体" w:eastAsia="宋体" w:cs="宋体"/>
          <w:color w:val="auto"/>
          <w:spacing w:val="-52"/>
          <w:sz w:val="24"/>
          <w:szCs w:val="24"/>
          <w:highlight w:val="none"/>
        </w:rPr>
        <w:t>）</w:t>
      </w:r>
      <w:r>
        <w:rPr>
          <w:rFonts w:ascii="宋体" w:hAnsi="宋体" w:eastAsia="宋体" w:cs="宋体"/>
          <w:color w:val="auto"/>
          <w:spacing w:val="-2"/>
          <w:sz w:val="24"/>
          <w:szCs w:val="24"/>
          <w:highlight w:val="none"/>
        </w:rPr>
        <w:t>、拟派本招标项目项目负责人自</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3"/>
          <w:sz w:val="24"/>
          <w:szCs w:val="24"/>
          <w:highlight w:val="none"/>
        </w:rPr>
        <w:t>年</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3"/>
          <w:sz w:val="24"/>
          <w:szCs w:val="24"/>
          <w:highlight w:val="none"/>
        </w:rPr>
        <w:t>月</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3"/>
          <w:sz w:val="24"/>
          <w:szCs w:val="24"/>
          <w:highlight w:val="none"/>
        </w:rPr>
        <w:t>日以</w:t>
      </w:r>
      <w:r>
        <w:rPr>
          <w:rFonts w:ascii="宋体" w:hAnsi="宋体" w:eastAsia="宋体" w:cs="宋体"/>
          <w:color w:val="auto"/>
          <w:sz w:val="24"/>
          <w:szCs w:val="24"/>
          <w:highlight w:val="none"/>
        </w:rPr>
        <w:t xml:space="preserve"> 来至投标截止时间，无行贿犯罪记录［以中国裁判文书网（</w:t>
      </w:r>
      <w:r>
        <w:rPr>
          <w:color w:val="auto"/>
          <w:highlight w:val="none"/>
        </w:rPr>
        <w:fldChar w:fldCharType="begin"/>
      </w:r>
      <w:r>
        <w:rPr>
          <w:color w:val="auto"/>
          <w:highlight w:val="none"/>
        </w:rPr>
        <w:instrText xml:space="preserve"> HYPERLINK "http://wenshu.court.gov.c" </w:instrText>
      </w:r>
      <w:r>
        <w:rPr>
          <w:color w:val="auto"/>
          <w:highlight w:val="none"/>
        </w:rPr>
        <w:fldChar w:fldCharType="separate"/>
      </w:r>
      <w:r>
        <w:rPr>
          <w:rFonts w:ascii="Times New Roman" w:hAnsi="Times New Roman" w:eastAsia="Times New Roman" w:cs="Times New Roman"/>
          <w:color w:val="auto"/>
          <w:sz w:val="24"/>
          <w:szCs w:val="24"/>
          <w:highlight w:val="none"/>
        </w:rPr>
        <w:t>http://wenshu.court.gov.c</w:t>
      </w:r>
      <w:r>
        <w:rPr>
          <w:rFonts w:ascii="Times New Roman" w:hAnsi="Times New Roman" w:eastAsia="Times New Roman" w:cs="Times New Roman"/>
          <w:color w:val="auto"/>
          <w:sz w:val="24"/>
          <w:szCs w:val="24"/>
          <w:highlight w:val="none"/>
        </w:rPr>
        <w:fldChar w:fldCharType="end"/>
      </w:r>
      <w:r>
        <w:rPr>
          <w:rFonts w:ascii="Times New Roman" w:hAnsi="Times New Roman" w:eastAsia="Times New Roman" w:cs="Times New Roman"/>
          <w:color w:val="auto"/>
          <w:sz w:val="24"/>
          <w:szCs w:val="24"/>
          <w:highlight w:val="none"/>
        </w:rPr>
        <w:t xml:space="preserve">  </w:t>
      </w:r>
      <w:r>
        <w:rPr>
          <w:rFonts w:ascii="Times New Roman" w:hAnsi="Times New Roman" w:eastAsia="Times New Roman" w:cs="Times New Roman"/>
          <w:color w:val="auto"/>
          <w:spacing w:val="-1"/>
          <w:sz w:val="24"/>
          <w:szCs w:val="24"/>
          <w:highlight w:val="none"/>
        </w:rPr>
        <w:t>n/</w:t>
      </w:r>
      <w:r>
        <w:rPr>
          <w:rFonts w:ascii="宋体" w:hAnsi="宋体" w:eastAsia="宋体" w:cs="宋体"/>
          <w:color w:val="auto"/>
          <w:spacing w:val="-1"/>
          <w:sz w:val="24"/>
          <w:szCs w:val="24"/>
          <w:highlight w:val="none"/>
        </w:rPr>
        <w:t>）查询结果为准］。</w:t>
      </w:r>
    </w:p>
    <w:p w14:paraId="3CDF9EA1">
      <w:pPr>
        <w:spacing w:before="154" w:line="289" w:lineRule="auto"/>
        <w:ind w:right="267" w:firstLine="499"/>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3</w:t>
      </w:r>
      <w:r>
        <w:rPr>
          <w:rFonts w:ascii="Times New Roman" w:hAnsi="Times New Roman" w:eastAsia="Times New Roman" w:cs="Times New Roman"/>
          <w:color w:val="auto"/>
          <w:spacing w:val="-34"/>
          <w:sz w:val="24"/>
          <w:szCs w:val="24"/>
          <w:highlight w:val="none"/>
        </w:rPr>
        <w:t xml:space="preserve"> </w:t>
      </w:r>
      <w:r>
        <w:rPr>
          <w:rFonts w:ascii="宋体" w:hAnsi="宋体" w:eastAsia="宋体" w:cs="宋体"/>
          <w:color w:val="auto"/>
          <w:spacing w:val="-1"/>
          <w:sz w:val="24"/>
          <w:szCs w:val="24"/>
          <w:highlight w:val="none"/>
        </w:rPr>
        <w:t>、投标人及其法定代表人、拟派项目负责人未被列入失信被执行人名</w:t>
      </w:r>
      <w:r>
        <w:rPr>
          <w:rFonts w:ascii="宋体" w:hAnsi="宋体" w:eastAsia="宋体" w:cs="宋体"/>
          <w:color w:val="auto"/>
          <w:spacing w:val="-2"/>
          <w:sz w:val="24"/>
          <w:szCs w:val="24"/>
          <w:highlight w:val="none"/>
        </w:rPr>
        <w:t>单［以</w:t>
      </w:r>
      <w:r>
        <w:rPr>
          <w:rFonts w:ascii="宋体" w:hAnsi="宋体" w:eastAsia="宋体" w:cs="宋体"/>
          <w:color w:val="auto"/>
          <w:sz w:val="24"/>
          <w:szCs w:val="24"/>
          <w:highlight w:val="none"/>
        </w:rPr>
        <w:t xml:space="preserve"> </w:t>
      </w:r>
      <w:r>
        <w:rPr>
          <w:color w:val="auto"/>
          <w:highlight w:val="none"/>
        </w:rPr>
        <w:fldChar w:fldCharType="begin"/>
      </w:r>
      <w:r>
        <w:rPr>
          <w:color w:val="auto"/>
          <w:highlight w:val="none"/>
        </w:rPr>
        <w:instrText xml:space="preserve"> HYPERLINK "http://www.creditchina.gov.cn/" </w:instrText>
      </w:r>
      <w:r>
        <w:rPr>
          <w:color w:val="auto"/>
          <w:highlight w:val="none"/>
        </w:rPr>
        <w:fldChar w:fldCharType="separate"/>
      </w:r>
      <w:r>
        <w:rPr>
          <w:rFonts w:ascii="宋体" w:hAnsi="宋体" w:eastAsia="宋体" w:cs="宋体"/>
          <w:color w:val="auto"/>
          <w:sz w:val="24"/>
          <w:szCs w:val="24"/>
          <w:highlight w:val="none"/>
        </w:rPr>
        <w:t>“信用中国”网站（</w:t>
      </w:r>
      <w:r>
        <w:rPr>
          <w:rFonts w:ascii="Times New Roman" w:hAnsi="Times New Roman" w:eastAsia="Times New Roman" w:cs="Times New Roman"/>
          <w:color w:val="auto"/>
          <w:sz w:val="24"/>
          <w:szCs w:val="24"/>
          <w:highlight w:val="none"/>
        </w:rPr>
        <w:t>www.creditchina.gov.cn</w:t>
      </w:r>
      <w:r>
        <w:rPr>
          <w:rFonts w:ascii="宋体" w:hAnsi="宋体" w:eastAsia="宋体" w:cs="宋体"/>
          <w:color w:val="auto"/>
          <w:sz w:val="24"/>
          <w:szCs w:val="24"/>
          <w:highlight w:val="none"/>
        </w:rPr>
        <w:t>）</w:t>
      </w:r>
      <w:r>
        <w:rPr>
          <w:rFonts w:ascii="宋体" w:hAnsi="宋体" w:eastAsia="宋体" w:cs="宋体"/>
          <w:color w:val="auto"/>
          <w:sz w:val="24"/>
          <w:szCs w:val="24"/>
          <w:highlight w:val="none"/>
        </w:rPr>
        <w:fldChar w:fldCharType="end"/>
      </w:r>
      <w:r>
        <w:rPr>
          <w:rFonts w:ascii="宋体" w:hAnsi="宋体" w:eastAsia="宋体" w:cs="宋体"/>
          <w:color w:val="auto"/>
          <w:sz w:val="24"/>
          <w:szCs w:val="24"/>
          <w:highlight w:val="none"/>
        </w:rPr>
        <w:t>查询为准］。</w:t>
      </w:r>
    </w:p>
    <w:p w14:paraId="0B5D1EA5">
      <w:pPr>
        <w:spacing w:before="127" w:line="280" w:lineRule="auto"/>
        <w:ind w:left="20" w:right="27" w:firstLine="473"/>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4</w:t>
      </w:r>
      <w:r>
        <w:rPr>
          <w:rFonts w:ascii="Times New Roman" w:hAnsi="Times New Roman" w:eastAsia="Times New Roman" w:cs="Times New Roman"/>
          <w:color w:val="auto"/>
          <w:spacing w:val="-30"/>
          <w:sz w:val="24"/>
          <w:szCs w:val="24"/>
          <w:highlight w:val="none"/>
        </w:rPr>
        <w:t xml:space="preserve"> </w:t>
      </w:r>
      <w:r>
        <w:rPr>
          <w:rFonts w:ascii="宋体" w:hAnsi="宋体" w:eastAsia="宋体" w:cs="宋体"/>
          <w:color w:val="auto"/>
          <w:spacing w:val="-1"/>
          <w:sz w:val="24"/>
          <w:szCs w:val="24"/>
          <w:highlight w:val="none"/>
        </w:rPr>
        <w:t>、投标人资质条件在“浙江省建筑市场监管公共服务系统”上动态核查结果处</w:t>
      </w:r>
      <w:r>
        <w:rPr>
          <w:rFonts w:ascii="宋体" w:hAnsi="宋体" w:eastAsia="宋体" w:cs="宋体"/>
          <w:color w:val="auto"/>
          <w:sz w:val="24"/>
          <w:szCs w:val="24"/>
          <w:highlight w:val="none"/>
        </w:rPr>
        <w:t xml:space="preserve"> </w:t>
      </w:r>
      <w:r>
        <w:rPr>
          <w:rFonts w:ascii="宋体" w:hAnsi="宋体" w:eastAsia="宋体" w:cs="宋体"/>
          <w:color w:val="auto"/>
          <w:spacing w:val="-6"/>
          <w:sz w:val="24"/>
          <w:szCs w:val="24"/>
          <w:highlight w:val="none"/>
        </w:rPr>
        <w:t>于“合格”状态。</w:t>
      </w:r>
    </w:p>
    <w:p w14:paraId="63F2977B">
      <w:pPr>
        <w:spacing w:before="154" w:line="240" w:lineRule="auto"/>
        <w:ind w:left="501"/>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5</w:t>
      </w:r>
      <w:r>
        <w:rPr>
          <w:rFonts w:ascii="Times New Roman" w:hAnsi="Times New Roman" w:eastAsia="Times New Roman" w:cs="Times New Roman"/>
          <w:color w:val="auto"/>
          <w:spacing w:val="-22"/>
          <w:sz w:val="24"/>
          <w:szCs w:val="24"/>
          <w:highlight w:val="none"/>
        </w:rPr>
        <w:t xml:space="preserve"> </w:t>
      </w:r>
      <w:r>
        <w:rPr>
          <w:rFonts w:ascii="宋体" w:hAnsi="宋体" w:eastAsia="宋体" w:cs="宋体"/>
          <w:color w:val="auto"/>
          <w:spacing w:val="-3"/>
          <w:sz w:val="24"/>
          <w:szCs w:val="24"/>
          <w:highlight w:val="none"/>
        </w:rPr>
        <w:t>、投标人及拟派项目负责人未被行政主管部门限制参加投标。</w:t>
      </w:r>
    </w:p>
    <w:p w14:paraId="1B0C7D57">
      <w:pPr>
        <w:numPr>
          <w:ilvl w:val="0"/>
          <w:numId w:val="0"/>
        </w:numPr>
        <w:spacing w:before="154" w:line="240" w:lineRule="auto"/>
        <w:ind w:left="17" w:leftChars="0" w:right="3" w:rightChars="0" w:firstLine="482" w:firstLineChars="0"/>
        <w:rPr>
          <w:rFonts w:ascii="宋体" w:hAnsi="宋体" w:eastAsia="宋体" w:cs="宋体"/>
          <w:color w:val="auto"/>
          <w:spacing w:val="-3"/>
          <w:sz w:val="24"/>
          <w:szCs w:val="24"/>
          <w:highlight w:val="none"/>
        </w:rPr>
      </w:pPr>
      <w:r>
        <w:rPr>
          <w:rFonts w:ascii="宋体" w:hAnsi="宋体" w:eastAsia="宋体" w:cs="宋体"/>
          <w:snapToGrid w:val="0"/>
          <w:color w:val="auto"/>
          <w:spacing w:val="-3"/>
          <w:kern w:val="0"/>
          <w:sz w:val="24"/>
          <w:szCs w:val="24"/>
          <w:lang w:val="en-US" w:eastAsia="en-US" w:bidi="ar-SA"/>
        </w:rPr>
        <w:t>6、</w:t>
      </w:r>
      <w:r>
        <w:rPr>
          <w:rFonts w:ascii="宋体" w:hAnsi="宋体" w:eastAsia="宋体" w:cs="宋体"/>
          <w:color w:val="auto"/>
          <w:sz w:val="24"/>
          <w:szCs w:val="24"/>
          <w:highlight w:val="none"/>
        </w:rPr>
        <w:t>投标文件无虚假、伪造的内容。若投标文件中存在虚假、伪造的内容，同意</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作无效投标处理，投标保证金并不予退还；若中标之后被查实弄虚作假，同意取消中</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标资格，投标保证金并不予退还。</w:t>
      </w:r>
    </w:p>
    <w:p w14:paraId="34676CC1">
      <w:pPr>
        <w:numPr>
          <w:ilvl w:val="0"/>
          <w:numId w:val="0"/>
        </w:numPr>
        <w:spacing w:before="154" w:line="240" w:lineRule="auto"/>
        <w:ind w:right="3" w:rightChars="0" w:firstLine="468" w:firstLineChars="200"/>
        <w:rPr>
          <w:rFonts w:hint="eastAsia" w:ascii="宋体" w:hAnsi="宋体" w:eastAsia="宋体" w:cs="宋体"/>
          <w:color w:val="auto"/>
          <w:spacing w:val="-3"/>
          <w:sz w:val="24"/>
          <w:szCs w:val="24"/>
          <w:highlight w:val="none"/>
          <w:lang w:val="en-US" w:eastAsia="zh-CN"/>
        </w:rPr>
      </w:pPr>
      <w:r>
        <w:rPr>
          <w:rFonts w:hint="eastAsia" w:ascii="宋体" w:hAnsi="宋体" w:eastAsia="宋体" w:cs="宋体"/>
          <w:color w:val="auto"/>
          <w:spacing w:val="-3"/>
          <w:sz w:val="24"/>
          <w:szCs w:val="24"/>
          <w:highlight w:val="none"/>
          <w:lang w:val="en-US" w:eastAsia="zh-CN"/>
        </w:rPr>
        <w:t>7、</w:t>
      </w:r>
      <w:r>
        <w:rPr>
          <w:rFonts w:ascii="宋体" w:hAnsi="宋体" w:eastAsia="宋体" w:cs="宋体"/>
          <w:sz w:val="24"/>
          <w:szCs w:val="24"/>
        </w:rPr>
        <w:t>我单位直接负责本项目投标的主管人员为法定代表人，我单位与本项目投标</w:t>
      </w:r>
      <w:r>
        <w:rPr>
          <w:rFonts w:ascii="宋体" w:hAnsi="宋体" w:eastAsia="宋体" w:cs="宋体"/>
          <w:spacing w:val="-1"/>
          <w:sz w:val="24"/>
          <w:szCs w:val="24"/>
        </w:rPr>
        <w:t>相关的直接责任人员为本次投标委托代理人（若有），上述人员承诺承担相应的法</w:t>
      </w:r>
      <w:r>
        <w:rPr>
          <w:rFonts w:ascii="宋体" w:hAnsi="宋体" w:eastAsia="宋体" w:cs="宋体"/>
          <w:spacing w:val="-9"/>
          <w:sz w:val="24"/>
          <w:szCs w:val="24"/>
        </w:rPr>
        <w:t>律责任。</w:t>
      </w:r>
    </w:p>
    <w:p w14:paraId="568E1610">
      <w:pPr>
        <w:spacing w:before="154" w:line="240" w:lineRule="auto"/>
        <w:ind w:left="498"/>
        <w:rPr>
          <w:rFonts w:ascii="宋体" w:hAnsi="宋体" w:eastAsia="宋体" w:cs="宋体"/>
          <w:color w:val="auto"/>
          <w:sz w:val="25"/>
          <w:szCs w:val="25"/>
          <w:highlight w:val="none"/>
        </w:rPr>
      </w:pPr>
      <w:r>
        <w:rPr>
          <w:rFonts w:hint="eastAsia" w:ascii="Times New Roman" w:hAnsi="Times New Roman" w:eastAsia="宋体" w:cs="Times New Roman"/>
          <w:color w:val="auto"/>
          <w:spacing w:val="-7"/>
          <w:sz w:val="24"/>
          <w:szCs w:val="24"/>
          <w:highlight w:val="none"/>
          <w:lang w:val="en-US" w:eastAsia="zh-CN"/>
        </w:rPr>
        <w:t>8</w:t>
      </w:r>
      <w:r>
        <w:rPr>
          <w:rFonts w:ascii="宋体" w:hAnsi="宋体" w:eastAsia="宋体" w:cs="宋体"/>
          <w:color w:val="auto"/>
          <w:spacing w:val="-7"/>
          <w:sz w:val="24"/>
          <w:szCs w:val="24"/>
          <w:highlight w:val="none"/>
        </w:rPr>
        <w:t>、其他</w:t>
      </w:r>
      <w:r>
        <w:rPr>
          <w:rFonts w:ascii="宋体" w:hAnsi="宋体" w:eastAsia="宋体" w:cs="宋体"/>
          <w:color w:val="auto"/>
          <w:spacing w:val="-5"/>
          <w:sz w:val="24"/>
          <w:szCs w:val="24"/>
          <w:highlight w:val="none"/>
        </w:rPr>
        <w:t>：</w:t>
      </w:r>
      <w:r>
        <w:rPr>
          <w:rFonts w:ascii="宋体" w:hAnsi="宋体" w:eastAsia="宋体" w:cs="宋体"/>
          <w:color w:val="auto"/>
          <w:spacing w:val="45"/>
          <w:sz w:val="25"/>
          <w:szCs w:val="25"/>
          <w:highlight w:val="none"/>
          <w:u w:val="single" w:color="auto"/>
        </w:rPr>
        <w:t xml:space="preserve">  </w:t>
      </w:r>
      <w:r>
        <w:rPr>
          <w:rFonts w:ascii="宋体" w:hAnsi="宋体" w:eastAsia="宋体" w:cs="宋体"/>
          <w:i/>
          <w:iCs/>
          <w:color w:val="auto"/>
          <w:spacing w:val="-5"/>
          <w:sz w:val="25"/>
          <w:szCs w:val="25"/>
          <w:highlight w:val="none"/>
          <w:u w:val="single" w:color="auto"/>
        </w:rPr>
        <w:t>（</w:t>
      </w:r>
      <w:r>
        <w:rPr>
          <w:rFonts w:ascii="宋体" w:hAnsi="宋体" w:eastAsia="宋体" w:cs="宋体"/>
          <w:i/>
          <w:iCs/>
          <w:color w:val="auto"/>
          <w:spacing w:val="-7"/>
          <w:sz w:val="25"/>
          <w:szCs w:val="25"/>
          <w:highlight w:val="none"/>
          <w:u w:val="single" w:color="auto"/>
        </w:rPr>
        <w:t>招标人可根据实际情况增加相应的条款）</w:t>
      </w:r>
      <w:r>
        <w:rPr>
          <w:rFonts w:ascii="宋体" w:hAnsi="宋体" w:eastAsia="宋体" w:cs="宋体"/>
          <w:color w:val="auto"/>
          <w:spacing w:val="-7"/>
          <w:sz w:val="25"/>
          <w:szCs w:val="25"/>
          <w:highlight w:val="none"/>
          <w:u w:val="single" w:color="auto"/>
        </w:rPr>
        <w:t xml:space="preserve">  </w:t>
      </w:r>
    </w:p>
    <w:p w14:paraId="2F74E2AA">
      <w:pPr>
        <w:spacing w:before="155" w:line="240" w:lineRule="auto"/>
        <w:ind w:left="17" w:right="147" w:firstLine="508"/>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以上情况如有不实，愿意被取消中标资格并上报行政主管部门，由行</w:t>
      </w:r>
      <w:r>
        <w:rPr>
          <w:rFonts w:ascii="宋体" w:hAnsi="宋体" w:eastAsia="宋体" w:cs="宋体"/>
          <w:color w:val="auto"/>
          <w:spacing w:val="-2"/>
          <w:sz w:val="24"/>
          <w:szCs w:val="24"/>
          <w:highlight w:val="none"/>
        </w:rPr>
        <w:t>政主管部</w:t>
      </w:r>
      <w:r>
        <w:rPr>
          <w:rFonts w:ascii="宋体" w:hAnsi="宋体" w:eastAsia="宋体" w:cs="宋体"/>
          <w:color w:val="auto"/>
          <w:sz w:val="24"/>
          <w:szCs w:val="24"/>
          <w:highlight w:val="none"/>
        </w:rPr>
        <w:t xml:space="preserve"> 门列入不良行为记录；招标人可不退还投标保证金。给</w:t>
      </w:r>
      <w:r>
        <w:rPr>
          <w:rFonts w:ascii="宋体" w:hAnsi="宋体" w:eastAsia="宋体" w:cs="宋体"/>
          <w:color w:val="auto"/>
          <w:spacing w:val="-1"/>
          <w:sz w:val="24"/>
          <w:szCs w:val="24"/>
          <w:highlight w:val="none"/>
        </w:rPr>
        <w:t>招标人造成损失的，愿意依</w:t>
      </w:r>
      <w:r>
        <w:rPr>
          <w:rFonts w:ascii="宋体" w:hAnsi="宋体" w:eastAsia="宋体" w:cs="宋体"/>
          <w:color w:val="auto"/>
          <w:sz w:val="24"/>
          <w:szCs w:val="24"/>
          <w:highlight w:val="none"/>
        </w:rPr>
        <w:t xml:space="preserve"> </w:t>
      </w:r>
      <w:r>
        <w:rPr>
          <w:rFonts w:ascii="宋体" w:hAnsi="宋体" w:eastAsia="宋体" w:cs="宋体"/>
          <w:color w:val="auto"/>
          <w:spacing w:val="-5"/>
          <w:sz w:val="24"/>
          <w:szCs w:val="24"/>
          <w:highlight w:val="none"/>
        </w:rPr>
        <w:t>法承担赔偿责任。</w:t>
      </w:r>
    </w:p>
    <w:p w14:paraId="79F6F735">
      <w:pPr>
        <w:spacing w:before="1" w:line="218" w:lineRule="auto"/>
        <w:ind w:left="45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附：法定代表人及拟派项目负责人身份证复制件（双面）</w:t>
      </w:r>
    </w:p>
    <w:p w14:paraId="5FAC454B">
      <w:pPr>
        <w:spacing w:before="181" w:line="219" w:lineRule="auto"/>
        <w:ind w:left="4220"/>
        <w:rPr>
          <w:rFonts w:ascii="宋体" w:hAnsi="宋体" w:eastAsia="宋体" w:cs="宋体"/>
          <w:sz w:val="24"/>
          <w:szCs w:val="24"/>
        </w:rPr>
      </w:pPr>
      <w:r>
        <w:rPr>
          <w:rFonts w:ascii="宋体" w:hAnsi="宋体" w:eastAsia="宋体" w:cs="宋体"/>
          <w:spacing w:val="-1"/>
          <w:sz w:val="24"/>
          <w:szCs w:val="24"/>
        </w:rPr>
        <w:t>投标人</w:t>
      </w:r>
      <w:r>
        <w:rPr>
          <w:rFonts w:ascii="宋体" w:hAnsi="宋体" w:eastAsia="宋体" w:cs="宋体"/>
          <w:spacing w:val="-2"/>
          <w:sz w:val="24"/>
          <w:szCs w:val="24"/>
        </w:rPr>
        <w:t>：</w:t>
      </w:r>
      <w:r>
        <w:rPr>
          <w:rFonts w:ascii="宋体" w:hAnsi="宋体" w:eastAsia="宋体" w:cs="宋体"/>
          <w:spacing w:val="15"/>
          <w:sz w:val="24"/>
          <w:szCs w:val="24"/>
          <w:u w:val="single" w:color="auto"/>
        </w:rPr>
        <w:t xml:space="preserve">        </w:t>
      </w:r>
      <w:r>
        <w:rPr>
          <w:rFonts w:ascii="宋体" w:hAnsi="宋体" w:eastAsia="宋体" w:cs="宋体"/>
          <w:spacing w:val="-2"/>
          <w:sz w:val="24"/>
          <w:szCs w:val="24"/>
          <w:u w:val="single" w:color="auto"/>
        </w:rPr>
        <w:t>（</w:t>
      </w:r>
      <w:r>
        <w:rPr>
          <w:rFonts w:ascii="宋体" w:hAnsi="宋体" w:eastAsia="宋体" w:cs="宋体"/>
          <w:spacing w:val="-1"/>
          <w:sz w:val="24"/>
          <w:szCs w:val="24"/>
          <w:u w:val="single" w:color="auto"/>
        </w:rPr>
        <w:t>盖单位公章）</w:t>
      </w:r>
      <w:r>
        <w:rPr>
          <w:rFonts w:ascii="宋体" w:hAnsi="宋体" w:eastAsia="宋体" w:cs="宋体"/>
          <w:sz w:val="24"/>
          <w:szCs w:val="24"/>
          <w:u w:val="single" w:color="auto"/>
        </w:rPr>
        <w:t xml:space="preserve">       </w:t>
      </w:r>
    </w:p>
    <w:p w14:paraId="3F1E9F9F">
      <w:pPr>
        <w:spacing w:before="181" w:line="219" w:lineRule="auto"/>
        <w:ind w:right="1"/>
        <w:jc w:val="right"/>
        <w:rPr>
          <w:rFonts w:ascii="宋体" w:hAnsi="宋体" w:eastAsia="宋体" w:cs="宋体"/>
          <w:sz w:val="24"/>
          <w:szCs w:val="24"/>
        </w:rPr>
      </w:pPr>
      <w:r>
        <w:rPr>
          <w:rFonts w:ascii="宋体" w:hAnsi="宋体" w:eastAsia="宋体" w:cs="宋体"/>
          <w:spacing w:val="3"/>
          <w:sz w:val="24"/>
          <w:szCs w:val="24"/>
        </w:rPr>
        <w:t>法定代表人或委托代理人</w:t>
      </w:r>
      <w:r>
        <w:rPr>
          <w:rFonts w:ascii="宋体" w:hAnsi="宋体" w:eastAsia="宋体" w:cs="宋体"/>
          <w:spacing w:val="-17"/>
          <w:sz w:val="24"/>
          <w:szCs w:val="24"/>
        </w:rPr>
        <w:t>：</w:t>
      </w:r>
      <w:r>
        <w:rPr>
          <w:rFonts w:ascii="宋体" w:hAnsi="宋体" w:eastAsia="宋体" w:cs="宋体"/>
          <w:spacing w:val="40"/>
          <w:sz w:val="24"/>
          <w:szCs w:val="24"/>
          <w:u w:val="single" w:color="auto"/>
        </w:rPr>
        <w:t xml:space="preserve">   </w:t>
      </w:r>
      <w:r>
        <w:rPr>
          <w:rFonts w:ascii="宋体" w:hAnsi="宋体" w:eastAsia="宋体" w:cs="宋体"/>
          <w:spacing w:val="-17"/>
          <w:sz w:val="24"/>
          <w:szCs w:val="24"/>
          <w:u w:val="single" w:color="auto"/>
        </w:rPr>
        <w:t>（</w:t>
      </w:r>
      <w:r>
        <w:rPr>
          <w:rFonts w:ascii="宋体" w:hAnsi="宋体" w:eastAsia="宋体" w:cs="宋体"/>
          <w:spacing w:val="3"/>
          <w:sz w:val="24"/>
          <w:szCs w:val="24"/>
          <w:u w:val="single" w:color="auto"/>
        </w:rPr>
        <w:t>签字或盖章）</w:t>
      </w:r>
    </w:p>
    <w:p w14:paraId="5B611F1B">
      <w:pPr>
        <w:tabs>
          <w:tab w:val="left" w:pos="7115"/>
        </w:tabs>
        <w:spacing w:before="181" w:line="347" w:lineRule="auto"/>
        <w:ind w:left="6038" w:leftChars="2875" w:right="1" w:firstLine="133" w:firstLineChars="605"/>
        <w:rPr>
          <w:rFonts w:ascii="宋体" w:hAnsi="宋体" w:eastAsia="宋体" w:cs="宋体"/>
          <w:color w:val="auto"/>
          <w:sz w:val="24"/>
          <w:szCs w:val="24"/>
          <w:highlight w:val="none"/>
        </w:rPr>
      </w:pPr>
      <w:r>
        <w:rPr>
          <w:rFonts w:ascii="宋体" w:hAnsi="宋体" w:eastAsia="宋体" w:cs="宋体"/>
          <w:spacing w:val="-109"/>
          <w:sz w:val="24"/>
          <w:szCs w:val="24"/>
        </w:rPr>
        <w:t xml:space="preserve"> </w:t>
      </w:r>
      <w:r>
        <w:rPr>
          <w:rFonts w:ascii="宋体" w:hAnsi="宋体" w:eastAsia="宋体" w:cs="宋体"/>
          <w:spacing w:val="-12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26"/>
          <w:sz w:val="24"/>
          <w:szCs w:val="24"/>
        </w:rPr>
        <w:t>年</w:t>
      </w:r>
      <w:r>
        <w:rPr>
          <w:rFonts w:ascii="宋体" w:hAnsi="宋体" w:eastAsia="宋体" w:cs="宋体"/>
          <w:spacing w:val="-120"/>
          <w:sz w:val="24"/>
          <w:szCs w:val="24"/>
        </w:rPr>
        <w:t xml:space="preserve"> </w:t>
      </w:r>
      <w:r>
        <w:rPr>
          <w:rFonts w:ascii="宋体" w:hAnsi="宋体" w:eastAsia="宋体" w:cs="宋体"/>
          <w:sz w:val="24"/>
          <w:szCs w:val="24"/>
          <w:u w:val="single" w:color="auto"/>
        </w:rPr>
        <w:t xml:space="preserve">    </w:t>
      </w:r>
      <w:r>
        <w:rPr>
          <w:rFonts w:ascii="宋体" w:hAnsi="宋体" w:eastAsia="宋体" w:cs="宋体"/>
          <w:spacing w:val="-104"/>
          <w:sz w:val="24"/>
          <w:szCs w:val="24"/>
        </w:rPr>
        <w:t xml:space="preserve"> </w:t>
      </w:r>
      <w:r>
        <w:rPr>
          <w:rFonts w:ascii="宋体" w:hAnsi="宋体" w:eastAsia="宋体" w:cs="宋体"/>
          <w:spacing w:val="-26"/>
          <w:sz w:val="24"/>
          <w:szCs w:val="24"/>
        </w:rPr>
        <w:t>月</w:t>
      </w:r>
      <w:r>
        <w:rPr>
          <w:rFonts w:ascii="宋体" w:hAnsi="宋体" w:eastAsia="宋体" w:cs="宋体"/>
          <w:sz w:val="24"/>
          <w:szCs w:val="24"/>
          <w:u w:val="single" w:color="auto"/>
        </w:rPr>
        <w:t xml:space="preserve">    </w:t>
      </w:r>
      <w:r>
        <w:rPr>
          <w:rFonts w:ascii="宋体" w:hAnsi="宋体" w:eastAsia="宋体" w:cs="宋体"/>
          <w:spacing w:val="-70"/>
          <w:sz w:val="24"/>
          <w:szCs w:val="24"/>
        </w:rPr>
        <w:t xml:space="preserve"> </w:t>
      </w:r>
      <w:r>
        <w:rPr>
          <w:rFonts w:ascii="宋体" w:hAnsi="宋体" w:eastAsia="宋体" w:cs="宋体"/>
          <w:spacing w:val="-26"/>
          <w:sz w:val="24"/>
          <w:szCs w:val="24"/>
        </w:rPr>
        <w:t>日</w:t>
      </w:r>
    </w:p>
    <w:p w14:paraId="0A6611AC">
      <w:pPr>
        <w:spacing w:line="347"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4D1CEB68">
      <w:pPr>
        <w:spacing w:before="47" w:line="348" w:lineRule="auto"/>
        <w:ind w:right="150" w:firstLine="17"/>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附无行贿犯罪、失信被执行人名单查询截图（查询时间应在招标公告发布后投标截</w:t>
      </w:r>
      <w:r>
        <w:rPr>
          <w:rFonts w:ascii="宋体" w:hAnsi="宋体" w:eastAsia="宋体" w:cs="宋体"/>
          <w:color w:val="auto"/>
          <w:spacing w:val="6"/>
          <w:sz w:val="24"/>
          <w:szCs w:val="24"/>
          <w:highlight w:val="none"/>
        </w:rPr>
        <w:t xml:space="preserve"> </w:t>
      </w:r>
      <w:r>
        <w:rPr>
          <w:rFonts w:ascii="宋体" w:hAnsi="宋体" w:eastAsia="宋体" w:cs="宋体"/>
          <w:color w:val="auto"/>
          <w:spacing w:val="-3"/>
          <w:sz w:val="24"/>
          <w:szCs w:val="24"/>
          <w:highlight w:val="none"/>
        </w:rPr>
        <w:t>止时间前）</w:t>
      </w:r>
    </w:p>
    <w:p w14:paraId="0C7A9C0C">
      <w:pPr>
        <w:spacing w:line="348"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3D913D59">
      <w:pPr>
        <w:spacing w:before="88" w:line="223" w:lineRule="auto"/>
        <w:ind w:left="2015"/>
        <w:rPr>
          <w:rFonts w:ascii="宋体" w:hAnsi="宋体" w:eastAsia="宋体" w:cs="宋体"/>
          <w:strike/>
          <w:dstrike w:val="0"/>
          <w:color w:val="auto"/>
          <w:sz w:val="43"/>
          <w:szCs w:val="43"/>
          <w:highlight w:val="none"/>
        </w:rPr>
      </w:pPr>
      <w:r>
        <w:rPr>
          <w:rFonts w:ascii="宋体" w:hAnsi="宋体" w:eastAsia="宋体" w:cs="宋体"/>
          <w:b/>
          <w:bCs/>
          <w:strike/>
          <w:dstrike w:val="0"/>
          <w:color w:val="auto"/>
          <w:sz w:val="43"/>
          <w:szCs w:val="43"/>
          <w:highlight w:val="none"/>
        </w:rPr>
        <w:t>中小企业声明函（若有）</w:t>
      </w:r>
    </w:p>
    <w:p w14:paraId="485E2752">
      <w:pPr>
        <w:pStyle w:val="3"/>
        <w:spacing w:line="344" w:lineRule="auto"/>
        <w:rPr>
          <w:strike/>
          <w:dstrike w:val="0"/>
          <w:color w:val="auto"/>
          <w:highlight w:val="none"/>
        </w:rPr>
      </w:pPr>
    </w:p>
    <w:p w14:paraId="71FC2D74">
      <w:pPr>
        <w:pStyle w:val="3"/>
        <w:spacing w:line="344" w:lineRule="auto"/>
        <w:rPr>
          <w:strike/>
          <w:dstrike w:val="0"/>
          <w:color w:val="auto"/>
          <w:highlight w:val="none"/>
        </w:rPr>
      </w:pPr>
    </w:p>
    <w:p w14:paraId="2396628E">
      <w:pPr>
        <w:spacing w:before="78" w:line="219" w:lineRule="auto"/>
        <w:ind w:left="642"/>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本公司（联合体）郑重声明，根据《政府采购</w:t>
      </w:r>
      <w:r>
        <w:rPr>
          <w:rFonts w:ascii="宋体" w:hAnsi="宋体" w:eastAsia="宋体" w:cs="宋体"/>
          <w:strike/>
          <w:dstrike w:val="0"/>
          <w:color w:val="auto"/>
          <w:spacing w:val="-1"/>
          <w:sz w:val="24"/>
          <w:szCs w:val="24"/>
          <w:highlight w:val="none"/>
        </w:rPr>
        <w:t>促进中小企业发展管理办</w:t>
      </w:r>
    </w:p>
    <w:p w14:paraId="3584CAA5">
      <w:pPr>
        <w:spacing w:before="185" w:line="345" w:lineRule="auto"/>
        <w:ind w:left="2" w:right="416" w:hanging="1"/>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法》（财库﹝</w:t>
      </w:r>
      <w:r>
        <w:rPr>
          <w:rFonts w:ascii="Times New Roman" w:hAnsi="Times New Roman" w:eastAsia="Times New Roman" w:cs="Times New Roman"/>
          <w:strike/>
          <w:dstrike w:val="0"/>
          <w:color w:val="auto"/>
          <w:sz w:val="24"/>
          <w:szCs w:val="24"/>
          <w:highlight w:val="none"/>
        </w:rPr>
        <w:t>2020</w:t>
      </w:r>
      <w:r>
        <w:rPr>
          <w:rFonts w:ascii="宋体" w:hAnsi="宋体" w:eastAsia="宋体" w:cs="宋体"/>
          <w:strike/>
          <w:dstrike w:val="0"/>
          <w:color w:val="auto"/>
          <w:sz w:val="24"/>
          <w:szCs w:val="24"/>
          <w:highlight w:val="none"/>
        </w:rPr>
        <w:t>﹞</w:t>
      </w:r>
      <w:r>
        <w:rPr>
          <w:rFonts w:ascii="Times New Roman" w:hAnsi="Times New Roman" w:eastAsia="Times New Roman" w:cs="Times New Roman"/>
          <w:strike/>
          <w:dstrike w:val="0"/>
          <w:color w:val="auto"/>
          <w:sz w:val="24"/>
          <w:szCs w:val="24"/>
          <w:highlight w:val="none"/>
        </w:rPr>
        <w:t xml:space="preserve">46  </w:t>
      </w:r>
      <w:r>
        <w:rPr>
          <w:rFonts w:ascii="宋体" w:hAnsi="宋体" w:eastAsia="宋体" w:cs="宋体"/>
          <w:strike/>
          <w:dstrike w:val="0"/>
          <w:color w:val="auto"/>
          <w:sz w:val="24"/>
          <w:szCs w:val="24"/>
          <w:highlight w:val="none"/>
        </w:rPr>
        <w:t>号）的规</w:t>
      </w:r>
      <w:r>
        <w:rPr>
          <w:rFonts w:ascii="宋体" w:hAnsi="宋体" w:eastAsia="宋体" w:cs="宋体"/>
          <w:strike/>
          <w:dstrike w:val="0"/>
          <w:color w:val="auto"/>
          <w:spacing w:val="-1"/>
          <w:sz w:val="24"/>
          <w:szCs w:val="24"/>
          <w:highlight w:val="none"/>
        </w:rPr>
        <w:t>定，本公司（联合体）参加</w:t>
      </w:r>
      <w:r>
        <w:rPr>
          <w:rFonts w:ascii="宋体" w:hAnsi="宋体" w:eastAsia="宋体" w:cs="宋体"/>
          <w:strike/>
          <w:dstrike w:val="0"/>
          <w:color w:val="auto"/>
          <w:spacing w:val="5"/>
          <w:sz w:val="24"/>
          <w:szCs w:val="24"/>
          <w:highlight w:val="none"/>
          <w:u w:val="single" w:color="auto"/>
        </w:rPr>
        <w:t xml:space="preserve">                </w:t>
      </w:r>
      <w:r>
        <w:rPr>
          <w:rFonts w:ascii="宋体" w:hAnsi="宋体" w:eastAsia="宋体" w:cs="宋体"/>
          <w:strike/>
          <w:dstrike w:val="0"/>
          <w:color w:val="auto"/>
          <w:spacing w:val="14"/>
          <w:sz w:val="24"/>
          <w:szCs w:val="24"/>
          <w:highlight w:val="none"/>
        </w:rPr>
        <w:t xml:space="preserve"> </w:t>
      </w:r>
      <w:r>
        <w:rPr>
          <w:rFonts w:ascii="宋体" w:hAnsi="宋体" w:eastAsia="宋体" w:cs="宋体"/>
          <w:strike/>
          <w:dstrike w:val="0"/>
          <w:color w:val="auto"/>
          <w:spacing w:val="-1"/>
          <w:sz w:val="24"/>
          <w:szCs w:val="24"/>
          <w:highlight w:val="none"/>
        </w:rPr>
        <w:t>（</w:t>
      </w:r>
      <w:r>
        <w:rPr>
          <w:rFonts w:ascii="宋体" w:hAnsi="宋体" w:eastAsia="宋体" w:cs="宋体"/>
          <w:i/>
          <w:iCs/>
          <w:strike/>
          <w:dstrike w:val="0"/>
          <w:color w:val="auto"/>
          <w:spacing w:val="-1"/>
          <w:sz w:val="25"/>
          <w:szCs w:val="25"/>
          <w:highlight w:val="none"/>
        </w:rPr>
        <w:t>单位名称</w:t>
      </w:r>
      <w:r>
        <w:rPr>
          <w:rFonts w:ascii="宋体" w:hAnsi="宋体" w:eastAsia="宋体" w:cs="宋体"/>
          <w:strike/>
          <w:dstrike w:val="0"/>
          <w:color w:val="auto"/>
          <w:spacing w:val="-1"/>
          <w:sz w:val="24"/>
          <w:szCs w:val="24"/>
          <w:highlight w:val="none"/>
        </w:rPr>
        <w:t xml:space="preserve">）的 </w:t>
      </w:r>
      <w:r>
        <w:rPr>
          <w:rFonts w:ascii="宋体" w:hAnsi="宋体" w:eastAsia="宋体" w:cs="宋体"/>
          <w:strike/>
          <w:dstrike w:val="0"/>
          <w:color w:val="auto"/>
          <w:spacing w:val="-1"/>
          <w:sz w:val="24"/>
          <w:szCs w:val="24"/>
          <w:highlight w:val="none"/>
          <w:u w:val="single" w:color="auto"/>
        </w:rPr>
        <w:t xml:space="preserve">         </w:t>
      </w:r>
      <w:r>
        <w:rPr>
          <w:rFonts w:ascii="宋体" w:hAnsi="宋体" w:eastAsia="宋体" w:cs="宋体"/>
          <w:strike/>
          <w:dstrike w:val="0"/>
          <w:color w:val="auto"/>
          <w:spacing w:val="-1"/>
          <w:sz w:val="24"/>
          <w:szCs w:val="24"/>
          <w:highlight w:val="none"/>
        </w:rPr>
        <w:t>（</w:t>
      </w:r>
      <w:r>
        <w:rPr>
          <w:rFonts w:ascii="宋体" w:hAnsi="宋体" w:eastAsia="宋体" w:cs="宋体"/>
          <w:i/>
          <w:iCs/>
          <w:strike/>
          <w:dstrike w:val="0"/>
          <w:color w:val="auto"/>
          <w:spacing w:val="-1"/>
          <w:sz w:val="25"/>
          <w:szCs w:val="25"/>
          <w:highlight w:val="none"/>
        </w:rPr>
        <w:t>项目名称</w:t>
      </w:r>
      <w:r>
        <w:rPr>
          <w:rFonts w:ascii="宋体" w:hAnsi="宋体" w:eastAsia="宋体" w:cs="宋体"/>
          <w:strike/>
          <w:dstrike w:val="0"/>
          <w:color w:val="auto"/>
          <w:spacing w:val="-50"/>
          <w:sz w:val="24"/>
          <w:szCs w:val="24"/>
          <w:highlight w:val="none"/>
        </w:rPr>
        <w:t>）</w:t>
      </w:r>
      <w:r>
        <w:rPr>
          <w:rFonts w:ascii="宋体" w:hAnsi="宋体" w:eastAsia="宋体" w:cs="宋体"/>
          <w:strike/>
          <w:dstrike w:val="0"/>
          <w:color w:val="auto"/>
          <w:spacing w:val="20"/>
          <w:sz w:val="24"/>
          <w:szCs w:val="24"/>
          <w:highlight w:val="none"/>
          <w:u w:val="single" w:color="auto"/>
        </w:rPr>
        <w:t xml:space="preserve">      </w:t>
      </w:r>
      <w:r>
        <w:rPr>
          <w:rFonts w:ascii="宋体" w:hAnsi="宋体" w:eastAsia="宋体" w:cs="宋体"/>
          <w:strike/>
          <w:dstrike w:val="0"/>
          <w:color w:val="auto"/>
          <w:spacing w:val="-50"/>
          <w:sz w:val="24"/>
          <w:szCs w:val="24"/>
          <w:highlight w:val="none"/>
        </w:rPr>
        <w:t>（</w:t>
      </w:r>
      <w:r>
        <w:rPr>
          <w:rFonts w:ascii="宋体" w:hAnsi="宋体" w:eastAsia="宋体" w:cs="宋体"/>
          <w:i/>
          <w:iCs/>
          <w:strike/>
          <w:dstrike w:val="0"/>
          <w:color w:val="auto"/>
          <w:spacing w:val="-1"/>
          <w:sz w:val="25"/>
          <w:szCs w:val="25"/>
          <w:highlight w:val="none"/>
        </w:rPr>
        <w:t>标段名称</w:t>
      </w:r>
      <w:r>
        <w:rPr>
          <w:rFonts w:ascii="宋体" w:hAnsi="宋体" w:eastAsia="宋体" w:cs="宋体"/>
          <w:strike/>
          <w:dstrike w:val="0"/>
          <w:color w:val="auto"/>
          <w:spacing w:val="-1"/>
          <w:sz w:val="24"/>
          <w:szCs w:val="24"/>
          <w:highlight w:val="none"/>
        </w:rPr>
        <w:t>）投标，工程的施</w:t>
      </w:r>
      <w:r>
        <w:rPr>
          <w:rFonts w:ascii="宋体" w:hAnsi="宋体" w:eastAsia="宋体" w:cs="宋体"/>
          <w:strike/>
          <w:dstrike w:val="0"/>
          <w:color w:val="auto"/>
          <w:sz w:val="24"/>
          <w:szCs w:val="24"/>
          <w:highlight w:val="none"/>
        </w:rPr>
        <w:t xml:space="preserve"> 工单位全部为符合政策要求的中小企业）。相</w:t>
      </w:r>
      <w:r>
        <w:rPr>
          <w:rFonts w:ascii="宋体" w:hAnsi="宋体" w:eastAsia="宋体" w:cs="宋体"/>
          <w:strike/>
          <w:dstrike w:val="0"/>
          <w:color w:val="auto"/>
          <w:spacing w:val="-1"/>
          <w:sz w:val="24"/>
          <w:szCs w:val="24"/>
          <w:highlight w:val="none"/>
        </w:rPr>
        <w:t>关企业（含联合体中的中小企</w:t>
      </w:r>
    </w:p>
    <w:p w14:paraId="25A193C7">
      <w:pPr>
        <w:spacing w:before="33" w:line="220" w:lineRule="auto"/>
        <w:rPr>
          <w:rFonts w:ascii="宋体" w:hAnsi="宋体" w:eastAsia="宋体" w:cs="宋体"/>
          <w:strike/>
          <w:dstrike w:val="0"/>
          <w:color w:val="auto"/>
          <w:sz w:val="24"/>
          <w:szCs w:val="24"/>
          <w:highlight w:val="none"/>
        </w:rPr>
      </w:pPr>
      <w:r>
        <w:rPr>
          <w:rFonts w:ascii="宋体" w:hAnsi="宋体" w:eastAsia="宋体" w:cs="宋体"/>
          <w:strike/>
          <w:dstrike w:val="0"/>
          <w:color w:val="auto"/>
          <w:spacing w:val="-3"/>
          <w:sz w:val="24"/>
          <w:szCs w:val="24"/>
          <w:highlight w:val="none"/>
        </w:rPr>
        <w:t>业、签订分包意向协议的中小企业）的具体情况如下：</w:t>
      </w:r>
    </w:p>
    <w:p w14:paraId="185DA9AB">
      <w:pPr>
        <w:spacing w:before="302" w:line="270" w:lineRule="auto"/>
        <w:ind w:left="3" w:right="443" w:firstLine="495"/>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4"/>
          <w:sz w:val="24"/>
          <w:szCs w:val="24"/>
          <w:highlight w:val="none"/>
        </w:rPr>
        <w:t xml:space="preserve">1.  </w:t>
      </w:r>
      <w:r>
        <w:rPr>
          <w:rFonts w:ascii="Times New Roman" w:hAnsi="Times New Roman" w:eastAsia="Times New Roman" w:cs="Times New Roman"/>
          <w:strike/>
          <w:dstrike w:val="0"/>
          <w:color w:val="auto"/>
          <w:spacing w:val="-4"/>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rPr>
        <w:t>标段名称</w:t>
      </w:r>
      <w:r>
        <w:rPr>
          <w:rFonts w:ascii="宋体" w:hAnsi="宋体" w:eastAsia="宋体" w:cs="宋体"/>
          <w:strike/>
          <w:dstrike w:val="0"/>
          <w:color w:val="auto"/>
          <w:spacing w:val="-12"/>
          <w:sz w:val="24"/>
          <w:szCs w:val="24"/>
          <w:highlight w:val="none"/>
        </w:rPr>
        <w:t>），</w:t>
      </w:r>
      <w:r>
        <w:rPr>
          <w:rFonts w:ascii="宋体" w:hAnsi="宋体" w:eastAsia="宋体" w:cs="宋体"/>
          <w:strike/>
          <w:dstrike w:val="0"/>
          <w:color w:val="auto"/>
          <w:spacing w:val="-4"/>
          <w:sz w:val="24"/>
          <w:szCs w:val="24"/>
          <w:highlight w:val="none"/>
        </w:rPr>
        <w:t>属于</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4"/>
          <w:sz w:val="24"/>
          <w:szCs w:val="24"/>
          <w:highlight w:val="none"/>
        </w:rPr>
        <w:t>（</w:t>
      </w:r>
      <w:r>
        <w:rPr>
          <w:rFonts w:ascii="宋体" w:hAnsi="宋体" w:eastAsia="宋体" w:cs="宋体"/>
          <w:i/>
          <w:iCs/>
          <w:strike/>
          <w:dstrike w:val="0"/>
          <w:color w:val="auto"/>
          <w:spacing w:val="-4"/>
          <w:sz w:val="25"/>
          <w:szCs w:val="25"/>
          <w:highlight w:val="none"/>
        </w:rPr>
        <w:t>招标文件中明确的所属行业</w:t>
      </w:r>
      <w:r>
        <w:rPr>
          <w:rFonts w:ascii="宋体" w:hAnsi="宋体" w:eastAsia="宋体" w:cs="宋体"/>
          <w:strike/>
          <w:dstrike w:val="0"/>
          <w:color w:val="auto"/>
          <w:spacing w:val="-4"/>
          <w:sz w:val="24"/>
          <w:szCs w:val="24"/>
          <w:highlight w:val="none"/>
        </w:rPr>
        <w:t>）承</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 xml:space="preserve">建（承接）企业为 </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3"/>
          <w:sz w:val="24"/>
          <w:szCs w:val="24"/>
          <w:highlight w:val="none"/>
        </w:rPr>
        <w:t>（</w:t>
      </w:r>
      <w:r>
        <w:rPr>
          <w:rFonts w:ascii="宋体" w:hAnsi="宋体" w:eastAsia="宋体" w:cs="宋体"/>
          <w:i/>
          <w:iCs/>
          <w:strike/>
          <w:dstrike w:val="0"/>
          <w:color w:val="auto"/>
          <w:spacing w:val="-3"/>
          <w:sz w:val="25"/>
          <w:szCs w:val="25"/>
          <w:highlight w:val="none"/>
        </w:rPr>
        <w:t>企业名称</w:t>
      </w:r>
      <w:r>
        <w:rPr>
          <w:rFonts w:ascii="宋体" w:hAnsi="宋体" w:eastAsia="宋体" w:cs="宋体"/>
          <w:strike/>
          <w:dstrike w:val="0"/>
          <w:color w:val="auto"/>
          <w:spacing w:val="-16"/>
          <w:sz w:val="24"/>
          <w:szCs w:val="24"/>
          <w:highlight w:val="none"/>
        </w:rPr>
        <w:t>），</w:t>
      </w:r>
      <w:r>
        <w:rPr>
          <w:rFonts w:ascii="宋体" w:hAnsi="宋体" w:eastAsia="宋体" w:cs="宋体"/>
          <w:strike/>
          <w:dstrike w:val="0"/>
          <w:color w:val="auto"/>
          <w:spacing w:val="-3"/>
          <w:sz w:val="24"/>
          <w:szCs w:val="24"/>
          <w:highlight w:val="none"/>
        </w:rPr>
        <w:t>从业人员</w:t>
      </w:r>
      <w:r>
        <w:rPr>
          <w:rFonts w:ascii="宋体" w:hAnsi="宋体" w:eastAsia="宋体" w:cs="宋体"/>
          <w:strike/>
          <w:dstrike w:val="0"/>
          <w:color w:val="auto"/>
          <w:spacing w:val="-87"/>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3"/>
          <w:sz w:val="24"/>
          <w:szCs w:val="24"/>
          <w:highlight w:val="none"/>
        </w:rPr>
        <w:t>人，</w:t>
      </w:r>
    </w:p>
    <w:p w14:paraId="50D732FD">
      <w:pPr>
        <w:spacing w:before="35" w:line="280" w:lineRule="auto"/>
        <w:ind w:right="270" w:firstLine="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 xml:space="preserve">营业收入 </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4"/>
          <w:sz w:val="24"/>
          <w:szCs w:val="24"/>
          <w:highlight w:val="none"/>
        </w:rPr>
        <w:t>万元，资产总额为</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5"/>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5"/>
          <w:sz w:val="24"/>
          <w:szCs w:val="24"/>
          <w:highlight w:val="none"/>
        </w:rPr>
        <w:t xml:space="preserve">万元，属于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85"/>
          <w:sz w:val="24"/>
          <w:szCs w:val="24"/>
          <w:highlight w:val="none"/>
        </w:rPr>
        <w:t xml:space="preserve"> </w:t>
      </w:r>
      <w:r>
        <w:rPr>
          <w:rFonts w:ascii="宋体" w:hAnsi="宋体" w:eastAsia="宋体" w:cs="宋体"/>
          <w:strike/>
          <w:dstrike w:val="0"/>
          <w:color w:val="auto"/>
          <w:spacing w:val="-86"/>
          <w:sz w:val="24"/>
          <w:szCs w:val="24"/>
          <w:highlight w:val="none"/>
          <w:u w:val="single" w:color="auto"/>
        </w:rPr>
        <w:t xml:space="preserve"> </w:t>
      </w:r>
      <w:r>
        <w:rPr>
          <w:rFonts w:ascii="宋体" w:hAnsi="宋体" w:eastAsia="宋体" w:cs="宋体"/>
          <w:strike/>
          <w:dstrike w:val="0"/>
          <w:color w:val="auto"/>
          <w:spacing w:val="-5"/>
          <w:sz w:val="24"/>
          <w:szCs w:val="24"/>
          <w:highlight w:val="none"/>
          <w:u w:val="single" w:color="auto"/>
        </w:rPr>
        <w:t>□</w:t>
      </w:r>
      <w:r>
        <w:rPr>
          <w:rFonts w:ascii="宋体" w:hAnsi="宋体" w:eastAsia="宋体" w:cs="宋体"/>
          <w:strike/>
          <w:dstrike w:val="0"/>
          <w:color w:val="auto"/>
          <w:spacing w:val="-88"/>
          <w:sz w:val="24"/>
          <w:szCs w:val="24"/>
          <w:highlight w:val="none"/>
        </w:rPr>
        <w:t xml:space="preserve"> </w:t>
      </w:r>
      <w:r>
        <w:rPr>
          <w:rFonts w:ascii="宋体" w:hAnsi="宋体" w:eastAsia="宋体" w:cs="宋体"/>
          <w:strike/>
          <w:dstrike w:val="0"/>
          <w:color w:val="auto"/>
          <w:spacing w:val="-5"/>
          <w:sz w:val="24"/>
          <w:szCs w:val="24"/>
          <w:highlight w:val="none"/>
        </w:rPr>
        <w:t>中型企</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业、</w:t>
      </w:r>
      <w:r>
        <w:rPr>
          <w:rFonts w:ascii="宋体" w:hAnsi="宋体" w:eastAsia="宋体" w:cs="宋体"/>
          <w:strike/>
          <w:dstrike w:val="0"/>
          <w:color w:val="auto"/>
          <w:spacing w:val="-86"/>
          <w:sz w:val="24"/>
          <w:szCs w:val="24"/>
          <w:highlight w:val="none"/>
        </w:rPr>
        <w:t xml:space="preserve"> </w:t>
      </w:r>
      <w:r>
        <w:rPr>
          <w:rFonts w:ascii="宋体" w:hAnsi="宋体" w:eastAsia="宋体" w:cs="宋体"/>
          <w:strike/>
          <w:dstrike w:val="0"/>
          <w:color w:val="auto"/>
          <w:spacing w:val="-9"/>
          <w:sz w:val="24"/>
          <w:szCs w:val="24"/>
          <w:highlight w:val="none"/>
          <w:u w:val="single" w:color="auto"/>
        </w:rPr>
        <w:t>□</w:t>
      </w:r>
      <w:r>
        <w:rPr>
          <w:rFonts w:ascii="宋体" w:hAnsi="宋体" w:eastAsia="宋体" w:cs="宋体"/>
          <w:strike/>
          <w:dstrike w:val="0"/>
          <w:color w:val="auto"/>
          <w:spacing w:val="-9"/>
          <w:sz w:val="24"/>
          <w:szCs w:val="24"/>
          <w:highlight w:val="none"/>
        </w:rPr>
        <w:t>小型企业、</w:t>
      </w:r>
      <w:r>
        <w:rPr>
          <w:rFonts w:ascii="宋体" w:hAnsi="宋体" w:eastAsia="宋体" w:cs="宋体"/>
          <w:strike/>
          <w:dstrike w:val="0"/>
          <w:color w:val="auto"/>
          <w:spacing w:val="-86"/>
          <w:sz w:val="24"/>
          <w:szCs w:val="24"/>
          <w:highlight w:val="none"/>
        </w:rPr>
        <w:t xml:space="preserve"> </w:t>
      </w:r>
      <w:r>
        <w:rPr>
          <w:rFonts w:ascii="宋体" w:hAnsi="宋体" w:eastAsia="宋体" w:cs="宋体"/>
          <w:strike/>
          <w:dstrike w:val="0"/>
          <w:color w:val="auto"/>
          <w:spacing w:val="-9"/>
          <w:sz w:val="24"/>
          <w:szCs w:val="24"/>
          <w:highlight w:val="none"/>
          <w:u w:val="single" w:color="auto"/>
        </w:rPr>
        <w:t>□</w:t>
      </w:r>
      <w:r>
        <w:rPr>
          <w:rFonts w:ascii="宋体" w:hAnsi="宋体" w:eastAsia="宋体" w:cs="宋体"/>
          <w:strike/>
          <w:dstrike w:val="0"/>
          <w:color w:val="auto"/>
          <w:spacing w:val="-9"/>
          <w:sz w:val="24"/>
          <w:szCs w:val="24"/>
          <w:highlight w:val="none"/>
        </w:rPr>
        <w:t>微型企业</w:t>
      </w:r>
      <w:r>
        <w:rPr>
          <w:rFonts w:ascii="宋体" w:hAnsi="宋体" w:eastAsia="宋体" w:cs="宋体"/>
          <w:strike/>
          <w:dstrike w:val="0"/>
          <w:color w:val="auto"/>
          <w:spacing w:val="-4"/>
          <w:sz w:val="24"/>
          <w:szCs w:val="24"/>
          <w:highlight w:val="none"/>
        </w:rPr>
        <w:t>）；</w:t>
      </w:r>
    </w:p>
    <w:p w14:paraId="0B9C8F92">
      <w:pPr>
        <w:spacing w:before="37" w:line="270" w:lineRule="auto"/>
        <w:ind w:left="3" w:right="443" w:firstLine="472"/>
        <w:rPr>
          <w:rFonts w:ascii="宋体" w:hAnsi="宋体" w:eastAsia="宋体" w:cs="宋体"/>
          <w:strike/>
          <w:dstrike w:val="0"/>
          <w:color w:val="auto"/>
          <w:sz w:val="24"/>
          <w:szCs w:val="24"/>
          <w:highlight w:val="none"/>
        </w:rPr>
      </w:pPr>
      <w:r>
        <w:rPr>
          <w:rFonts w:ascii="Times New Roman" w:hAnsi="Times New Roman" w:eastAsia="Times New Roman" w:cs="Times New Roman"/>
          <w:strike/>
          <w:dstrike w:val="0"/>
          <w:color w:val="auto"/>
          <w:spacing w:val="-3"/>
          <w:sz w:val="24"/>
          <w:szCs w:val="24"/>
          <w:highlight w:val="none"/>
        </w:rPr>
        <w:t xml:space="preserve">2.  </w:t>
      </w:r>
      <w:r>
        <w:rPr>
          <w:rFonts w:ascii="Times New Roman" w:hAnsi="Times New Roman" w:eastAsia="Times New Roman" w:cs="Times New Roman"/>
          <w:strike/>
          <w:dstrike w:val="0"/>
          <w:color w:val="auto"/>
          <w:spacing w:val="-3"/>
          <w:sz w:val="24"/>
          <w:szCs w:val="24"/>
          <w:highlight w:val="none"/>
          <w:u w:val="single" w:color="auto"/>
        </w:rPr>
        <w:t xml:space="preserve">              </w:t>
      </w:r>
      <w:r>
        <w:rPr>
          <w:rFonts w:ascii="宋体" w:hAnsi="宋体" w:eastAsia="宋体" w:cs="宋体"/>
          <w:strike/>
          <w:dstrike w:val="0"/>
          <w:color w:val="auto"/>
          <w:spacing w:val="-3"/>
          <w:sz w:val="24"/>
          <w:szCs w:val="24"/>
          <w:highlight w:val="none"/>
        </w:rPr>
        <w:t>（</w:t>
      </w:r>
      <w:r>
        <w:rPr>
          <w:rFonts w:ascii="宋体" w:hAnsi="宋体" w:eastAsia="宋体" w:cs="宋体"/>
          <w:i/>
          <w:iCs/>
          <w:strike/>
          <w:dstrike w:val="0"/>
          <w:color w:val="auto"/>
          <w:spacing w:val="-3"/>
          <w:sz w:val="25"/>
          <w:szCs w:val="25"/>
          <w:highlight w:val="none"/>
        </w:rPr>
        <w:t>标段名称</w:t>
      </w:r>
      <w:r>
        <w:rPr>
          <w:rFonts w:ascii="宋体" w:hAnsi="宋体" w:eastAsia="宋体" w:cs="宋体"/>
          <w:strike/>
          <w:dstrike w:val="0"/>
          <w:color w:val="auto"/>
          <w:spacing w:val="-21"/>
          <w:sz w:val="24"/>
          <w:szCs w:val="24"/>
          <w:highlight w:val="none"/>
        </w:rPr>
        <w:t>），</w:t>
      </w:r>
      <w:r>
        <w:rPr>
          <w:rFonts w:ascii="宋体" w:hAnsi="宋体" w:eastAsia="宋体" w:cs="宋体"/>
          <w:strike/>
          <w:dstrike w:val="0"/>
          <w:color w:val="auto"/>
          <w:spacing w:val="-3"/>
          <w:sz w:val="24"/>
          <w:szCs w:val="24"/>
          <w:highlight w:val="none"/>
        </w:rPr>
        <w:t>属于</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3"/>
          <w:sz w:val="24"/>
          <w:szCs w:val="24"/>
          <w:highlight w:val="none"/>
        </w:rPr>
        <w:t>（</w:t>
      </w:r>
      <w:r>
        <w:rPr>
          <w:rFonts w:ascii="宋体" w:hAnsi="宋体" w:eastAsia="宋体" w:cs="宋体"/>
          <w:i/>
          <w:iCs/>
          <w:strike/>
          <w:dstrike w:val="0"/>
          <w:color w:val="auto"/>
          <w:spacing w:val="-3"/>
          <w:sz w:val="25"/>
          <w:szCs w:val="25"/>
          <w:highlight w:val="none"/>
        </w:rPr>
        <w:t>招标文件中明确</w:t>
      </w:r>
      <w:r>
        <w:rPr>
          <w:rFonts w:ascii="宋体" w:hAnsi="宋体" w:eastAsia="宋体" w:cs="宋体"/>
          <w:i/>
          <w:iCs/>
          <w:strike/>
          <w:dstrike w:val="0"/>
          <w:color w:val="auto"/>
          <w:spacing w:val="-4"/>
          <w:sz w:val="25"/>
          <w:szCs w:val="25"/>
          <w:highlight w:val="none"/>
        </w:rPr>
        <w:t>的所属行业</w:t>
      </w:r>
      <w:r>
        <w:rPr>
          <w:rFonts w:ascii="宋体" w:hAnsi="宋体" w:eastAsia="宋体" w:cs="宋体"/>
          <w:strike/>
          <w:dstrike w:val="0"/>
          <w:color w:val="auto"/>
          <w:spacing w:val="-4"/>
          <w:sz w:val="24"/>
          <w:szCs w:val="24"/>
          <w:highlight w:val="none"/>
        </w:rPr>
        <w:t>）承</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 xml:space="preserve">建（承接）企业为 </w:t>
      </w:r>
      <w:r>
        <w:rPr>
          <w:rFonts w:ascii="宋体" w:hAnsi="宋体" w:eastAsia="宋体" w:cs="宋体"/>
          <w:strike/>
          <w:dstrike w:val="0"/>
          <w:color w:val="auto"/>
          <w:spacing w:val="-3"/>
          <w:sz w:val="24"/>
          <w:szCs w:val="24"/>
          <w:highlight w:val="none"/>
          <w:u w:val="single" w:color="auto"/>
        </w:rPr>
        <w:t xml:space="preserve">                    </w:t>
      </w:r>
      <w:r>
        <w:rPr>
          <w:rFonts w:ascii="宋体" w:hAnsi="宋体" w:eastAsia="宋体" w:cs="宋体"/>
          <w:strike/>
          <w:dstrike w:val="0"/>
          <w:color w:val="auto"/>
          <w:spacing w:val="-3"/>
          <w:sz w:val="24"/>
          <w:szCs w:val="24"/>
          <w:highlight w:val="none"/>
        </w:rPr>
        <w:t>（</w:t>
      </w:r>
      <w:r>
        <w:rPr>
          <w:rFonts w:ascii="宋体" w:hAnsi="宋体" w:eastAsia="宋体" w:cs="宋体"/>
          <w:i/>
          <w:iCs/>
          <w:strike/>
          <w:dstrike w:val="0"/>
          <w:color w:val="auto"/>
          <w:spacing w:val="-3"/>
          <w:sz w:val="25"/>
          <w:szCs w:val="25"/>
          <w:highlight w:val="none"/>
        </w:rPr>
        <w:t>企业名称</w:t>
      </w:r>
      <w:r>
        <w:rPr>
          <w:rFonts w:ascii="宋体" w:hAnsi="宋体" w:eastAsia="宋体" w:cs="宋体"/>
          <w:strike/>
          <w:dstrike w:val="0"/>
          <w:color w:val="auto"/>
          <w:spacing w:val="-16"/>
          <w:sz w:val="24"/>
          <w:szCs w:val="24"/>
          <w:highlight w:val="none"/>
        </w:rPr>
        <w:t>），</w:t>
      </w:r>
      <w:r>
        <w:rPr>
          <w:rFonts w:ascii="宋体" w:hAnsi="宋体" w:eastAsia="宋体" w:cs="宋体"/>
          <w:strike/>
          <w:dstrike w:val="0"/>
          <w:color w:val="auto"/>
          <w:spacing w:val="-3"/>
          <w:sz w:val="24"/>
          <w:szCs w:val="24"/>
          <w:highlight w:val="none"/>
        </w:rPr>
        <w:t>从业人员</w:t>
      </w:r>
      <w:r>
        <w:rPr>
          <w:rFonts w:ascii="宋体" w:hAnsi="宋体" w:eastAsia="宋体" w:cs="宋体"/>
          <w:strike/>
          <w:dstrike w:val="0"/>
          <w:color w:val="auto"/>
          <w:spacing w:val="-87"/>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8"/>
          <w:sz w:val="24"/>
          <w:szCs w:val="24"/>
          <w:highlight w:val="none"/>
        </w:rPr>
        <w:t xml:space="preserve"> </w:t>
      </w:r>
      <w:r>
        <w:rPr>
          <w:rFonts w:ascii="宋体" w:hAnsi="宋体" w:eastAsia="宋体" w:cs="宋体"/>
          <w:strike/>
          <w:dstrike w:val="0"/>
          <w:color w:val="auto"/>
          <w:spacing w:val="-3"/>
          <w:sz w:val="24"/>
          <w:szCs w:val="24"/>
          <w:highlight w:val="none"/>
        </w:rPr>
        <w:t>人，</w:t>
      </w:r>
    </w:p>
    <w:p w14:paraId="6256903E">
      <w:pPr>
        <w:spacing w:before="32" w:line="282" w:lineRule="auto"/>
        <w:ind w:right="270" w:firstLine="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 xml:space="preserve">营业收入 </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4"/>
          <w:sz w:val="24"/>
          <w:szCs w:val="24"/>
          <w:highlight w:val="none"/>
        </w:rPr>
        <w:t>万元，资产总额为</w:t>
      </w:r>
      <w:r>
        <w:rPr>
          <w:rFonts w:ascii="宋体" w:hAnsi="宋体" w:eastAsia="宋体" w:cs="宋体"/>
          <w:strike/>
          <w:dstrike w:val="0"/>
          <w:color w:val="auto"/>
          <w:spacing w:val="-4"/>
          <w:sz w:val="24"/>
          <w:szCs w:val="24"/>
          <w:highlight w:val="none"/>
          <w:u w:val="single" w:color="auto"/>
        </w:rPr>
        <w:t xml:space="preserve"> </w:t>
      </w:r>
      <w:r>
        <w:rPr>
          <w:rFonts w:ascii="宋体" w:hAnsi="宋体" w:eastAsia="宋体" w:cs="宋体"/>
          <w:strike/>
          <w:dstrike w:val="0"/>
          <w:color w:val="auto"/>
          <w:spacing w:val="-5"/>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5"/>
          <w:sz w:val="24"/>
          <w:szCs w:val="24"/>
          <w:highlight w:val="none"/>
        </w:rPr>
        <w:t xml:space="preserve">万元，属于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6"/>
          <w:sz w:val="24"/>
          <w:szCs w:val="24"/>
          <w:highlight w:val="none"/>
        </w:rPr>
        <w:t xml:space="preserve"> </w:t>
      </w:r>
      <w:r>
        <w:rPr>
          <w:rFonts w:ascii="宋体" w:hAnsi="宋体" w:eastAsia="宋体" w:cs="宋体"/>
          <w:strike/>
          <w:dstrike w:val="0"/>
          <w:color w:val="auto"/>
          <w:spacing w:val="-5"/>
          <w:sz w:val="24"/>
          <w:szCs w:val="24"/>
          <w:highlight w:val="none"/>
        </w:rPr>
        <w:t>(</w:t>
      </w:r>
      <w:r>
        <w:rPr>
          <w:rFonts w:ascii="宋体" w:hAnsi="宋体" w:eastAsia="宋体" w:cs="宋体"/>
          <w:strike/>
          <w:dstrike w:val="0"/>
          <w:color w:val="auto"/>
          <w:spacing w:val="-85"/>
          <w:sz w:val="24"/>
          <w:szCs w:val="24"/>
          <w:highlight w:val="none"/>
        </w:rPr>
        <w:t xml:space="preserve"> </w:t>
      </w:r>
      <w:r>
        <w:rPr>
          <w:rFonts w:ascii="宋体" w:hAnsi="宋体" w:eastAsia="宋体" w:cs="宋体"/>
          <w:strike/>
          <w:dstrike w:val="0"/>
          <w:color w:val="auto"/>
          <w:spacing w:val="-86"/>
          <w:sz w:val="24"/>
          <w:szCs w:val="24"/>
          <w:highlight w:val="none"/>
          <w:u w:val="single" w:color="auto"/>
        </w:rPr>
        <w:t xml:space="preserve"> </w:t>
      </w:r>
      <w:r>
        <w:rPr>
          <w:rFonts w:ascii="宋体" w:hAnsi="宋体" w:eastAsia="宋体" w:cs="宋体"/>
          <w:strike/>
          <w:dstrike w:val="0"/>
          <w:color w:val="auto"/>
          <w:spacing w:val="-5"/>
          <w:sz w:val="24"/>
          <w:szCs w:val="24"/>
          <w:highlight w:val="none"/>
          <w:u w:val="single" w:color="auto"/>
        </w:rPr>
        <w:t>□</w:t>
      </w:r>
      <w:r>
        <w:rPr>
          <w:rFonts w:ascii="宋体" w:hAnsi="宋体" w:eastAsia="宋体" w:cs="宋体"/>
          <w:strike/>
          <w:dstrike w:val="0"/>
          <w:color w:val="auto"/>
          <w:spacing w:val="-88"/>
          <w:sz w:val="24"/>
          <w:szCs w:val="24"/>
          <w:highlight w:val="none"/>
        </w:rPr>
        <w:t xml:space="preserve"> </w:t>
      </w:r>
      <w:r>
        <w:rPr>
          <w:rFonts w:ascii="宋体" w:hAnsi="宋体" w:eastAsia="宋体" w:cs="宋体"/>
          <w:strike/>
          <w:dstrike w:val="0"/>
          <w:color w:val="auto"/>
          <w:spacing w:val="-5"/>
          <w:sz w:val="24"/>
          <w:szCs w:val="24"/>
          <w:highlight w:val="none"/>
        </w:rPr>
        <w:t>中型企</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9"/>
          <w:sz w:val="24"/>
          <w:szCs w:val="24"/>
          <w:highlight w:val="none"/>
        </w:rPr>
        <w:t>业、</w:t>
      </w:r>
      <w:r>
        <w:rPr>
          <w:rFonts w:ascii="宋体" w:hAnsi="宋体" w:eastAsia="宋体" w:cs="宋体"/>
          <w:strike/>
          <w:dstrike w:val="0"/>
          <w:color w:val="auto"/>
          <w:spacing w:val="-86"/>
          <w:sz w:val="24"/>
          <w:szCs w:val="24"/>
          <w:highlight w:val="none"/>
        </w:rPr>
        <w:t xml:space="preserve"> </w:t>
      </w:r>
      <w:r>
        <w:rPr>
          <w:rFonts w:ascii="宋体" w:hAnsi="宋体" w:eastAsia="宋体" w:cs="宋体"/>
          <w:strike/>
          <w:dstrike w:val="0"/>
          <w:color w:val="auto"/>
          <w:spacing w:val="-9"/>
          <w:sz w:val="24"/>
          <w:szCs w:val="24"/>
          <w:highlight w:val="none"/>
          <w:u w:val="single" w:color="auto"/>
        </w:rPr>
        <w:t>□</w:t>
      </w:r>
      <w:r>
        <w:rPr>
          <w:rFonts w:ascii="宋体" w:hAnsi="宋体" w:eastAsia="宋体" w:cs="宋体"/>
          <w:strike/>
          <w:dstrike w:val="0"/>
          <w:color w:val="auto"/>
          <w:spacing w:val="-9"/>
          <w:sz w:val="24"/>
          <w:szCs w:val="24"/>
          <w:highlight w:val="none"/>
        </w:rPr>
        <w:t>小型企业、</w:t>
      </w:r>
      <w:r>
        <w:rPr>
          <w:rFonts w:ascii="宋体" w:hAnsi="宋体" w:eastAsia="宋体" w:cs="宋体"/>
          <w:strike/>
          <w:dstrike w:val="0"/>
          <w:color w:val="auto"/>
          <w:spacing w:val="-86"/>
          <w:sz w:val="24"/>
          <w:szCs w:val="24"/>
          <w:highlight w:val="none"/>
        </w:rPr>
        <w:t xml:space="preserve"> </w:t>
      </w:r>
      <w:r>
        <w:rPr>
          <w:rFonts w:ascii="宋体" w:hAnsi="宋体" w:eastAsia="宋体" w:cs="宋体"/>
          <w:strike/>
          <w:dstrike w:val="0"/>
          <w:color w:val="auto"/>
          <w:spacing w:val="-9"/>
          <w:sz w:val="24"/>
          <w:szCs w:val="24"/>
          <w:highlight w:val="none"/>
          <w:u w:val="single" w:color="auto"/>
        </w:rPr>
        <w:t>□</w:t>
      </w:r>
      <w:r>
        <w:rPr>
          <w:rFonts w:ascii="宋体" w:hAnsi="宋体" w:eastAsia="宋体" w:cs="宋体"/>
          <w:strike/>
          <w:dstrike w:val="0"/>
          <w:color w:val="auto"/>
          <w:spacing w:val="-9"/>
          <w:sz w:val="24"/>
          <w:szCs w:val="24"/>
          <w:highlight w:val="none"/>
        </w:rPr>
        <w:t>微型企业</w:t>
      </w:r>
      <w:r>
        <w:rPr>
          <w:rFonts w:ascii="宋体" w:hAnsi="宋体" w:eastAsia="宋体" w:cs="宋体"/>
          <w:strike/>
          <w:dstrike w:val="0"/>
          <w:color w:val="auto"/>
          <w:spacing w:val="-4"/>
          <w:sz w:val="24"/>
          <w:szCs w:val="24"/>
          <w:highlight w:val="none"/>
        </w:rPr>
        <w:t>）；</w:t>
      </w:r>
    </w:p>
    <w:p w14:paraId="4B5AFD5D">
      <w:pPr>
        <w:spacing w:before="133" w:line="175" w:lineRule="exact"/>
        <w:ind w:left="49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7"/>
          <w:position w:val="-3"/>
          <w:sz w:val="24"/>
          <w:szCs w:val="24"/>
          <w:highlight w:val="none"/>
        </w:rPr>
        <w:t>……</w:t>
      </w:r>
    </w:p>
    <w:p w14:paraId="786379F2">
      <w:pPr>
        <w:pStyle w:val="3"/>
        <w:spacing w:line="260" w:lineRule="auto"/>
        <w:rPr>
          <w:strike/>
          <w:dstrike w:val="0"/>
          <w:color w:val="auto"/>
          <w:highlight w:val="none"/>
        </w:rPr>
      </w:pPr>
    </w:p>
    <w:p w14:paraId="6911A013">
      <w:pPr>
        <w:pStyle w:val="3"/>
        <w:spacing w:line="260" w:lineRule="auto"/>
        <w:rPr>
          <w:strike/>
          <w:dstrike w:val="0"/>
          <w:color w:val="auto"/>
          <w:highlight w:val="none"/>
        </w:rPr>
      </w:pPr>
    </w:p>
    <w:p w14:paraId="0665B74E">
      <w:pPr>
        <w:pStyle w:val="3"/>
        <w:spacing w:line="260" w:lineRule="auto"/>
        <w:rPr>
          <w:strike/>
          <w:dstrike w:val="0"/>
          <w:color w:val="auto"/>
          <w:highlight w:val="none"/>
        </w:rPr>
      </w:pPr>
    </w:p>
    <w:p w14:paraId="4C66640C">
      <w:pPr>
        <w:pStyle w:val="3"/>
        <w:spacing w:line="260" w:lineRule="auto"/>
        <w:rPr>
          <w:strike/>
          <w:dstrike w:val="0"/>
          <w:color w:val="auto"/>
          <w:highlight w:val="none"/>
        </w:rPr>
      </w:pPr>
    </w:p>
    <w:p w14:paraId="2C0C7ABC">
      <w:pPr>
        <w:spacing w:before="79" w:line="345" w:lineRule="auto"/>
        <w:ind w:right="258" w:firstLine="50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4"/>
          <w:sz w:val="24"/>
          <w:szCs w:val="24"/>
          <w:highlight w:val="none"/>
        </w:rPr>
        <w:t>以上企业，不属于大企业的分支机构，不存在控股股东</w:t>
      </w:r>
      <w:r>
        <w:rPr>
          <w:rFonts w:ascii="宋体" w:hAnsi="宋体" w:eastAsia="宋体" w:cs="宋体"/>
          <w:strike/>
          <w:dstrike w:val="0"/>
          <w:color w:val="auto"/>
          <w:spacing w:val="-5"/>
          <w:sz w:val="24"/>
          <w:szCs w:val="24"/>
          <w:highlight w:val="none"/>
        </w:rPr>
        <w:t>为大企业的情形，也不</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3"/>
          <w:sz w:val="24"/>
          <w:szCs w:val="24"/>
          <w:highlight w:val="none"/>
        </w:rPr>
        <w:t>存在与大企业的负责人为同一人的情形。</w:t>
      </w:r>
    </w:p>
    <w:p w14:paraId="7A388521">
      <w:pPr>
        <w:spacing w:before="37" w:line="219" w:lineRule="auto"/>
        <w:ind w:left="481"/>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本企业对上述声明内容的真实性负责。如有</w:t>
      </w:r>
      <w:r>
        <w:rPr>
          <w:rFonts w:ascii="宋体" w:hAnsi="宋体" w:eastAsia="宋体" w:cs="宋体"/>
          <w:strike/>
          <w:dstrike w:val="0"/>
          <w:color w:val="auto"/>
          <w:spacing w:val="-2"/>
          <w:sz w:val="24"/>
          <w:szCs w:val="24"/>
          <w:highlight w:val="none"/>
        </w:rPr>
        <w:t>虚假，将依法承担相应责任。</w:t>
      </w:r>
    </w:p>
    <w:p w14:paraId="614A50AD">
      <w:pPr>
        <w:pStyle w:val="3"/>
        <w:spacing w:line="317" w:lineRule="auto"/>
        <w:rPr>
          <w:strike/>
          <w:dstrike w:val="0"/>
          <w:color w:val="auto"/>
          <w:highlight w:val="none"/>
        </w:rPr>
      </w:pPr>
    </w:p>
    <w:p w14:paraId="0FFE679B">
      <w:pPr>
        <w:pStyle w:val="3"/>
        <w:spacing w:line="317" w:lineRule="auto"/>
        <w:rPr>
          <w:strike/>
          <w:dstrike w:val="0"/>
          <w:color w:val="auto"/>
          <w:highlight w:val="none"/>
        </w:rPr>
      </w:pPr>
    </w:p>
    <w:p w14:paraId="7E08D18F">
      <w:pPr>
        <w:tabs>
          <w:tab w:val="left" w:pos="7100"/>
        </w:tabs>
        <w:spacing w:before="78" w:line="345" w:lineRule="auto"/>
        <w:ind w:left="6499" w:right="1" w:hanging="2176"/>
        <w:rPr>
          <w:rFonts w:ascii="宋体" w:hAnsi="宋体" w:eastAsia="宋体" w:cs="宋体"/>
          <w:strike/>
          <w:dstrike w:val="0"/>
          <w:color w:val="auto"/>
          <w:sz w:val="24"/>
          <w:szCs w:val="24"/>
          <w:highlight w:val="none"/>
        </w:rPr>
      </w:pPr>
      <w:r>
        <w:rPr>
          <w:rFonts w:ascii="宋体" w:hAnsi="宋体" w:eastAsia="宋体" w:cs="宋体"/>
          <w:strike/>
          <w:dstrike w:val="0"/>
          <w:color w:val="auto"/>
          <w:spacing w:val="-1"/>
          <w:sz w:val="24"/>
          <w:szCs w:val="24"/>
          <w:highlight w:val="none"/>
        </w:rPr>
        <w:t>投标人</w:t>
      </w:r>
      <w:r>
        <w:rPr>
          <w:rFonts w:ascii="宋体" w:hAnsi="宋体" w:eastAsia="宋体" w:cs="宋体"/>
          <w:strike/>
          <w:dstrike w:val="0"/>
          <w:color w:val="auto"/>
          <w:sz w:val="24"/>
          <w:szCs w:val="24"/>
          <w:highlight w:val="none"/>
        </w:rPr>
        <w:t>：</w:t>
      </w:r>
      <w:r>
        <w:rPr>
          <w:rFonts w:ascii="宋体" w:hAnsi="宋体" w:eastAsia="宋体" w:cs="宋体"/>
          <w:strike/>
          <w:dstrike w:val="0"/>
          <w:color w:val="auto"/>
          <w:spacing w:val="15"/>
          <w:sz w:val="24"/>
          <w:szCs w:val="24"/>
          <w:highlight w:val="none"/>
          <w:u w:val="single" w:color="auto"/>
        </w:rPr>
        <w:t xml:space="preserve">        </w:t>
      </w:r>
      <w:r>
        <w:rPr>
          <w:rFonts w:ascii="宋体" w:hAnsi="宋体" w:eastAsia="宋体" w:cs="宋体"/>
          <w:strike/>
          <w:dstrike w:val="0"/>
          <w:color w:val="auto"/>
          <w:sz w:val="24"/>
          <w:szCs w:val="24"/>
          <w:highlight w:val="none"/>
          <w:u w:val="single" w:color="auto"/>
        </w:rPr>
        <w:t>（</w:t>
      </w:r>
      <w:r>
        <w:rPr>
          <w:rFonts w:ascii="宋体" w:hAnsi="宋体" w:eastAsia="宋体" w:cs="宋体"/>
          <w:strike/>
          <w:dstrike w:val="0"/>
          <w:color w:val="auto"/>
          <w:spacing w:val="-1"/>
          <w:sz w:val="24"/>
          <w:szCs w:val="24"/>
          <w:highlight w:val="none"/>
          <w:u w:val="single" w:color="auto"/>
        </w:rPr>
        <w:t xml:space="preserve">盖单位公章）      </w:t>
      </w:r>
      <w:r>
        <w:rPr>
          <w:rFonts w:ascii="宋体" w:hAnsi="宋体" w:eastAsia="宋体" w:cs="宋体"/>
          <w:strike/>
          <w:dstrike w:val="0"/>
          <w:color w:val="auto"/>
          <w:spacing w:val="1"/>
          <w:sz w:val="24"/>
          <w:szCs w:val="24"/>
          <w:highlight w:val="none"/>
        </w:rPr>
        <w:t xml:space="preserve"> </w:t>
      </w:r>
      <w:r>
        <w:rPr>
          <w:rFonts w:ascii="宋体" w:hAnsi="宋体" w:eastAsia="宋体" w:cs="宋体"/>
          <w:strike/>
          <w:dstrike w:val="0"/>
          <w:color w:val="auto"/>
          <w:sz w:val="24"/>
          <w:szCs w:val="24"/>
          <w:highlight w:val="none"/>
          <w:u w:val="single" w:color="auto"/>
        </w:rPr>
        <w:tab/>
      </w:r>
      <w:r>
        <w:rPr>
          <w:rFonts w:ascii="宋体" w:hAnsi="宋体" w:eastAsia="宋体" w:cs="宋体"/>
          <w:strike/>
          <w:dstrike w:val="0"/>
          <w:color w:val="auto"/>
          <w:spacing w:val="-109"/>
          <w:sz w:val="24"/>
          <w:szCs w:val="24"/>
          <w:highlight w:val="none"/>
        </w:rPr>
        <w:t xml:space="preserve"> </w:t>
      </w:r>
      <w:r>
        <w:rPr>
          <w:rFonts w:ascii="宋体" w:hAnsi="宋体" w:eastAsia="宋体" w:cs="宋体"/>
          <w:strike/>
          <w:dstrike w:val="0"/>
          <w:color w:val="auto"/>
          <w:spacing w:val="-26"/>
          <w:sz w:val="24"/>
          <w:szCs w:val="24"/>
          <w:highlight w:val="none"/>
        </w:rPr>
        <w:t>年</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105"/>
          <w:sz w:val="24"/>
          <w:szCs w:val="24"/>
          <w:highlight w:val="none"/>
        </w:rPr>
        <w:t xml:space="preserve"> </w:t>
      </w:r>
      <w:r>
        <w:rPr>
          <w:rFonts w:ascii="宋体" w:hAnsi="宋体" w:eastAsia="宋体" w:cs="宋体"/>
          <w:strike/>
          <w:dstrike w:val="0"/>
          <w:color w:val="auto"/>
          <w:spacing w:val="-26"/>
          <w:sz w:val="24"/>
          <w:szCs w:val="24"/>
          <w:highlight w:val="none"/>
        </w:rPr>
        <w:t>月</w:t>
      </w:r>
      <w:r>
        <w:rPr>
          <w:rFonts w:ascii="宋体" w:hAnsi="宋体" w:eastAsia="宋体" w:cs="宋体"/>
          <w:strike/>
          <w:dstrike w:val="0"/>
          <w:color w:val="auto"/>
          <w:spacing w:val="40"/>
          <w:sz w:val="24"/>
          <w:szCs w:val="24"/>
          <w:highlight w:val="none"/>
          <w:u w:val="single" w:color="auto"/>
        </w:rPr>
        <w:t xml:space="preserve">   </w:t>
      </w:r>
      <w:r>
        <w:rPr>
          <w:rFonts w:ascii="宋体" w:hAnsi="宋体" w:eastAsia="宋体" w:cs="宋体"/>
          <w:strike/>
          <w:dstrike w:val="0"/>
          <w:color w:val="auto"/>
          <w:spacing w:val="-69"/>
          <w:sz w:val="24"/>
          <w:szCs w:val="24"/>
          <w:highlight w:val="none"/>
        </w:rPr>
        <w:t xml:space="preserve"> </w:t>
      </w:r>
      <w:r>
        <w:rPr>
          <w:rFonts w:ascii="宋体" w:hAnsi="宋体" w:eastAsia="宋体" w:cs="宋体"/>
          <w:strike/>
          <w:dstrike w:val="0"/>
          <w:color w:val="auto"/>
          <w:spacing w:val="-26"/>
          <w:sz w:val="24"/>
          <w:szCs w:val="24"/>
          <w:highlight w:val="none"/>
        </w:rPr>
        <w:t>日</w:t>
      </w:r>
    </w:p>
    <w:p w14:paraId="44B47115">
      <w:pPr>
        <w:pStyle w:val="3"/>
        <w:spacing w:line="267" w:lineRule="auto"/>
        <w:rPr>
          <w:strike/>
          <w:dstrike w:val="0"/>
          <w:color w:val="auto"/>
          <w:highlight w:val="none"/>
        </w:rPr>
      </w:pPr>
    </w:p>
    <w:p w14:paraId="25C7D2B8">
      <w:pPr>
        <w:pStyle w:val="3"/>
        <w:spacing w:line="267" w:lineRule="auto"/>
        <w:rPr>
          <w:strike/>
          <w:dstrike w:val="0"/>
          <w:color w:val="auto"/>
          <w:highlight w:val="none"/>
        </w:rPr>
      </w:pPr>
    </w:p>
    <w:p w14:paraId="61C42191">
      <w:pPr>
        <w:pStyle w:val="3"/>
        <w:spacing w:line="267" w:lineRule="auto"/>
        <w:rPr>
          <w:strike/>
          <w:dstrike w:val="0"/>
          <w:color w:val="auto"/>
          <w:highlight w:val="none"/>
        </w:rPr>
      </w:pPr>
    </w:p>
    <w:p w14:paraId="5A07AE62">
      <w:pPr>
        <w:pStyle w:val="3"/>
        <w:spacing w:line="267" w:lineRule="auto"/>
        <w:rPr>
          <w:strike/>
          <w:dstrike w:val="0"/>
          <w:color w:val="auto"/>
          <w:highlight w:val="none"/>
        </w:rPr>
      </w:pPr>
    </w:p>
    <w:p w14:paraId="23204740">
      <w:pPr>
        <w:pStyle w:val="3"/>
        <w:spacing w:line="268" w:lineRule="auto"/>
        <w:rPr>
          <w:strike/>
          <w:dstrike w:val="0"/>
          <w:color w:val="auto"/>
          <w:highlight w:val="none"/>
        </w:rPr>
      </w:pPr>
    </w:p>
    <w:p w14:paraId="1D7D3ACD">
      <w:pPr>
        <w:pStyle w:val="3"/>
        <w:spacing w:line="268" w:lineRule="auto"/>
        <w:rPr>
          <w:strike/>
          <w:dstrike w:val="0"/>
          <w:color w:val="auto"/>
          <w:highlight w:val="none"/>
        </w:rPr>
      </w:pPr>
    </w:p>
    <w:p w14:paraId="1FFFA900">
      <w:pPr>
        <w:spacing w:before="78" w:line="345" w:lineRule="auto"/>
        <w:ind w:left="3" w:right="150" w:hanging="3"/>
        <w:rPr>
          <w:rFonts w:ascii="宋体" w:hAnsi="宋体" w:eastAsia="宋体" w:cs="宋体"/>
          <w:strike/>
          <w:dstrike w:val="0"/>
          <w:color w:val="auto"/>
          <w:sz w:val="24"/>
          <w:szCs w:val="24"/>
          <w:highlight w:val="none"/>
        </w:rPr>
      </w:pPr>
      <w:r>
        <w:rPr>
          <w:rFonts w:ascii="宋体" w:hAnsi="宋体" w:eastAsia="宋体" w:cs="宋体"/>
          <w:strike/>
          <w:dstrike w:val="0"/>
          <w:color w:val="auto"/>
          <w:sz w:val="24"/>
          <w:szCs w:val="24"/>
          <w:highlight w:val="none"/>
        </w:rPr>
        <w:t>注：从业人员、营业收入、资产总额填报上一年度数据，</w:t>
      </w:r>
      <w:r>
        <w:rPr>
          <w:rFonts w:ascii="宋体" w:hAnsi="宋体" w:eastAsia="宋体" w:cs="宋体"/>
          <w:strike/>
          <w:dstrike w:val="0"/>
          <w:color w:val="auto"/>
          <w:spacing w:val="-1"/>
          <w:sz w:val="24"/>
          <w:szCs w:val="24"/>
          <w:highlight w:val="none"/>
        </w:rPr>
        <w:t>无上一年度数据的新成立</w:t>
      </w:r>
      <w:r>
        <w:rPr>
          <w:rFonts w:ascii="宋体" w:hAnsi="宋体" w:eastAsia="宋体" w:cs="宋体"/>
          <w:strike/>
          <w:dstrike w:val="0"/>
          <w:color w:val="auto"/>
          <w:sz w:val="24"/>
          <w:szCs w:val="24"/>
          <w:highlight w:val="none"/>
        </w:rPr>
        <w:t xml:space="preserve"> </w:t>
      </w:r>
      <w:r>
        <w:rPr>
          <w:rFonts w:ascii="宋体" w:hAnsi="宋体" w:eastAsia="宋体" w:cs="宋体"/>
          <w:strike/>
          <w:dstrike w:val="0"/>
          <w:color w:val="auto"/>
          <w:spacing w:val="-6"/>
          <w:sz w:val="24"/>
          <w:szCs w:val="24"/>
          <w:highlight w:val="none"/>
        </w:rPr>
        <w:t>企业可不填报。</w:t>
      </w:r>
    </w:p>
    <w:p w14:paraId="7379A38B">
      <w:pPr>
        <w:spacing w:line="345" w:lineRule="auto"/>
        <w:jc w:val="center"/>
        <w:rPr>
          <w:rFonts w:hint="eastAsia" w:ascii="宋体" w:hAnsi="宋体" w:eastAsia="宋体" w:cs="宋体"/>
          <w:b/>
          <w:bCs/>
          <w:strike w:val="0"/>
          <w:dstrike w:val="0"/>
          <w:color w:val="auto"/>
          <w:sz w:val="32"/>
          <w:szCs w:val="32"/>
          <w:highlight w:val="none"/>
          <w:lang w:eastAsia="zh-CN"/>
        </w:rPr>
        <w:sectPr>
          <w:pgSz w:w="11905" w:h="16843"/>
          <w:pgMar w:top="1429" w:right="1361" w:bottom="1253" w:left="1621" w:header="0" w:footer="1094" w:gutter="0"/>
          <w:pgNumType w:fmt="decimal"/>
          <w:cols w:space="0" w:num="1"/>
          <w:rtlGutter w:val="0"/>
          <w:docGrid w:linePitch="0" w:charSpace="0"/>
        </w:sectPr>
      </w:pPr>
      <w:r>
        <w:rPr>
          <w:rFonts w:hint="eastAsia" w:ascii="宋体" w:hAnsi="宋体" w:eastAsia="宋体" w:cs="宋体"/>
          <w:b/>
          <w:bCs/>
          <w:strike w:val="0"/>
          <w:dstrike w:val="0"/>
          <w:color w:val="auto"/>
          <w:sz w:val="32"/>
          <w:szCs w:val="32"/>
          <w:highlight w:val="none"/>
          <w:lang w:eastAsia="zh-CN"/>
        </w:rPr>
        <w:t>其他材料</w:t>
      </w:r>
    </w:p>
    <w:p w14:paraId="689E32F5">
      <w:pPr>
        <w:pStyle w:val="3"/>
        <w:spacing w:line="269" w:lineRule="auto"/>
        <w:jc w:val="right"/>
        <w:rPr>
          <w:rFonts w:ascii="宋体" w:hAnsi="宋体" w:eastAsia="宋体" w:cs="宋体"/>
          <w:color w:val="auto"/>
          <w:spacing w:val="-9"/>
          <w:sz w:val="24"/>
          <w:szCs w:val="24"/>
          <w:highlight w:val="none"/>
        </w:rPr>
      </w:pPr>
    </w:p>
    <w:p w14:paraId="6AE49EC0">
      <w:pPr>
        <w:pStyle w:val="3"/>
        <w:spacing w:line="269" w:lineRule="auto"/>
        <w:jc w:val="right"/>
        <w:rPr>
          <w:rFonts w:ascii="宋体" w:hAnsi="宋体" w:eastAsia="宋体" w:cs="宋体"/>
          <w:color w:val="auto"/>
          <w:spacing w:val="-9"/>
          <w:sz w:val="24"/>
          <w:szCs w:val="24"/>
          <w:highlight w:val="none"/>
        </w:rPr>
      </w:pPr>
    </w:p>
    <w:p w14:paraId="5F447BBF">
      <w:pPr>
        <w:pStyle w:val="3"/>
        <w:spacing w:line="269" w:lineRule="auto"/>
        <w:jc w:val="right"/>
        <w:rPr>
          <w:rFonts w:ascii="宋体" w:hAnsi="宋体" w:eastAsia="宋体" w:cs="宋体"/>
          <w:color w:val="auto"/>
          <w:spacing w:val="-9"/>
          <w:sz w:val="24"/>
          <w:szCs w:val="24"/>
          <w:highlight w:val="none"/>
        </w:rPr>
      </w:pPr>
    </w:p>
    <w:p w14:paraId="58780CB4">
      <w:pPr>
        <w:pStyle w:val="3"/>
        <w:spacing w:line="269" w:lineRule="auto"/>
        <w:jc w:val="right"/>
        <w:rPr>
          <w:rFonts w:ascii="宋体" w:hAnsi="宋体" w:eastAsia="宋体" w:cs="宋体"/>
          <w:color w:val="auto"/>
          <w:spacing w:val="-9"/>
          <w:sz w:val="24"/>
          <w:szCs w:val="24"/>
          <w:highlight w:val="none"/>
        </w:rPr>
      </w:pPr>
    </w:p>
    <w:p w14:paraId="2C45E95E">
      <w:pPr>
        <w:pStyle w:val="3"/>
        <w:spacing w:line="269" w:lineRule="auto"/>
        <w:jc w:val="right"/>
        <w:rPr>
          <w:rFonts w:ascii="宋体" w:hAnsi="宋体" w:eastAsia="宋体" w:cs="宋体"/>
          <w:color w:val="auto"/>
          <w:spacing w:val="-9"/>
          <w:sz w:val="24"/>
          <w:szCs w:val="24"/>
          <w:highlight w:val="none"/>
        </w:rPr>
      </w:pPr>
    </w:p>
    <w:p w14:paraId="01E45F2C">
      <w:pPr>
        <w:pStyle w:val="3"/>
        <w:spacing w:line="269" w:lineRule="auto"/>
        <w:jc w:val="right"/>
        <w:rPr>
          <w:rFonts w:ascii="宋体" w:hAnsi="宋体" w:eastAsia="宋体" w:cs="宋体"/>
          <w:color w:val="auto"/>
          <w:spacing w:val="-9"/>
          <w:sz w:val="24"/>
          <w:szCs w:val="24"/>
          <w:highlight w:val="none"/>
        </w:rPr>
      </w:pPr>
    </w:p>
    <w:p w14:paraId="66BFA34F">
      <w:pPr>
        <w:pStyle w:val="3"/>
        <w:spacing w:line="269" w:lineRule="auto"/>
        <w:rPr>
          <w:color w:val="auto"/>
          <w:highlight w:val="none"/>
        </w:rPr>
      </w:pPr>
    </w:p>
    <w:p w14:paraId="30516BD5">
      <w:pPr>
        <w:pStyle w:val="3"/>
        <w:spacing w:line="269" w:lineRule="auto"/>
        <w:rPr>
          <w:color w:val="auto"/>
          <w:highlight w:val="none"/>
        </w:rPr>
      </w:pPr>
    </w:p>
    <w:p w14:paraId="1CDFDF21">
      <w:pPr>
        <w:tabs>
          <w:tab w:val="left" w:pos="3577"/>
        </w:tabs>
        <w:spacing w:before="81" w:line="213" w:lineRule="auto"/>
        <w:ind w:left="141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9"/>
          <w:sz w:val="24"/>
          <w:szCs w:val="24"/>
          <w:highlight w:val="none"/>
        </w:rPr>
        <w:t>（</w:t>
      </w:r>
      <w:r>
        <w:rPr>
          <w:rFonts w:ascii="宋体" w:hAnsi="宋体" w:eastAsia="宋体" w:cs="宋体"/>
          <w:i/>
          <w:iCs/>
          <w:color w:val="auto"/>
          <w:spacing w:val="9"/>
          <w:sz w:val="25"/>
          <w:szCs w:val="25"/>
          <w:highlight w:val="none"/>
        </w:rPr>
        <w:t>项目名称</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1"/>
          <w:sz w:val="24"/>
          <w:szCs w:val="24"/>
          <w:highlight w:val="none"/>
        </w:rPr>
        <w:t>（</w:t>
      </w:r>
      <w:r>
        <w:rPr>
          <w:rFonts w:ascii="宋体" w:hAnsi="宋体" w:eastAsia="宋体" w:cs="宋体"/>
          <w:i/>
          <w:iCs/>
          <w:color w:val="auto"/>
          <w:spacing w:val="9"/>
          <w:sz w:val="25"/>
          <w:szCs w:val="25"/>
          <w:highlight w:val="none"/>
        </w:rPr>
        <w:t>标段名称</w:t>
      </w:r>
      <w:r>
        <w:rPr>
          <w:rFonts w:ascii="宋体" w:hAnsi="宋体" w:eastAsia="宋体" w:cs="宋体"/>
          <w:color w:val="auto"/>
          <w:spacing w:val="9"/>
          <w:sz w:val="24"/>
          <w:szCs w:val="24"/>
          <w:highlight w:val="none"/>
        </w:rPr>
        <w:t>）</w:t>
      </w:r>
    </w:p>
    <w:p w14:paraId="627B0E36">
      <w:pPr>
        <w:pStyle w:val="3"/>
        <w:spacing w:line="244" w:lineRule="auto"/>
        <w:rPr>
          <w:color w:val="auto"/>
          <w:highlight w:val="none"/>
        </w:rPr>
      </w:pPr>
    </w:p>
    <w:p w14:paraId="16607374">
      <w:pPr>
        <w:pStyle w:val="3"/>
        <w:spacing w:line="245" w:lineRule="auto"/>
        <w:rPr>
          <w:color w:val="auto"/>
          <w:highlight w:val="none"/>
        </w:rPr>
      </w:pPr>
    </w:p>
    <w:p w14:paraId="2FA4DDC5">
      <w:pPr>
        <w:pStyle w:val="3"/>
        <w:spacing w:line="245" w:lineRule="auto"/>
        <w:rPr>
          <w:color w:val="auto"/>
          <w:highlight w:val="none"/>
        </w:rPr>
      </w:pPr>
    </w:p>
    <w:p w14:paraId="2FE664B2">
      <w:pPr>
        <w:pStyle w:val="3"/>
        <w:spacing w:line="245" w:lineRule="auto"/>
        <w:rPr>
          <w:color w:val="auto"/>
          <w:highlight w:val="none"/>
        </w:rPr>
      </w:pPr>
    </w:p>
    <w:p w14:paraId="6CF16CCC">
      <w:pPr>
        <w:pStyle w:val="3"/>
        <w:spacing w:line="245" w:lineRule="auto"/>
        <w:rPr>
          <w:color w:val="auto"/>
          <w:highlight w:val="none"/>
        </w:rPr>
      </w:pPr>
    </w:p>
    <w:p w14:paraId="3E2836AC">
      <w:pPr>
        <w:pStyle w:val="3"/>
        <w:spacing w:line="245" w:lineRule="auto"/>
        <w:rPr>
          <w:color w:val="auto"/>
          <w:highlight w:val="none"/>
        </w:rPr>
      </w:pPr>
    </w:p>
    <w:p w14:paraId="22470877">
      <w:pPr>
        <w:pStyle w:val="3"/>
        <w:spacing w:line="245" w:lineRule="auto"/>
        <w:rPr>
          <w:color w:val="auto"/>
          <w:highlight w:val="none"/>
        </w:rPr>
      </w:pPr>
    </w:p>
    <w:p w14:paraId="374D6485">
      <w:pPr>
        <w:spacing w:before="140" w:line="223" w:lineRule="auto"/>
        <w:ind w:left="3204"/>
        <w:rPr>
          <w:rFonts w:ascii="宋体" w:hAnsi="宋体" w:eastAsia="宋体" w:cs="宋体"/>
          <w:color w:val="auto"/>
          <w:sz w:val="43"/>
          <w:szCs w:val="43"/>
          <w:highlight w:val="none"/>
        </w:rPr>
      </w:pPr>
      <w:r>
        <w:rPr>
          <w:rFonts w:ascii="宋体" w:hAnsi="宋体" w:eastAsia="宋体" w:cs="宋体"/>
          <w:b/>
          <w:bCs/>
          <w:color w:val="auto"/>
          <w:spacing w:val="-14"/>
          <w:sz w:val="43"/>
          <w:szCs w:val="43"/>
          <w:highlight w:val="none"/>
        </w:rPr>
        <w:t>投</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标</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文</w:t>
      </w:r>
      <w:r>
        <w:rPr>
          <w:rFonts w:ascii="宋体" w:hAnsi="宋体" w:eastAsia="宋体" w:cs="宋体"/>
          <w:color w:val="auto"/>
          <w:spacing w:val="24"/>
          <w:sz w:val="43"/>
          <w:szCs w:val="43"/>
          <w:highlight w:val="none"/>
        </w:rPr>
        <w:t xml:space="preserve"> </w:t>
      </w:r>
      <w:r>
        <w:rPr>
          <w:rFonts w:ascii="宋体" w:hAnsi="宋体" w:eastAsia="宋体" w:cs="宋体"/>
          <w:b/>
          <w:bCs/>
          <w:color w:val="auto"/>
          <w:spacing w:val="-14"/>
          <w:sz w:val="43"/>
          <w:szCs w:val="43"/>
          <w:highlight w:val="none"/>
        </w:rPr>
        <w:t>件</w:t>
      </w:r>
    </w:p>
    <w:p w14:paraId="0766BC89">
      <w:pPr>
        <w:spacing w:before="305" w:line="220" w:lineRule="auto"/>
        <w:ind w:left="381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（技术标）</w:t>
      </w:r>
    </w:p>
    <w:p w14:paraId="432D4165">
      <w:pPr>
        <w:pStyle w:val="3"/>
        <w:spacing w:line="247" w:lineRule="auto"/>
        <w:rPr>
          <w:color w:val="auto"/>
          <w:highlight w:val="none"/>
        </w:rPr>
      </w:pPr>
    </w:p>
    <w:p w14:paraId="07B22511">
      <w:pPr>
        <w:pStyle w:val="3"/>
        <w:spacing w:line="248" w:lineRule="auto"/>
        <w:rPr>
          <w:color w:val="auto"/>
          <w:highlight w:val="none"/>
        </w:rPr>
      </w:pPr>
    </w:p>
    <w:p w14:paraId="2431D891">
      <w:pPr>
        <w:pStyle w:val="3"/>
        <w:spacing w:line="248" w:lineRule="auto"/>
        <w:rPr>
          <w:color w:val="auto"/>
          <w:highlight w:val="none"/>
        </w:rPr>
      </w:pPr>
    </w:p>
    <w:p w14:paraId="32C8930C">
      <w:pPr>
        <w:pStyle w:val="3"/>
        <w:spacing w:line="248" w:lineRule="auto"/>
        <w:rPr>
          <w:color w:val="auto"/>
          <w:highlight w:val="none"/>
        </w:rPr>
      </w:pPr>
    </w:p>
    <w:p w14:paraId="60441043">
      <w:pPr>
        <w:pStyle w:val="3"/>
        <w:spacing w:line="248" w:lineRule="auto"/>
        <w:rPr>
          <w:color w:val="auto"/>
          <w:highlight w:val="none"/>
        </w:rPr>
      </w:pPr>
    </w:p>
    <w:p w14:paraId="0A4495A6">
      <w:pPr>
        <w:pStyle w:val="3"/>
        <w:spacing w:line="248" w:lineRule="auto"/>
        <w:rPr>
          <w:color w:val="auto"/>
          <w:highlight w:val="none"/>
        </w:rPr>
      </w:pPr>
    </w:p>
    <w:p w14:paraId="6F7FD995">
      <w:pPr>
        <w:pStyle w:val="3"/>
        <w:spacing w:line="248" w:lineRule="auto"/>
        <w:rPr>
          <w:color w:val="auto"/>
          <w:highlight w:val="none"/>
        </w:rPr>
      </w:pPr>
    </w:p>
    <w:p w14:paraId="5BB13860">
      <w:pPr>
        <w:pStyle w:val="3"/>
        <w:spacing w:line="248" w:lineRule="auto"/>
        <w:rPr>
          <w:color w:val="auto"/>
          <w:highlight w:val="none"/>
        </w:rPr>
      </w:pPr>
    </w:p>
    <w:p w14:paraId="62DC2B12">
      <w:pPr>
        <w:pStyle w:val="3"/>
        <w:spacing w:line="248" w:lineRule="auto"/>
        <w:rPr>
          <w:color w:val="auto"/>
          <w:highlight w:val="none"/>
        </w:rPr>
      </w:pPr>
    </w:p>
    <w:p w14:paraId="7BEC6DFA">
      <w:pPr>
        <w:pStyle w:val="3"/>
        <w:spacing w:line="248" w:lineRule="auto"/>
        <w:rPr>
          <w:color w:val="auto"/>
          <w:highlight w:val="none"/>
        </w:rPr>
      </w:pPr>
    </w:p>
    <w:p w14:paraId="70DA9A9F">
      <w:pPr>
        <w:pStyle w:val="3"/>
        <w:spacing w:line="248" w:lineRule="auto"/>
        <w:rPr>
          <w:color w:val="auto"/>
          <w:highlight w:val="none"/>
        </w:rPr>
      </w:pPr>
    </w:p>
    <w:p w14:paraId="778AA190">
      <w:pPr>
        <w:pStyle w:val="3"/>
        <w:spacing w:line="248" w:lineRule="auto"/>
        <w:rPr>
          <w:color w:val="auto"/>
          <w:highlight w:val="none"/>
        </w:rPr>
      </w:pPr>
    </w:p>
    <w:p w14:paraId="31278122">
      <w:pPr>
        <w:pStyle w:val="3"/>
        <w:spacing w:line="248" w:lineRule="auto"/>
        <w:rPr>
          <w:color w:val="auto"/>
          <w:highlight w:val="none"/>
        </w:rPr>
      </w:pPr>
    </w:p>
    <w:p w14:paraId="5861CE6D">
      <w:pPr>
        <w:pStyle w:val="3"/>
        <w:spacing w:line="248" w:lineRule="auto"/>
        <w:rPr>
          <w:color w:val="auto"/>
          <w:highlight w:val="none"/>
        </w:rPr>
      </w:pPr>
    </w:p>
    <w:p w14:paraId="23AA076E">
      <w:pPr>
        <w:pStyle w:val="3"/>
        <w:spacing w:line="248" w:lineRule="auto"/>
        <w:rPr>
          <w:color w:val="auto"/>
          <w:highlight w:val="none"/>
        </w:rPr>
      </w:pPr>
    </w:p>
    <w:p w14:paraId="284CC74D">
      <w:pPr>
        <w:pStyle w:val="3"/>
        <w:spacing w:line="248" w:lineRule="auto"/>
        <w:rPr>
          <w:color w:val="auto"/>
          <w:highlight w:val="none"/>
        </w:rPr>
      </w:pPr>
    </w:p>
    <w:p w14:paraId="7710A3DA">
      <w:pPr>
        <w:pStyle w:val="3"/>
        <w:spacing w:line="248" w:lineRule="auto"/>
        <w:rPr>
          <w:color w:val="auto"/>
          <w:highlight w:val="none"/>
        </w:rPr>
      </w:pPr>
    </w:p>
    <w:p w14:paraId="0235EE1E">
      <w:pPr>
        <w:spacing w:before="78" w:line="219" w:lineRule="auto"/>
        <w:ind w:left="121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标</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人</w:t>
      </w:r>
      <w:r>
        <w:rPr>
          <w:rFonts w:ascii="宋体" w:hAnsi="宋体" w:eastAsia="宋体" w:cs="宋体"/>
          <w:color w:val="auto"/>
          <w:spacing w:val="-31"/>
          <w:sz w:val="24"/>
          <w:szCs w:val="24"/>
          <w:highlight w:val="none"/>
        </w:rPr>
        <w:t>：</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31"/>
          <w:sz w:val="24"/>
          <w:szCs w:val="24"/>
          <w:highlight w:val="none"/>
          <w:u w:val="single" w:color="auto"/>
        </w:rPr>
        <w:t>（</w:t>
      </w:r>
      <w:r>
        <w:rPr>
          <w:rFonts w:ascii="宋体" w:hAnsi="宋体" w:eastAsia="宋体" w:cs="宋体"/>
          <w:color w:val="auto"/>
          <w:spacing w:val="-1"/>
          <w:sz w:val="24"/>
          <w:szCs w:val="24"/>
          <w:highlight w:val="none"/>
          <w:u w:val="single" w:color="auto"/>
        </w:rPr>
        <w:t>盖单位公章）</w:t>
      </w:r>
      <w:r>
        <w:rPr>
          <w:rFonts w:ascii="宋体" w:hAnsi="宋体" w:eastAsia="宋体" w:cs="宋体"/>
          <w:color w:val="auto"/>
          <w:sz w:val="24"/>
          <w:szCs w:val="24"/>
          <w:highlight w:val="none"/>
          <w:u w:val="single" w:color="auto"/>
        </w:rPr>
        <w:t xml:space="preserve">            </w:t>
      </w:r>
    </w:p>
    <w:p w14:paraId="50085392">
      <w:pPr>
        <w:pStyle w:val="3"/>
        <w:spacing w:line="257" w:lineRule="auto"/>
        <w:rPr>
          <w:color w:val="auto"/>
          <w:highlight w:val="none"/>
        </w:rPr>
      </w:pPr>
    </w:p>
    <w:p w14:paraId="67501CF2">
      <w:pPr>
        <w:pStyle w:val="3"/>
        <w:spacing w:line="257" w:lineRule="auto"/>
        <w:rPr>
          <w:color w:val="auto"/>
          <w:highlight w:val="none"/>
        </w:rPr>
      </w:pPr>
    </w:p>
    <w:p w14:paraId="20D3C2F3">
      <w:pPr>
        <w:tabs>
          <w:tab w:val="left" w:pos="4216"/>
        </w:tabs>
        <w:spacing w:before="78" w:line="347" w:lineRule="auto"/>
        <w:ind w:left="2896" w:right="1808" w:hanging="16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4"/>
          <w:sz w:val="24"/>
          <w:szCs w:val="24"/>
          <w:highlight w:val="none"/>
          <w:u w:val="single" w:color="auto"/>
        </w:rPr>
        <w:t>（</w:t>
      </w:r>
      <w:r>
        <w:rPr>
          <w:rFonts w:ascii="宋体" w:hAnsi="宋体" w:eastAsia="宋体" w:cs="宋体"/>
          <w:color w:val="auto"/>
          <w:spacing w:val="2"/>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9"/>
          <w:sz w:val="24"/>
          <w:szCs w:val="24"/>
          <w:highlight w:val="none"/>
        </w:rPr>
        <w:t>日</w:t>
      </w:r>
    </w:p>
    <w:p w14:paraId="34AAF8CB">
      <w:pPr>
        <w:pStyle w:val="3"/>
        <w:spacing w:line="296" w:lineRule="auto"/>
        <w:rPr>
          <w:color w:val="auto"/>
          <w:highlight w:val="none"/>
        </w:rPr>
      </w:pPr>
    </w:p>
    <w:p w14:paraId="5C2E3C47">
      <w:pPr>
        <w:pStyle w:val="3"/>
        <w:spacing w:line="297" w:lineRule="auto"/>
        <w:rPr>
          <w:color w:val="auto"/>
          <w:highlight w:val="none"/>
        </w:rPr>
      </w:pPr>
    </w:p>
    <w:p w14:paraId="42857B0B">
      <w:pPr>
        <w:pStyle w:val="3"/>
        <w:spacing w:line="297" w:lineRule="auto"/>
        <w:rPr>
          <w:color w:val="auto"/>
          <w:highlight w:val="none"/>
        </w:rPr>
      </w:pPr>
    </w:p>
    <w:p w14:paraId="0A42CD49">
      <w:pPr>
        <w:pStyle w:val="3"/>
        <w:spacing w:line="297" w:lineRule="auto"/>
        <w:rPr>
          <w:color w:val="auto"/>
          <w:highlight w:val="none"/>
        </w:rPr>
      </w:pPr>
    </w:p>
    <w:p w14:paraId="36FBF241">
      <w:pPr>
        <w:spacing w:before="82" w:line="211"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rPr>
        <w:t>注：本页同时适用于封面或扉页。</w:t>
      </w:r>
    </w:p>
    <w:p w14:paraId="07E139E5">
      <w:pPr>
        <w:spacing w:line="211" w:lineRule="auto"/>
        <w:rPr>
          <w:rFonts w:ascii="宋体" w:hAnsi="宋体" w:eastAsia="宋体" w:cs="宋体"/>
          <w:color w:val="auto"/>
          <w:sz w:val="25"/>
          <w:szCs w:val="25"/>
          <w:highlight w:val="none"/>
        </w:rPr>
        <w:sectPr>
          <w:pgSz w:w="11905" w:h="16843"/>
          <w:pgMar w:top="1429" w:right="1361" w:bottom="1253" w:left="1621" w:header="0" w:footer="1094" w:gutter="0"/>
          <w:pgNumType w:fmt="decimal"/>
          <w:cols w:space="0" w:num="1"/>
          <w:rtlGutter w:val="0"/>
          <w:docGrid w:linePitch="0" w:charSpace="0"/>
        </w:sectPr>
      </w:pPr>
    </w:p>
    <w:p w14:paraId="25093F40">
      <w:pPr>
        <w:spacing w:before="56" w:line="220" w:lineRule="auto"/>
        <w:ind w:left="3506"/>
        <w:outlineLvl w:val="1"/>
        <w:rPr>
          <w:rFonts w:ascii="宋体" w:hAnsi="宋体" w:eastAsia="宋体" w:cs="宋体"/>
          <w:color w:val="auto"/>
          <w:sz w:val="28"/>
          <w:szCs w:val="28"/>
          <w:highlight w:val="none"/>
        </w:rPr>
      </w:pPr>
      <w:bookmarkStart w:id="832" w:name="bookmark1289"/>
      <w:bookmarkEnd w:id="832"/>
      <w:bookmarkStart w:id="833" w:name="bookmark1290"/>
      <w:bookmarkEnd w:id="833"/>
      <w:bookmarkStart w:id="834" w:name="_Toc31481"/>
      <w:bookmarkStart w:id="835" w:name="_Toc9152"/>
      <w:r>
        <w:rPr>
          <w:rFonts w:ascii="宋体" w:hAnsi="宋体" w:eastAsia="宋体" w:cs="宋体"/>
          <w:b/>
          <w:bCs/>
          <w:color w:val="auto"/>
          <w:spacing w:val="-5"/>
          <w:sz w:val="28"/>
          <w:szCs w:val="28"/>
          <w:highlight w:val="none"/>
        </w:rPr>
        <w:t>技术标目录</w:t>
      </w:r>
      <w:bookmarkEnd w:id="834"/>
      <w:bookmarkEnd w:id="835"/>
    </w:p>
    <w:p w14:paraId="14F59A9F">
      <w:pPr>
        <w:spacing w:before="183" w:line="220" w:lineRule="auto"/>
        <w:rPr>
          <w:rFonts w:ascii="宋体" w:hAnsi="宋体" w:eastAsia="宋体" w:cs="宋体"/>
          <w:color w:val="auto"/>
          <w:sz w:val="24"/>
          <w:szCs w:val="24"/>
          <w:highlight w:val="none"/>
        </w:rPr>
      </w:pPr>
    </w:p>
    <w:p w14:paraId="6668D717">
      <w:pPr>
        <w:spacing w:before="182" w:line="221" w:lineRule="auto"/>
        <w:ind w:left="298"/>
        <w:rPr>
          <w:rFonts w:hint="eastAsia" w:ascii="宋体" w:hAnsi="宋体" w:eastAsia="宋体" w:cs="宋体"/>
          <w:color w:val="auto"/>
          <w:sz w:val="24"/>
          <w:szCs w:val="24"/>
          <w:highlight w:val="none"/>
          <w:lang w:val="en-US" w:eastAsia="zh-CN"/>
        </w:rPr>
      </w:pPr>
      <w:r>
        <w:rPr>
          <w:rFonts w:ascii="宋体" w:hAnsi="宋体" w:eastAsia="宋体" w:cs="宋体"/>
          <w:color w:val="auto"/>
          <w:spacing w:val="-3"/>
          <w:sz w:val="24"/>
          <w:szCs w:val="24"/>
          <w:highlight w:val="none"/>
        </w:rPr>
        <w:t>（</w:t>
      </w:r>
      <w:r>
        <w:rPr>
          <w:rFonts w:hint="eastAsia" w:ascii="Times New Roman" w:hAnsi="Times New Roman" w:eastAsia="宋体" w:cs="Times New Roman"/>
          <w:color w:val="auto"/>
          <w:spacing w:val="-3"/>
          <w:sz w:val="24"/>
          <w:szCs w:val="24"/>
          <w:highlight w:val="none"/>
          <w:lang w:val="en-US" w:eastAsia="zh-CN"/>
        </w:rPr>
        <w:t>1</w:t>
      </w:r>
      <w:r>
        <w:rPr>
          <w:rFonts w:ascii="宋体" w:hAnsi="宋体" w:eastAsia="宋体" w:cs="宋体"/>
          <w:color w:val="auto"/>
          <w:spacing w:val="-3"/>
          <w:sz w:val="24"/>
          <w:szCs w:val="24"/>
          <w:highlight w:val="none"/>
        </w:rPr>
        <w:t>）施工组织设计</w:t>
      </w:r>
      <w:r>
        <w:rPr>
          <w:rFonts w:hint="eastAsia" w:ascii="宋体" w:hAnsi="宋体" w:eastAsia="宋体" w:cs="宋体"/>
          <w:color w:val="auto"/>
          <w:spacing w:val="-3"/>
          <w:sz w:val="24"/>
          <w:szCs w:val="24"/>
          <w:highlight w:val="none"/>
          <w:lang w:eastAsia="zh-CN"/>
        </w:rPr>
        <w:t>（建议施工组织设计页数不超过</w:t>
      </w:r>
      <w:r>
        <w:rPr>
          <w:rFonts w:hint="eastAsia" w:ascii="宋体" w:hAnsi="宋体" w:eastAsia="宋体" w:cs="宋体"/>
          <w:color w:val="auto"/>
          <w:spacing w:val="-3"/>
          <w:sz w:val="24"/>
          <w:szCs w:val="24"/>
          <w:highlight w:val="none"/>
          <w:lang w:val="en-US" w:eastAsia="zh-CN"/>
        </w:rPr>
        <w:t>10页</w:t>
      </w:r>
      <w:r>
        <w:rPr>
          <w:rFonts w:hint="eastAsia" w:ascii="宋体" w:hAnsi="宋体" w:eastAsia="宋体" w:cs="宋体"/>
          <w:color w:val="auto"/>
          <w:spacing w:val="-3"/>
          <w:sz w:val="24"/>
          <w:szCs w:val="24"/>
          <w:highlight w:val="none"/>
          <w:lang w:eastAsia="zh-CN"/>
        </w:rPr>
        <w:t>）</w:t>
      </w:r>
    </w:p>
    <w:p w14:paraId="7ECBCBC9">
      <w:pPr>
        <w:spacing w:before="178" w:line="219" w:lineRule="auto"/>
        <w:ind w:left="298"/>
        <w:rPr>
          <w:rFonts w:ascii="宋体" w:hAnsi="宋体" w:eastAsia="宋体" w:cs="宋体"/>
          <w:strike/>
          <w:dstrike w:val="0"/>
          <w:color w:val="auto"/>
          <w:sz w:val="24"/>
          <w:szCs w:val="24"/>
          <w:highlight w:val="none"/>
        </w:rPr>
      </w:pPr>
      <w:r>
        <w:rPr>
          <w:rFonts w:ascii="宋体" w:hAnsi="宋体" w:eastAsia="宋体" w:cs="宋体"/>
          <w:strike/>
          <w:dstrike w:val="0"/>
          <w:color w:val="auto"/>
          <w:spacing w:val="-2"/>
          <w:sz w:val="24"/>
          <w:szCs w:val="24"/>
          <w:highlight w:val="none"/>
        </w:rPr>
        <w:t>（</w:t>
      </w:r>
      <w:r>
        <w:rPr>
          <w:rFonts w:hint="eastAsia" w:ascii="Times New Roman" w:hAnsi="Times New Roman" w:eastAsia="宋体" w:cs="Times New Roman"/>
          <w:strike/>
          <w:dstrike w:val="0"/>
          <w:color w:val="auto"/>
          <w:spacing w:val="-2"/>
          <w:sz w:val="24"/>
          <w:szCs w:val="24"/>
          <w:highlight w:val="none"/>
          <w:lang w:val="en-US" w:eastAsia="zh-CN"/>
        </w:rPr>
        <w:t>2</w:t>
      </w:r>
      <w:r>
        <w:rPr>
          <w:rFonts w:ascii="宋体" w:hAnsi="宋体" w:eastAsia="宋体" w:cs="宋体"/>
          <w:strike/>
          <w:dstrike w:val="0"/>
          <w:color w:val="auto"/>
          <w:spacing w:val="-2"/>
          <w:sz w:val="24"/>
          <w:szCs w:val="24"/>
          <w:highlight w:val="none"/>
        </w:rPr>
        <w:t>）拟分包项目情况表</w:t>
      </w:r>
    </w:p>
    <w:p w14:paraId="79481A5E">
      <w:pPr>
        <w:spacing w:before="37" w:line="219" w:lineRule="auto"/>
        <w:rPr>
          <w:rFonts w:ascii="宋体" w:hAnsi="宋体" w:eastAsia="宋体" w:cs="宋体"/>
          <w:color w:val="auto"/>
          <w:sz w:val="24"/>
          <w:szCs w:val="24"/>
          <w:highlight w:val="none"/>
        </w:rPr>
      </w:pPr>
      <w:bookmarkStart w:id="836" w:name="bookmark1292"/>
      <w:bookmarkEnd w:id="836"/>
      <w:bookmarkStart w:id="837" w:name="bookmark1291"/>
      <w:bookmarkEnd w:id="837"/>
    </w:p>
    <w:p w14:paraId="0CD59201">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5E71901F">
      <w:pPr>
        <w:spacing w:before="56" w:line="221" w:lineRule="auto"/>
        <w:ind w:left="3108"/>
        <w:outlineLvl w:val="1"/>
        <w:rPr>
          <w:rFonts w:ascii="宋体" w:hAnsi="宋体" w:eastAsia="宋体" w:cs="宋体"/>
          <w:color w:val="auto"/>
          <w:sz w:val="28"/>
          <w:szCs w:val="28"/>
          <w:highlight w:val="none"/>
        </w:rPr>
      </w:pPr>
      <w:bookmarkStart w:id="838" w:name="bookmark1293"/>
      <w:bookmarkEnd w:id="838"/>
      <w:bookmarkStart w:id="839" w:name="bookmark1296"/>
      <w:bookmarkEnd w:id="839"/>
      <w:bookmarkStart w:id="840" w:name="bookmark1297"/>
      <w:bookmarkEnd w:id="840"/>
      <w:bookmarkStart w:id="841" w:name="bookmark1298"/>
      <w:bookmarkEnd w:id="841"/>
      <w:bookmarkStart w:id="842" w:name="bookmark1294"/>
      <w:bookmarkEnd w:id="842"/>
      <w:bookmarkStart w:id="843" w:name="bookmark1295"/>
      <w:bookmarkEnd w:id="843"/>
      <w:bookmarkStart w:id="844" w:name="_Toc15143"/>
      <w:bookmarkStart w:id="845" w:name="_Toc8007"/>
      <w:r>
        <w:rPr>
          <w:rFonts w:hint="eastAsia" w:ascii="宋体" w:hAnsi="宋体" w:eastAsia="宋体" w:cs="宋体"/>
          <w:b/>
          <w:bCs/>
          <w:color w:val="auto"/>
          <w:spacing w:val="-7"/>
          <w:sz w:val="28"/>
          <w:szCs w:val="28"/>
          <w:highlight w:val="none"/>
          <w:lang w:eastAsia="zh-CN"/>
        </w:rPr>
        <w:t>一</w:t>
      </w:r>
      <w:r>
        <w:rPr>
          <w:rFonts w:ascii="宋体" w:hAnsi="宋体" w:eastAsia="宋体" w:cs="宋体"/>
          <w:b/>
          <w:bCs/>
          <w:color w:val="auto"/>
          <w:spacing w:val="-7"/>
          <w:sz w:val="28"/>
          <w:szCs w:val="28"/>
          <w:highlight w:val="none"/>
        </w:rPr>
        <w:t>、施工组织设计</w:t>
      </w:r>
      <w:bookmarkEnd w:id="844"/>
      <w:bookmarkEnd w:id="845"/>
    </w:p>
    <w:p w14:paraId="0C9055AB">
      <w:pPr>
        <w:spacing w:line="221" w:lineRule="auto"/>
        <w:jc w:val="center"/>
        <w:rPr>
          <w:rFonts w:ascii="宋体" w:hAnsi="宋体" w:eastAsia="宋体" w:cs="宋体"/>
          <w:color w:val="auto"/>
          <w:sz w:val="28"/>
          <w:szCs w:val="28"/>
          <w:highlight w:val="none"/>
        </w:rPr>
        <w:sectPr>
          <w:pgSz w:w="11905" w:h="16843"/>
          <w:pgMar w:top="1429" w:right="1361" w:bottom="1253" w:left="1621" w:header="0" w:footer="1094" w:gutter="0"/>
          <w:pgNumType w:fmt="decimal"/>
          <w:cols w:space="0" w:num="1"/>
          <w:rtlGutter w:val="0"/>
          <w:docGrid w:linePitch="0" w:charSpace="0"/>
        </w:sectPr>
      </w:pPr>
      <w:r>
        <w:rPr>
          <w:rFonts w:hint="eastAsia" w:ascii="宋体" w:hAnsi="宋体" w:eastAsia="宋体" w:cs="宋体"/>
          <w:color w:val="auto"/>
          <w:spacing w:val="-3"/>
          <w:sz w:val="24"/>
          <w:szCs w:val="24"/>
          <w:highlight w:val="none"/>
          <w:lang w:eastAsia="zh-CN"/>
        </w:rPr>
        <w:t>（建议施工组织设计页数不超过</w:t>
      </w:r>
      <w:r>
        <w:rPr>
          <w:rFonts w:hint="eastAsia" w:ascii="宋体" w:hAnsi="宋体" w:eastAsia="宋体" w:cs="宋体"/>
          <w:color w:val="auto"/>
          <w:spacing w:val="-3"/>
          <w:sz w:val="24"/>
          <w:szCs w:val="24"/>
          <w:highlight w:val="none"/>
          <w:lang w:val="en-US" w:eastAsia="zh-CN"/>
        </w:rPr>
        <w:t>10页</w:t>
      </w:r>
      <w:r>
        <w:rPr>
          <w:rFonts w:hint="eastAsia" w:ascii="宋体" w:hAnsi="宋体" w:eastAsia="宋体" w:cs="宋体"/>
          <w:color w:val="auto"/>
          <w:spacing w:val="-3"/>
          <w:sz w:val="24"/>
          <w:szCs w:val="24"/>
          <w:highlight w:val="none"/>
          <w:lang w:eastAsia="zh-CN"/>
        </w:rPr>
        <w:t>）</w:t>
      </w:r>
    </w:p>
    <w:p w14:paraId="55DE6985">
      <w:pPr>
        <w:spacing w:before="56" w:line="220" w:lineRule="auto"/>
        <w:ind w:left="2989"/>
        <w:outlineLvl w:val="1"/>
        <w:rPr>
          <w:rFonts w:ascii="宋体" w:hAnsi="宋体" w:eastAsia="宋体" w:cs="宋体"/>
          <w:color w:val="auto"/>
          <w:sz w:val="28"/>
          <w:szCs w:val="28"/>
          <w:highlight w:val="none"/>
        </w:rPr>
      </w:pPr>
      <w:bookmarkStart w:id="846" w:name="bookmark1299"/>
      <w:bookmarkEnd w:id="846"/>
      <w:bookmarkStart w:id="847" w:name="bookmark1300"/>
      <w:bookmarkEnd w:id="847"/>
      <w:bookmarkStart w:id="848" w:name="_Toc12555"/>
      <w:bookmarkStart w:id="849" w:name="_Toc22118"/>
      <w:r>
        <w:rPr>
          <w:rFonts w:ascii="宋体" w:hAnsi="宋体" w:eastAsia="宋体" w:cs="宋体"/>
          <w:b/>
          <w:bCs/>
          <w:color w:val="auto"/>
          <w:spacing w:val="-3"/>
          <w:sz w:val="28"/>
          <w:szCs w:val="28"/>
          <w:highlight w:val="none"/>
        </w:rPr>
        <w:t>施工组织设计编制原则</w:t>
      </w:r>
      <w:bookmarkEnd w:id="848"/>
      <w:bookmarkEnd w:id="849"/>
    </w:p>
    <w:p w14:paraId="45F456C8">
      <w:pPr>
        <w:pStyle w:val="3"/>
        <w:spacing w:line="246" w:lineRule="auto"/>
        <w:rPr>
          <w:color w:val="auto"/>
          <w:highlight w:val="none"/>
        </w:rPr>
      </w:pPr>
    </w:p>
    <w:p w14:paraId="51DCF773">
      <w:pPr>
        <w:spacing w:before="78" w:line="331" w:lineRule="auto"/>
        <w:ind w:firstLine="48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1  </w:t>
      </w:r>
      <w:r>
        <w:rPr>
          <w:rFonts w:ascii="宋体" w:hAnsi="宋体" w:eastAsia="宋体" w:cs="宋体"/>
          <w:color w:val="auto"/>
          <w:spacing w:val="-1"/>
          <w:sz w:val="24"/>
          <w:szCs w:val="24"/>
          <w:highlight w:val="none"/>
        </w:rPr>
        <w:t>投标人编制施工组织设计时应采用文字并结合图表形式说明工程的施工组织、</w:t>
      </w:r>
      <w:r>
        <w:rPr>
          <w:rFonts w:ascii="宋体" w:hAnsi="宋体" w:eastAsia="宋体" w:cs="宋体"/>
          <w:color w:val="auto"/>
          <w:spacing w:val="6"/>
          <w:sz w:val="24"/>
          <w:szCs w:val="24"/>
          <w:highlight w:val="none"/>
        </w:rPr>
        <w:t xml:space="preserve"> </w:t>
      </w:r>
      <w:r>
        <w:rPr>
          <w:rFonts w:ascii="宋体" w:hAnsi="宋体" w:eastAsia="宋体" w:cs="宋体"/>
          <w:color w:val="auto"/>
          <w:spacing w:val="-9"/>
          <w:sz w:val="24"/>
          <w:szCs w:val="24"/>
          <w:highlight w:val="none"/>
        </w:rPr>
        <w:t>施工方法、技术组织措施， 同时应对关键工序、复杂环节重点提出相应技术措施， 如</w:t>
      </w:r>
      <w:r>
        <w:rPr>
          <w:rFonts w:ascii="宋体" w:hAnsi="宋体" w:eastAsia="宋体" w:cs="宋体"/>
          <w:color w:val="auto"/>
          <w:spacing w:val="7"/>
          <w:sz w:val="24"/>
          <w:szCs w:val="24"/>
          <w:highlight w:val="none"/>
        </w:rPr>
        <w:t xml:space="preserve"> </w:t>
      </w:r>
      <w:r>
        <w:rPr>
          <w:rFonts w:ascii="宋体" w:hAnsi="宋体" w:eastAsia="宋体" w:cs="宋体"/>
          <w:color w:val="auto"/>
          <w:spacing w:val="-3"/>
          <w:sz w:val="24"/>
          <w:szCs w:val="24"/>
          <w:highlight w:val="none"/>
        </w:rPr>
        <w:t>冬雨季施工技术、减少噪音、降低环境污染、地下管线及其它地上地下设施的保护加</w:t>
      </w:r>
      <w:r>
        <w:rPr>
          <w:rFonts w:ascii="宋体" w:hAnsi="宋体" w:eastAsia="宋体" w:cs="宋体"/>
          <w:color w:val="auto"/>
          <w:spacing w:val="10"/>
          <w:sz w:val="24"/>
          <w:szCs w:val="24"/>
          <w:highlight w:val="none"/>
        </w:rPr>
        <w:t xml:space="preserve"> </w:t>
      </w:r>
      <w:r>
        <w:rPr>
          <w:rFonts w:ascii="宋体" w:hAnsi="宋体" w:eastAsia="宋体" w:cs="宋体"/>
          <w:color w:val="auto"/>
          <w:spacing w:val="-3"/>
          <w:sz w:val="24"/>
          <w:szCs w:val="24"/>
          <w:highlight w:val="none"/>
        </w:rPr>
        <w:t>固措施等。施工组织设计还应结合工程特点提出切实可行的工程质量、工程进度、安</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全生产、防汛度汛、文明施工、水土保持、环境保护管理方案等。</w:t>
      </w:r>
    </w:p>
    <w:p w14:paraId="062E0EAF">
      <w:pPr>
        <w:spacing w:before="183" w:line="288" w:lineRule="auto"/>
        <w:ind w:left="498" w:right="501" w:hanging="19"/>
        <w:rPr>
          <w:rFonts w:ascii="宋体" w:hAnsi="宋体" w:eastAsia="宋体" w:cs="宋体"/>
          <w:color w:val="auto"/>
          <w:sz w:val="24"/>
          <w:szCs w:val="24"/>
          <w:highlight w:val="none"/>
        </w:rPr>
      </w:pPr>
      <w:r>
        <w:rPr>
          <w:rFonts w:ascii="Times New Roman" w:hAnsi="Times New Roman" w:eastAsia="Times New Roman" w:cs="Times New Roman"/>
          <w:b/>
          <w:bCs/>
          <w:color w:val="auto"/>
          <w:spacing w:val="-1"/>
          <w:sz w:val="24"/>
          <w:szCs w:val="24"/>
          <w:highlight w:val="none"/>
        </w:rPr>
        <w:t xml:space="preserve">2  </w:t>
      </w:r>
      <w:r>
        <w:rPr>
          <w:rFonts w:ascii="宋体" w:hAnsi="宋体" w:eastAsia="宋体" w:cs="宋体"/>
          <w:color w:val="auto"/>
          <w:spacing w:val="-1"/>
          <w:sz w:val="24"/>
          <w:szCs w:val="24"/>
          <w:highlight w:val="none"/>
        </w:rPr>
        <w:t>施工组织设计除采用文字表述外，应附下列图表，图表及</w:t>
      </w:r>
      <w:r>
        <w:rPr>
          <w:rFonts w:ascii="宋体" w:hAnsi="宋体" w:eastAsia="宋体" w:cs="宋体"/>
          <w:color w:val="auto"/>
          <w:spacing w:val="-2"/>
          <w:sz w:val="24"/>
          <w:szCs w:val="24"/>
          <w:highlight w:val="none"/>
        </w:rPr>
        <w:t>格式要求附后。</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附件一：拟投入本标段的主要施工设备表</w:t>
      </w:r>
    </w:p>
    <w:p w14:paraId="6409E68D">
      <w:pPr>
        <w:spacing w:before="184" w:line="344" w:lineRule="auto"/>
        <w:ind w:left="499" w:right="334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附件二：拟投入本标段的试验和检测仪器设备表</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附件三：拟投入本标段的劳动力计划表</w:t>
      </w:r>
    </w:p>
    <w:p w14:paraId="7FB8630B">
      <w:pPr>
        <w:spacing w:before="38" w:line="219" w:lineRule="auto"/>
        <w:ind w:left="49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附件四：计划开工日期、完工日期和施工进度表</w:t>
      </w:r>
    </w:p>
    <w:p w14:paraId="2CBC5F5C">
      <w:pPr>
        <w:spacing w:before="182" w:line="346" w:lineRule="auto"/>
        <w:ind w:left="499" w:right="5989"/>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附件五：施工总平面图</w:t>
      </w:r>
      <w:r>
        <w:rPr>
          <w:rFonts w:ascii="宋体" w:hAnsi="宋体" w:eastAsia="宋体" w:cs="宋体"/>
          <w:color w:val="auto"/>
          <w:sz w:val="24"/>
          <w:szCs w:val="24"/>
          <w:highlight w:val="none"/>
        </w:rPr>
        <w:t xml:space="preserve"> </w:t>
      </w:r>
      <w:r>
        <w:rPr>
          <w:rFonts w:ascii="宋体" w:hAnsi="宋体" w:eastAsia="宋体" w:cs="宋体"/>
          <w:color w:val="auto"/>
          <w:spacing w:val="-3"/>
          <w:sz w:val="24"/>
          <w:szCs w:val="24"/>
          <w:highlight w:val="none"/>
        </w:rPr>
        <w:t>附表六：临时用地表</w:t>
      </w:r>
    </w:p>
    <w:p w14:paraId="779C9CCC">
      <w:pPr>
        <w:spacing w:line="346"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1BE3C2B">
      <w:pPr>
        <w:spacing w:before="47" w:line="219" w:lineRule="auto"/>
        <w:ind w:left="28"/>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附件一：</w:t>
      </w:r>
    </w:p>
    <w:p w14:paraId="4F1302BB">
      <w:pPr>
        <w:spacing w:before="183" w:line="219" w:lineRule="auto"/>
        <w:ind w:left="2716"/>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拟投入本标段的主要施工设备表</w:t>
      </w:r>
    </w:p>
    <w:p w14:paraId="56B10740">
      <w:pPr>
        <w:spacing w:line="144" w:lineRule="exact"/>
        <w:rPr>
          <w:color w:val="auto"/>
          <w:highlight w:val="none"/>
        </w:rPr>
      </w:pPr>
    </w:p>
    <w:tbl>
      <w:tblPr>
        <w:tblStyle w:val="32"/>
        <w:tblW w:w="89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63"/>
        <w:gridCol w:w="1071"/>
        <w:gridCol w:w="719"/>
        <w:gridCol w:w="740"/>
        <w:gridCol w:w="738"/>
        <w:gridCol w:w="855"/>
        <w:gridCol w:w="1270"/>
        <w:gridCol w:w="882"/>
        <w:gridCol w:w="980"/>
        <w:gridCol w:w="987"/>
      </w:tblGrid>
      <w:tr w14:paraId="288E9A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1" w:hRule="atLeast"/>
        </w:trPr>
        <w:tc>
          <w:tcPr>
            <w:tcW w:w="663" w:type="dxa"/>
            <w:tcBorders>
              <w:top w:val="single" w:color="000000" w:sz="6" w:space="0"/>
              <w:left w:val="single" w:color="000000" w:sz="6" w:space="0"/>
            </w:tcBorders>
            <w:textDirection w:val="tbRlV"/>
            <w:vAlign w:val="top"/>
          </w:tcPr>
          <w:p w14:paraId="13F72F69">
            <w:pPr>
              <w:pStyle w:val="33"/>
              <w:spacing w:before="211" w:line="210" w:lineRule="auto"/>
              <w:ind w:left="196"/>
              <w:rPr>
                <w:color w:val="auto"/>
                <w:sz w:val="24"/>
                <w:szCs w:val="24"/>
                <w:highlight w:val="none"/>
              </w:rPr>
            </w:pPr>
            <w:r>
              <w:rPr>
                <w:color w:val="auto"/>
                <w:sz w:val="24"/>
                <w:szCs w:val="24"/>
                <w:highlight w:val="none"/>
              </w:rPr>
              <w:t>序</w:t>
            </w:r>
            <w:r>
              <w:rPr>
                <w:color w:val="auto"/>
                <w:spacing w:val="-48"/>
                <w:sz w:val="24"/>
                <w:szCs w:val="24"/>
                <w:highlight w:val="none"/>
              </w:rPr>
              <w:t xml:space="preserve"> </w:t>
            </w:r>
            <w:r>
              <w:rPr>
                <w:color w:val="auto"/>
                <w:sz w:val="24"/>
                <w:szCs w:val="24"/>
                <w:highlight w:val="none"/>
              </w:rPr>
              <w:t>号</w:t>
            </w:r>
          </w:p>
        </w:tc>
        <w:tc>
          <w:tcPr>
            <w:tcW w:w="1071" w:type="dxa"/>
            <w:tcBorders>
              <w:top w:val="single" w:color="000000" w:sz="6" w:space="0"/>
            </w:tcBorders>
            <w:vAlign w:val="top"/>
          </w:tcPr>
          <w:p w14:paraId="369F9001">
            <w:pPr>
              <w:pStyle w:val="33"/>
              <w:spacing w:before="196" w:line="231" w:lineRule="auto"/>
              <w:ind w:left="296" w:right="301"/>
              <w:rPr>
                <w:color w:val="auto"/>
                <w:sz w:val="24"/>
                <w:szCs w:val="24"/>
                <w:highlight w:val="none"/>
              </w:rPr>
            </w:pPr>
            <w:r>
              <w:rPr>
                <w:color w:val="auto"/>
                <w:spacing w:val="-7"/>
                <w:sz w:val="24"/>
                <w:szCs w:val="24"/>
                <w:highlight w:val="none"/>
              </w:rPr>
              <w:t>设备</w:t>
            </w:r>
            <w:r>
              <w:rPr>
                <w:color w:val="auto"/>
                <w:sz w:val="24"/>
                <w:szCs w:val="24"/>
                <w:highlight w:val="none"/>
              </w:rPr>
              <w:t xml:space="preserve"> </w:t>
            </w:r>
            <w:r>
              <w:rPr>
                <w:color w:val="auto"/>
                <w:spacing w:val="-7"/>
                <w:sz w:val="24"/>
                <w:szCs w:val="24"/>
                <w:highlight w:val="none"/>
              </w:rPr>
              <w:t>名称</w:t>
            </w:r>
          </w:p>
        </w:tc>
        <w:tc>
          <w:tcPr>
            <w:tcW w:w="719" w:type="dxa"/>
            <w:tcBorders>
              <w:top w:val="single" w:color="000000" w:sz="6" w:space="0"/>
            </w:tcBorders>
            <w:vAlign w:val="top"/>
          </w:tcPr>
          <w:p w14:paraId="7DBD39EE">
            <w:pPr>
              <w:pStyle w:val="33"/>
              <w:spacing w:before="195" w:line="230" w:lineRule="auto"/>
              <w:ind w:left="123" w:right="120" w:firstLine="6"/>
              <w:rPr>
                <w:color w:val="auto"/>
                <w:sz w:val="24"/>
                <w:szCs w:val="24"/>
                <w:highlight w:val="none"/>
              </w:rPr>
            </w:pPr>
            <w:r>
              <w:rPr>
                <w:color w:val="auto"/>
                <w:spacing w:val="-9"/>
                <w:sz w:val="24"/>
                <w:szCs w:val="24"/>
                <w:highlight w:val="none"/>
              </w:rPr>
              <w:t>型号</w:t>
            </w:r>
            <w:r>
              <w:rPr>
                <w:color w:val="auto"/>
                <w:sz w:val="24"/>
                <w:szCs w:val="24"/>
                <w:highlight w:val="none"/>
              </w:rPr>
              <w:t xml:space="preserve"> </w:t>
            </w:r>
            <w:r>
              <w:rPr>
                <w:color w:val="auto"/>
                <w:spacing w:val="-6"/>
                <w:sz w:val="24"/>
                <w:szCs w:val="24"/>
                <w:highlight w:val="none"/>
              </w:rPr>
              <w:t>规格</w:t>
            </w:r>
          </w:p>
        </w:tc>
        <w:tc>
          <w:tcPr>
            <w:tcW w:w="740" w:type="dxa"/>
            <w:tcBorders>
              <w:top w:val="single" w:color="000000" w:sz="6" w:space="0"/>
            </w:tcBorders>
            <w:vAlign w:val="top"/>
          </w:tcPr>
          <w:p w14:paraId="308B3222">
            <w:pPr>
              <w:spacing w:line="272" w:lineRule="auto"/>
              <w:rPr>
                <w:rFonts w:ascii="Arial"/>
                <w:color w:val="auto"/>
                <w:sz w:val="21"/>
                <w:highlight w:val="none"/>
              </w:rPr>
            </w:pPr>
          </w:p>
          <w:p w14:paraId="50452F9F">
            <w:pPr>
              <w:pStyle w:val="33"/>
              <w:spacing w:before="78" w:line="220" w:lineRule="auto"/>
              <w:ind w:left="135"/>
              <w:rPr>
                <w:color w:val="auto"/>
                <w:sz w:val="24"/>
                <w:szCs w:val="24"/>
                <w:highlight w:val="none"/>
              </w:rPr>
            </w:pPr>
            <w:r>
              <w:rPr>
                <w:color w:val="auto"/>
                <w:spacing w:val="-3"/>
                <w:sz w:val="24"/>
                <w:szCs w:val="24"/>
                <w:highlight w:val="none"/>
              </w:rPr>
              <w:t>数量</w:t>
            </w:r>
          </w:p>
        </w:tc>
        <w:tc>
          <w:tcPr>
            <w:tcW w:w="738" w:type="dxa"/>
            <w:tcBorders>
              <w:top w:val="single" w:color="000000" w:sz="6" w:space="0"/>
            </w:tcBorders>
            <w:vAlign w:val="top"/>
          </w:tcPr>
          <w:p w14:paraId="5749D556">
            <w:pPr>
              <w:pStyle w:val="33"/>
              <w:spacing w:before="195" w:line="230" w:lineRule="auto"/>
              <w:ind w:left="132" w:right="129" w:firstLine="23"/>
              <w:rPr>
                <w:color w:val="auto"/>
                <w:sz w:val="24"/>
                <w:szCs w:val="24"/>
                <w:highlight w:val="none"/>
              </w:rPr>
            </w:pPr>
            <w:r>
              <w:rPr>
                <w:color w:val="auto"/>
                <w:spacing w:val="-17"/>
                <w:sz w:val="24"/>
                <w:szCs w:val="24"/>
                <w:highlight w:val="none"/>
              </w:rPr>
              <w:t>国别</w:t>
            </w:r>
            <w:r>
              <w:rPr>
                <w:color w:val="auto"/>
                <w:sz w:val="24"/>
                <w:szCs w:val="24"/>
                <w:highlight w:val="none"/>
              </w:rPr>
              <w:t xml:space="preserve"> </w:t>
            </w:r>
            <w:r>
              <w:rPr>
                <w:color w:val="auto"/>
                <w:spacing w:val="-5"/>
                <w:sz w:val="24"/>
                <w:szCs w:val="24"/>
                <w:highlight w:val="none"/>
              </w:rPr>
              <w:t>产地</w:t>
            </w:r>
          </w:p>
        </w:tc>
        <w:tc>
          <w:tcPr>
            <w:tcW w:w="855" w:type="dxa"/>
            <w:tcBorders>
              <w:top w:val="single" w:color="000000" w:sz="6" w:space="0"/>
            </w:tcBorders>
            <w:vAlign w:val="top"/>
          </w:tcPr>
          <w:p w14:paraId="5876D79C">
            <w:pPr>
              <w:pStyle w:val="33"/>
              <w:spacing w:before="195" w:line="230" w:lineRule="auto"/>
              <w:ind w:left="194" w:right="185"/>
              <w:rPr>
                <w:color w:val="auto"/>
                <w:sz w:val="24"/>
                <w:szCs w:val="24"/>
                <w:highlight w:val="none"/>
              </w:rPr>
            </w:pPr>
            <w:r>
              <w:rPr>
                <w:color w:val="auto"/>
                <w:spacing w:val="-6"/>
                <w:sz w:val="24"/>
                <w:szCs w:val="24"/>
                <w:highlight w:val="none"/>
              </w:rPr>
              <w:t>制造</w:t>
            </w:r>
            <w:r>
              <w:rPr>
                <w:color w:val="auto"/>
                <w:sz w:val="24"/>
                <w:szCs w:val="24"/>
                <w:highlight w:val="none"/>
              </w:rPr>
              <w:t xml:space="preserve"> </w:t>
            </w:r>
            <w:r>
              <w:rPr>
                <w:color w:val="auto"/>
                <w:spacing w:val="-6"/>
                <w:sz w:val="24"/>
                <w:szCs w:val="24"/>
                <w:highlight w:val="none"/>
              </w:rPr>
              <w:t>年份</w:t>
            </w:r>
          </w:p>
        </w:tc>
        <w:tc>
          <w:tcPr>
            <w:tcW w:w="1270" w:type="dxa"/>
            <w:tcBorders>
              <w:top w:val="single" w:color="000000" w:sz="6" w:space="0"/>
            </w:tcBorders>
            <w:vAlign w:val="top"/>
          </w:tcPr>
          <w:p w14:paraId="45A00EB1">
            <w:pPr>
              <w:pStyle w:val="33"/>
              <w:spacing w:before="39" w:line="220" w:lineRule="auto"/>
              <w:ind w:left="164"/>
              <w:rPr>
                <w:color w:val="auto"/>
                <w:sz w:val="24"/>
                <w:szCs w:val="24"/>
                <w:highlight w:val="none"/>
              </w:rPr>
            </w:pPr>
            <w:r>
              <w:rPr>
                <w:color w:val="auto"/>
                <w:spacing w:val="-2"/>
                <w:sz w:val="24"/>
                <w:szCs w:val="24"/>
                <w:highlight w:val="none"/>
              </w:rPr>
              <w:t>额定功率</w:t>
            </w:r>
          </w:p>
          <w:p w14:paraId="0EB0360B">
            <w:pPr>
              <w:pStyle w:val="33"/>
              <w:spacing w:before="25" w:line="223" w:lineRule="auto"/>
              <w:ind w:left="549" w:right="276" w:hanging="251"/>
              <w:rPr>
                <w:color w:val="auto"/>
                <w:sz w:val="24"/>
                <w:szCs w:val="24"/>
                <w:highlight w:val="none"/>
              </w:rPr>
            </w:pPr>
            <w:r>
              <w:rPr>
                <w:color w:val="auto"/>
                <w:spacing w:val="-4"/>
                <w:sz w:val="24"/>
                <w:szCs w:val="24"/>
                <w:highlight w:val="none"/>
              </w:rPr>
              <w:t xml:space="preserve">（ </w:t>
            </w:r>
            <w:r>
              <w:rPr>
                <w:rFonts w:ascii="Times New Roman" w:hAnsi="Times New Roman" w:eastAsia="Times New Roman" w:cs="Times New Roman"/>
                <w:color w:val="auto"/>
                <w:spacing w:val="-4"/>
                <w:sz w:val="24"/>
                <w:szCs w:val="24"/>
                <w:highlight w:val="none"/>
              </w:rPr>
              <w:t>kW</w:t>
            </w:r>
            <w:r>
              <w:rPr>
                <w:rFonts w:ascii="Times New Roman" w:hAnsi="Times New Roman" w:eastAsia="Times New Roman" w:cs="Times New Roman"/>
                <w:color w:val="auto"/>
                <w:sz w:val="24"/>
                <w:szCs w:val="24"/>
                <w:highlight w:val="none"/>
              </w:rPr>
              <w:t xml:space="preserve"> </w:t>
            </w:r>
            <w:r>
              <w:rPr>
                <w:color w:val="auto"/>
                <w:sz w:val="24"/>
                <w:szCs w:val="24"/>
                <w:highlight w:val="none"/>
              </w:rPr>
              <w:t>)</w:t>
            </w:r>
          </w:p>
        </w:tc>
        <w:tc>
          <w:tcPr>
            <w:tcW w:w="882" w:type="dxa"/>
            <w:tcBorders>
              <w:top w:val="single" w:color="000000" w:sz="6" w:space="0"/>
            </w:tcBorders>
            <w:vAlign w:val="top"/>
          </w:tcPr>
          <w:p w14:paraId="23B8C81F">
            <w:pPr>
              <w:pStyle w:val="33"/>
              <w:spacing w:before="195" w:line="230" w:lineRule="auto"/>
              <w:ind w:left="221" w:right="194" w:hanging="7"/>
              <w:rPr>
                <w:color w:val="auto"/>
                <w:sz w:val="24"/>
                <w:szCs w:val="24"/>
                <w:highlight w:val="none"/>
              </w:rPr>
            </w:pPr>
            <w:r>
              <w:rPr>
                <w:color w:val="auto"/>
                <w:spacing w:val="-6"/>
                <w:sz w:val="24"/>
                <w:szCs w:val="24"/>
                <w:highlight w:val="none"/>
              </w:rPr>
              <w:t>生产</w:t>
            </w:r>
            <w:r>
              <w:rPr>
                <w:color w:val="auto"/>
                <w:sz w:val="24"/>
                <w:szCs w:val="24"/>
                <w:highlight w:val="none"/>
              </w:rPr>
              <w:t xml:space="preserve"> </w:t>
            </w:r>
            <w:r>
              <w:rPr>
                <w:color w:val="auto"/>
                <w:spacing w:val="-10"/>
                <w:sz w:val="24"/>
                <w:szCs w:val="24"/>
                <w:highlight w:val="none"/>
              </w:rPr>
              <w:t>能力</w:t>
            </w:r>
          </w:p>
        </w:tc>
        <w:tc>
          <w:tcPr>
            <w:tcW w:w="980" w:type="dxa"/>
            <w:tcBorders>
              <w:top w:val="single" w:color="000000" w:sz="6" w:space="0"/>
            </w:tcBorders>
            <w:vAlign w:val="top"/>
          </w:tcPr>
          <w:p w14:paraId="6E212B8D">
            <w:pPr>
              <w:pStyle w:val="33"/>
              <w:spacing w:before="195" w:line="230" w:lineRule="auto"/>
              <w:ind w:left="143" w:right="123"/>
              <w:rPr>
                <w:color w:val="auto"/>
                <w:sz w:val="24"/>
                <w:szCs w:val="24"/>
                <w:highlight w:val="none"/>
              </w:rPr>
            </w:pPr>
            <w:r>
              <w:rPr>
                <w:color w:val="auto"/>
                <w:spacing w:val="-4"/>
                <w:sz w:val="24"/>
                <w:szCs w:val="24"/>
                <w:highlight w:val="none"/>
              </w:rPr>
              <w:t>用于施</w:t>
            </w:r>
            <w:r>
              <w:rPr>
                <w:color w:val="auto"/>
                <w:sz w:val="24"/>
                <w:szCs w:val="24"/>
                <w:highlight w:val="none"/>
              </w:rPr>
              <w:t xml:space="preserve"> </w:t>
            </w:r>
            <w:r>
              <w:rPr>
                <w:color w:val="auto"/>
                <w:spacing w:val="-5"/>
                <w:sz w:val="24"/>
                <w:szCs w:val="24"/>
                <w:highlight w:val="none"/>
              </w:rPr>
              <w:t>工部位</w:t>
            </w:r>
          </w:p>
        </w:tc>
        <w:tc>
          <w:tcPr>
            <w:tcW w:w="987" w:type="dxa"/>
            <w:tcBorders>
              <w:top w:val="single" w:color="000000" w:sz="6" w:space="0"/>
              <w:right w:val="single" w:color="000000" w:sz="6" w:space="0"/>
            </w:tcBorders>
            <w:vAlign w:val="top"/>
          </w:tcPr>
          <w:p w14:paraId="23DBEF33">
            <w:pPr>
              <w:spacing w:line="272" w:lineRule="auto"/>
              <w:rPr>
                <w:rFonts w:ascii="Arial"/>
                <w:color w:val="auto"/>
                <w:sz w:val="21"/>
                <w:highlight w:val="none"/>
              </w:rPr>
            </w:pPr>
          </w:p>
          <w:p w14:paraId="4C8C748E">
            <w:pPr>
              <w:pStyle w:val="33"/>
              <w:spacing w:before="78" w:line="221" w:lineRule="auto"/>
              <w:ind w:left="265"/>
              <w:rPr>
                <w:color w:val="auto"/>
                <w:sz w:val="24"/>
                <w:szCs w:val="24"/>
                <w:highlight w:val="none"/>
              </w:rPr>
            </w:pPr>
            <w:r>
              <w:rPr>
                <w:color w:val="auto"/>
                <w:spacing w:val="-4"/>
                <w:sz w:val="24"/>
                <w:szCs w:val="24"/>
                <w:highlight w:val="none"/>
              </w:rPr>
              <w:t>备注</w:t>
            </w:r>
          </w:p>
        </w:tc>
      </w:tr>
      <w:tr w14:paraId="7BBC7F1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63" w:type="dxa"/>
            <w:tcBorders>
              <w:left w:val="single" w:color="000000" w:sz="6" w:space="0"/>
            </w:tcBorders>
            <w:vAlign w:val="top"/>
          </w:tcPr>
          <w:p w14:paraId="5583D244">
            <w:pPr>
              <w:rPr>
                <w:rFonts w:ascii="Arial"/>
                <w:color w:val="auto"/>
                <w:sz w:val="21"/>
                <w:highlight w:val="none"/>
              </w:rPr>
            </w:pPr>
          </w:p>
        </w:tc>
        <w:tc>
          <w:tcPr>
            <w:tcW w:w="1071" w:type="dxa"/>
            <w:vAlign w:val="top"/>
          </w:tcPr>
          <w:p w14:paraId="56B75498">
            <w:pPr>
              <w:rPr>
                <w:rFonts w:ascii="Arial"/>
                <w:color w:val="auto"/>
                <w:sz w:val="21"/>
                <w:highlight w:val="none"/>
              </w:rPr>
            </w:pPr>
          </w:p>
        </w:tc>
        <w:tc>
          <w:tcPr>
            <w:tcW w:w="719" w:type="dxa"/>
            <w:vAlign w:val="top"/>
          </w:tcPr>
          <w:p w14:paraId="7B49EF81">
            <w:pPr>
              <w:rPr>
                <w:rFonts w:ascii="Arial"/>
                <w:color w:val="auto"/>
                <w:sz w:val="21"/>
                <w:highlight w:val="none"/>
              </w:rPr>
            </w:pPr>
          </w:p>
        </w:tc>
        <w:tc>
          <w:tcPr>
            <w:tcW w:w="740" w:type="dxa"/>
            <w:vAlign w:val="top"/>
          </w:tcPr>
          <w:p w14:paraId="28DBF7BA">
            <w:pPr>
              <w:rPr>
                <w:rFonts w:ascii="Arial"/>
                <w:color w:val="auto"/>
                <w:sz w:val="21"/>
                <w:highlight w:val="none"/>
              </w:rPr>
            </w:pPr>
          </w:p>
        </w:tc>
        <w:tc>
          <w:tcPr>
            <w:tcW w:w="738" w:type="dxa"/>
            <w:vAlign w:val="top"/>
          </w:tcPr>
          <w:p w14:paraId="0714A751">
            <w:pPr>
              <w:rPr>
                <w:rFonts w:ascii="Arial"/>
                <w:color w:val="auto"/>
                <w:sz w:val="21"/>
                <w:highlight w:val="none"/>
              </w:rPr>
            </w:pPr>
          </w:p>
        </w:tc>
        <w:tc>
          <w:tcPr>
            <w:tcW w:w="855" w:type="dxa"/>
            <w:vAlign w:val="top"/>
          </w:tcPr>
          <w:p w14:paraId="01DE8958">
            <w:pPr>
              <w:rPr>
                <w:rFonts w:ascii="Arial"/>
                <w:color w:val="auto"/>
                <w:sz w:val="21"/>
                <w:highlight w:val="none"/>
              </w:rPr>
            </w:pPr>
          </w:p>
        </w:tc>
        <w:tc>
          <w:tcPr>
            <w:tcW w:w="1270" w:type="dxa"/>
            <w:vAlign w:val="top"/>
          </w:tcPr>
          <w:p w14:paraId="7C00CBF9">
            <w:pPr>
              <w:rPr>
                <w:rFonts w:ascii="Arial"/>
                <w:color w:val="auto"/>
                <w:sz w:val="21"/>
                <w:highlight w:val="none"/>
              </w:rPr>
            </w:pPr>
          </w:p>
        </w:tc>
        <w:tc>
          <w:tcPr>
            <w:tcW w:w="882" w:type="dxa"/>
            <w:vAlign w:val="top"/>
          </w:tcPr>
          <w:p w14:paraId="152ACF8A">
            <w:pPr>
              <w:rPr>
                <w:rFonts w:ascii="Arial"/>
                <w:color w:val="auto"/>
                <w:sz w:val="21"/>
                <w:highlight w:val="none"/>
              </w:rPr>
            </w:pPr>
          </w:p>
        </w:tc>
        <w:tc>
          <w:tcPr>
            <w:tcW w:w="980" w:type="dxa"/>
            <w:vAlign w:val="top"/>
          </w:tcPr>
          <w:p w14:paraId="43D36D0A">
            <w:pPr>
              <w:rPr>
                <w:rFonts w:ascii="Arial"/>
                <w:color w:val="auto"/>
                <w:sz w:val="21"/>
                <w:highlight w:val="none"/>
              </w:rPr>
            </w:pPr>
          </w:p>
        </w:tc>
        <w:tc>
          <w:tcPr>
            <w:tcW w:w="987" w:type="dxa"/>
            <w:tcBorders>
              <w:right w:val="single" w:color="000000" w:sz="6" w:space="0"/>
            </w:tcBorders>
            <w:vAlign w:val="top"/>
          </w:tcPr>
          <w:p w14:paraId="66AA1A54">
            <w:pPr>
              <w:rPr>
                <w:rFonts w:ascii="Arial"/>
                <w:color w:val="auto"/>
                <w:sz w:val="21"/>
                <w:highlight w:val="none"/>
              </w:rPr>
            </w:pPr>
          </w:p>
        </w:tc>
      </w:tr>
      <w:tr w14:paraId="568EF5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3" w:type="dxa"/>
            <w:tcBorders>
              <w:left w:val="single" w:color="000000" w:sz="6" w:space="0"/>
            </w:tcBorders>
            <w:vAlign w:val="top"/>
          </w:tcPr>
          <w:p w14:paraId="47448E47">
            <w:pPr>
              <w:rPr>
                <w:rFonts w:ascii="Arial"/>
                <w:color w:val="auto"/>
                <w:sz w:val="21"/>
                <w:highlight w:val="none"/>
              </w:rPr>
            </w:pPr>
          </w:p>
        </w:tc>
        <w:tc>
          <w:tcPr>
            <w:tcW w:w="1071" w:type="dxa"/>
            <w:vAlign w:val="top"/>
          </w:tcPr>
          <w:p w14:paraId="746D273D">
            <w:pPr>
              <w:rPr>
                <w:rFonts w:ascii="Arial"/>
                <w:color w:val="auto"/>
                <w:sz w:val="21"/>
                <w:highlight w:val="none"/>
              </w:rPr>
            </w:pPr>
          </w:p>
        </w:tc>
        <w:tc>
          <w:tcPr>
            <w:tcW w:w="719" w:type="dxa"/>
            <w:vAlign w:val="top"/>
          </w:tcPr>
          <w:p w14:paraId="159F84AC">
            <w:pPr>
              <w:rPr>
                <w:rFonts w:ascii="Arial"/>
                <w:color w:val="auto"/>
                <w:sz w:val="21"/>
                <w:highlight w:val="none"/>
              </w:rPr>
            </w:pPr>
          </w:p>
        </w:tc>
        <w:tc>
          <w:tcPr>
            <w:tcW w:w="740" w:type="dxa"/>
            <w:vAlign w:val="top"/>
          </w:tcPr>
          <w:p w14:paraId="7A389AE4">
            <w:pPr>
              <w:rPr>
                <w:rFonts w:ascii="Arial"/>
                <w:color w:val="auto"/>
                <w:sz w:val="21"/>
                <w:highlight w:val="none"/>
              </w:rPr>
            </w:pPr>
          </w:p>
        </w:tc>
        <w:tc>
          <w:tcPr>
            <w:tcW w:w="738" w:type="dxa"/>
            <w:vAlign w:val="top"/>
          </w:tcPr>
          <w:p w14:paraId="672C209D">
            <w:pPr>
              <w:rPr>
                <w:rFonts w:ascii="Arial"/>
                <w:color w:val="auto"/>
                <w:sz w:val="21"/>
                <w:highlight w:val="none"/>
              </w:rPr>
            </w:pPr>
          </w:p>
        </w:tc>
        <w:tc>
          <w:tcPr>
            <w:tcW w:w="855" w:type="dxa"/>
            <w:vAlign w:val="top"/>
          </w:tcPr>
          <w:p w14:paraId="0EE43982">
            <w:pPr>
              <w:rPr>
                <w:rFonts w:ascii="Arial"/>
                <w:color w:val="auto"/>
                <w:sz w:val="21"/>
                <w:highlight w:val="none"/>
              </w:rPr>
            </w:pPr>
          </w:p>
        </w:tc>
        <w:tc>
          <w:tcPr>
            <w:tcW w:w="1270" w:type="dxa"/>
            <w:vAlign w:val="top"/>
          </w:tcPr>
          <w:p w14:paraId="7E70029E">
            <w:pPr>
              <w:rPr>
                <w:rFonts w:ascii="Arial"/>
                <w:color w:val="auto"/>
                <w:sz w:val="21"/>
                <w:highlight w:val="none"/>
              </w:rPr>
            </w:pPr>
          </w:p>
        </w:tc>
        <w:tc>
          <w:tcPr>
            <w:tcW w:w="882" w:type="dxa"/>
            <w:vAlign w:val="top"/>
          </w:tcPr>
          <w:p w14:paraId="50F37A70">
            <w:pPr>
              <w:rPr>
                <w:rFonts w:ascii="Arial"/>
                <w:color w:val="auto"/>
                <w:sz w:val="21"/>
                <w:highlight w:val="none"/>
              </w:rPr>
            </w:pPr>
          </w:p>
        </w:tc>
        <w:tc>
          <w:tcPr>
            <w:tcW w:w="980" w:type="dxa"/>
            <w:vAlign w:val="top"/>
          </w:tcPr>
          <w:p w14:paraId="3E8536B7">
            <w:pPr>
              <w:rPr>
                <w:rFonts w:ascii="Arial"/>
                <w:color w:val="auto"/>
                <w:sz w:val="21"/>
                <w:highlight w:val="none"/>
              </w:rPr>
            </w:pPr>
          </w:p>
        </w:tc>
        <w:tc>
          <w:tcPr>
            <w:tcW w:w="987" w:type="dxa"/>
            <w:tcBorders>
              <w:right w:val="single" w:color="000000" w:sz="6" w:space="0"/>
            </w:tcBorders>
            <w:vAlign w:val="top"/>
          </w:tcPr>
          <w:p w14:paraId="6D287411">
            <w:pPr>
              <w:rPr>
                <w:rFonts w:ascii="Arial"/>
                <w:color w:val="auto"/>
                <w:sz w:val="21"/>
                <w:highlight w:val="none"/>
              </w:rPr>
            </w:pPr>
          </w:p>
        </w:tc>
      </w:tr>
      <w:tr w14:paraId="15D2C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3" w:hRule="atLeast"/>
        </w:trPr>
        <w:tc>
          <w:tcPr>
            <w:tcW w:w="663" w:type="dxa"/>
            <w:tcBorders>
              <w:left w:val="single" w:color="000000" w:sz="6" w:space="0"/>
            </w:tcBorders>
            <w:vAlign w:val="top"/>
          </w:tcPr>
          <w:p w14:paraId="292709C7">
            <w:pPr>
              <w:rPr>
                <w:rFonts w:ascii="Arial"/>
                <w:color w:val="auto"/>
                <w:sz w:val="21"/>
                <w:highlight w:val="none"/>
              </w:rPr>
            </w:pPr>
          </w:p>
        </w:tc>
        <w:tc>
          <w:tcPr>
            <w:tcW w:w="1071" w:type="dxa"/>
            <w:vAlign w:val="top"/>
          </w:tcPr>
          <w:p w14:paraId="20CD9BCD">
            <w:pPr>
              <w:rPr>
                <w:rFonts w:ascii="Arial"/>
                <w:color w:val="auto"/>
                <w:sz w:val="21"/>
                <w:highlight w:val="none"/>
              </w:rPr>
            </w:pPr>
          </w:p>
        </w:tc>
        <w:tc>
          <w:tcPr>
            <w:tcW w:w="719" w:type="dxa"/>
            <w:vAlign w:val="top"/>
          </w:tcPr>
          <w:p w14:paraId="19A4E83A">
            <w:pPr>
              <w:rPr>
                <w:rFonts w:ascii="Arial"/>
                <w:color w:val="auto"/>
                <w:sz w:val="21"/>
                <w:highlight w:val="none"/>
              </w:rPr>
            </w:pPr>
          </w:p>
        </w:tc>
        <w:tc>
          <w:tcPr>
            <w:tcW w:w="740" w:type="dxa"/>
            <w:vAlign w:val="top"/>
          </w:tcPr>
          <w:p w14:paraId="3192C5A3">
            <w:pPr>
              <w:rPr>
                <w:rFonts w:ascii="Arial"/>
                <w:color w:val="auto"/>
                <w:sz w:val="21"/>
                <w:highlight w:val="none"/>
              </w:rPr>
            </w:pPr>
          </w:p>
        </w:tc>
        <w:tc>
          <w:tcPr>
            <w:tcW w:w="738" w:type="dxa"/>
            <w:vAlign w:val="top"/>
          </w:tcPr>
          <w:p w14:paraId="266D115D">
            <w:pPr>
              <w:rPr>
                <w:rFonts w:ascii="Arial"/>
                <w:color w:val="auto"/>
                <w:sz w:val="21"/>
                <w:highlight w:val="none"/>
              </w:rPr>
            </w:pPr>
          </w:p>
        </w:tc>
        <w:tc>
          <w:tcPr>
            <w:tcW w:w="855" w:type="dxa"/>
            <w:vAlign w:val="top"/>
          </w:tcPr>
          <w:p w14:paraId="2E0A75A0">
            <w:pPr>
              <w:rPr>
                <w:rFonts w:ascii="Arial"/>
                <w:color w:val="auto"/>
                <w:sz w:val="21"/>
                <w:highlight w:val="none"/>
              </w:rPr>
            </w:pPr>
          </w:p>
        </w:tc>
        <w:tc>
          <w:tcPr>
            <w:tcW w:w="1270" w:type="dxa"/>
            <w:vAlign w:val="top"/>
          </w:tcPr>
          <w:p w14:paraId="2AEA105E">
            <w:pPr>
              <w:rPr>
                <w:rFonts w:ascii="Arial"/>
                <w:color w:val="auto"/>
                <w:sz w:val="21"/>
                <w:highlight w:val="none"/>
              </w:rPr>
            </w:pPr>
          </w:p>
        </w:tc>
        <w:tc>
          <w:tcPr>
            <w:tcW w:w="882" w:type="dxa"/>
            <w:vAlign w:val="top"/>
          </w:tcPr>
          <w:p w14:paraId="5DD47E71">
            <w:pPr>
              <w:rPr>
                <w:rFonts w:ascii="Arial"/>
                <w:color w:val="auto"/>
                <w:sz w:val="21"/>
                <w:highlight w:val="none"/>
              </w:rPr>
            </w:pPr>
          </w:p>
        </w:tc>
        <w:tc>
          <w:tcPr>
            <w:tcW w:w="980" w:type="dxa"/>
            <w:vAlign w:val="top"/>
          </w:tcPr>
          <w:p w14:paraId="555BF569">
            <w:pPr>
              <w:rPr>
                <w:rFonts w:ascii="Arial"/>
                <w:color w:val="auto"/>
                <w:sz w:val="21"/>
                <w:highlight w:val="none"/>
              </w:rPr>
            </w:pPr>
          </w:p>
        </w:tc>
        <w:tc>
          <w:tcPr>
            <w:tcW w:w="987" w:type="dxa"/>
            <w:tcBorders>
              <w:right w:val="single" w:color="000000" w:sz="6" w:space="0"/>
            </w:tcBorders>
            <w:vAlign w:val="top"/>
          </w:tcPr>
          <w:p w14:paraId="1860CE0D">
            <w:pPr>
              <w:rPr>
                <w:rFonts w:ascii="Arial"/>
                <w:color w:val="auto"/>
                <w:sz w:val="21"/>
                <w:highlight w:val="none"/>
              </w:rPr>
            </w:pPr>
          </w:p>
        </w:tc>
      </w:tr>
      <w:tr w14:paraId="123E3A3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146E5E9C">
            <w:pPr>
              <w:rPr>
                <w:rFonts w:ascii="Arial"/>
                <w:color w:val="auto"/>
                <w:sz w:val="21"/>
                <w:highlight w:val="none"/>
              </w:rPr>
            </w:pPr>
          </w:p>
        </w:tc>
        <w:tc>
          <w:tcPr>
            <w:tcW w:w="1071" w:type="dxa"/>
            <w:vAlign w:val="top"/>
          </w:tcPr>
          <w:p w14:paraId="6D525FAF">
            <w:pPr>
              <w:rPr>
                <w:rFonts w:ascii="Arial"/>
                <w:color w:val="auto"/>
                <w:sz w:val="21"/>
                <w:highlight w:val="none"/>
              </w:rPr>
            </w:pPr>
          </w:p>
        </w:tc>
        <w:tc>
          <w:tcPr>
            <w:tcW w:w="719" w:type="dxa"/>
            <w:vAlign w:val="top"/>
          </w:tcPr>
          <w:p w14:paraId="5CC3AF66">
            <w:pPr>
              <w:rPr>
                <w:rFonts w:ascii="Arial"/>
                <w:color w:val="auto"/>
                <w:sz w:val="21"/>
                <w:highlight w:val="none"/>
              </w:rPr>
            </w:pPr>
          </w:p>
        </w:tc>
        <w:tc>
          <w:tcPr>
            <w:tcW w:w="740" w:type="dxa"/>
            <w:vAlign w:val="top"/>
          </w:tcPr>
          <w:p w14:paraId="30BBB1C8">
            <w:pPr>
              <w:rPr>
                <w:rFonts w:ascii="Arial"/>
                <w:color w:val="auto"/>
                <w:sz w:val="21"/>
                <w:highlight w:val="none"/>
              </w:rPr>
            </w:pPr>
          </w:p>
        </w:tc>
        <w:tc>
          <w:tcPr>
            <w:tcW w:w="738" w:type="dxa"/>
            <w:vAlign w:val="top"/>
          </w:tcPr>
          <w:p w14:paraId="71393D74">
            <w:pPr>
              <w:rPr>
                <w:rFonts w:ascii="Arial"/>
                <w:color w:val="auto"/>
                <w:sz w:val="21"/>
                <w:highlight w:val="none"/>
              </w:rPr>
            </w:pPr>
          </w:p>
        </w:tc>
        <w:tc>
          <w:tcPr>
            <w:tcW w:w="855" w:type="dxa"/>
            <w:vAlign w:val="top"/>
          </w:tcPr>
          <w:p w14:paraId="32EEB274">
            <w:pPr>
              <w:rPr>
                <w:rFonts w:ascii="Arial"/>
                <w:color w:val="auto"/>
                <w:sz w:val="21"/>
                <w:highlight w:val="none"/>
              </w:rPr>
            </w:pPr>
          </w:p>
        </w:tc>
        <w:tc>
          <w:tcPr>
            <w:tcW w:w="1270" w:type="dxa"/>
            <w:vAlign w:val="top"/>
          </w:tcPr>
          <w:p w14:paraId="16CCF830">
            <w:pPr>
              <w:rPr>
                <w:rFonts w:ascii="Arial"/>
                <w:color w:val="auto"/>
                <w:sz w:val="21"/>
                <w:highlight w:val="none"/>
              </w:rPr>
            </w:pPr>
          </w:p>
        </w:tc>
        <w:tc>
          <w:tcPr>
            <w:tcW w:w="882" w:type="dxa"/>
            <w:vAlign w:val="top"/>
          </w:tcPr>
          <w:p w14:paraId="62843712">
            <w:pPr>
              <w:rPr>
                <w:rFonts w:ascii="Arial"/>
                <w:color w:val="auto"/>
                <w:sz w:val="21"/>
                <w:highlight w:val="none"/>
              </w:rPr>
            </w:pPr>
          </w:p>
        </w:tc>
        <w:tc>
          <w:tcPr>
            <w:tcW w:w="980" w:type="dxa"/>
            <w:vAlign w:val="top"/>
          </w:tcPr>
          <w:p w14:paraId="3428364B">
            <w:pPr>
              <w:rPr>
                <w:rFonts w:ascii="Arial"/>
                <w:color w:val="auto"/>
                <w:sz w:val="21"/>
                <w:highlight w:val="none"/>
              </w:rPr>
            </w:pPr>
          </w:p>
        </w:tc>
        <w:tc>
          <w:tcPr>
            <w:tcW w:w="987" w:type="dxa"/>
            <w:tcBorders>
              <w:right w:val="single" w:color="000000" w:sz="6" w:space="0"/>
            </w:tcBorders>
            <w:vAlign w:val="top"/>
          </w:tcPr>
          <w:p w14:paraId="5C90E7BF">
            <w:pPr>
              <w:rPr>
                <w:rFonts w:ascii="Arial"/>
                <w:color w:val="auto"/>
                <w:sz w:val="21"/>
                <w:highlight w:val="none"/>
              </w:rPr>
            </w:pPr>
          </w:p>
        </w:tc>
      </w:tr>
      <w:tr w14:paraId="4DF2A5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0E4DA6EF">
            <w:pPr>
              <w:rPr>
                <w:rFonts w:ascii="Arial"/>
                <w:color w:val="auto"/>
                <w:sz w:val="21"/>
                <w:highlight w:val="none"/>
              </w:rPr>
            </w:pPr>
          </w:p>
        </w:tc>
        <w:tc>
          <w:tcPr>
            <w:tcW w:w="1071" w:type="dxa"/>
            <w:vAlign w:val="top"/>
          </w:tcPr>
          <w:p w14:paraId="7484830A">
            <w:pPr>
              <w:rPr>
                <w:rFonts w:ascii="Arial"/>
                <w:color w:val="auto"/>
                <w:sz w:val="21"/>
                <w:highlight w:val="none"/>
              </w:rPr>
            </w:pPr>
          </w:p>
        </w:tc>
        <w:tc>
          <w:tcPr>
            <w:tcW w:w="719" w:type="dxa"/>
            <w:vAlign w:val="top"/>
          </w:tcPr>
          <w:p w14:paraId="7A408A9D">
            <w:pPr>
              <w:rPr>
                <w:rFonts w:ascii="Arial"/>
                <w:color w:val="auto"/>
                <w:sz w:val="21"/>
                <w:highlight w:val="none"/>
              </w:rPr>
            </w:pPr>
          </w:p>
        </w:tc>
        <w:tc>
          <w:tcPr>
            <w:tcW w:w="740" w:type="dxa"/>
            <w:vAlign w:val="top"/>
          </w:tcPr>
          <w:p w14:paraId="3FB8CC88">
            <w:pPr>
              <w:rPr>
                <w:rFonts w:ascii="Arial"/>
                <w:color w:val="auto"/>
                <w:sz w:val="21"/>
                <w:highlight w:val="none"/>
              </w:rPr>
            </w:pPr>
          </w:p>
        </w:tc>
        <w:tc>
          <w:tcPr>
            <w:tcW w:w="738" w:type="dxa"/>
            <w:vAlign w:val="top"/>
          </w:tcPr>
          <w:p w14:paraId="22C777E8">
            <w:pPr>
              <w:rPr>
                <w:rFonts w:ascii="Arial"/>
                <w:color w:val="auto"/>
                <w:sz w:val="21"/>
                <w:highlight w:val="none"/>
              </w:rPr>
            </w:pPr>
          </w:p>
        </w:tc>
        <w:tc>
          <w:tcPr>
            <w:tcW w:w="855" w:type="dxa"/>
            <w:vAlign w:val="top"/>
          </w:tcPr>
          <w:p w14:paraId="145A7467">
            <w:pPr>
              <w:rPr>
                <w:rFonts w:ascii="Arial"/>
                <w:color w:val="auto"/>
                <w:sz w:val="21"/>
                <w:highlight w:val="none"/>
              </w:rPr>
            </w:pPr>
          </w:p>
        </w:tc>
        <w:tc>
          <w:tcPr>
            <w:tcW w:w="1270" w:type="dxa"/>
            <w:vAlign w:val="top"/>
          </w:tcPr>
          <w:p w14:paraId="43560450">
            <w:pPr>
              <w:rPr>
                <w:rFonts w:ascii="Arial"/>
                <w:color w:val="auto"/>
                <w:sz w:val="21"/>
                <w:highlight w:val="none"/>
              </w:rPr>
            </w:pPr>
          </w:p>
        </w:tc>
        <w:tc>
          <w:tcPr>
            <w:tcW w:w="882" w:type="dxa"/>
            <w:vAlign w:val="top"/>
          </w:tcPr>
          <w:p w14:paraId="40D4E67F">
            <w:pPr>
              <w:rPr>
                <w:rFonts w:ascii="Arial"/>
                <w:color w:val="auto"/>
                <w:sz w:val="21"/>
                <w:highlight w:val="none"/>
              </w:rPr>
            </w:pPr>
          </w:p>
        </w:tc>
        <w:tc>
          <w:tcPr>
            <w:tcW w:w="980" w:type="dxa"/>
            <w:vAlign w:val="top"/>
          </w:tcPr>
          <w:p w14:paraId="0AD6CFCA">
            <w:pPr>
              <w:rPr>
                <w:rFonts w:ascii="Arial"/>
                <w:color w:val="auto"/>
                <w:sz w:val="21"/>
                <w:highlight w:val="none"/>
              </w:rPr>
            </w:pPr>
          </w:p>
        </w:tc>
        <w:tc>
          <w:tcPr>
            <w:tcW w:w="987" w:type="dxa"/>
            <w:tcBorders>
              <w:right w:val="single" w:color="000000" w:sz="6" w:space="0"/>
            </w:tcBorders>
            <w:vAlign w:val="top"/>
          </w:tcPr>
          <w:p w14:paraId="7F2978E9">
            <w:pPr>
              <w:rPr>
                <w:rFonts w:ascii="Arial"/>
                <w:color w:val="auto"/>
                <w:sz w:val="21"/>
                <w:highlight w:val="none"/>
              </w:rPr>
            </w:pPr>
          </w:p>
        </w:tc>
      </w:tr>
      <w:tr w14:paraId="11CCC7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286DAC77">
            <w:pPr>
              <w:rPr>
                <w:rFonts w:ascii="Arial"/>
                <w:color w:val="auto"/>
                <w:sz w:val="21"/>
                <w:highlight w:val="none"/>
              </w:rPr>
            </w:pPr>
          </w:p>
        </w:tc>
        <w:tc>
          <w:tcPr>
            <w:tcW w:w="1071" w:type="dxa"/>
            <w:vAlign w:val="top"/>
          </w:tcPr>
          <w:p w14:paraId="2268C44F">
            <w:pPr>
              <w:rPr>
                <w:rFonts w:ascii="Arial"/>
                <w:color w:val="auto"/>
                <w:sz w:val="21"/>
                <w:highlight w:val="none"/>
              </w:rPr>
            </w:pPr>
          </w:p>
        </w:tc>
        <w:tc>
          <w:tcPr>
            <w:tcW w:w="719" w:type="dxa"/>
            <w:vAlign w:val="top"/>
          </w:tcPr>
          <w:p w14:paraId="10671ADB">
            <w:pPr>
              <w:rPr>
                <w:rFonts w:ascii="Arial"/>
                <w:color w:val="auto"/>
                <w:sz w:val="21"/>
                <w:highlight w:val="none"/>
              </w:rPr>
            </w:pPr>
          </w:p>
        </w:tc>
        <w:tc>
          <w:tcPr>
            <w:tcW w:w="740" w:type="dxa"/>
            <w:vAlign w:val="top"/>
          </w:tcPr>
          <w:p w14:paraId="47D852FB">
            <w:pPr>
              <w:rPr>
                <w:rFonts w:ascii="Arial"/>
                <w:color w:val="auto"/>
                <w:sz w:val="21"/>
                <w:highlight w:val="none"/>
              </w:rPr>
            </w:pPr>
          </w:p>
        </w:tc>
        <w:tc>
          <w:tcPr>
            <w:tcW w:w="738" w:type="dxa"/>
            <w:vAlign w:val="top"/>
          </w:tcPr>
          <w:p w14:paraId="0F25C4A2">
            <w:pPr>
              <w:rPr>
                <w:rFonts w:ascii="Arial"/>
                <w:color w:val="auto"/>
                <w:sz w:val="21"/>
                <w:highlight w:val="none"/>
              </w:rPr>
            </w:pPr>
          </w:p>
        </w:tc>
        <w:tc>
          <w:tcPr>
            <w:tcW w:w="855" w:type="dxa"/>
            <w:vAlign w:val="top"/>
          </w:tcPr>
          <w:p w14:paraId="5E69BB51">
            <w:pPr>
              <w:rPr>
                <w:rFonts w:ascii="Arial"/>
                <w:color w:val="auto"/>
                <w:sz w:val="21"/>
                <w:highlight w:val="none"/>
              </w:rPr>
            </w:pPr>
          </w:p>
        </w:tc>
        <w:tc>
          <w:tcPr>
            <w:tcW w:w="1270" w:type="dxa"/>
            <w:vAlign w:val="top"/>
          </w:tcPr>
          <w:p w14:paraId="4855DAFE">
            <w:pPr>
              <w:rPr>
                <w:rFonts w:ascii="Arial"/>
                <w:color w:val="auto"/>
                <w:sz w:val="21"/>
                <w:highlight w:val="none"/>
              </w:rPr>
            </w:pPr>
          </w:p>
        </w:tc>
        <w:tc>
          <w:tcPr>
            <w:tcW w:w="882" w:type="dxa"/>
            <w:vAlign w:val="top"/>
          </w:tcPr>
          <w:p w14:paraId="32BDB8A9">
            <w:pPr>
              <w:rPr>
                <w:rFonts w:ascii="Arial"/>
                <w:color w:val="auto"/>
                <w:sz w:val="21"/>
                <w:highlight w:val="none"/>
              </w:rPr>
            </w:pPr>
          </w:p>
        </w:tc>
        <w:tc>
          <w:tcPr>
            <w:tcW w:w="980" w:type="dxa"/>
            <w:vAlign w:val="top"/>
          </w:tcPr>
          <w:p w14:paraId="33CD9BF1">
            <w:pPr>
              <w:rPr>
                <w:rFonts w:ascii="Arial"/>
                <w:color w:val="auto"/>
                <w:sz w:val="21"/>
                <w:highlight w:val="none"/>
              </w:rPr>
            </w:pPr>
          </w:p>
        </w:tc>
        <w:tc>
          <w:tcPr>
            <w:tcW w:w="987" w:type="dxa"/>
            <w:tcBorders>
              <w:right w:val="single" w:color="000000" w:sz="6" w:space="0"/>
            </w:tcBorders>
            <w:vAlign w:val="top"/>
          </w:tcPr>
          <w:p w14:paraId="3D65E7F9">
            <w:pPr>
              <w:rPr>
                <w:rFonts w:ascii="Arial"/>
                <w:color w:val="auto"/>
                <w:sz w:val="21"/>
                <w:highlight w:val="none"/>
              </w:rPr>
            </w:pPr>
          </w:p>
        </w:tc>
      </w:tr>
      <w:tr w14:paraId="4E9C98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63" w:type="dxa"/>
            <w:tcBorders>
              <w:left w:val="single" w:color="000000" w:sz="6" w:space="0"/>
            </w:tcBorders>
            <w:vAlign w:val="top"/>
          </w:tcPr>
          <w:p w14:paraId="62ADEC0A">
            <w:pPr>
              <w:rPr>
                <w:rFonts w:ascii="Arial"/>
                <w:color w:val="auto"/>
                <w:sz w:val="21"/>
                <w:highlight w:val="none"/>
              </w:rPr>
            </w:pPr>
          </w:p>
        </w:tc>
        <w:tc>
          <w:tcPr>
            <w:tcW w:w="1071" w:type="dxa"/>
            <w:vAlign w:val="top"/>
          </w:tcPr>
          <w:p w14:paraId="4AC712AB">
            <w:pPr>
              <w:rPr>
                <w:rFonts w:ascii="Arial"/>
                <w:color w:val="auto"/>
                <w:sz w:val="21"/>
                <w:highlight w:val="none"/>
              </w:rPr>
            </w:pPr>
          </w:p>
        </w:tc>
        <w:tc>
          <w:tcPr>
            <w:tcW w:w="719" w:type="dxa"/>
            <w:vAlign w:val="top"/>
          </w:tcPr>
          <w:p w14:paraId="2B08FF72">
            <w:pPr>
              <w:rPr>
                <w:rFonts w:ascii="Arial"/>
                <w:color w:val="auto"/>
                <w:sz w:val="21"/>
                <w:highlight w:val="none"/>
              </w:rPr>
            </w:pPr>
          </w:p>
        </w:tc>
        <w:tc>
          <w:tcPr>
            <w:tcW w:w="740" w:type="dxa"/>
            <w:vAlign w:val="top"/>
          </w:tcPr>
          <w:p w14:paraId="2B90E195">
            <w:pPr>
              <w:rPr>
                <w:rFonts w:ascii="Arial"/>
                <w:color w:val="auto"/>
                <w:sz w:val="21"/>
                <w:highlight w:val="none"/>
              </w:rPr>
            </w:pPr>
          </w:p>
        </w:tc>
        <w:tc>
          <w:tcPr>
            <w:tcW w:w="738" w:type="dxa"/>
            <w:vAlign w:val="top"/>
          </w:tcPr>
          <w:p w14:paraId="7F76C2C4">
            <w:pPr>
              <w:rPr>
                <w:rFonts w:ascii="Arial"/>
                <w:color w:val="auto"/>
                <w:sz w:val="21"/>
                <w:highlight w:val="none"/>
              </w:rPr>
            </w:pPr>
          </w:p>
        </w:tc>
        <w:tc>
          <w:tcPr>
            <w:tcW w:w="855" w:type="dxa"/>
            <w:vAlign w:val="top"/>
          </w:tcPr>
          <w:p w14:paraId="26783CF3">
            <w:pPr>
              <w:rPr>
                <w:rFonts w:ascii="Arial"/>
                <w:color w:val="auto"/>
                <w:sz w:val="21"/>
                <w:highlight w:val="none"/>
              </w:rPr>
            </w:pPr>
          </w:p>
        </w:tc>
        <w:tc>
          <w:tcPr>
            <w:tcW w:w="1270" w:type="dxa"/>
            <w:vAlign w:val="top"/>
          </w:tcPr>
          <w:p w14:paraId="1F14A465">
            <w:pPr>
              <w:rPr>
                <w:rFonts w:ascii="Arial"/>
                <w:color w:val="auto"/>
                <w:sz w:val="21"/>
                <w:highlight w:val="none"/>
              </w:rPr>
            </w:pPr>
          </w:p>
        </w:tc>
        <w:tc>
          <w:tcPr>
            <w:tcW w:w="882" w:type="dxa"/>
            <w:vAlign w:val="top"/>
          </w:tcPr>
          <w:p w14:paraId="0A250D8F">
            <w:pPr>
              <w:rPr>
                <w:rFonts w:ascii="Arial"/>
                <w:color w:val="auto"/>
                <w:sz w:val="21"/>
                <w:highlight w:val="none"/>
              </w:rPr>
            </w:pPr>
          </w:p>
        </w:tc>
        <w:tc>
          <w:tcPr>
            <w:tcW w:w="980" w:type="dxa"/>
            <w:vAlign w:val="top"/>
          </w:tcPr>
          <w:p w14:paraId="7F8EE0E5">
            <w:pPr>
              <w:rPr>
                <w:rFonts w:ascii="Arial"/>
                <w:color w:val="auto"/>
                <w:sz w:val="21"/>
                <w:highlight w:val="none"/>
              </w:rPr>
            </w:pPr>
          </w:p>
        </w:tc>
        <w:tc>
          <w:tcPr>
            <w:tcW w:w="987" w:type="dxa"/>
            <w:tcBorders>
              <w:right w:val="single" w:color="000000" w:sz="6" w:space="0"/>
            </w:tcBorders>
            <w:vAlign w:val="top"/>
          </w:tcPr>
          <w:p w14:paraId="735F0E7E">
            <w:pPr>
              <w:rPr>
                <w:rFonts w:ascii="Arial"/>
                <w:color w:val="auto"/>
                <w:sz w:val="21"/>
                <w:highlight w:val="none"/>
              </w:rPr>
            </w:pPr>
          </w:p>
        </w:tc>
      </w:tr>
      <w:tr w14:paraId="32CAD1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2DF2CADF">
            <w:pPr>
              <w:rPr>
                <w:rFonts w:ascii="Arial"/>
                <w:color w:val="auto"/>
                <w:sz w:val="21"/>
                <w:highlight w:val="none"/>
              </w:rPr>
            </w:pPr>
          </w:p>
        </w:tc>
        <w:tc>
          <w:tcPr>
            <w:tcW w:w="1071" w:type="dxa"/>
            <w:vAlign w:val="top"/>
          </w:tcPr>
          <w:p w14:paraId="70DDA05E">
            <w:pPr>
              <w:rPr>
                <w:rFonts w:ascii="Arial"/>
                <w:color w:val="auto"/>
                <w:sz w:val="21"/>
                <w:highlight w:val="none"/>
              </w:rPr>
            </w:pPr>
          </w:p>
        </w:tc>
        <w:tc>
          <w:tcPr>
            <w:tcW w:w="719" w:type="dxa"/>
            <w:vAlign w:val="top"/>
          </w:tcPr>
          <w:p w14:paraId="457BD332">
            <w:pPr>
              <w:rPr>
                <w:rFonts w:ascii="Arial"/>
                <w:color w:val="auto"/>
                <w:sz w:val="21"/>
                <w:highlight w:val="none"/>
              </w:rPr>
            </w:pPr>
          </w:p>
        </w:tc>
        <w:tc>
          <w:tcPr>
            <w:tcW w:w="740" w:type="dxa"/>
            <w:vAlign w:val="top"/>
          </w:tcPr>
          <w:p w14:paraId="28ED5954">
            <w:pPr>
              <w:rPr>
                <w:rFonts w:ascii="Arial"/>
                <w:color w:val="auto"/>
                <w:sz w:val="21"/>
                <w:highlight w:val="none"/>
              </w:rPr>
            </w:pPr>
          </w:p>
        </w:tc>
        <w:tc>
          <w:tcPr>
            <w:tcW w:w="738" w:type="dxa"/>
            <w:vAlign w:val="top"/>
          </w:tcPr>
          <w:p w14:paraId="544BFE09">
            <w:pPr>
              <w:rPr>
                <w:rFonts w:ascii="Arial"/>
                <w:color w:val="auto"/>
                <w:sz w:val="21"/>
                <w:highlight w:val="none"/>
              </w:rPr>
            </w:pPr>
          </w:p>
        </w:tc>
        <w:tc>
          <w:tcPr>
            <w:tcW w:w="855" w:type="dxa"/>
            <w:vAlign w:val="top"/>
          </w:tcPr>
          <w:p w14:paraId="7B519EED">
            <w:pPr>
              <w:rPr>
                <w:rFonts w:ascii="Arial"/>
                <w:color w:val="auto"/>
                <w:sz w:val="21"/>
                <w:highlight w:val="none"/>
              </w:rPr>
            </w:pPr>
          </w:p>
        </w:tc>
        <w:tc>
          <w:tcPr>
            <w:tcW w:w="1270" w:type="dxa"/>
            <w:vAlign w:val="top"/>
          </w:tcPr>
          <w:p w14:paraId="2FD25276">
            <w:pPr>
              <w:rPr>
                <w:rFonts w:ascii="Arial"/>
                <w:color w:val="auto"/>
                <w:sz w:val="21"/>
                <w:highlight w:val="none"/>
              </w:rPr>
            </w:pPr>
          </w:p>
        </w:tc>
        <w:tc>
          <w:tcPr>
            <w:tcW w:w="882" w:type="dxa"/>
            <w:vAlign w:val="top"/>
          </w:tcPr>
          <w:p w14:paraId="1E079900">
            <w:pPr>
              <w:rPr>
                <w:rFonts w:ascii="Arial"/>
                <w:color w:val="auto"/>
                <w:sz w:val="21"/>
                <w:highlight w:val="none"/>
              </w:rPr>
            </w:pPr>
          </w:p>
        </w:tc>
        <w:tc>
          <w:tcPr>
            <w:tcW w:w="980" w:type="dxa"/>
            <w:vAlign w:val="top"/>
          </w:tcPr>
          <w:p w14:paraId="31CD6C14">
            <w:pPr>
              <w:rPr>
                <w:rFonts w:ascii="Arial"/>
                <w:color w:val="auto"/>
                <w:sz w:val="21"/>
                <w:highlight w:val="none"/>
              </w:rPr>
            </w:pPr>
          </w:p>
        </w:tc>
        <w:tc>
          <w:tcPr>
            <w:tcW w:w="987" w:type="dxa"/>
            <w:tcBorders>
              <w:right w:val="single" w:color="000000" w:sz="6" w:space="0"/>
            </w:tcBorders>
            <w:vAlign w:val="top"/>
          </w:tcPr>
          <w:p w14:paraId="5CE0D615">
            <w:pPr>
              <w:rPr>
                <w:rFonts w:ascii="Arial"/>
                <w:color w:val="auto"/>
                <w:sz w:val="21"/>
                <w:highlight w:val="none"/>
              </w:rPr>
            </w:pPr>
          </w:p>
        </w:tc>
      </w:tr>
      <w:tr w14:paraId="5869DD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196D4011">
            <w:pPr>
              <w:rPr>
                <w:rFonts w:ascii="Arial"/>
                <w:color w:val="auto"/>
                <w:sz w:val="21"/>
                <w:highlight w:val="none"/>
              </w:rPr>
            </w:pPr>
          </w:p>
        </w:tc>
        <w:tc>
          <w:tcPr>
            <w:tcW w:w="1071" w:type="dxa"/>
            <w:vAlign w:val="top"/>
          </w:tcPr>
          <w:p w14:paraId="22FC8763">
            <w:pPr>
              <w:rPr>
                <w:rFonts w:ascii="Arial"/>
                <w:color w:val="auto"/>
                <w:sz w:val="21"/>
                <w:highlight w:val="none"/>
              </w:rPr>
            </w:pPr>
          </w:p>
        </w:tc>
        <w:tc>
          <w:tcPr>
            <w:tcW w:w="719" w:type="dxa"/>
            <w:vAlign w:val="top"/>
          </w:tcPr>
          <w:p w14:paraId="01C729A8">
            <w:pPr>
              <w:rPr>
                <w:rFonts w:ascii="Arial"/>
                <w:color w:val="auto"/>
                <w:sz w:val="21"/>
                <w:highlight w:val="none"/>
              </w:rPr>
            </w:pPr>
          </w:p>
        </w:tc>
        <w:tc>
          <w:tcPr>
            <w:tcW w:w="740" w:type="dxa"/>
            <w:vAlign w:val="top"/>
          </w:tcPr>
          <w:p w14:paraId="00C2A3FF">
            <w:pPr>
              <w:rPr>
                <w:rFonts w:ascii="Arial"/>
                <w:color w:val="auto"/>
                <w:sz w:val="21"/>
                <w:highlight w:val="none"/>
              </w:rPr>
            </w:pPr>
          </w:p>
        </w:tc>
        <w:tc>
          <w:tcPr>
            <w:tcW w:w="738" w:type="dxa"/>
            <w:vAlign w:val="top"/>
          </w:tcPr>
          <w:p w14:paraId="030CD968">
            <w:pPr>
              <w:rPr>
                <w:rFonts w:ascii="Arial"/>
                <w:color w:val="auto"/>
                <w:sz w:val="21"/>
                <w:highlight w:val="none"/>
              </w:rPr>
            </w:pPr>
          </w:p>
        </w:tc>
        <w:tc>
          <w:tcPr>
            <w:tcW w:w="855" w:type="dxa"/>
            <w:vAlign w:val="top"/>
          </w:tcPr>
          <w:p w14:paraId="0DC84691">
            <w:pPr>
              <w:rPr>
                <w:rFonts w:ascii="Arial"/>
                <w:color w:val="auto"/>
                <w:sz w:val="21"/>
                <w:highlight w:val="none"/>
              </w:rPr>
            </w:pPr>
          </w:p>
        </w:tc>
        <w:tc>
          <w:tcPr>
            <w:tcW w:w="1270" w:type="dxa"/>
            <w:vAlign w:val="top"/>
          </w:tcPr>
          <w:p w14:paraId="5801F28E">
            <w:pPr>
              <w:rPr>
                <w:rFonts w:ascii="Arial"/>
                <w:color w:val="auto"/>
                <w:sz w:val="21"/>
                <w:highlight w:val="none"/>
              </w:rPr>
            </w:pPr>
          </w:p>
        </w:tc>
        <w:tc>
          <w:tcPr>
            <w:tcW w:w="882" w:type="dxa"/>
            <w:vAlign w:val="top"/>
          </w:tcPr>
          <w:p w14:paraId="7DF7C61A">
            <w:pPr>
              <w:rPr>
                <w:rFonts w:ascii="Arial"/>
                <w:color w:val="auto"/>
                <w:sz w:val="21"/>
                <w:highlight w:val="none"/>
              </w:rPr>
            </w:pPr>
          </w:p>
        </w:tc>
        <w:tc>
          <w:tcPr>
            <w:tcW w:w="980" w:type="dxa"/>
            <w:vAlign w:val="top"/>
          </w:tcPr>
          <w:p w14:paraId="6D174DAC">
            <w:pPr>
              <w:rPr>
                <w:rFonts w:ascii="Arial"/>
                <w:color w:val="auto"/>
                <w:sz w:val="21"/>
                <w:highlight w:val="none"/>
              </w:rPr>
            </w:pPr>
          </w:p>
        </w:tc>
        <w:tc>
          <w:tcPr>
            <w:tcW w:w="987" w:type="dxa"/>
            <w:tcBorders>
              <w:right w:val="single" w:color="000000" w:sz="6" w:space="0"/>
            </w:tcBorders>
            <w:vAlign w:val="top"/>
          </w:tcPr>
          <w:p w14:paraId="26F7ECD2">
            <w:pPr>
              <w:rPr>
                <w:rFonts w:ascii="Arial"/>
                <w:color w:val="auto"/>
                <w:sz w:val="21"/>
                <w:highlight w:val="none"/>
              </w:rPr>
            </w:pPr>
          </w:p>
        </w:tc>
      </w:tr>
      <w:tr w14:paraId="1065BDD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4E9E789B">
            <w:pPr>
              <w:rPr>
                <w:rFonts w:ascii="Arial"/>
                <w:color w:val="auto"/>
                <w:sz w:val="21"/>
                <w:highlight w:val="none"/>
              </w:rPr>
            </w:pPr>
          </w:p>
        </w:tc>
        <w:tc>
          <w:tcPr>
            <w:tcW w:w="1071" w:type="dxa"/>
            <w:vAlign w:val="top"/>
          </w:tcPr>
          <w:p w14:paraId="620F54F5">
            <w:pPr>
              <w:rPr>
                <w:rFonts w:ascii="Arial"/>
                <w:color w:val="auto"/>
                <w:sz w:val="21"/>
                <w:highlight w:val="none"/>
              </w:rPr>
            </w:pPr>
          </w:p>
        </w:tc>
        <w:tc>
          <w:tcPr>
            <w:tcW w:w="719" w:type="dxa"/>
            <w:vAlign w:val="top"/>
          </w:tcPr>
          <w:p w14:paraId="6C9FCC86">
            <w:pPr>
              <w:rPr>
                <w:rFonts w:ascii="Arial"/>
                <w:color w:val="auto"/>
                <w:sz w:val="21"/>
                <w:highlight w:val="none"/>
              </w:rPr>
            </w:pPr>
          </w:p>
        </w:tc>
        <w:tc>
          <w:tcPr>
            <w:tcW w:w="740" w:type="dxa"/>
            <w:vAlign w:val="top"/>
          </w:tcPr>
          <w:p w14:paraId="7FB19D30">
            <w:pPr>
              <w:rPr>
                <w:rFonts w:ascii="Arial"/>
                <w:color w:val="auto"/>
                <w:sz w:val="21"/>
                <w:highlight w:val="none"/>
              </w:rPr>
            </w:pPr>
          </w:p>
        </w:tc>
        <w:tc>
          <w:tcPr>
            <w:tcW w:w="738" w:type="dxa"/>
            <w:vAlign w:val="top"/>
          </w:tcPr>
          <w:p w14:paraId="28E6EE86">
            <w:pPr>
              <w:rPr>
                <w:rFonts w:ascii="Arial"/>
                <w:color w:val="auto"/>
                <w:sz w:val="21"/>
                <w:highlight w:val="none"/>
              </w:rPr>
            </w:pPr>
          </w:p>
        </w:tc>
        <w:tc>
          <w:tcPr>
            <w:tcW w:w="855" w:type="dxa"/>
            <w:vAlign w:val="top"/>
          </w:tcPr>
          <w:p w14:paraId="4054115D">
            <w:pPr>
              <w:rPr>
                <w:rFonts w:ascii="Arial"/>
                <w:color w:val="auto"/>
                <w:sz w:val="21"/>
                <w:highlight w:val="none"/>
              </w:rPr>
            </w:pPr>
          </w:p>
        </w:tc>
        <w:tc>
          <w:tcPr>
            <w:tcW w:w="1270" w:type="dxa"/>
            <w:vAlign w:val="top"/>
          </w:tcPr>
          <w:p w14:paraId="309304F4">
            <w:pPr>
              <w:rPr>
                <w:rFonts w:ascii="Arial"/>
                <w:color w:val="auto"/>
                <w:sz w:val="21"/>
                <w:highlight w:val="none"/>
              </w:rPr>
            </w:pPr>
          </w:p>
        </w:tc>
        <w:tc>
          <w:tcPr>
            <w:tcW w:w="882" w:type="dxa"/>
            <w:vAlign w:val="top"/>
          </w:tcPr>
          <w:p w14:paraId="7C0981BE">
            <w:pPr>
              <w:rPr>
                <w:rFonts w:ascii="Arial"/>
                <w:color w:val="auto"/>
                <w:sz w:val="21"/>
                <w:highlight w:val="none"/>
              </w:rPr>
            </w:pPr>
          </w:p>
        </w:tc>
        <w:tc>
          <w:tcPr>
            <w:tcW w:w="980" w:type="dxa"/>
            <w:vAlign w:val="top"/>
          </w:tcPr>
          <w:p w14:paraId="5EEAAA08">
            <w:pPr>
              <w:rPr>
                <w:rFonts w:ascii="Arial"/>
                <w:color w:val="auto"/>
                <w:sz w:val="21"/>
                <w:highlight w:val="none"/>
              </w:rPr>
            </w:pPr>
          </w:p>
        </w:tc>
        <w:tc>
          <w:tcPr>
            <w:tcW w:w="987" w:type="dxa"/>
            <w:tcBorders>
              <w:right w:val="single" w:color="000000" w:sz="6" w:space="0"/>
            </w:tcBorders>
            <w:vAlign w:val="top"/>
          </w:tcPr>
          <w:p w14:paraId="79E0C6BB">
            <w:pPr>
              <w:rPr>
                <w:rFonts w:ascii="Arial"/>
                <w:color w:val="auto"/>
                <w:sz w:val="21"/>
                <w:highlight w:val="none"/>
              </w:rPr>
            </w:pPr>
          </w:p>
        </w:tc>
      </w:tr>
      <w:tr w14:paraId="085CDC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06440F7A">
            <w:pPr>
              <w:rPr>
                <w:rFonts w:ascii="Arial"/>
                <w:color w:val="auto"/>
                <w:sz w:val="21"/>
                <w:highlight w:val="none"/>
              </w:rPr>
            </w:pPr>
          </w:p>
        </w:tc>
        <w:tc>
          <w:tcPr>
            <w:tcW w:w="1071" w:type="dxa"/>
            <w:vAlign w:val="top"/>
          </w:tcPr>
          <w:p w14:paraId="38A01194">
            <w:pPr>
              <w:rPr>
                <w:rFonts w:ascii="Arial"/>
                <w:color w:val="auto"/>
                <w:sz w:val="21"/>
                <w:highlight w:val="none"/>
              </w:rPr>
            </w:pPr>
          </w:p>
        </w:tc>
        <w:tc>
          <w:tcPr>
            <w:tcW w:w="719" w:type="dxa"/>
            <w:vAlign w:val="top"/>
          </w:tcPr>
          <w:p w14:paraId="58B544FE">
            <w:pPr>
              <w:rPr>
                <w:rFonts w:ascii="Arial"/>
                <w:color w:val="auto"/>
                <w:sz w:val="21"/>
                <w:highlight w:val="none"/>
              </w:rPr>
            </w:pPr>
          </w:p>
        </w:tc>
        <w:tc>
          <w:tcPr>
            <w:tcW w:w="740" w:type="dxa"/>
            <w:vAlign w:val="top"/>
          </w:tcPr>
          <w:p w14:paraId="6147F6BC">
            <w:pPr>
              <w:rPr>
                <w:rFonts w:ascii="Arial"/>
                <w:color w:val="auto"/>
                <w:sz w:val="21"/>
                <w:highlight w:val="none"/>
              </w:rPr>
            </w:pPr>
          </w:p>
        </w:tc>
        <w:tc>
          <w:tcPr>
            <w:tcW w:w="738" w:type="dxa"/>
            <w:vAlign w:val="top"/>
          </w:tcPr>
          <w:p w14:paraId="31CA7491">
            <w:pPr>
              <w:rPr>
                <w:rFonts w:ascii="Arial"/>
                <w:color w:val="auto"/>
                <w:sz w:val="21"/>
                <w:highlight w:val="none"/>
              </w:rPr>
            </w:pPr>
          </w:p>
        </w:tc>
        <w:tc>
          <w:tcPr>
            <w:tcW w:w="855" w:type="dxa"/>
            <w:vAlign w:val="top"/>
          </w:tcPr>
          <w:p w14:paraId="3EFCA8A0">
            <w:pPr>
              <w:rPr>
                <w:rFonts w:ascii="Arial"/>
                <w:color w:val="auto"/>
                <w:sz w:val="21"/>
                <w:highlight w:val="none"/>
              </w:rPr>
            </w:pPr>
          </w:p>
        </w:tc>
        <w:tc>
          <w:tcPr>
            <w:tcW w:w="1270" w:type="dxa"/>
            <w:vAlign w:val="top"/>
          </w:tcPr>
          <w:p w14:paraId="4767BA3F">
            <w:pPr>
              <w:rPr>
                <w:rFonts w:ascii="Arial"/>
                <w:color w:val="auto"/>
                <w:sz w:val="21"/>
                <w:highlight w:val="none"/>
              </w:rPr>
            </w:pPr>
          </w:p>
        </w:tc>
        <w:tc>
          <w:tcPr>
            <w:tcW w:w="882" w:type="dxa"/>
            <w:vAlign w:val="top"/>
          </w:tcPr>
          <w:p w14:paraId="339F3A9A">
            <w:pPr>
              <w:rPr>
                <w:rFonts w:ascii="Arial"/>
                <w:color w:val="auto"/>
                <w:sz w:val="21"/>
                <w:highlight w:val="none"/>
              </w:rPr>
            </w:pPr>
          </w:p>
        </w:tc>
        <w:tc>
          <w:tcPr>
            <w:tcW w:w="980" w:type="dxa"/>
            <w:vAlign w:val="top"/>
          </w:tcPr>
          <w:p w14:paraId="4D8A6CDA">
            <w:pPr>
              <w:rPr>
                <w:rFonts w:ascii="Arial"/>
                <w:color w:val="auto"/>
                <w:sz w:val="21"/>
                <w:highlight w:val="none"/>
              </w:rPr>
            </w:pPr>
          </w:p>
        </w:tc>
        <w:tc>
          <w:tcPr>
            <w:tcW w:w="987" w:type="dxa"/>
            <w:tcBorders>
              <w:right w:val="single" w:color="000000" w:sz="6" w:space="0"/>
            </w:tcBorders>
            <w:vAlign w:val="top"/>
          </w:tcPr>
          <w:p w14:paraId="645AD49F">
            <w:pPr>
              <w:rPr>
                <w:rFonts w:ascii="Arial"/>
                <w:color w:val="auto"/>
                <w:sz w:val="21"/>
                <w:highlight w:val="none"/>
              </w:rPr>
            </w:pPr>
          </w:p>
        </w:tc>
      </w:tr>
      <w:tr w14:paraId="6B1CE8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01C15170">
            <w:pPr>
              <w:rPr>
                <w:rFonts w:ascii="Arial"/>
                <w:color w:val="auto"/>
                <w:sz w:val="21"/>
                <w:highlight w:val="none"/>
              </w:rPr>
            </w:pPr>
          </w:p>
        </w:tc>
        <w:tc>
          <w:tcPr>
            <w:tcW w:w="1071" w:type="dxa"/>
            <w:vAlign w:val="top"/>
          </w:tcPr>
          <w:p w14:paraId="22B2CD70">
            <w:pPr>
              <w:rPr>
                <w:rFonts w:ascii="Arial"/>
                <w:color w:val="auto"/>
                <w:sz w:val="21"/>
                <w:highlight w:val="none"/>
              </w:rPr>
            </w:pPr>
          </w:p>
        </w:tc>
        <w:tc>
          <w:tcPr>
            <w:tcW w:w="719" w:type="dxa"/>
            <w:vAlign w:val="top"/>
          </w:tcPr>
          <w:p w14:paraId="581E0F39">
            <w:pPr>
              <w:rPr>
                <w:rFonts w:ascii="Arial"/>
                <w:color w:val="auto"/>
                <w:sz w:val="21"/>
                <w:highlight w:val="none"/>
              </w:rPr>
            </w:pPr>
          </w:p>
        </w:tc>
        <w:tc>
          <w:tcPr>
            <w:tcW w:w="740" w:type="dxa"/>
            <w:vAlign w:val="top"/>
          </w:tcPr>
          <w:p w14:paraId="681F5442">
            <w:pPr>
              <w:rPr>
                <w:rFonts w:ascii="Arial"/>
                <w:color w:val="auto"/>
                <w:sz w:val="21"/>
                <w:highlight w:val="none"/>
              </w:rPr>
            </w:pPr>
          </w:p>
        </w:tc>
        <w:tc>
          <w:tcPr>
            <w:tcW w:w="738" w:type="dxa"/>
            <w:vAlign w:val="top"/>
          </w:tcPr>
          <w:p w14:paraId="17FC3E2F">
            <w:pPr>
              <w:rPr>
                <w:rFonts w:ascii="Arial"/>
                <w:color w:val="auto"/>
                <w:sz w:val="21"/>
                <w:highlight w:val="none"/>
              </w:rPr>
            </w:pPr>
          </w:p>
        </w:tc>
        <w:tc>
          <w:tcPr>
            <w:tcW w:w="855" w:type="dxa"/>
            <w:vAlign w:val="top"/>
          </w:tcPr>
          <w:p w14:paraId="3CF68DEE">
            <w:pPr>
              <w:rPr>
                <w:rFonts w:ascii="Arial"/>
                <w:color w:val="auto"/>
                <w:sz w:val="21"/>
                <w:highlight w:val="none"/>
              </w:rPr>
            </w:pPr>
          </w:p>
        </w:tc>
        <w:tc>
          <w:tcPr>
            <w:tcW w:w="1270" w:type="dxa"/>
            <w:vAlign w:val="top"/>
          </w:tcPr>
          <w:p w14:paraId="4521F2BB">
            <w:pPr>
              <w:rPr>
                <w:rFonts w:ascii="Arial"/>
                <w:color w:val="auto"/>
                <w:sz w:val="21"/>
                <w:highlight w:val="none"/>
              </w:rPr>
            </w:pPr>
          </w:p>
        </w:tc>
        <w:tc>
          <w:tcPr>
            <w:tcW w:w="882" w:type="dxa"/>
            <w:vAlign w:val="top"/>
          </w:tcPr>
          <w:p w14:paraId="4CC9E59F">
            <w:pPr>
              <w:rPr>
                <w:rFonts w:ascii="Arial"/>
                <w:color w:val="auto"/>
                <w:sz w:val="21"/>
                <w:highlight w:val="none"/>
              </w:rPr>
            </w:pPr>
          </w:p>
        </w:tc>
        <w:tc>
          <w:tcPr>
            <w:tcW w:w="980" w:type="dxa"/>
            <w:vAlign w:val="top"/>
          </w:tcPr>
          <w:p w14:paraId="5BA4162B">
            <w:pPr>
              <w:rPr>
                <w:rFonts w:ascii="Arial"/>
                <w:color w:val="auto"/>
                <w:sz w:val="21"/>
                <w:highlight w:val="none"/>
              </w:rPr>
            </w:pPr>
          </w:p>
        </w:tc>
        <w:tc>
          <w:tcPr>
            <w:tcW w:w="987" w:type="dxa"/>
            <w:tcBorders>
              <w:right w:val="single" w:color="000000" w:sz="6" w:space="0"/>
            </w:tcBorders>
            <w:vAlign w:val="top"/>
          </w:tcPr>
          <w:p w14:paraId="0D5D6C1C">
            <w:pPr>
              <w:rPr>
                <w:rFonts w:ascii="Arial"/>
                <w:color w:val="auto"/>
                <w:sz w:val="21"/>
                <w:highlight w:val="none"/>
              </w:rPr>
            </w:pPr>
          </w:p>
        </w:tc>
      </w:tr>
      <w:tr w14:paraId="6BCC246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6" w:hRule="atLeast"/>
        </w:trPr>
        <w:tc>
          <w:tcPr>
            <w:tcW w:w="663" w:type="dxa"/>
            <w:tcBorders>
              <w:left w:val="single" w:color="000000" w:sz="6" w:space="0"/>
            </w:tcBorders>
            <w:vAlign w:val="top"/>
          </w:tcPr>
          <w:p w14:paraId="1D799136">
            <w:pPr>
              <w:rPr>
                <w:rFonts w:ascii="Arial"/>
                <w:color w:val="auto"/>
                <w:sz w:val="21"/>
                <w:highlight w:val="none"/>
              </w:rPr>
            </w:pPr>
          </w:p>
        </w:tc>
        <w:tc>
          <w:tcPr>
            <w:tcW w:w="1071" w:type="dxa"/>
            <w:vAlign w:val="top"/>
          </w:tcPr>
          <w:p w14:paraId="644F6A11">
            <w:pPr>
              <w:rPr>
                <w:rFonts w:ascii="Arial"/>
                <w:color w:val="auto"/>
                <w:sz w:val="21"/>
                <w:highlight w:val="none"/>
              </w:rPr>
            </w:pPr>
          </w:p>
        </w:tc>
        <w:tc>
          <w:tcPr>
            <w:tcW w:w="719" w:type="dxa"/>
            <w:vAlign w:val="top"/>
          </w:tcPr>
          <w:p w14:paraId="40881C8D">
            <w:pPr>
              <w:rPr>
                <w:rFonts w:ascii="Arial"/>
                <w:color w:val="auto"/>
                <w:sz w:val="21"/>
                <w:highlight w:val="none"/>
              </w:rPr>
            </w:pPr>
          </w:p>
        </w:tc>
        <w:tc>
          <w:tcPr>
            <w:tcW w:w="740" w:type="dxa"/>
            <w:vAlign w:val="top"/>
          </w:tcPr>
          <w:p w14:paraId="3E6CBF4E">
            <w:pPr>
              <w:rPr>
                <w:rFonts w:ascii="Arial"/>
                <w:color w:val="auto"/>
                <w:sz w:val="21"/>
                <w:highlight w:val="none"/>
              </w:rPr>
            </w:pPr>
          </w:p>
        </w:tc>
        <w:tc>
          <w:tcPr>
            <w:tcW w:w="738" w:type="dxa"/>
            <w:vAlign w:val="top"/>
          </w:tcPr>
          <w:p w14:paraId="0ED8E680">
            <w:pPr>
              <w:rPr>
                <w:rFonts w:ascii="Arial"/>
                <w:color w:val="auto"/>
                <w:sz w:val="21"/>
                <w:highlight w:val="none"/>
              </w:rPr>
            </w:pPr>
          </w:p>
        </w:tc>
        <w:tc>
          <w:tcPr>
            <w:tcW w:w="855" w:type="dxa"/>
            <w:vAlign w:val="top"/>
          </w:tcPr>
          <w:p w14:paraId="36D2928F">
            <w:pPr>
              <w:rPr>
                <w:rFonts w:ascii="Arial"/>
                <w:color w:val="auto"/>
                <w:sz w:val="21"/>
                <w:highlight w:val="none"/>
              </w:rPr>
            </w:pPr>
          </w:p>
        </w:tc>
        <w:tc>
          <w:tcPr>
            <w:tcW w:w="1270" w:type="dxa"/>
            <w:vAlign w:val="top"/>
          </w:tcPr>
          <w:p w14:paraId="413B832B">
            <w:pPr>
              <w:rPr>
                <w:rFonts w:ascii="Arial"/>
                <w:color w:val="auto"/>
                <w:sz w:val="21"/>
                <w:highlight w:val="none"/>
              </w:rPr>
            </w:pPr>
          </w:p>
        </w:tc>
        <w:tc>
          <w:tcPr>
            <w:tcW w:w="882" w:type="dxa"/>
            <w:vAlign w:val="top"/>
          </w:tcPr>
          <w:p w14:paraId="6B8FD118">
            <w:pPr>
              <w:rPr>
                <w:rFonts w:ascii="Arial"/>
                <w:color w:val="auto"/>
                <w:sz w:val="21"/>
                <w:highlight w:val="none"/>
              </w:rPr>
            </w:pPr>
          </w:p>
        </w:tc>
        <w:tc>
          <w:tcPr>
            <w:tcW w:w="980" w:type="dxa"/>
            <w:vAlign w:val="top"/>
          </w:tcPr>
          <w:p w14:paraId="11F4B599">
            <w:pPr>
              <w:rPr>
                <w:rFonts w:ascii="Arial"/>
                <w:color w:val="auto"/>
                <w:sz w:val="21"/>
                <w:highlight w:val="none"/>
              </w:rPr>
            </w:pPr>
          </w:p>
        </w:tc>
        <w:tc>
          <w:tcPr>
            <w:tcW w:w="987" w:type="dxa"/>
            <w:tcBorders>
              <w:right w:val="single" w:color="000000" w:sz="6" w:space="0"/>
            </w:tcBorders>
            <w:vAlign w:val="top"/>
          </w:tcPr>
          <w:p w14:paraId="2A341FCC">
            <w:pPr>
              <w:rPr>
                <w:rFonts w:ascii="Arial"/>
                <w:color w:val="auto"/>
                <w:sz w:val="21"/>
                <w:highlight w:val="none"/>
              </w:rPr>
            </w:pPr>
          </w:p>
        </w:tc>
      </w:tr>
      <w:tr w14:paraId="7D5E4D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2FBF8A85">
            <w:pPr>
              <w:rPr>
                <w:rFonts w:ascii="Arial"/>
                <w:color w:val="auto"/>
                <w:sz w:val="21"/>
                <w:highlight w:val="none"/>
              </w:rPr>
            </w:pPr>
          </w:p>
        </w:tc>
        <w:tc>
          <w:tcPr>
            <w:tcW w:w="1071" w:type="dxa"/>
            <w:vAlign w:val="top"/>
          </w:tcPr>
          <w:p w14:paraId="5FA9EAA5">
            <w:pPr>
              <w:rPr>
                <w:rFonts w:ascii="Arial"/>
                <w:color w:val="auto"/>
                <w:sz w:val="21"/>
                <w:highlight w:val="none"/>
              </w:rPr>
            </w:pPr>
          </w:p>
        </w:tc>
        <w:tc>
          <w:tcPr>
            <w:tcW w:w="719" w:type="dxa"/>
            <w:vAlign w:val="top"/>
          </w:tcPr>
          <w:p w14:paraId="6774BFC4">
            <w:pPr>
              <w:rPr>
                <w:rFonts w:ascii="Arial"/>
                <w:color w:val="auto"/>
                <w:sz w:val="21"/>
                <w:highlight w:val="none"/>
              </w:rPr>
            </w:pPr>
          </w:p>
        </w:tc>
        <w:tc>
          <w:tcPr>
            <w:tcW w:w="740" w:type="dxa"/>
            <w:vAlign w:val="top"/>
          </w:tcPr>
          <w:p w14:paraId="1A68E81C">
            <w:pPr>
              <w:rPr>
                <w:rFonts w:ascii="Arial"/>
                <w:color w:val="auto"/>
                <w:sz w:val="21"/>
                <w:highlight w:val="none"/>
              </w:rPr>
            </w:pPr>
          </w:p>
        </w:tc>
        <w:tc>
          <w:tcPr>
            <w:tcW w:w="738" w:type="dxa"/>
            <w:vAlign w:val="top"/>
          </w:tcPr>
          <w:p w14:paraId="381B5164">
            <w:pPr>
              <w:rPr>
                <w:rFonts w:ascii="Arial"/>
                <w:color w:val="auto"/>
                <w:sz w:val="21"/>
                <w:highlight w:val="none"/>
              </w:rPr>
            </w:pPr>
          </w:p>
        </w:tc>
        <w:tc>
          <w:tcPr>
            <w:tcW w:w="855" w:type="dxa"/>
            <w:vAlign w:val="top"/>
          </w:tcPr>
          <w:p w14:paraId="2853D400">
            <w:pPr>
              <w:rPr>
                <w:rFonts w:ascii="Arial"/>
                <w:color w:val="auto"/>
                <w:sz w:val="21"/>
                <w:highlight w:val="none"/>
              </w:rPr>
            </w:pPr>
          </w:p>
        </w:tc>
        <w:tc>
          <w:tcPr>
            <w:tcW w:w="1270" w:type="dxa"/>
            <w:vAlign w:val="top"/>
          </w:tcPr>
          <w:p w14:paraId="4CFFBC05">
            <w:pPr>
              <w:rPr>
                <w:rFonts w:ascii="Arial"/>
                <w:color w:val="auto"/>
                <w:sz w:val="21"/>
                <w:highlight w:val="none"/>
              </w:rPr>
            </w:pPr>
          </w:p>
        </w:tc>
        <w:tc>
          <w:tcPr>
            <w:tcW w:w="882" w:type="dxa"/>
            <w:vAlign w:val="top"/>
          </w:tcPr>
          <w:p w14:paraId="1EF2F231">
            <w:pPr>
              <w:rPr>
                <w:rFonts w:ascii="Arial"/>
                <w:color w:val="auto"/>
                <w:sz w:val="21"/>
                <w:highlight w:val="none"/>
              </w:rPr>
            </w:pPr>
          </w:p>
        </w:tc>
        <w:tc>
          <w:tcPr>
            <w:tcW w:w="980" w:type="dxa"/>
            <w:vAlign w:val="top"/>
          </w:tcPr>
          <w:p w14:paraId="14FC336F">
            <w:pPr>
              <w:rPr>
                <w:rFonts w:ascii="Arial"/>
                <w:color w:val="auto"/>
                <w:sz w:val="21"/>
                <w:highlight w:val="none"/>
              </w:rPr>
            </w:pPr>
          </w:p>
        </w:tc>
        <w:tc>
          <w:tcPr>
            <w:tcW w:w="987" w:type="dxa"/>
            <w:tcBorders>
              <w:right w:val="single" w:color="000000" w:sz="6" w:space="0"/>
            </w:tcBorders>
            <w:vAlign w:val="top"/>
          </w:tcPr>
          <w:p w14:paraId="58BE033D">
            <w:pPr>
              <w:rPr>
                <w:rFonts w:ascii="Arial"/>
                <w:color w:val="auto"/>
                <w:sz w:val="21"/>
                <w:highlight w:val="none"/>
              </w:rPr>
            </w:pPr>
          </w:p>
        </w:tc>
      </w:tr>
      <w:tr w14:paraId="4DE554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5A581AC6">
            <w:pPr>
              <w:rPr>
                <w:rFonts w:ascii="Arial"/>
                <w:color w:val="auto"/>
                <w:sz w:val="21"/>
                <w:highlight w:val="none"/>
              </w:rPr>
            </w:pPr>
          </w:p>
        </w:tc>
        <w:tc>
          <w:tcPr>
            <w:tcW w:w="1071" w:type="dxa"/>
            <w:vAlign w:val="top"/>
          </w:tcPr>
          <w:p w14:paraId="6C9D24A6">
            <w:pPr>
              <w:rPr>
                <w:rFonts w:ascii="Arial"/>
                <w:color w:val="auto"/>
                <w:sz w:val="21"/>
                <w:highlight w:val="none"/>
              </w:rPr>
            </w:pPr>
          </w:p>
        </w:tc>
        <w:tc>
          <w:tcPr>
            <w:tcW w:w="719" w:type="dxa"/>
            <w:vAlign w:val="top"/>
          </w:tcPr>
          <w:p w14:paraId="20132352">
            <w:pPr>
              <w:rPr>
                <w:rFonts w:ascii="Arial"/>
                <w:color w:val="auto"/>
                <w:sz w:val="21"/>
                <w:highlight w:val="none"/>
              </w:rPr>
            </w:pPr>
          </w:p>
        </w:tc>
        <w:tc>
          <w:tcPr>
            <w:tcW w:w="740" w:type="dxa"/>
            <w:vAlign w:val="top"/>
          </w:tcPr>
          <w:p w14:paraId="48768003">
            <w:pPr>
              <w:rPr>
                <w:rFonts w:ascii="Arial"/>
                <w:color w:val="auto"/>
                <w:sz w:val="21"/>
                <w:highlight w:val="none"/>
              </w:rPr>
            </w:pPr>
          </w:p>
        </w:tc>
        <w:tc>
          <w:tcPr>
            <w:tcW w:w="738" w:type="dxa"/>
            <w:vAlign w:val="top"/>
          </w:tcPr>
          <w:p w14:paraId="486B26DA">
            <w:pPr>
              <w:rPr>
                <w:rFonts w:ascii="Arial"/>
                <w:color w:val="auto"/>
                <w:sz w:val="21"/>
                <w:highlight w:val="none"/>
              </w:rPr>
            </w:pPr>
          </w:p>
        </w:tc>
        <w:tc>
          <w:tcPr>
            <w:tcW w:w="855" w:type="dxa"/>
            <w:vAlign w:val="top"/>
          </w:tcPr>
          <w:p w14:paraId="4EB7B818">
            <w:pPr>
              <w:rPr>
                <w:rFonts w:ascii="Arial"/>
                <w:color w:val="auto"/>
                <w:sz w:val="21"/>
                <w:highlight w:val="none"/>
              </w:rPr>
            </w:pPr>
          </w:p>
        </w:tc>
        <w:tc>
          <w:tcPr>
            <w:tcW w:w="1270" w:type="dxa"/>
            <w:vAlign w:val="top"/>
          </w:tcPr>
          <w:p w14:paraId="5D1C91DD">
            <w:pPr>
              <w:rPr>
                <w:rFonts w:ascii="Arial"/>
                <w:color w:val="auto"/>
                <w:sz w:val="21"/>
                <w:highlight w:val="none"/>
              </w:rPr>
            </w:pPr>
          </w:p>
        </w:tc>
        <w:tc>
          <w:tcPr>
            <w:tcW w:w="882" w:type="dxa"/>
            <w:vAlign w:val="top"/>
          </w:tcPr>
          <w:p w14:paraId="1E687A33">
            <w:pPr>
              <w:rPr>
                <w:rFonts w:ascii="Arial"/>
                <w:color w:val="auto"/>
                <w:sz w:val="21"/>
                <w:highlight w:val="none"/>
              </w:rPr>
            </w:pPr>
          </w:p>
        </w:tc>
        <w:tc>
          <w:tcPr>
            <w:tcW w:w="980" w:type="dxa"/>
            <w:vAlign w:val="top"/>
          </w:tcPr>
          <w:p w14:paraId="5E52CAB9">
            <w:pPr>
              <w:rPr>
                <w:rFonts w:ascii="Arial"/>
                <w:color w:val="auto"/>
                <w:sz w:val="21"/>
                <w:highlight w:val="none"/>
              </w:rPr>
            </w:pPr>
          </w:p>
        </w:tc>
        <w:tc>
          <w:tcPr>
            <w:tcW w:w="987" w:type="dxa"/>
            <w:tcBorders>
              <w:right w:val="single" w:color="000000" w:sz="6" w:space="0"/>
            </w:tcBorders>
            <w:vAlign w:val="top"/>
          </w:tcPr>
          <w:p w14:paraId="5C45211E">
            <w:pPr>
              <w:rPr>
                <w:rFonts w:ascii="Arial"/>
                <w:color w:val="auto"/>
                <w:sz w:val="21"/>
                <w:highlight w:val="none"/>
              </w:rPr>
            </w:pPr>
          </w:p>
        </w:tc>
      </w:tr>
      <w:tr w14:paraId="05FAC7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663" w:type="dxa"/>
            <w:tcBorders>
              <w:left w:val="single" w:color="000000" w:sz="6" w:space="0"/>
            </w:tcBorders>
            <w:vAlign w:val="top"/>
          </w:tcPr>
          <w:p w14:paraId="15CB6300">
            <w:pPr>
              <w:rPr>
                <w:rFonts w:ascii="Arial"/>
                <w:color w:val="auto"/>
                <w:sz w:val="21"/>
                <w:highlight w:val="none"/>
              </w:rPr>
            </w:pPr>
          </w:p>
        </w:tc>
        <w:tc>
          <w:tcPr>
            <w:tcW w:w="1071" w:type="dxa"/>
            <w:vAlign w:val="top"/>
          </w:tcPr>
          <w:p w14:paraId="635F43ED">
            <w:pPr>
              <w:rPr>
                <w:rFonts w:ascii="Arial"/>
                <w:color w:val="auto"/>
                <w:sz w:val="21"/>
                <w:highlight w:val="none"/>
              </w:rPr>
            </w:pPr>
          </w:p>
        </w:tc>
        <w:tc>
          <w:tcPr>
            <w:tcW w:w="719" w:type="dxa"/>
            <w:vAlign w:val="top"/>
          </w:tcPr>
          <w:p w14:paraId="330BEF5E">
            <w:pPr>
              <w:rPr>
                <w:rFonts w:ascii="Arial"/>
                <w:color w:val="auto"/>
                <w:sz w:val="21"/>
                <w:highlight w:val="none"/>
              </w:rPr>
            </w:pPr>
          </w:p>
        </w:tc>
        <w:tc>
          <w:tcPr>
            <w:tcW w:w="740" w:type="dxa"/>
            <w:vAlign w:val="top"/>
          </w:tcPr>
          <w:p w14:paraId="5E90B13D">
            <w:pPr>
              <w:rPr>
                <w:rFonts w:ascii="Arial"/>
                <w:color w:val="auto"/>
                <w:sz w:val="21"/>
                <w:highlight w:val="none"/>
              </w:rPr>
            </w:pPr>
          </w:p>
        </w:tc>
        <w:tc>
          <w:tcPr>
            <w:tcW w:w="738" w:type="dxa"/>
            <w:vAlign w:val="top"/>
          </w:tcPr>
          <w:p w14:paraId="170E1944">
            <w:pPr>
              <w:rPr>
                <w:rFonts w:ascii="Arial"/>
                <w:color w:val="auto"/>
                <w:sz w:val="21"/>
                <w:highlight w:val="none"/>
              </w:rPr>
            </w:pPr>
          </w:p>
        </w:tc>
        <w:tc>
          <w:tcPr>
            <w:tcW w:w="855" w:type="dxa"/>
            <w:vAlign w:val="top"/>
          </w:tcPr>
          <w:p w14:paraId="3CFEA869">
            <w:pPr>
              <w:rPr>
                <w:rFonts w:ascii="Arial"/>
                <w:color w:val="auto"/>
                <w:sz w:val="21"/>
                <w:highlight w:val="none"/>
              </w:rPr>
            </w:pPr>
          </w:p>
        </w:tc>
        <w:tc>
          <w:tcPr>
            <w:tcW w:w="1270" w:type="dxa"/>
            <w:vAlign w:val="top"/>
          </w:tcPr>
          <w:p w14:paraId="0B52BF14">
            <w:pPr>
              <w:rPr>
                <w:rFonts w:ascii="Arial"/>
                <w:color w:val="auto"/>
                <w:sz w:val="21"/>
                <w:highlight w:val="none"/>
              </w:rPr>
            </w:pPr>
          </w:p>
        </w:tc>
        <w:tc>
          <w:tcPr>
            <w:tcW w:w="882" w:type="dxa"/>
            <w:vAlign w:val="top"/>
          </w:tcPr>
          <w:p w14:paraId="1854DD59">
            <w:pPr>
              <w:rPr>
                <w:rFonts w:ascii="Arial"/>
                <w:color w:val="auto"/>
                <w:sz w:val="21"/>
                <w:highlight w:val="none"/>
              </w:rPr>
            </w:pPr>
          </w:p>
        </w:tc>
        <w:tc>
          <w:tcPr>
            <w:tcW w:w="980" w:type="dxa"/>
            <w:vAlign w:val="top"/>
          </w:tcPr>
          <w:p w14:paraId="0EC6E975">
            <w:pPr>
              <w:rPr>
                <w:rFonts w:ascii="Arial"/>
                <w:color w:val="auto"/>
                <w:sz w:val="21"/>
                <w:highlight w:val="none"/>
              </w:rPr>
            </w:pPr>
          </w:p>
        </w:tc>
        <w:tc>
          <w:tcPr>
            <w:tcW w:w="987" w:type="dxa"/>
            <w:tcBorders>
              <w:right w:val="single" w:color="000000" w:sz="6" w:space="0"/>
            </w:tcBorders>
            <w:vAlign w:val="top"/>
          </w:tcPr>
          <w:p w14:paraId="7BF8BBD5">
            <w:pPr>
              <w:rPr>
                <w:rFonts w:ascii="Arial"/>
                <w:color w:val="auto"/>
                <w:sz w:val="21"/>
                <w:highlight w:val="none"/>
              </w:rPr>
            </w:pPr>
          </w:p>
        </w:tc>
      </w:tr>
      <w:tr w14:paraId="33AD210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80" w:hRule="atLeast"/>
        </w:trPr>
        <w:tc>
          <w:tcPr>
            <w:tcW w:w="663" w:type="dxa"/>
            <w:tcBorders>
              <w:left w:val="single" w:color="000000" w:sz="6" w:space="0"/>
              <w:bottom w:val="single" w:color="000000" w:sz="6" w:space="0"/>
            </w:tcBorders>
            <w:vAlign w:val="top"/>
          </w:tcPr>
          <w:p w14:paraId="42895388">
            <w:pPr>
              <w:rPr>
                <w:rFonts w:ascii="Arial"/>
                <w:color w:val="auto"/>
                <w:sz w:val="21"/>
                <w:highlight w:val="none"/>
              </w:rPr>
            </w:pPr>
          </w:p>
        </w:tc>
        <w:tc>
          <w:tcPr>
            <w:tcW w:w="1071" w:type="dxa"/>
            <w:tcBorders>
              <w:bottom w:val="single" w:color="000000" w:sz="6" w:space="0"/>
            </w:tcBorders>
            <w:vAlign w:val="top"/>
          </w:tcPr>
          <w:p w14:paraId="113E542C">
            <w:pPr>
              <w:rPr>
                <w:rFonts w:ascii="Arial"/>
                <w:color w:val="auto"/>
                <w:sz w:val="21"/>
                <w:highlight w:val="none"/>
              </w:rPr>
            </w:pPr>
          </w:p>
        </w:tc>
        <w:tc>
          <w:tcPr>
            <w:tcW w:w="719" w:type="dxa"/>
            <w:tcBorders>
              <w:bottom w:val="single" w:color="000000" w:sz="6" w:space="0"/>
            </w:tcBorders>
            <w:vAlign w:val="top"/>
          </w:tcPr>
          <w:p w14:paraId="4103AEBE">
            <w:pPr>
              <w:rPr>
                <w:rFonts w:ascii="Arial"/>
                <w:color w:val="auto"/>
                <w:sz w:val="21"/>
                <w:highlight w:val="none"/>
              </w:rPr>
            </w:pPr>
          </w:p>
        </w:tc>
        <w:tc>
          <w:tcPr>
            <w:tcW w:w="740" w:type="dxa"/>
            <w:tcBorders>
              <w:bottom w:val="single" w:color="000000" w:sz="6" w:space="0"/>
            </w:tcBorders>
            <w:vAlign w:val="top"/>
          </w:tcPr>
          <w:p w14:paraId="71216451">
            <w:pPr>
              <w:rPr>
                <w:rFonts w:ascii="Arial"/>
                <w:color w:val="auto"/>
                <w:sz w:val="21"/>
                <w:highlight w:val="none"/>
              </w:rPr>
            </w:pPr>
          </w:p>
        </w:tc>
        <w:tc>
          <w:tcPr>
            <w:tcW w:w="738" w:type="dxa"/>
            <w:tcBorders>
              <w:bottom w:val="single" w:color="000000" w:sz="6" w:space="0"/>
            </w:tcBorders>
            <w:vAlign w:val="top"/>
          </w:tcPr>
          <w:p w14:paraId="4BF32D14">
            <w:pPr>
              <w:rPr>
                <w:rFonts w:ascii="Arial"/>
                <w:color w:val="auto"/>
                <w:sz w:val="21"/>
                <w:highlight w:val="none"/>
              </w:rPr>
            </w:pPr>
          </w:p>
        </w:tc>
        <w:tc>
          <w:tcPr>
            <w:tcW w:w="855" w:type="dxa"/>
            <w:tcBorders>
              <w:bottom w:val="single" w:color="000000" w:sz="6" w:space="0"/>
            </w:tcBorders>
            <w:vAlign w:val="top"/>
          </w:tcPr>
          <w:p w14:paraId="1FDCC73D">
            <w:pPr>
              <w:rPr>
                <w:rFonts w:ascii="Arial"/>
                <w:color w:val="auto"/>
                <w:sz w:val="21"/>
                <w:highlight w:val="none"/>
              </w:rPr>
            </w:pPr>
          </w:p>
        </w:tc>
        <w:tc>
          <w:tcPr>
            <w:tcW w:w="1270" w:type="dxa"/>
            <w:tcBorders>
              <w:bottom w:val="single" w:color="000000" w:sz="6" w:space="0"/>
            </w:tcBorders>
            <w:vAlign w:val="top"/>
          </w:tcPr>
          <w:p w14:paraId="7512BB1A">
            <w:pPr>
              <w:rPr>
                <w:rFonts w:ascii="Arial"/>
                <w:color w:val="auto"/>
                <w:sz w:val="21"/>
                <w:highlight w:val="none"/>
              </w:rPr>
            </w:pPr>
          </w:p>
        </w:tc>
        <w:tc>
          <w:tcPr>
            <w:tcW w:w="882" w:type="dxa"/>
            <w:tcBorders>
              <w:bottom w:val="single" w:color="000000" w:sz="6" w:space="0"/>
            </w:tcBorders>
            <w:vAlign w:val="top"/>
          </w:tcPr>
          <w:p w14:paraId="5C931DB4">
            <w:pPr>
              <w:rPr>
                <w:rFonts w:ascii="Arial"/>
                <w:color w:val="auto"/>
                <w:sz w:val="21"/>
                <w:highlight w:val="none"/>
              </w:rPr>
            </w:pPr>
          </w:p>
        </w:tc>
        <w:tc>
          <w:tcPr>
            <w:tcW w:w="980" w:type="dxa"/>
            <w:tcBorders>
              <w:bottom w:val="single" w:color="000000" w:sz="6" w:space="0"/>
            </w:tcBorders>
            <w:vAlign w:val="top"/>
          </w:tcPr>
          <w:p w14:paraId="15758F43">
            <w:pPr>
              <w:rPr>
                <w:rFonts w:ascii="Arial"/>
                <w:color w:val="auto"/>
                <w:sz w:val="21"/>
                <w:highlight w:val="none"/>
              </w:rPr>
            </w:pPr>
          </w:p>
        </w:tc>
        <w:tc>
          <w:tcPr>
            <w:tcW w:w="987" w:type="dxa"/>
            <w:tcBorders>
              <w:bottom w:val="single" w:color="000000" w:sz="6" w:space="0"/>
              <w:right w:val="single" w:color="000000" w:sz="6" w:space="0"/>
            </w:tcBorders>
            <w:vAlign w:val="top"/>
          </w:tcPr>
          <w:p w14:paraId="6B815FA4">
            <w:pPr>
              <w:rPr>
                <w:rFonts w:ascii="Arial"/>
                <w:color w:val="auto"/>
                <w:sz w:val="21"/>
                <w:highlight w:val="none"/>
              </w:rPr>
            </w:pPr>
          </w:p>
        </w:tc>
      </w:tr>
    </w:tbl>
    <w:p w14:paraId="765E2802">
      <w:pPr>
        <w:pStyle w:val="3"/>
        <w:rPr>
          <w:color w:val="auto"/>
          <w:highlight w:val="none"/>
        </w:rPr>
      </w:pPr>
    </w:p>
    <w:p w14:paraId="07A4AC4F">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7F12C904">
      <w:pPr>
        <w:spacing w:before="47" w:line="219" w:lineRule="auto"/>
        <w:ind w:left="28"/>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附件二：</w:t>
      </w:r>
    </w:p>
    <w:p w14:paraId="27DA30B7">
      <w:pPr>
        <w:spacing w:before="183" w:line="219" w:lineRule="auto"/>
        <w:ind w:left="2354"/>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拟投入本标段的试验和检测仪器设备表</w:t>
      </w:r>
    </w:p>
    <w:p w14:paraId="0ADF68F4">
      <w:pPr>
        <w:spacing w:line="144" w:lineRule="exact"/>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27"/>
        <w:gridCol w:w="1696"/>
        <w:gridCol w:w="851"/>
        <w:gridCol w:w="707"/>
        <w:gridCol w:w="850"/>
        <w:gridCol w:w="848"/>
        <w:gridCol w:w="1131"/>
        <w:gridCol w:w="992"/>
        <w:gridCol w:w="1107"/>
      </w:tblGrid>
      <w:tr w14:paraId="5DA281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827" w:type="dxa"/>
            <w:tcBorders>
              <w:top w:val="single" w:color="000000" w:sz="6" w:space="0"/>
              <w:left w:val="single" w:color="000000" w:sz="6" w:space="0"/>
            </w:tcBorders>
            <w:vAlign w:val="top"/>
          </w:tcPr>
          <w:p w14:paraId="2B92E0C0">
            <w:pPr>
              <w:pStyle w:val="33"/>
              <w:spacing w:before="256" w:line="221" w:lineRule="auto"/>
              <w:ind w:left="170"/>
              <w:rPr>
                <w:color w:val="auto"/>
                <w:sz w:val="24"/>
                <w:szCs w:val="24"/>
                <w:highlight w:val="none"/>
              </w:rPr>
            </w:pPr>
            <w:r>
              <w:rPr>
                <w:color w:val="auto"/>
                <w:spacing w:val="-3"/>
                <w:sz w:val="24"/>
                <w:szCs w:val="24"/>
                <w:highlight w:val="none"/>
              </w:rPr>
              <w:t>序号</w:t>
            </w:r>
          </w:p>
        </w:tc>
        <w:tc>
          <w:tcPr>
            <w:tcW w:w="1696" w:type="dxa"/>
            <w:tcBorders>
              <w:top w:val="single" w:color="000000" w:sz="6" w:space="0"/>
            </w:tcBorders>
            <w:vAlign w:val="top"/>
          </w:tcPr>
          <w:p w14:paraId="04CA6081">
            <w:pPr>
              <w:pStyle w:val="33"/>
              <w:spacing w:before="255" w:line="220" w:lineRule="auto"/>
              <w:ind w:left="128"/>
              <w:rPr>
                <w:color w:val="auto"/>
                <w:sz w:val="24"/>
                <w:szCs w:val="24"/>
                <w:highlight w:val="none"/>
              </w:rPr>
            </w:pPr>
            <w:r>
              <w:rPr>
                <w:color w:val="auto"/>
                <w:spacing w:val="-2"/>
                <w:sz w:val="24"/>
                <w:szCs w:val="24"/>
                <w:highlight w:val="none"/>
              </w:rPr>
              <w:t>仪器设备名称</w:t>
            </w:r>
          </w:p>
        </w:tc>
        <w:tc>
          <w:tcPr>
            <w:tcW w:w="851" w:type="dxa"/>
            <w:tcBorders>
              <w:top w:val="single" w:color="000000" w:sz="6" w:space="0"/>
            </w:tcBorders>
            <w:vAlign w:val="top"/>
          </w:tcPr>
          <w:p w14:paraId="61DDED8C">
            <w:pPr>
              <w:pStyle w:val="33"/>
              <w:spacing w:before="102" w:line="229" w:lineRule="auto"/>
              <w:ind w:left="189" w:right="187" w:firstLine="6"/>
              <w:rPr>
                <w:color w:val="auto"/>
                <w:sz w:val="24"/>
                <w:szCs w:val="24"/>
                <w:highlight w:val="none"/>
              </w:rPr>
            </w:pPr>
            <w:r>
              <w:rPr>
                <w:color w:val="auto"/>
                <w:spacing w:val="-9"/>
                <w:sz w:val="24"/>
                <w:szCs w:val="24"/>
                <w:highlight w:val="none"/>
              </w:rPr>
              <w:t>型号</w:t>
            </w:r>
            <w:r>
              <w:rPr>
                <w:color w:val="auto"/>
                <w:sz w:val="24"/>
                <w:szCs w:val="24"/>
                <w:highlight w:val="none"/>
              </w:rPr>
              <w:t xml:space="preserve"> </w:t>
            </w:r>
            <w:r>
              <w:rPr>
                <w:color w:val="auto"/>
                <w:spacing w:val="-6"/>
                <w:sz w:val="24"/>
                <w:szCs w:val="24"/>
                <w:highlight w:val="none"/>
              </w:rPr>
              <w:t>规格</w:t>
            </w:r>
          </w:p>
        </w:tc>
        <w:tc>
          <w:tcPr>
            <w:tcW w:w="707" w:type="dxa"/>
            <w:tcBorders>
              <w:top w:val="single" w:color="000000" w:sz="6" w:space="0"/>
            </w:tcBorders>
            <w:vAlign w:val="top"/>
          </w:tcPr>
          <w:p w14:paraId="6527037E">
            <w:pPr>
              <w:pStyle w:val="33"/>
              <w:spacing w:before="255" w:line="220" w:lineRule="auto"/>
              <w:ind w:left="119"/>
              <w:rPr>
                <w:color w:val="auto"/>
                <w:sz w:val="24"/>
                <w:szCs w:val="24"/>
                <w:highlight w:val="none"/>
              </w:rPr>
            </w:pPr>
            <w:r>
              <w:rPr>
                <w:color w:val="auto"/>
                <w:spacing w:val="-3"/>
                <w:sz w:val="24"/>
                <w:szCs w:val="24"/>
                <w:highlight w:val="none"/>
              </w:rPr>
              <w:t>数量</w:t>
            </w:r>
          </w:p>
        </w:tc>
        <w:tc>
          <w:tcPr>
            <w:tcW w:w="850" w:type="dxa"/>
            <w:tcBorders>
              <w:top w:val="single" w:color="000000" w:sz="6" w:space="0"/>
            </w:tcBorders>
            <w:vAlign w:val="top"/>
          </w:tcPr>
          <w:p w14:paraId="34ADDB71">
            <w:pPr>
              <w:pStyle w:val="33"/>
              <w:spacing w:before="102" w:line="229" w:lineRule="auto"/>
              <w:ind w:left="190" w:right="184" w:firstLine="23"/>
              <w:rPr>
                <w:color w:val="auto"/>
                <w:sz w:val="24"/>
                <w:szCs w:val="24"/>
                <w:highlight w:val="none"/>
              </w:rPr>
            </w:pPr>
            <w:r>
              <w:rPr>
                <w:color w:val="auto"/>
                <w:spacing w:val="-17"/>
                <w:sz w:val="24"/>
                <w:szCs w:val="24"/>
                <w:highlight w:val="none"/>
              </w:rPr>
              <w:t>国别</w:t>
            </w:r>
            <w:r>
              <w:rPr>
                <w:color w:val="auto"/>
                <w:sz w:val="24"/>
                <w:szCs w:val="24"/>
                <w:highlight w:val="none"/>
              </w:rPr>
              <w:t xml:space="preserve"> </w:t>
            </w:r>
            <w:r>
              <w:rPr>
                <w:color w:val="auto"/>
                <w:spacing w:val="-5"/>
                <w:sz w:val="24"/>
                <w:szCs w:val="24"/>
                <w:highlight w:val="none"/>
              </w:rPr>
              <w:t>产地</w:t>
            </w:r>
          </w:p>
        </w:tc>
        <w:tc>
          <w:tcPr>
            <w:tcW w:w="848" w:type="dxa"/>
            <w:tcBorders>
              <w:top w:val="single" w:color="000000" w:sz="6" w:space="0"/>
            </w:tcBorders>
            <w:vAlign w:val="top"/>
          </w:tcPr>
          <w:p w14:paraId="2A6B0B9E">
            <w:pPr>
              <w:pStyle w:val="33"/>
              <w:spacing w:before="102" w:line="229" w:lineRule="auto"/>
              <w:ind w:left="190" w:right="182"/>
              <w:rPr>
                <w:color w:val="auto"/>
                <w:sz w:val="24"/>
                <w:szCs w:val="24"/>
                <w:highlight w:val="none"/>
              </w:rPr>
            </w:pPr>
            <w:r>
              <w:rPr>
                <w:color w:val="auto"/>
                <w:spacing w:val="-6"/>
                <w:sz w:val="24"/>
                <w:szCs w:val="24"/>
                <w:highlight w:val="none"/>
              </w:rPr>
              <w:t>制造</w:t>
            </w:r>
            <w:r>
              <w:rPr>
                <w:color w:val="auto"/>
                <w:sz w:val="24"/>
                <w:szCs w:val="24"/>
                <w:highlight w:val="none"/>
              </w:rPr>
              <w:t xml:space="preserve"> </w:t>
            </w:r>
            <w:r>
              <w:rPr>
                <w:color w:val="auto"/>
                <w:spacing w:val="-6"/>
                <w:sz w:val="24"/>
                <w:szCs w:val="24"/>
                <w:highlight w:val="none"/>
              </w:rPr>
              <w:t>年份</w:t>
            </w:r>
          </w:p>
        </w:tc>
        <w:tc>
          <w:tcPr>
            <w:tcW w:w="1131" w:type="dxa"/>
            <w:tcBorders>
              <w:top w:val="single" w:color="000000" w:sz="6" w:space="0"/>
            </w:tcBorders>
            <w:vAlign w:val="top"/>
          </w:tcPr>
          <w:p w14:paraId="04939E54">
            <w:pPr>
              <w:pStyle w:val="33"/>
              <w:spacing w:before="102" w:line="229" w:lineRule="auto"/>
              <w:ind w:left="231" w:right="202" w:firstLine="7"/>
              <w:rPr>
                <w:color w:val="auto"/>
                <w:sz w:val="24"/>
                <w:szCs w:val="24"/>
                <w:highlight w:val="none"/>
              </w:rPr>
            </w:pPr>
            <w:r>
              <w:rPr>
                <w:color w:val="auto"/>
                <w:spacing w:val="-12"/>
                <w:sz w:val="24"/>
                <w:szCs w:val="24"/>
                <w:highlight w:val="none"/>
              </w:rPr>
              <w:t>已使用</w:t>
            </w:r>
            <w:r>
              <w:rPr>
                <w:color w:val="auto"/>
                <w:sz w:val="24"/>
                <w:szCs w:val="24"/>
                <w:highlight w:val="none"/>
              </w:rPr>
              <w:t xml:space="preserve"> </w:t>
            </w:r>
            <w:r>
              <w:rPr>
                <w:color w:val="auto"/>
                <w:spacing w:val="-10"/>
                <w:sz w:val="24"/>
                <w:szCs w:val="24"/>
                <w:highlight w:val="none"/>
              </w:rPr>
              <w:t>台班数</w:t>
            </w:r>
          </w:p>
        </w:tc>
        <w:tc>
          <w:tcPr>
            <w:tcW w:w="992" w:type="dxa"/>
            <w:tcBorders>
              <w:top w:val="single" w:color="000000" w:sz="6" w:space="0"/>
            </w:tcBorders>
            <w:vAlign w:val="top"/>
          </w:tcPr>
          <w:p w14:paraId="2C4D7094">
            <w:pPr>
              <w:pStyle w:val="33"/>
              <w:spacing w:before="256" w:line="221" w:lineRule="auto"/>
              <w:ind w:left="269"/>
              <w:rPr>
                <w:color w:val="auto"/>
                <w:sz w:val="24"/>
                <w:szCs w:val="24"/>
                <w:highlight w:val="none"/>
              </w:rPr>
            </w:pPr>
            <w:r>
              <w:rPr>
                <w:color w:val="auto"/>
                <w:spacing w:val="-3"/>
                <w:sz w:val="24"/>
                <w:szCs w:val="24"/>
                <w:highlight w:val="none"/>
              </w:rPr>
              <w:t>用途</w:t>
            </w:r>
          </w:p>
        </w:tc>
        <w:tc>
          <w:tcPr>
            <w:tcW w:w="1107" w:type="dxa"/>
            <w:tcBorders>
              <w:top w:val="single" w:color="000000" w:sz="6" w:space="0"/>
              <w:right w:val="single" w:color="000000" w:sz="6" w:space="0"/>
            </w:tcBorders>
            <w:vAlign w:val="top"/>
          </w:tcPr>
          <w:p w14:paraId="753C5E38">
            <w:pPr>
              <w:pStyle w:val="33"/>
              <w:spacing w:before="256" w:line="221" w:lineRule="auto"/>
              <w:ind w:left="325"/>
              <w:rPr>
                <w:color w:val="auto"/>
                <w:sz w:val="24"/>
                <w:szCs w:val="24"/>
                <w:highlight w:val="none"/>
              </w:rPr>
            </w:pPr>
            <w:r>
              <w:rPr>
                <w:color w:val="auto"/>
                <w:spacing w:val="-4"/>
                <w:sz w:val="24"/>
                <w:szCs w:val="24"/>
                <w:highlight w:val="none"/>
              </w:rPr>
              <w:t>备注</w:t>
            </w:r>
          </w:p>
        </w:tc>
      </w:tr>
      <w:tr w14:paraId="0A37738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2" w:hRule="atLeast"/>
        </w:trPr>
        <w:tc>
          <w:tcPr>
            <w:tcW w:w="827" w:type="dxa"/>
            <w:tcBorders>
              <w:left w:val="single" w:color="000000" w:sz="6" w:space="0"/>
            </w:tcBorders>
            <w:vAlign w:val="top"/>
          </w:tcPr>
          <w:p w14:paraId="543745EC">
            <w:pPr>
              <w:rPr>
                <w:rFonts w:ascii="Arial"/>
                <w:color w:val="auto"/>
                <w:sz w:val="21"/>
                <w:highlight w:val="none"/>
              </w:rPr>
            </w:pPr>
          </w:p>
        </w:tc>
        <w:tc>
          <w:tcPr>
            <w:tcW w:w="1696" w:type="dxa"/>
            <w:vAlign w:val="top"/>
          </w:tcPr>
          <w:p w14:paraId="2C810156">
            <w:pPr>
              <w:rPr>
                <w:rFonts w:ascii="Arial"/>
                <w:color w:val="auto"/>
                <w:sz w:val="21"/>
                <w:highlight w:val="none"/>
              </w:rPr>
            </w:pPr>
          </w:p>
        </w:tc>
        <w:tc>
          <w:tcPr>
            <w:tcW w:w="851" w:type="dxa"/>
            <w:vAlign w:val="top"/>
          </w:tcPr>
          <w:p w14:paraId="51D985A7">
            <w:pPr>
              <w:rPr>
                <w:rFonts w:ascii="Arial"/>
                <w:color w:val="auto"/>
                <w:sz w:val="21"/>
                <w:highlight w:val="none"/>
              </w:rPr>
            </w:pPr>
          </w:p>
        </w:tc>
        <w:tc>
          <w:tcPr>
            <w:tcW w:w="707" w:type="dxa"/>
            <w:vAlign w:val="top"/>
          </w:tcPr>
          <w:p w14:paraId="6B33F77B">
            <w:pPr>
              <w:rPr>
                <w:rFonts w:ascii="Arial"/>
                <w:color w:val="auto"/>
                <w:sz w:val="21"/>
                <w:highlight w:val="none"/>
              </w:rPr>
            </w:pPr>
          </w:p>
        </w:tc>
        <w:tc>
          <w:tcPr>
            <w:tcW w:w="850" w:type="dxa"/>
            <w:vAlign w:val="top"/>
          </w:tcPr>
          <w:p w14:paraId="08FD4012">
            <w:pPr>
              <w:rPr>
                <w:rFonts w:ascii="Arial"/>
                <w:color w:val="auto"/>
                <w:sz w:val="21"/>
                <w:highlight w:val="none"/>
              </w:rPr>
            </w:pPr>
          </w:p>
        </w:tc>
        <w:tc>
          <w:tcPr>
            <w:tcW w:w="848" w:type="dxa"/>
            <w:vAlign w:val="top"/>
          </w:tcPr>
          <w:p w14:paraId="21117B65">
            <w:pPr>
              <w:rPr>
                <w:rFonts w:ascii="Arial"/>
                <w:color w:val="auto"/>
                <w:sz w:val="21"/>
                <w:highlight w:val="none"/>
              </w:rPr>
            </w:pPr>
          </w:p>
        </w:tc>
        <w:tc>
          <w:tcPr>
            <w:tcW w:w="1131" w:type="dxa"/>
            <w:vAlign w:val="top"/>
          </w:tcPr>
          <w:p w14:paraId="195A3840">
            <w:pPr>
              <w:rPr>
                <w:rFonts w:ascii="Arial"/>
                <w:color w:val="auto"/>
                <w:sz w:val="21"/>
                <w:highlight w:val="none"/>
              </w:rPr>
            </w:pPr>
          </w:p>
        </w:tc>
        <w:tc>
          <w:tcPr>
            <w:tcW w:w="992" w:type="dxa"/>
            <w:vAlign w:val="top"/>
          </w:tcPr>
          <w:p w14:paraId="080DE055">
            <w:pPr>
              <w:rPr>
                <w:rFonts w:ascii="Arial"/>
                <w:color w:val="auto"/>
                <w:sz w:val="21"/>
                <w:highlight w:val="none"/>
              </w:rPr>
            </w:pPr>
          </w:p>
        </w:tc>
        <w:tc>
          <w:tcPr>
            <w:tcW w:w="1107" w:type="dxa"/>
            <w:tcBorders>
              <w:right w:val="single" w:color="000000" w:sz="6" w:space="0"/>
            </w:tcBorders>
            <w:vAlign w:val="top"/>
          </w:tcPr>
          <w:p w14:paraId="11375614">
            <w:pPr>
              <w:rPr>
                <w:rFonts w:ascii="Arial"/>
                <w:color w:val="auto"/>
                <w:sz w:val="21"/>
                <w:highlight w:val="none"/>
              </w:rPr>
            </w:pPr>
          </w:p>
        </w:tc>
      </w:tr>
      <w:tr w14:paraId="4EF1ED6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777F3004">
            <w:pPr>
              <w:rPr>
                <w:rFonts w:ascii="Arial"/>
                <w:color w:val="auto"/>
                <w:sz w:val="21"/>
                <w:highlight w:val="none"/>
              </w:rPr>
            </w:pPr>
          </w:p>
        </w:tc>
        <w:tc>
          <w:tcPr>
            <w:tcW w:w="1696" w:type="dxa"/>
            <w:vAlign w:val="top"/>
          </w:tcPr>
          <w:p w14:paraId="5A1605D3">
            <w:pPr>
              <w:rPr>
                <w:rFonts w:ascii="Arial"/>
                <w:color w:val="auto"/>
                <w:sz w:val="21"/>
                <w:highlight w:val="none"/>
              </w:rPr>
            </w:pPr>
          </w:p>
        </w:tc>
        <w:tc>
          <w:tcPr>
            <w:tcW w:w="851" w:type="dxa"/>
            <w:vAlign w:val="top"/>
          </w:tcPr>
          <w:p w14:paraId="55DE9F84">
            <w:pPr>
              <w:rPr>
                <w:rFonts w:ascii="Arial"/>
                <w:color w:val="auto"/>
                <w:sz w:val="21"/>
                <w:highlight w:val="none"/>
              </w:rPr>
            </w:pPr>
          </w:p>
        </w:tc>
        <w:tc>
          <w:tcPr>
            <w:tcW w:w="707" w:type="dxa"/>
            <w:vAlign w:val="top"/>
          </w:tcPr>
          <w:p w14:paraId="5F4A3C6F">
            <w:pPr>
              <w:rPr>
                <w:rFonts w:ascii="Arial"/>
                <w:color w:val="auto"/>
                <w:sz w:val="21"/>
                <w:highlight w:val="none"/>
              </w:rPr>
            </w:pPr>
          </w:p>
        </w:tc>
        <w:tc>
          <w:tcPr>
            <w:tcW w:w="850" w:type="dxa"/>
            <w:vAlign w:val="top"/>
          </w:tcPr>
          <w:p w14:paraId="71C2A6E4">
            <w:pPr>
              <w:rPr>
                <w:rFonts w:ascii="Arial"/>
                <w:color w:val="auto"/>
                <w:sz w:val="21"/>
                <w:highlight w:val="none"/>
              </w:rPr>
            </w:pPr>
          </w:p>
        </w:tc>
        <w:tc>
          <w:tcPr>
            <w:tcW w:w="848" w:type="dxa"/>
            <w:vAlign w:val="top"/>
          </w:tcPr>
          <w:p w14:paraId="11F68BC5">
            <w:pPr>
              <w:rPr>
                <w:rFonts w:ascii="Arial"/>
                <w:color w:val="auto"/>
                <w:sz w:val="21"/>
                <w:highlight w:val="none"/>
              </w:rPr>
            </w:pPr>
          </w:p>
        </w:tc>
        <w:tc>
          <w:tcPr>
            <w:tcW w:w="1131" w:type="dxa"/>
            <w:vAlign w:val="top"/>
          </w:tcPr>
          <w:p w14:paraId="0436A3D8">
            <w:pPr>
              <w:rPr>
                <w:rFonts w:ascii="Arial"/>
                <w:color w:val="auto"/>
                <w:sz w:val="21"/>
                <w:highlight w:val="none"/>
              </w:rPr>
            </w:pPr>
          </w:p>
        </w:tc>
        <w:tc>
          <w:tcPr>
            <w:tcW w:w="992" w:type="dxa"/>
            <w:vAlign w:val="top"/>
          </w:tcPr>
          <w:p w14:paraId="47274829">
            <w:pPr>
              <w:rPr>
                <w:rFonts w:ascii="Arial"/>
                <w:color w:val="auto"/>
                <w:sz w:val="21"/>
                <w:highlight w:val="none"/>
              </w:rPr>
            </w:pPr>
          </w:p>
        </w:tc>
        <w:tc>
          <w:tcPr>
            <w:tcW w:w="1107" w:type="dxa"/>
            <w:tcBorders>
              <w:right w:val="single" w:color="000000" w:sz="6" w:space="0"/>
            </w:tcBorders>
            <w:vAlign w:val="top"/>
          </w:tcPr>
          <w:p w14:paraId="3004AFD7">
            <w:pPr>
              <w:rPr>
                <w:rFonts w:ascii="Arial"/>
                <w:color w:val="auto"/>
                <w:sz w:val="21"/>
                <w:highlight w:val="none"/>
              </w:rPr>
            </w:pPr>
          </w:p>
        </w:tc>
      </w:tr>
      <w:tr w14:paraId="6C865E5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78F305B2">
            <w:pPr>
              <w:rPr>
                <w:rFonts w:ascii="Arial"/>
                <w:color w:val="auto"/>
                <w:sz w:val="21"/>
                <w:highlight w:val="none"/>
              </w:rPr>
            </w:pPr>
          </w:p>
        </w:tc>
        <w:tc>
          <w:tcPr>
            <w:tcW w:w="1696" w:type="dxa"/>
            <w:vAlign w:val="top"/>
          </w:tcPr>
          <w:p w14:paraId="6F04A805">
            <w:pPr>
              <w:rPr>
                <w:rFonts w:ascii="Arial"/>
                <w:color w:val="auto"/>
                <w:sz w:val="21"/>
                <w:highlight w:val="none"/>
              </w:rPr>
            </w:pPr>
          </w:p>
        </w:tc>
        <w:tc>
          <w:tcPr>
            <w:tcW w:w="851" w:type="dxa"/>
            <w:vAlign w:val="top"/>
          </w:tcPr>
          <w:p w14:paraId="4A9CF8B8">
            <w:pPr>
              <w:rPr>
                <w:rFonts w:ascii="Arial"/>
                <w:color w:val="auto"/>
                <w:sz w:val="21"/>
                <w:highlight w:val="none"/>
              </w:rPr>
            </w:pPr>
          </w:p>
        </w:tc>
        <w:tc>
          <w:tcPr>
            <w:tcW w:w="707" w:type="dxa"/>
            <w:vAlign w:val="top"/>
          </w:tcPr>
          <w:p w14:paraId="7C1CD49E">
            <w:pPr>
              <w:rPr>
                <w:rFonts w:ascii="Arial"/>
                <w:color w:val="auto"/>
                <w:sz w:val="21"/>
                <w:highlight w:val="none"/>
              </w:rPr>
            </w:pPr>
          </w:p>
        </w:tc>
        <w:tc>
          <w:tcPr>
            <w:tcW w:w="850" w:type="dxa"/>
            <w:vAlign w:val="top"/>
          </w:tcPr>
          <w:p w14:paraId="55400D1B">
            <w:pPr>
              <w:rPr>
                <w:rFonts w:ascii="Arial"/>
                <w:color w:val="auto"/>
                <w:sz w:val="21"/>
                <w:highlight w:val="none"/>
              </w:rPr>
            </w:pPr>
          </w:p>
        </w:tc>
        <w:tc>
          <w:tcPr>
            <w:tcW w:w="848" w:type="dxa"/>
            <w:vAlign w:val="top"/>
          </w:tcPr>
          <w:p w14:paraId="3BC2ACA7">
            <w:pPr>
              <w:rPr>
                <w:rFonts w:ascii="Arial"/>
                <w:color w:val="auto"/>
                <w:sz w:val="21"/>
                <w:highlight w:val="none"/>
              </w:rPr>
            </w:pPr>
          </w:p>
        </w:tc>
        <w:tc>
          <w:tcPr>
            <w:tcW w:w="1131" w:type="dxa"/>
            <w:vAlign w:val="top"/>
          </w:tcPr>
          <w:p w14:paraId="478A9641">
            <w:pPr>
              <w:rPr>
                <w:rFonts w:ascii="Arial"/>
                <w:color w:val="auto"/>
                <w:sz w:val="21"/>
                <w:highlight w:val="none"/>
              </w:rPr>
            </w:pPr>
          </w:p>
        </w:tc>
        <w:tc>
          <w:tcPr>
            <w:tcW w:w="992" w:type="dxa"/>
            <w:vAlign w:val="top"/>
          </w:tcPr>
          <w:p w14:paraId="6E663EE2">
            <w:pPr>
              <w:rPr>
                <w:rFonts w:ascii="Arial"/>
                <w:color w:val="auto"/>
                <w:sz w:val="21"/>
                <w:highlight w:val="none"/>
              </w:rPr>
            </w:pPr>
          </w:p>
        </w:tc>
        <w:tc>
          <w:tcPr>
            <w:tcW w:w="1107" w:type="dxa"/>
            <w:tcBorders>
              <w:right w:val="single" w:color="000000" w:sz="6" w:space="0"/>
            </w:tcBorders>
            <w:vAlign w:val="top"/>
          </w:tcPr>
          <w:p w14:paraId="7950ABF8">
            <w:pPr>
              <w:rPr>
                <w:rFonts w:ascii="Arial"/>
                <w:color w:val="auto"/>
                <w:sz w:val="21"/>
                <w:highlight w:val="none"/>
              </w:rPr>
            </w:pPr>
          </w:p>
        </w:tc>
      </w:tr>
      <w:tr w14:paraId="483731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vAlign w:val="top"/>
          </w:tcPr>
          <w:p w14:paraId="58D8089E">
            <w:pPr>
              <w:rPr>
                <w:rFonts w:ascii="Arial"/>
                <w:color w:val="auto"/>
                <w:sz w:val="21"/>
                <w:highlight w:val="none"/>
              </w:rPr>
            </w:pPr>
          </w:p>
        </w:tc>
        <w:tc>
          <w:tcPr>
            <w:tcW w:w="1696" w:type="dxa"/>
            <w:vAlign w:val="top"/>
          </w:tcPr>
          <w:p w14:paraId="5BEA0F27">
            <w:pPr>
              <w:rPr>
                <w:rFonts w:ascii="Arial"/>
                <w:color w:val="auto"/>
                <w:sz w:val="21"/>
                <w:highlight w:val="none"/>
              </w:rPr>
            </w:pPr>
          </w:p>
        </w:tc>
        <w:tc>
          <w:tcPr>
            <w:tcW w:w="851" w:type="dxa"/>
            <w:vAlign w:val="top"/>
          </w:tcPr>
          <w:p w14:paraId="0F4140FC">
            <w:pPr>
              <w:rPr>
                <w:rFonts w:ascii="Arial"/>
                <w:color w:val="auto"/>
                <w:sz w:val="21"/>
                <w:highlight w:val="none"/>
              </w:rPr>
            </w:pPr>
          </w:p>
        </w:tc>
        <w:tc>
          <w:tcPr>
            <w:tcW w:w="707" w:type="dxa"/>
            <w:vAlign w:val="top"/>
          </w:tcPr>
          <w:p w14:paraId="5387384A">
            <w:pPr>
              <w:rPr>
                <w:rFonts w:ascii="Arial"/>
                <w:color w:val="auto"/>
                <w:sz w:val="21"/>
                <w:highlight w:val="none"/>
              </w:rPr>
            </w:pPr>
          </w:p>
        </w:tc>
        <w:tc>
          <w:tcPr>
            <w:tcW w:w="850" w:type="dxa"/>
            <w:vAlign w:val="top"/>
          </w:tcPr>
          <w:p w14:paraId="54DF0801">
            <w:pPr>
              <w:rPr>
                <w:rFonts w:ascii="Arial"/>
                <w:color w:val="auto"/>
                <w:sz w:val="21"/>
                <w:highlight w:val="none"/>
              </w:rPr>
            </w:pPr>
          </w:p>
        </w:tc>
        <w:tc>
          <w:tcPr>
            <w:tcW w:w="848" w:type="dxa"/>
            <w:vAlign w:val="top"/>
          </w:tcPr>
          <w:p w14:paraId="414AEAA6">
            <w:pPr>
              <w:rPr>
                <w:rFonts w:ascii="Arial"/>
                <w:color w:val="auto"/>
                <w:sz w:val="21"/>
                <w:highlight w:val="none"/>
              </w:rPr>
            </w:pPr>
          </w:p>
        </w:tc>
        <w:tc>
          <w:tcPr>
            <w:tcW w:w="1131" w:type="dxa"/>
            <w:vAlign w:val="top"/>
          </w:tcPr>
          <w:p w14:paraId="01D0E8DB">
            <w:pPr>
              <w:rPr>
                <w:rFonts w:ascii="Arial"/>
                <w:color w:val="auto"/>
                <w:sz w:val="21"/>
                <w:highlight w:val="none"/>
              </w:rPr>
            </w:pPr>
          </w:p>
        </w:tc>
        <w:tc>
          <w:tcPr>
            <w:tcW w:w="992" w:type="dxa"/>
            <w:vAlign w:val="top"/>
          </w:tcPr>
          <w:p w14:paraId="62026844">
            <w:pPr>
              <w:rPr>
                <w:rFonts w:ascii="Arial"/>
                <w:color w:val="auto"/>
                <w:sz w:val="21"/>
                <w:highlight w:val="none"/>
              </w:rPr>
            </w:pPr>
          </w:p>
        </w:tc>
        <w:tc>
          <w:tcPr>
            <w:tcW w:w="1107" w:type="dxa"/>
            <w:tcBorders>
              <w:right w:val="single" w:color="000000" w:sz="6" w:space="0"/>
            </w:tcBorders>
            <w:vAlign w:val="top"/>
          </w:tcPr>
          <w:p w14:paraId="3713343A">
            <w:pPr>
              <w:rPr>
                <w:rFonts w:ascii="Arial"/>
                <w:color w:val="auto"/>
                <w:sz w:val="21"/>
                <w:highlight w:val="none"/>
              </w:rPr>
            </w:pPr>
          </w:p>
        </w:tc>
      </w:tr>
      <w:tr w14:paraId="27E175E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1C4EEE3A">
            <w:pPr>
              <w:rPr>
                <w:rFonts w:ascii="Arial"/>
                <w:color w:val="auto"/>
                <w:sz w:val="21"/>
                <w:highlight w:val="none"/>
              </w:rPr>
            </w:pPr>
          </w:p>
        </w:tc>
        <w:tc>
          <w:tcPr>
            <w:tcW w:w="1696" w:type="dxa"/>
            <w:vAlign w:val="top"/>
          </w:tcPr>
          <w:p w14:paraId="5C2700E2">
            <w:pPr>
              <w:rPr>
                <w:rFonts w:ascii="Arial"/>
                <w:color w:val="auto"/>
                <w:sz w:val="21"/>
                <w:highlight w:val="none"/>
              </w:rPr>
            </w:pPr>
          </w:p>
        </w:tc>
        <w:tc>
          <w:tcPr>
            <w:tcW w:w="851" w:type="dxa"/>
            <w:vAlign w:val="top"/>
          </w:tcPr>
          <w:p w14:paraId="369B834D">
            <w:pPr>
              <w:rPr>
                <w:rFonts w:ascii="Arial"/>
                <w:color w:val="auto"/>
                <w:sz w:val="21"/>
                <w:highlight w:val="none"/>
              </w:rPr>
            </w:pPr>
          </w:p>
        </w:tc>
        <w:tc>
          <w:tcPr>
            <w:tcW w:w="707" w:type="dxa"/>
            <w:vAlign w:val="top"/>
          </w:tcPr>
          <w:p w14:paraId="7030DF82">
            <w:pPr>
              <w:rPr>
                <w:rFonts w:ascii="Arial"/>
                <w:color w:val="auto"/>
                <w:sz w:val="21"/>
                <w:highlight w:val="none"/>
              </w:rPr>
            </w:pPr>
          </w:p>
        </w:tc>
        <w:tc>
          <w:tcPr>
            <w:tcW w:w="850" w:type="dxa"/>
            <w:vAlign w:val="top"/>
          </w:tcPr>
          <w:p w14:paraId="5B1897E6">
            <w:pPr>
              <w:rPr>
                <w:rFonts w:ascii="Arial"/>
                <w:color w:val="auto"/>
                <w:sz w:val="21"/>
                <w:highlight w:val="none"/>
              </w:rPr>
            </w:pPr>
          </w:p>
        </w:tc>
        <w:tc>
          <w:tcPr>
            <w:tcW w:w="848" w:type="dxa"/>
            <w:vAlign w:val="top"/>
          </w:tcPr>
          <w:p w14:paraId="19A7D087">
            <w:pPr>
              <w:rPr>
                <w:rFonts w:ascii="Arial"/>
                <w:color w:val="auto"/>
                <w:sz w:val="21"/>
                <w:highlight w:val="none"/>
              </w:rPr>
            </w:pPr>
          </w:p>
        </w:tc>
        <w:tc>
          <w:tcPr>
            <w:tcW w:w="1131" w:type="dxa"/>
            <w:vAlign w:val="top"/>
          </w:tcPr>
          <w:p w14:paraId="394C9A6C">
            <w:pPr>
              <w:rPr>
                <w:rFonts w:ascii="Arial"/>
                <w:color w:val="auto"/>
                <w:sz w:val="21"/>
                <w:highlight w:val="none"/>
              </w:rPr>
            </w:pPr>
          </w:p>
        </w:tc>
        <w:tc>
          <w:tcPr>
            <w:tcW w:w="992" w:type="dxa"/>
            <w:vAlign w:val="top"/>
          </w:tcPr>
          <w:p w14:paraId="17EF3958">
            <w:pPr>
              <w:rPr>
                <w:rFonts w:ascii="Arial"/>
                <w:color w:val="auto"/>
                <w:sz w:val="21"/>
                <w:highlight w:val="none"/>
              </w:rPr>
            </w:pPr>
          </w:p>
        </w:tc>
        <w:tc>
          <w:tcPr>
            <w:tcW w:w="1107" w:type="dxa"/>
            <w:tcBorders>
              <w:right w:val="single" w:color="000000" w:sz="6" w:space="0"/>
            </w:tcBorders>
            <w:vAlign w:val="top"/>
          </w:tcPr>
          <w:p w14:paraId="5A5A2F01">
            <w:pPr>
              <w:rPr>
                <w:rFonts w:ascii="Arial"/>
                <w:color w:val="auto"/>
                <w:sz w:val="21"/>
                <w:highlight w:val="none"/>
              </w:rPr>
            </w:pPr>
          </w:p>
        </w:tc>
      </w:tr>
      <w:tr w14:paraId="7CE8F09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40E76934">
            <w:pPr>
              <w:rPr>
                <w:rFonts w:ascii="Arial"/>
                <w:color w:val="auto"/>
                <w:sz w:val="21"/>
                <w:highlight w:val="none"/>
              </w:rPr>
            </w:pPr>
          </w:p>
        </w:tc>
        <w:tc>
          <w:tcPr>
            <w:tcW w:w="1696" w:type="dxa"/>
            <w:vAlign w:val="top"/>
          </w:tcPr>
          <w:p w14:paraId="4B43BA6C">
            <w:pPr>
              <w:rPr>
                <w:rFonts w:ascii="Arial"/>
                <w:color w:val="auto"/>
                <w:sz w:val="21"/>
                <w:highlight w:val="none"/>
              </w:rPr>
            </w:pPr>
          </w:p>
        </w:tc>
        <w:tc>
          <w:tcPr>
            <w:tcW w:w="851" w:type="dxa"/>
            <w:vAlign w:val="top"/>
          </w:tcPr>
          <w:p w14:paraId="0578CF0A">
            <w:pPr>
              <w:rPr>
                <w:rFonts w:ascii="Arial"/>
                <w:color w:val="auto"/>
                <w:sz w:val="21"/>
                <w:highlight w:val="none"/>
              </w:rPr>
            </w:pPr>
          </w:p>
        </w:tc>
        <w:tc>
          <w:tcPr>
            <w:tcW w:w="707" w:type="dxa"/>
            <w:vAlign w:val="top"/>
          </w:tcPr>
          <w:p w14:paraId="706A9075">
            <w:pPr>
              <w:rPr>
                <w:rFonts w:ascii="Arial"/>
                <w:color w:val="auto"/>
                <w:sz w:val="21"/>
                <w:highlight w:val="none"/>
              </w:rPr>
            </w:pPr>
          </w:p>
        </w:tc>
        <w:tc>
          <w:tcPr>
            <w:tcW w:w="850" w:type="dxa"/>
            <w:vAlign w:val="top"/>
          </w:tcPr>
          <w:p w14:paraId="6007C3D8">
            <w:pPr>
              <w:rPr>
                <w:rFonts w:ascii="Arial"/>
                <w:color w:val="auto"/>
                <w:sz w:val="21"/>
                <w:highlight w:val="none"/>
              </w:rPr>
            </w:pPr>
          </w:p>
        </w:tc>
        <w:tc>
          <w:tcPr>
            <w:tcW w:w="848" w:type="dxa"/>
            <w:vAlign w:val="top"/>
          </w:tcPr>
          <w:p w14:paraId="5A8D0197">
            <w:pPr>
              <w:rPr>
                <w:rFonts w:ascii="Arial"/>
                <w:color w:val="auto"/>
                <w:sz w:val="21"/>
                <w:highlight w:val="none"/>
              </w:rPr>
            </w:pPr>
          </w:p>
        </w:tc>
        <w:tc>
          <w:tcPr>
            <w:tcW w:w="1131" w:type="dxa"/>
            <w:vAlign w:val="top"/>
          </w:tcPr>
          <w:p w14:paraId="508B8E0E">
            <w:pPr>
              <w:rPr>
                <w:rFonts w:ascii="Arial"/>
                <w:color w:val="auto"/>
                <w:sz w:val="21"/>
                <w:highlight w:val="none"/>
              </w:rPr>
            </w:pPr>
          </w:p>
        </w:tc>
        <w:tc>
          <w:tcPr>
            <w:tcW w:w="992" w:type="dxa"/>
            <w:vAlign w:val="top"/>
          </w:tcPr>
          <w:p w14:paraId="39890A86">
            <w:pPr>
              <w:rPr>
                <w:rFonts w:ascii="Arial"/>
                <w:color w:val="auto"/>
                <w:sz w:val="21"/>
                <w:highlight w:val="none"/>
              </w:rPr>
            </w:pPr>
          </w:p>
        </w:tc>
        <w:tc>
          <w:tcPr>
            <w:tcW w:w="1107" w:type="dxa"/>
            <w:tcBorders>
              <w:right w:val="single" w:color="000000" w:sz="6" w:space="0"/>
            </w:tcBorders>
            <w:vAlign w:val="top"/>
          </w:tcPr>
          <w:p w14:paraId="258E90C1">
            <w:pPr>
              <w:rPr>
                <w:rFonts w:ascii="Arial"/>
                <w:color w:val="auto"/>
                <w:sz w:val="21"/>
                <w:highlight w:val="none"/>
              </w:rPr>
            </w:pPr>
          </w:p>
        </w:tc>
      </w:tr>
      <w:tr w14:paraId="5E6DF89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vAlign w:val="top"/>
          </w:tcPr>
          <w:p w14:paraId="06EBC688">
            <w:pPr>
              <w:rPr>
                <w:rFonts w:ascii="Arial"/>
                <w:color w:val="auto"/>
                <w:sz w:val="21"/>
                <w:highlight w:val="none"/>
              </w:rPr>
            </w:pPr>
          </w:p>
        </w:tc>
        <w:tc>
          <w:tcPr>
            <w:tcW w:w="1696" w:type="dxa"/>
            <w:vAlign w:val="top"/>
          </w:tcPr>
          <w:p w14:paraId="55DE605F">
            <w:pPr>
              <w:rPr>
                <w:rFonts w:ascii="Arial"/>
                <w:color w:val="auto"/>
                <w:sz w:val="21"/>
                <w:highlight w:val="none"/>
              </w:rPr>
            </w:pPr>
          </w:p>
        </w:tc>
        <w:tc>
          <w:tcPr>
            <w:tcW w:w="851" w:type="dxa"/>
            <w:vAlign w:val="top"/>
          </w:tcPr>
          <w:p w14:paraId="62245448">
            <w:pPr>
              <w:rPr>
                <w:rFonts w:ascii="Arial"/>
                <w:color w:val="auto"/>
                <w:sz w:val="21"/>
                <w:highlight w:val="none"/>
              </w:rPr>
            </w:pPr>
          </w:p>
        </w:tc>
        <w:tc>
          <w:tcPr>
            <w:tcW w:w="707" w:type="dxa"/>
            <w:vAlign w:val="top"/>
          </w:tcPr>
          <w:p w14:paraId="153AC062">
            <w:pPr>
              <w:rPr>
                <w:rFonts w:ascii="Arial"/>
                <w:color w:val="auto"/>
                <w:sz w:val="21"/>
                <w:highlight w:val="none"/>
              </w:rPr>
            </w:pPr>
          </w:p>
        </w:tc>
        <w:tc>
          <w:tcPr>
            <w:tcW w:w="850" w:type="dxa"/>
            <w:vAlign w:val="top"/>
          </w:tcPr>
          <w:p w14:paraId="28E4A586">
            <w:pPr>
              <w:rPr>
                <w:rFonts w:ascii="Arial"/>
                <w:color w:val="auto"/>
                <w:sz w:val="21"/>
                <w:highlight w:val="none"/>
              </w:rPr>
            </w:pPr>
          </w:p>
        </w:tc>
        <w:tc>
          <w:tcPr>
            <w:tcW w:w="848" w:type="dxa"/>
            <w:vAlign w:val="top"/>
          </w:tcPr>
          <w:p w14:paraId="2217C787">
            <w:pPr>
              <w:rPr>
                <w:rFonts w:ascii="Arial"/>
                <w:color w:val="auto"/>
                <w:sz w:val="21"/>
                <w:highlight w:val="none"/>
              </w:rPr>
            </w:pPr>
          </w:p>
        </w:tc>
        <w:tc>
          <w:tcPr>
            <w:tcW w:w="1131" w:type="dxa"/>
            <w:vAlign w:val="top"/>
          </w:tcPr>
          <w:p w14:paraId="5B95A081">
            <w:pPr>
              <w:rPr>
                <w:rFonts w:ascii="Arial"/>
                <w:color w:val="auto"/>
                <w:sz w:val="21"/>
                <w:highlight w:val="none"/>
              </w:rPr>
            </w:pPr>
          </w:p>
        </w:tc>
        <w:tc>
          <w:tcPr>
            <w:tcW w:w="992" w:type="dxa"/>
            <w:vAlign w:val="top"/>
          </w:tcPr>
          <w:p w14:paraId="00F762B6">
            <w:pPr>
              <w:rPr>
                <w:rFonts w:ascii="Arial"/>
                <w:color w:val="auto"/>
                <w:sz w:val="21"/>
                <w:highlight w:val="none"/>
              </w:rPr>
            </w:pPr>
          </w:p>
        </w:tc>
        <w:tc>
          <w:tcPr>
            <w:tcW w:w="1107" w:type="dxa"/>
            <w:tcBorders>
              <w:right w:val="single" w:color="000000" w:sz="6" w:space="0"/>
            </w:tcBorders>
            <w:vAlign w:val="top"/>
          </w:tcPr>
          <w:p w14:paraId="53E6A212">
            <w:pPr>
              <w:rPr>
                <w:rFonts w:ascii="Arial"/>
                <w:color w:val="auto"/>
                <w:sz w:val="21"/>
                <w:highlight w:val="none"/>
              </w:rPr>
            </w:pPr>
          </w:p>
        </w:tc>
      </w:tr>
      <w:tr w14:paraId="5AD3FE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3119812B">
            <w:pPr>
              <w:rPr>
                <w:rFonts w:ascii="Arial"/>
                <w:color w:val="auto"/>
                <w:sz w:val="21"/>
                <w:highlight w:val="none"/>
              </w:rPr>
            </w:pPr>
          </w:p>
        </w:tc>
        <w:tc>
          <w:tcPr>
            <w:tcW w:w="1696" w:type="dxa"/>
            <w:vAlign w:val="top"/>
          </w:tcPr>
          <w:p w14:paraId="4279C9AD">
            <w:pPr>
              <w:rPr>
                <w:rFonts w:ascii="Arial"/>
                <w:color w:val="auto"/>
                <w:sz w:val="21"/>
                <w:highlight w:val="none"/>
              </w:rPr>
            </w:pPr>
          </w:p>
        </w:tc>
        <w:tc>
          <w:tcPr>
            <w:tcW w:w="851" w:type="dxa"/>
            <w:vAlign w:val="top"/>
          </w:tcPr>
          <w:p w14:paraId="73B71E74">
            <w:pPr>
              <w:rPr>
                <w:rFonts w:ascii="Arial"/>
                <w:color w:val="auto"/>
                <w:sz w:val="21"/>
                <w:highlight w:val="none"/>
              </w:rPr>
            </w:pPr>
          </w:p>
        </w:tc>
        <w:tc>
          <w:tcPr>
            <w:tcW w:w="707" w:type="dxa"/>
            <w:vAlign w:val="top"/>
          </w:tcPr>
          <w:p w14:paraId="715F8CC8">
            <w:pPr>
              <w:rPr>
                <w:rFonts w:ascii="Arial"/>
                <w:color w:val="auto"/>
                <w:sz w:val="21"/>
                <w:highlight w:val="none"/>
              </w:rPr>
            </w:pPr>
          </w:p>
        </w:tc>
        <w:tc>
          <w:tcPr>
            <w:tcW w:w="850" w:type="dxa"/>
            <w:vAlign w:val="top"/>
          </w:tcPr>
          <w:p w14:paraId="7A1844DF">
            <w:pPr>
              <w:rPr>
                <w:rFonts w:ascii="Arial"/>
                <w:color w:val="auto"/>
                <w:sz w:val="21"/>
                <w:highlight w:val="none"/>
              </w:rPr>
            </w:pPr>
          </w:p>
        </w:tc>
        <w:tc>
          <w:tcPr>
            <w:tcW w:w="848" w:type="dxa"/>
            <w:vAlign w:val="top"/>
          </w:tcPr>
          <w:p w14:paraId="31D3E663">
            <w:pPr>
              <w:rPr>
                <w:rFonts w:ascii="Arial"/>
                <w:color w:val="auto"/>
                <w:sz w:val="21"/>
                <w:highlight w:val="none"/>
              </w:rPr>
            </w:pPr>
          </w:p>
        </w:tc>
        <w:tc>
          <w:tcPr>
            <w:tcW w:w="1131" w:type="dxa"/>
            <w:vAlign w:val="top"/>
          </w:tcPr>
          <w:p w14:paraId="2F4A0B52">
            <w:pPr>
              <w:rPr>
                <w:rFonts w:ascii="Arial"/>
                <w:color w:val="auto"/>
                <w:sz w:val="21"/>
                <w:highlight w:val="none"/>
              </w:rPr>
            </w:pPr>
          </w:p>
        </w:tc>
        <w:tc>
          <w:tcPr>
            <w:tcW w:w="992" w:type="dxa"/>
            <w:vAlign w:val="top"/>
          </w:tcPr>
          <w:p w14:paraId="0E1701A0">
            <w:pPr>
              <w:rPr>
                <w:rFonts w:ascii="Arial"/>
                <w:color w:val="auto"/>
                <w:sz w:val="21"/>
                <w:highlight w:val="none"/>
              </w:rPr>
            </w:pPr>
          </w:p>
        </w:tc>
        <w:tc>
          <w:tcPr>
            <w:tcW w:w="1107" w:type="dxa"/>
            <w:tcBorders>
              <w:right w:val="single" w:color="000000" w:sz="6" w:space="0"/>
            </w:tcBorders>
            <w:vAlign w:val="top"/>
          </w:tcPr>
          <w:p w14:paraId="11CF3EB0">
            <w:pPr>
              <w:rPr>
                <w:rFonts w:ascii="Arial"/>
                <w:color w:val="auto"/>
                <w:sz w:val="21"/>
                <w:highlight w:val="none"/>
              </w:rPr>
            </w:pPr>
          </w:p>
        </w:tc>
      </w:tr>
      <w:tr w14:paraId="20BF9F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2BD329E9">
            <w:pPr>
              <w:rPr>
                <w:rFonts w:ascii="Arial"/>
                <w:color w:val="auto"/>
                <w:sz w:val="21"/>
                <w:highlight w:val="none"/>
              </w:rPr>
            </w:pPr>
          </w:p>
        </w:tc>
        <w:tc>
          <w:tcPr>
            <w:tcW w:w="1696" w:type="dxa"/>
            <w:vAlign w:val="top"/>
          </w:tcPr>
          <w:p w14:paraId="30668CF8">
            <w:pPr>
              <w:rPr>
                <w:rFonts w:ascii="Arial"/>
                <w:color w:val="auto"/>
                <w:sz w:val="21"/>
                <w:highlight w:val="none"/>
              </w:rPr>
            </w:pPr>
          </w:p>
        </w:tc>
        <w:tc>
          <w:tcPr>
            <w:tcW w:w="851" w:type="dxa"/>
            <w:vAlign w:val="top"/>
          </w:tcPr>
          <w:p w14:paraId="308B0D41">
            <w:pPr>
              <w:rPr>
                <w:rFonts w:ascii="Arial"/>
                <w:color w:val="auto"/>
                <w:sz w:val="21"/>
                <w:highlight w:val="none"/>
              </w:rPr>
            </w:pPr>
          </w:p>
        </w:tc>
        <w:tc>
          <w:tcPr>
            <w:tcW w:w="707" w:type="dxa"/>
            <w:vAlign w:val="top"/>
          </w:tcPr>
          <w:p w14:paraId="70FA4F2B">
            <w:pPr>
              <w:rPr>
                <w:rFonts w:ascii="Arial"/>
                <w:color w:val="auto"/>
                <w:sz w:val="21"/>
                <w:highlight w:val="none"/>
              </w:rPr>
            </w:pPr>
          </w:p>
        </w:tc>
        <w:tc>
          <w:tcPr>
            <w:tcW w:w="850" w:type="dxa"/>
            <w:vAlign w:val="top"/>
          </w:tcPr>
          <w:p w14:paraId="12EA681C">
            <w:pPr>
              <w:rPr>
                <w:rFonts w:ascii="Arial"/>
                <w:color w:val="auto"/>
                <w:sz w:val="21"/>
                <w:highlight w:val="none"/>
              </w:rPr>
            </w:pPr>
          </w:p>
        </w:tc>
        <w:tc>
          <w:tcPr>
            <w:tcW w:w="848" w:type="dxa"/>
            <w:vAlign w:val="top"/>
          </w:tcPr>
          <w:p w14:paraId="1B2501CA">
            <w:pPr>
              <w:rPr>
                <w:rFonts w:ascii="Arial"/>
                <w:color w:val="auto"/>
                <w:sz w:val="21"/>
                <w:highlight w:val="none"/>
              </w:rPr>
            </w:pPr>
          </w:p>
        </w:tc>
        <w:tc>
          <w:tcPr>
            <w:tcW w:w="1131" w:type="dxa"/>
            <w:vAlign w:val="top"/>
          </w:tcPr>
          <w:p w14:paraId="07D2E074">
            <w:pPr>
              <w:rPr>
                <w:rFonts w:ascii="Arial"/>
                <w:color w:val="auto"/>
                <w:sz w:val="21"/>
                <w:highlight w:val="none"/>
              </w:rPr>
            </w:pPr>
          </w:p>
        </w:tc>
        <w:tc>
          <w:tcPr>
            <w:tcW w:w="992" w:type="dxa"/>
            <w:vAlign w:val="top"/>
          </w:tcPr>
          <w:p w14:paraId="5250A9F0">
            <w:pPr>
              <w:rPr>
                <w:rFonts w:ascii="Arial"/>
                <w:color w:val="auto"/>
                <w:sz w:val="21"/>
                <w:highlight w:val="none"/>
              </w:rPr>
            </w:pPr>
          </w:p>
        </w:tc>
        <w:tc>
          <w:tcPr>
            <w:tcW w:w="1107" w:type="dxa"/>
            <w:tcBorders>
              <w:right w:val="single" w:color="000000" w:sz="6" w:space="0"/>
            </w:tcBorders>
            <w:vAlign w:val="top"/>
          </w:tcPr>
          <w:p w14:paraId="523CB6C8">
            <w:pPr>
              <w:rPr>
                <w:rFonts w:ascii="Arial"/>
                <w:color w:val="auto"/>
                <w:sz w:val="21"/>
                <w:highlight w:val="none"/>
              </w:rPr>
            </w:pPr>
          </w:p>
        </w:tc>
      </w:tr>
      <w:tr w14:paraId="4C16A3B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vAlign w:val="top"/>
          </w:tcPr>
          <w:p w14:paraId="0FA2EAE1">
            <w:pPr>
              <w:rPr>
                <w:rFonts w:ascii="Arial"/>
                <w:color w:val="auto"/>
                <w:sz w:val="21"/>
                <w:highlight w:val="none"/>
              </w:rPr>
            </w:pPr>
          </w:p>
        </w:tc>
        <w:tc>
          <w:tcPr>
            <w:tcW w:w="1696" w:type="dxa"/>
            <w:vAlign w:val="top"/>
          </w:tcPr>
          <w:p w14:paraId="0891F06C">
            <w:pPr>
              <w:rPr>
                <w:rFonts w:ascii="Arial"/>
                <w:color w:val="auto"/>
                <w:sz w:val="21"/>
                <w:highlight w:val="none"/>
              </w:rPr>
            </w:pPr>
          </w:p>
        </w:tc>
        <w:tc>
          <w:tcPr>
            <w:tcW w:w="851" w:type="dxa"/>
            <w:vAlign w:val="top"/>
          </w:tcPr>
          <w:p w14:paraId="7D370A54">
            <w:pPr>
              <w:rPr>
                <w:rFonts w:ascii="Arial"/>
                <w:color w:val="auto"/>
                <w:sz w:val="21"/>
                <w:highlight w:val="none"/>
              </w:rPr>
            </w:pPr>
          </w:p>
        </w:tc>
        <w:tc>
          <w:tcPr>
            <w:tcW w:w="707" w:type="dxa"/>
            <w:vAlign w:val="top"/>
          </w:tcPr>
          <w:p w14:paraId="373918F2">
            <w:pPr>
              <w:rPr>
                <w:rFonts w:ascii="Arial"/>
                <w:color w:val="auto"/>
                <w:sz w:val="21"/>
                <w:highlight w:val="none"/>
              </w:rPr>
            </w:pPr>
          </w:p>
        </w:tc>
        <w:tc>
          <w:tcPr>
            <w:tcW w:w="850" w:type="dxa"/>
            <w:vAlign w:val="top"/>
          </w:tcPr>
          <w:p w14:paraId="7E3484C3">
            <w:pPr>
              <w:rPr>
                <w:rFonts w:ascii="Arial"/>
                <w:color w:val="auto"/>
                <w:sz w:val="21"/>
                <w:highlight w:val="none"/>
              </w:rPr>
            </w:pPr>
          </w:p>
        </w:tc>
        <w:tc>
          <w:tcPr>
            <w:tcW w:w="848" w:type="dxa"/>
            <w:vAlign w:val="top"/>
          </w:tcPr>
          <w:p w14:paraId="63CD2525">
            <w:pPr>
              <w:rPr>
                <w:rFonts w:ascii="Arial"/>
                <w:color w:val="auto"/>
                <w:sz w:val="21"/>
                <w:highlight w:val="none"/>
              </w:rPr>
            </w:pPr>
          </w:p>
        </w:tc>
        <w:tc>
          <w:tcPr>
            <w:tcW w:w="1131" w:type="dxa"/>
            <w:vAlign w:val="top"/>
          </w:tcPr>
          <w:p w14:paraId="53DC442C">
            <w:pPr>
              <w:rPr>
                <w:rFonts w:ascii="Arial"/>
                <w:color w:val="auto"/>
                <w:sz w:val="21"/>
                <w:highlight w:val="none"/>
              </w:rPr>
            </w:pPr>
          </w:p>
        </w:tc>
        <w:tc>
          <w:tcPr>
            <w:tcW w:w="992" w:type="dxa"/>
            <w:vAlign w:val="top"/>
          </w:tcPr>
          <w:p w14:paraId="64507CDE">
            <w:pPr>
              <w:rPr>
                <w:rFonts w:ascii="Arial"/>
                <w:color w:val="auto"/>
                <w:sz w:val="21"/>
                <w:highlight w:val="none"/>
              </w:rPr>
            </w:pPr>
          </w:p>
        </w:tc>
        <w:tc>
          <w:tcPr>
            <w:tcW w:w="1107" w:type="dxa"/>
            <w:tcBorders>
              <w:right w:val="single" w:color="000000" w:sz="6" w:space="0"/>
            </w:tcBorders>
            <w:vAlign w:val="top"/>
          </w:tcPr>
          <w:p w14:paraId="3CAE0608">
            <w:pPr>
              <w:rPr>
                <w:rFonts w:ascii="Arial"/>
                <w:color w:val="auto"/>
                <w:sz w:val="21"/>
                <w:highlight w:val="none"/>
              </w:rPr>
            </w:pPr>
          </w:p>
        </w:tc>
      </w:tr>
      <w:tr w14:paraId="4DA25D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4BC363F3">
            <w:pPr>
              <w:rPr>
                <w:rFonts w:ascii="Arial"/>
                <w:color w:val="auto"/>
                <w:sz w:val="21"/>
                <w:highlight w:val="none"/>
              </w:rPr>
            </w:pPr>
          </w:p>
        </w:tc>
        <w:tc>
          <w:tcPr>
            <w:tcW w:w="1696" w:type="dxa"/>
            <w:vAlign w:val="top"/>
          </w:tcPr>
          <w:p w14:paraId="6E1310A8">
            <w:pPr>
              <w:rPr>
                <w:rFonts w:ascii="Arial"/>
                <w:color w:val="auto"/>
                <w:sz w:val="21"/>
                <w:highlight w:val="none"/>
              </w:rPr>
            </w:pPr>
          </w:p>
        </w:tc>
        <w:tc>
          <w:tcPr>
            <w:tcW w:w="851" w:type="dxa"/>
            <w:vAlign w:val="top"/>
          </w:tcPr>
          <w:p w14:paraId="2581C738">
            <w:pPr>
              <w:rPr>
                <w:rFonts w:ascii="Arial"/>
                <w:color w:val="auto"/>
                <w:sz w:val="21"/>
                <w:highlight w:val="none"/>
              </w:rPr>
            </w:pPr>
          </w:p>
        </w:tc>
        <w:tc>
          <w:tcPr>
            <w:tcW w:w="707" w:type="dxa"/>
            <w:vAlign w:val="top"/>
          </w:tcPr>
          <w:p w14:paraId="33EC027A">
            <w:pPr>
              <w:rPr>
                <w:rFonts w:ascii="Arial"/>
                <w:color w:val="auto"/>
                <w:sz w:val="21"/>
                <w:highlight w:val="none"/>
              </w:rPr>
            </w:pPr>
          </w:p>
        </w:tc>
        <w:tc>
          <w:tcPr>
            <w:tcW w:w="850" w:type="dxa"/>
            <w:vAlign w:val="top"/>
          </w:tcPr>
          <w:p w14:paraId="3020174D">
            <w:pPr>
              <w:rPr>
                <w:rFonts w:ascii="Arial"/>
                <w:color w:val="auto"/>
                <w:sz w:val="21"/>
                <w:highlight w:val="none"/>
              </w:rPr>
            </w:pPr>
          </w:p>
        </w:tc>
        <w:tc>
          <w:tcPr>
            <w:tcW w:w="848" w:type="dxa"/>
            <w:vAlign w:val="top"/>
          </w:tcPr>
          <w:p w14:paraId="317DA608">
            <w:pPr>
              <w:rPr>
                <w:rFonts w:ascii="Arial"/>
                <w:color w:val="auto"/>
                <w:sz w:val="21"/>
                <w:highlight w:val="none"/>
              </w:rPr>
            </w:pPr>
          </w:p>
        </w:tc>
        <w:tc>
          <w:tcPr>
            <w:tcW w:w="1131" w:type="dxa"/>
            <w:vAlign w:val="top"/>
          </w:tcPr>
          <w:p w14:paraId="6DB8BD15">
            <w:pPr>
              <w:rPr>
                <w:rFonts w:ascii="Arial"/>
                <w:color w:val="auto"/>
                <w:sz w:val="21"/>
                <w:highlight w:val="none"/>
              </w:rPr>
            </w:pPr>
          </w:p>
        </w:tc>
        <w:tc>
          <w:tcPr>
            <w:tcW w:w="992" w:type="dxa"/>
            <w:vAlign w:val="top"/>
          </w:tcPr>
          <w:p w14:paraId="6ABC2AD2">
            <w:pPr>
              <w:rPr>
                <w:rFonts w:ascii="Arial"/>
                <w:color w:val="auto"/>
                <w:sz w:val="21"/>
                <w:highlight w:val="none"/>
              </w:rPr>
            </w:pPr>
          </w:p>
        </w:tc>
        <w:tc>
          <w:tcPr>
            <w:tcW w:w="1107" w:type="dxa"/>
            <w:tcBorders>
              <w:right w:val="single" w:color="000000" w:sz="6" w:space="0"/>
            </w:tcBorders>
            <w:vAlign w:val="top"/>
          </w:tcPr>
          <w:p w14:paraId="06B15212">
            <w:pPr>
              <w:rPr>
                <w:rFonts w:ascii="Arial"/>
                <w:color w:val="auto"/>
                <w:sz w:val="21"/>
                <w:highlight w:val="none"/>
              </w:rPr>
            </w:pPr>
          </w:p>
        </w:tc>
      </w:tr>
      <w:tr w14:paraId="658849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68292F6D">
            <w:pPr>
              <w:rPr>
                <w:rFonts w:ascii="Arial"/>
                <w:color w:val="auto"/>
                <w:sz w:val="21"/>
                <w:highlight w:val="none"/>
              </w:rPr>
            </w:pPr>
          </w:p>
        </w:tc>
        <w:tc>
          <w:tcPr>
            <w:tcW w:w="1696" w:type="dxa"/>
            <w:vAlign w:val="top"/>
          </w:tcPr>
          <w:p w14:paraId="60EFFBF0">
            <w:pPr>
              <w:rPr>
                <w:rFonts w:ascii="Arial"/>
                <w:color w:val="auto"/>
                <w:sz w:val="21"/>
                <w:highlight w:val="none"/>
              </w:rPr>
            </w:pPr>
          </w:p>
        </w:tc>
        <w:tc>
          <w:tcPr>
            <w:tcW w:w="851" w:type="dxa"/>
            <w:vAlign w:val="top"/>
          </w:tcPr>
          <w:p w14:paraId="3B4716BB">
            <w:pPr>
              <w:rPr>
                <w:rFonts w:ascii="Arial"/>
                <w:color w:val="auto"/>
                <w:sz w:val="21"/>
                <w:highlight w:val="none"/>
              </w:rPr>
            </w:pPr>
          </w:p>
        </w:tc>
        <w:tc>
          <w:tcPr>
            <w:tcW w:w="707" w:type="dxa"/>
            <w:vAlign w:val="top"/>
          </w:tcPr>
          <w:p w14:paraId="7E9FF02D">
            <w:pPr>
              <w:rPr>
                <w:rFonts w:ascii="Arial"/>
                <w:color w:val="auto"/>
                <w:sz w:val="21"/>
                <w:highlight w:val="none"/>
              </w:rPr>
            </w:pPr>
          </w:p>
        </w:tc>
        <w:tc>
          <w:tcPr>
            <w:tcW w:w="850" w:type="dxa"/>
            <w:vAlign w:val="top"/>
          </w:tcPr>
          <w:p w14:paraId="1B7DBFBF">
            <w:pPr>
              <w:rPr>
                <w:rFonts w:ascii="Arial"/>
                <w:color w:val="auto"/>
                <w:sz w:val="21"/>
                <w:highlight w:val="none"/>
              </w:rPr>
            </w:pPr>
          </w:p>
        </w:tc>
        <w:tc>
          <w:tcPr>
            <w:tcW w:w="848" w:type="dxa"/>
            <w:vAlign w:val="top"/>
          </w:tcPr>
          <w:p w14:paraId="2AF0334C">
            <w:pPr>
              <w:rPr>
                <w:rFonts w:ascii="Arial"/>
                <w:color w:val="auto"/>
                <w:sz w:val="21"/>
                <w:highlight w:val="none"/>
              </w:rPr>
            </w:pPr>
          </w:p>
        </w:tc>
        <w:tc>
          <w:tcPr>
            <w:tcW w:w="1131" w:type="dxa"/>
            <w:vAlign w:val="top"/>
          </w:tcPr>
          <w:p w14:paraId="4B502D10">
            <w:pPr>
              <w:rPr>
                <w:rFonts w:ascii="Arial"/>
                <w:color w:val="auto"/>
                <w:sz w:val="21"/>
                <w:highlight w:val="none"/>
              </w:rPr>
            </w:pPr>
          </w:p>
        </w:tc>
        <w:tc>
          <w:tcPr>
            <w:tcW w:w="992" w:type="dxa"/>
            <w:vAlign w:val="top"/>
          </w:tcPr>
          <w:p w14:paraId="7E5E02B3">
            <w:pPr>
              <w:rPr>
                <w:rFonts w:ascii="Arial"/>
                <w:color w:val="auto"/>
                <w:sz w:val="21"/>
                <w:highlight w:val="none"/>
              </w:rPr>
            </w:pPr>
          </w:p>
        </w:tc>
        <w:tc>
          <w:tcPr>
            <w:tcW w:w="1107" w:type="dxa"/>
            <w:tcBorders>
              <w:right w:val="single" w:color="000000" w:sz="6" w:space="0"/>
            </w:tcBorders>
            <w:vAlign w:val="top"/>
          </w:tcPr>
          <w:p w14:paraId="1700F70E">
            <w:pPr>
              <w:rPr>
                <w:rFonts w:ascii="Arial"/>
                <w:color w:val="auto"/>
                <w:sz w:val="21"/>
                <w:highlight w:val="none"/>
              </w:rPr>
            </w:pPr>
          </w:p>
        </w:tc>
      </w:tr>
      <w:tr w14:paraId="04E5DD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vAlign w:val="top"/>
          </w:tcPr>
          <w:p w14:paraId="7046C793">
            <w:pPr>
              <w:rPr>
                <w:rFonts w:ascii="Arial"/>
                <w:color w:val="auto"/>
                <w:sz w:val="21"/>
                <w:highlight w:val="none"/>
              </w:rPr>
            </w:pPr>
          </w:p>
        </w:tc>
        <w:tc>
          <w:tcPr>
            <w:tcW w:w="1696" w:type="dxa"/>
            <w:vAlign w:val="top"/>
          </w:tcPr>
          <w:p w14:paraId="611071A0">
            <w:pPr>
              <w:rPr>
                <w:rFonts w:ascii="Arial"/>
                <w:color w:val="auto"/>
                <w:sz w:val="21"/>
                <w:highlight w:val="none"/>
              </w:rPr>
            </w:pPr>
          </w:p>
        </w:tc>
        <w:tc>
          <w:tcPr>
            <w:tcW w:w="851" w:type="dxa"/>
            <w:vAlign w:val="top"/>
          </w:tcPr>
          <w:p w14:paraId="6EAC5496">
            <w:pPr>
              <w:rPr>
                <w:rFonts w:ascii="Arial"/>
                <w:color w:val="auto"/>
                <w:sz w:val="21"/>
                <w:highlight w:val="none"/>
              </w:rPr>
            </w:pPr>
          </w:p>
        </w:tc>
        <w:tc>
          <w:tcPr>
            <w:tcW w:w="707" w:type="dxa"/>
            <w:vAlign w:val="top"/>
          </w:tcPr>
          <w:p w14:paraId="2A52A0C6">
            <w:pPr>
              <w:rPr>
                <w:rFonts w:ascii="Arial"/>
                <w:color w:val="auto"/>
                <w:sz w:val="21"/>
                <w:highlight w:val="none"/>
              </w:rPr>
            </w:pPr>
          </w:p>
        </w:tc>
        <w:tc>
          <w:tcPr>
            <w:tcW w:w="850" w:type="dxa"/>
            <w:vAlign w:val="top"/>
          </w:tcPr>
          <w:p w14:paraId="6B2AB7C5">
            <w:pPr>
              <w:rPr>
                <w:rFonts w:ascii="Arial"/>
                <w:color w:val="auto"/>
                <w:sz w:val="21"/>
                <w:highlight w:val="none"/>
              </w:rPr>
            </w:pPr>
          </w:p>
        </w:tc>
        <w:tc>
          <w:tcPr>
            <w:tcW w:w="848" w:type="dxa"/>
            <w:vAlign w:val="top"/>
          </w:tcPr>
          <w:p w14:paraId="59C5DAC3">
            <w:pPr>
              <w:rPr>
                <w:rFonts w:ascii="Arial"/>
                <w:color w:val="auto"/>
                <w:sz w:val="21"/>
                <w:highlight w:val="none"/>
              </w:rPr>
            </w:pPr>
          </w:p>
        </w:tc>
        <w:tc>
          <w:tcPr>
            <w:tcW w:w="1131" w:type="dxa"/>
            <w:vAlign w:val="top"/>
          </w:tcPr>
          <w:p w14:paraId="50AAB62D">
            <w:pPr>
              <w:rPr>
                <w:rFonts w:ascii="Arial"/>
                <w:color w:val="auto"/>
                <w:sz w:val="21"/>
                <w:highlight w:val="none"/>
              </w:rPr>
            </w:pPr>
          </w:p>
        </w:tc>
        <w:tc>
          <w:tcPr>
            <w:tcW w:w="992" w:type="dxa"/>
            <w:vAlign w:val="top"/>
          </w:tcPr>
          <w:p w14:paraId="7C532F27">
            <w:pPr>
              <w:rPr>
                <w:rFonts w:ascii="Arial"/>
                <w:color w:val="auto"/>
                <w:sz w:val="21"/>
                <w:highlight w:val="none"/>
              </w:rPr>
            </w:pPr>
          </w:p>
        </w:tc>
        <w:tc>
          <w:tcPr>
            <w:tcW w:w="1107" w:type="dxa"/>
            <w:tcBorders>
              <w:right w:val="single" w:color="000000" w:sz="6" w:space="0"/>
            </w:tcBorders>
            <w:vAlign w:val="top"/>
          </w:tcPr>
          <w:p w14:paraId="110652FC">
            <w:pPr>
              <w:rPr>
                <w:rFonts w:ascii="Arial"/>
                <w:color w:val="auto"/>
                <w:sz w:val="21"/>
                <w:highlight w:val="none"/>
              </w:rPr>
            </w:pPr>
          </w:p>
        </w:tc>
      </w:tr>
      <w:tr w14:paraId="719541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440FCF8D">
            <w:pPr>
              <w:rPr>
                <w:rFonts w:ascii="Arial"/>
                <w:color w:val="auto"/>
                <w:sz w:val="21"/>
                <w:highlight w:val="none"/>
              </w:rPr>
            </w:pPr>
          </w:p>
        </w:tc>
        <w:tc>
          <w:tcPr>
            <w:tcW w:w="1696" w:type="dxa"/>
            <w:vAlign w:val="top"/>
          </w:tcPr>
          <w:p w14:paraId="6B6E327D">
            <w:pPr>
              <w:rPr>
                <w:rFonts w:ascii="Arial"/>
                <w:color w:val="auto"/>
                <w:sz w:val="21"/>
                <w:highlight w:val="none"/>
              </w:rPr>
            </w:pPr>
          </w:p>
        </w:tc>
        <w:tc>
          <w:tcPr>
            <w:tcW w:w="851" w:type="dxa"/>
            <w:vAlign w:val="top"/>
          </w:tcPr>
          <w:p w14:paraId="06818BD0">
            <w:pPr>
              <w:rPr>
                <w:rFonts w:ascii="Arial"/>
                <w:color w:val="auto"/>
                <w:sz w:val="21"/>
                <w:highlight w:val="none"/>
              </w:rPr>
            </w:pPr>
          </w:p>
        </w:tc>
        <w:tc>
          <w:tcPr>
            <w:tcW w:w="707" w:type="dxa"/>
            <w:vAlign w:val="top"/>
          </w:tcPr>
          <w:p w14:paraId="7450F88E">
            <w:pPr>
              <w:rPr>
                <w:rFonts w:ascii="Arial"/>
                <w:color w:val="auto"/>
                <w:sz w:val="21"/>
                <w:highlight w:val="none"/>
              </w:rPr>
            </w:pPr>
          </w:p>
        </w:tc>
        <w:tc>
          <w:tcPr>
            <w:tcW w:w="850" w:type="dxa"/>
            <w:vAlign w:val="top"/>
          </w:tcPr>
          <w:p w14:paraId="66939E42">
            <w:pPr>
              <w:rPr>
                <w:rFonts w:ascii="Arial"/>
                <w:color w:val="auto"/>
                <w:sz w:val="21"/>
                <w:highlight w:val="none"/>
              </w:rPr>
            </w:pPr>
          </w:p>
        </w:tc>
        <w:tc>
          <w:tcPr>
            <w:tcW w:w="848" w:type="dxa"/>
            <w:vAlign w:val="top"/>
          </w:tcPr>
          <w:p w14:paraId="4A3A88CA">
            <w:pPr>
              <w:rPr>
                <w:rFonts w:ascii="Arial"/>
                <w:color w:val="auto"/>
                <w:sz w:val="21"/>
                <w:highlight w:val="none"/>
              </w:rPr>
            </w:pPr>
          </w:p>
        </w:tc>
        <w:tc>
          <w:tcPr>
            <w:tcW w:w="1131" w:type="dxa"/>
            <w:vAlign w:val="top"/>
          </w:tcPr>
          <w:p w14:paraId="1BD08747">
            <w:pPr>
              <w:rPr>
                <w:rFonts w:ascii="Arial"/>
                <w:color w:val="auto"/>
                <w:sz w:val="21"/>
                <w:highlight w:val="none"/>
              </w:rPr>
            </w:pPr>
          </w:p>
        </w:tc>
        <w:tc>
          <w:tcPr>
            <w:tcW w:w="992" w:type="dxa"/>
            <w:vAlign w:val="top"/>
          </w:tcPr>
          <w:p w14:paraId="1D2EF593">
            <w:pPr>
              <w:rPr>
                <w:rFonts w:ascii="Arial"/>
                <w:color w:val="auto"/>
                <w:sz w:val="21"/>
                <w:highlight w:val="none"/>
              </w:rPr>
            </w:pPr>
          </w:p>
        </w:tc>
        <w:tc>
          <w:tcPr>
            <w:tcW w:w="1107" w:type="dxa"/>
            <w:tcBorders>
              <w:right w:val="single" w:color="000000" w:sz="6" w:space="0"/>
            </w:tcBorders>
            <w:vAlign w:val="top"/>
          </w:tcPr>
          <w:p w14:paraId="379A3485">
            <w:pPr>
              <w:rPr>
                <w:rFonts w:ascii="Arial"/>
                <w:color w:val="auto"/>
                <w:sz w:val="21"/>
                <w:highlight w:val="none"/>
              </w:rPr>
            </w:pPr>
          </w:p>
        </w:tc>
      </w:tr>
      <w:tr w14:paraId="6AA7B60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7ADC70DA">
            <w:pPr>
              <w:rPr>
                <w:rFonts w:ascii="Arial"/>
                <w:color w:val="auto"/>
                <w:sz w:val="21"/>
                <w:highlight w:val="none"/>
              </w:rPr>
            </w:pPr>
          </w:p>
        </w:tc>
        <w:tc>
          <w:tcPr>
            <w:tcW w:w="1696" w:type="dxa"/>
            <w:vAlign w:val="top"/>
          </w:tcPr>
          <w:p w14:paraId="4077D2EF">
            <w:pPr>
              <w:rPr>
                <w:rFonts w:ascii="Arial"/>
                <w:color w:val="auto"/>
                <w:sz w:val="21"/>
                <w:highlight w:val="none"/>
              </w:rPr>
            </w:pPr>
          </w:p>
        </w:tc>
        <w:tc>
          <w:tcPr>
            <w:tcW w:w="851" w:type="dxa"/>
            <w:vAlign w:val="top"/>
          </w:tcPr>
          <w:p w14:paraId="4887C4AF">
            <w:pPr>
              <w:rPr>
                <w:rFonts w:ascii="Arial"/>
                <w:color w:val="auto"/>
                <w:sz w:val="21"/>
                <w:highlight w:val="none"/>
              </w:rPr>
            </w:pPr>
          </w:p>
        </w:tc>
        <w:tc>
          <w:tcPr>
            <w:tcW w:w="707" w:type="dxa"/>
            <w:vAlign w:val="top"/>
          </w:tcPr>
          <w:p w14:paraId="42BAA0D5">
            <w:pPr>
              <w:rPr>
                <w:rFonts w:ascii="Arial"/>
                <w:color w:val="auto"/>
                <w:sz w:val="21"/>
                <w:highlight w:val="none"/>
              </w:rPr>
            </w:pPr>
          </w:p>
        </w:tc>
        <w:tc>
          <w:tcPr>
            <w:tcW w:w="850" w:type="dxa"/>
            <w:vAlign w:val="top"/>
          </w:tcPr>
          <w:p w14:paraId="55ACFE45">
            <w:pPr>
              <w:rPr>
                <w:rFonts w:ascii="Arial"/>
                <w:color w:val="auto"/>
                <w:sz w:val="21"/>
                <w:highlight w:val="none"/>
              </w:rPr>
            </w:pPr>
          </w:p>
        </w:tc>
        <w:tc>
          <w:tcPr>
            <w:tcW w:w="848" w:type="dxa"/>
            <w:vAlign w:val="top"/>
          </w:tcPr>
          <w:p w14:paraId="606A1DB1">
            <w:pPr>
              <w:rPr>
                <w:rFonts w:ascii="Arial"/>
                <w:color w:val="auto"/>
                <w:sz w:val="21"/>
                <w:highlight w:val="none"/>
              </w:rPr>
            </w:pPr>
          </w:p>
        </w:tc>
        <w:tc>
          <w:tcPr>
            <w:tcW w:w="1131" w:type="dxa"/>
            <w:vAlign w:val="top"/>
          </w:tcPr>
          <w:p w14:paraId="30D9D067">
            <w:pPr>
              <w:rPr>
                <w:rFonts w:ascii="Arial"/>
                <w:color w:val="auto"/>
                <w:sz w:val="21"/>
                <w:highlight w:val="none"/>
              </w:rPr>
            </w:pPr>
          </w:p>
        </w:tc>
        <w:tc>
          <w:tcPr>
            <w:tcW w:w="992" w:type="dxa"/>
            <w:vAlign w:val="top"/>
          </w:tcPr>
          <w:p w14:paraId="32B93D66">
            <w:pPr>
              <w:rPr>
                <w:rFonts w:ascii="Arial"/>
                <w:color w:val="auto"/>
                <w:sz w:val="21"/>
                <w:highlight w:val="none"/>
              </w:rPr>
            </w:pPr>
          </w:p>
        </w:tc>
        <w:tc>
          <w:tcPr>
            <w:tcW w:w="1107" w:type="dxa"/>
            <w:tcBorders>
              <w:right w:val="single" w:color="000000" w:sz="6" w:space="0"/>
            </w:tcBorders>
            <w:vAlign w:val="top"/>
          </w:tcPr>
          <w:p w14:paraId="46381AFF">
            <w:pPr>
              <w:rPr>
                <w:rFonts w:ascii="Arial"/>
                <w:color w:val="auto"/>
                <w:sz w:val="21"/>
                <w:highlight w:val="none"/>
              </w:rPr>
            </w:pPr>
          </w:p>
        </w:tc>
      </w:tr>
      <w:tr w14:paraId="348C95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827" w:type="dxa"/>
            <w:tcBorders>
              <w:left w:val="single" w:color="000000" w:sz="6" w:space="0"/>
            </w:tcBorders>
            <w:vAlign w:val="top"/>
          </w:tcPr>
          <w:p w14:paraId="11042810">
            <w:pPr>
              <w:rPr>
                <w:rFonts w:ascii="Arial"/>
                <w:color w:val="auto"/>
                <w:sz w:val="21"/>
                <w:highlight w:val="none"/>
              </w:rPr>
            </w:pPr>
          </w:p>
        </w:tc>
        <w:tc>
          <w:tcPr>
            <w:tcW w:w="1696" w:type="dxa"/>
            <w:vAlign w:val="top"/>
          </w:tcPr>
          <w:p w14:paraId="5ECF9DC6">
            <w:pPr>
              <w:rPr>
                <w:rFonts w:ascii="Arial"/>
                <w:color w:val="auto"/>
                <w:sz w:val="21"/>
                <w:highlight w:val="none"/>
              </w:rPr>
            </w:pPr>
          </w:p>
        </w:tc>
        <w:tc>
          <w:tcPr>
            <w:tcW w:w="851" w:type="dxa"/>
            <w:vAlign w:val="top"/>
          </w:tcPr>
          <w:p w14:paraId="14170B4F">
            <w:pPr>
              <w:rPr>
                <w:rFonts w:ascii="Arial"/>
                <w:color w:val="auto"/>
                <w:sz w:val="21"/>
                <w:highlight w:val="none"/>
              </w:rPr>
            </w:pPr>
          </w:p>
        </w:tc>
        <w:tc>
          <w:tcPr>
            <w:tcW w:w="707" w:type="dxa"/>
            <w:vAlign w:val="top"/>
          </w:tcPr>
          <w:p w14:paraId="17A86FBF">
            <w:pPr>
              <w:rPr>
                <w:rFonts w:ascii="Arial"/>
                <w:color w:val="auto"/>
                <w:sz w:val="21"/>
                <w:highlight w:val="none"/>
              </w:rPr>
            </w:pPr>
          </w:p>
        </w:tc>
        <w:tc>
          <w:tcPr>
            <w:tcW w:w="850" w:type="dxa"/>
            <w:vAlign w:val="top"/>
          </w:tcPr>
          <w:p w14:paraId="6C8B6C9C">
            <w:pPr>
              <w:rPr>
                <w:rFonts w:ascii="Arial"/>
                <w:color w:val="auto"/>
                <w:sz w:val="21"/>
                <w:highlight w:val="none"/>
              </w:rPr>
            </w:pPr>
          </w:p>
        </w:tc>
        <w:tc>
          <w:tcPr>
            <w:tcW w:w="848" w:type="dxa"/>
            <w:vAlign w:val="top"/>
          </w:tcPr>
          <w:p w14:paraId="57760FE6">
            <w:pPr>
              <w:rPr>
                <w:rFonts w:ascii="Arial"/>
                <w:color w:val="auto"/>
                <w:sz w:val="21"/>
                <w:highlight w:val="none"/>
              </w:rPr>
            </w:pPr>
          </w:p>
        </w:tc>
        <w:tc>
          <w:tcPr>
            <w:tcW w:w="1131" w:type="dxa"/>
            <w:vAlign w:val="top"/>
          </w:tcPr>
          <w:p w14:paraId="5D3AB416">
            <w:pPr>
              <w:rPr>
                <w:rFonts w:ascii="Arial"/>
                <w:color w:val="auto"/>
                <w:sz w:val="21"/>
                <w:highlight w:val="none"/>
              </w:rPr>
            </w:pPr>
          </w:p>
        </w:tc>
        <w:tc>
          <w:tcPr>
            <w:tcW w:w="992" w:type="dxa"/>
            <w:vAlign w:val="top"/>
          </w:tcPr>
          <w:p w14:paraId="7028D84E">
            <w:pPr>
              <w:rPr>
                <w:rFonts w:ascii="Arial"/>
                <w:color w:val="auto"/>
                <w:sz w:val="21"/>
                <w:highlight w:val="none"/>
              </w:rPr>
            </w:pPr>
          </w:p>
        </w:tc>
        <w:tc>
          <w:tcPr>
            <w:tcW w:w="1107" w:type="dxa"/>
            <w:tcBorders>
              <w:right w:val="single" w:color="000000" w:sz="6" w:space="0"/>
            </w:tcBorders>
            <w:vAlign w:val="top"/>
          </w:tcPr>
          <w:p w14:paraId="3FBBDD9D">
            <w:pPr>
              <w:rPr>
                <w:rFonts w:ascii="Arial"/>
                <w:color w:val="auto"/>
                <w:sz w:val="21"/>
                <w:highlight w:val="none"/>
              </w:rPr>
            </w:pPr>
          </w:p>
        </w:tc>
      </w:tr>
      <w:tr w14:paraId="335816B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60CCF158">
            <w:pPr>
              <w:rPr>
                <w:rFonts w:ascii="Arial"/>
                <w:color w:val="auto"/>
                <w:sz w:val="21"/>
                <w:highlight w:val="none"/>
              </w:rPr>
            </w:pPr>
          </w:p>
        </w:tc>
        <w:tc>
          <w:tcPr>
            <w:tcW w:w="1696" w:type="dxa"/>
            <w:vAlign w:val="top"/>
          </w:tcPr>
          <w:p w14:paraId="33992774">
            <w:pPr>
              <w:rPr>
                <w:rFonts w:ascii="Arial"/>
                <w:color w:val="auto"/>
                <w:sz w:val="21"/>
                <w:highlight w:val="none"/>
              </w:rPr>
            </w:pPr>
          </w:p>
        </w:tc>
        <w:tc>
          <w:tcPr>
            <w:tcW w:w="851" w:type="dxa"/>
            <w:vAlign w:val="top"/>
          </w:tcPr>
          <w:p w14:paraId="7032F1FC">
            <w:pPr>
              <w:rPr>
                <w:rFonts w:ascii="Arial"/>
                <w:color w:val="auto"/>
                <w:sz w:val="21"/>
                <w:highlight w:val="none"/>
              </w:rPr>
            </w:pPr>
          </w:p>
        </w:tc>
        <w:tc>
          <w:tcPr>
            <w:tcW w:w="707" w:type="dxa"/>
            <w:vAlign w:val="top"/>
          </w:tcPr>
          <w:p w14:paraId="34EA9657">
            <w:pPr>
              <w:rPr>
                <w:rFonts w:ascii="Arial"/>
                <w:color w:val="auto"/>
                <w:sz w:val="21"/>
                <w:highlight w:val="none"/>
              </w:rPr>
            </w:pPr>
          </w:p>
        </w:tc>
        <w:tc>
          <w:tcPr>
            <w:tcW w:w="850" w:type="dxa"/>
            <w:vAlign w:val="top"/>
          </w:tcPr>
          <w:p w14:paraId="3A848BAC">
            <w:pPr>
              <w:rPr>
                <w:rFonts w:ascii="Arial"/>
                <w:color w:val="auto"/>
                <w:sz w:val="21"/>
                <w:highlight w:val="none"/>
              </w:rPr>
            </w:pPr>
          </w:p>
        </w:tc>
        <w:tc>
          <w:tcPr>
            <w:tcW w:w="848" w:type="dxa"/>
            <w:vAlign w:val="top"/>
          </w:tcPr>
          <w:p w14:paraId="44DB0D85">
            <w:pPr>
              <w:rPr>
                <w:rFonts w:ascii="Arial"/>
                <w:color w:val="auto"/>
                <w:sz w:val="21"/>
                <w:highlight w:val="none"/>
              </w:rPr>
            </w:pPr>
          </w:p>
        </w:tc>
        <w:tc>
          <w:tcPr>
            <w:tcW w:w="1131" w:type="dxa"/>
            <w:vAlign w:val="top"/>
          </w:tcPr>
          <w:p w14:paraId="21A0A2B5">
            <w:pPr>
              <w:rPr>
                <w:rFonts w:ascii="Arial"/>
                <w:color w:val="auto"/>
                <w:sz w:val="21"/>
                <w:highlight w:val="none"/>
              </w:rPr>
            </w:pPr>
          </w:p>
        </w:tc>
        <w:tc>
          <w:tcPr>
            <w:tcW w:w="992" w:type="dxa"/>
            <w:vAlign w:val="top"/>
          </w:tcPr>
          <w:p w14:paraId="33579215">
            <w:pPr>
              <w:rPr>
                <w:rFonts w:ascii="Arial"/>
                <w:color w:val="auto"/>
                <w:sz w:val="21"/>
                <w:highlight w:val="none"/>
              </w:rPr>
            </w:pPr>
          </w:p>
        </w:tc>
        <w:tc>
          <w:tcPr>
            <w:tcW w:w="1107" w:type="dxa"/>
            <w:tcBorders>
              <w:right w:val="single" w:color="000000" w:sz="6" w:space="0"/>
            </w:tcBorders>
            <w:vAlign w:val="top"/>
          </w:tcPr>
          <w:p w14:paraId="11B9F6F5">
            <w:pPr>
              <w:rPr>
                <w:rFonts w:ascii="Arial"/>
                <w:color w:val="auto"/>
                <w:sz w:val="21"/>
                <w:highlight w:val="none"/>
              </w:rPr>
            </w:pPr>
          </w:p>
        </w:tc>
      </w:tr>
      <w:tr w14:paraId="2638C3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5" w:hRule="atLeast"/>
        </w:trPr>
        <w:tc>
          <w:tcPr>
            <w:tcW w:w="827" w:type="dxa"/>
            <w:tcBorders>
              <w:left w:val="single" w:color="000000" w:sz="6" w:space="0"/>
            </w:tcBorders>
            <w:vAlign w:val="top"/>
          </w:tcPr>
          <w:p w14:paraId="24E83903">
            <w:pPr>
              <w:rPr>
                <w:rFonts w:ascii="Arial"/>
                <w:color w:val="auto"/>
                <w:sz w:val="21"/>
                <w:highlight w:val="none"/>
              </w:rPr>
            </w:pPr>
          </w:p>
        </w:tc>
        <w:tc>
          <w:tcPr>
            <w:tcW w:w="1696" w:type="dxa"/>
            <w:vAlign w:val="top"/>
          </w:tcPr>
          <w:p w14:paraId="3D90499A">
            <w:pPr>
              <w:rPr>
                <w:rFonts w:ascii="Arial"/>
                <w:color w:val="auto"/>
                <w:sz w:val="21"/>
                <w:highlight w:val="none"/>
              </w:rPr>
            </w:pPr>
          </w:p>
        </w:tc>
        <w:tc>
          <w:tcPr>
            <w:tcW w:w="851" w:type="dxa"/>
            <w:vAlign w:val="top"/>
          </w:tcPr>
          <w:p w14:paraId="6B2FB460">
            <w:pPr>
              <w:rPr>
                <w:rFonts w:ascii="Arial"/>
                <w:color w:val="auto"/>
                <w:sz w:val="21"/>
                <w:highlight w:val="none"/>
              </w:rPr>
            </w:pPr>
          </w:p>
        </w:tc>
        <w:tc>
          <w:tcPr>
            <w:tcW w:w="707" w:type="dxa"/>
            <w:vAlign w:val="top"/>
          </w:tcPr>
          <w:p w14:paraId="294E0865">
            <w:pPr>
              <w:rPr>
                <w:rFonts w:ascii="Arial"/>
                <w:color w:val="auto"/>
                <w:sz w:val="21"/>
                <w:highlight w:val="none"/>
              </w:rPr>
            </w:pPr>
          </w:p>
        </w:tc>
        <w:tc>
          <w:tcPr>
            <w:tcW w:w="850" w:type="dxa"/>
            <w:vAlign w:val="top"/>
          </w:tcPr>
          <w:p w14:paraId="358528E0">
            <w:pPr>
              <w:rPr>
                <w:rFonts w:ascii="Arial"/>
                <w:color w:val="auto"/>
                <w:sz w:val="21"/>
                <w:highlight w:val="none"/>
              </w:rPr>
            </w:pPr>
          </w:p>
        </w:tc>
        <w:tc>
          <w:tcPr>
            <w:tcW w:w="848" w:type="dxa"/>
            <w:vAlign w:val="top"/>
          </w:tcPr>
          <w:p w14:paraId="4A003681">
            <w:pPr>
              <w:rPr>
                <w:rFonts w:ascii="Arial"/>
                <w:color w:val="auto"/>
                <w:sz w:val="21"/>
                <w:highlight w:val="none"/>
              </w:rPr>
            </w:pPr>
          </w:p>
        </w:tc>
        <w:tc>
          <w:tcPr>
            <w:tcW w:w="1131" w:type="dxa"/>
            <w:vAlign w:val="top"/>
          </w:tcPr>
          <w:p w14:paraId="7E6424F3">
            <w:pPr>
              <w:rPr>
                <w:rFonts w:ascii="Arial"/>
                <w:color w:val="auto"/>
                <w:sz w:val="21"/>
                <w:highlight w:val="none"/>
              </w:rPr>
            </w:pPr>
          </w:p>
        </w:tc>
        <w:tc>
          <w:tcPr>
            <w:tcW w:w="992" w:type="dxa"/>
            <w:vAlign w:val="top"/>
          </w:tcPr>
          <w:p w14:paraId="19C7838C">
            <w:pPr>
              <w:rPr>
                <w:rFonts w:ascii="Arial"/>
                <w:color w:val="auto"/>
                <w:sz w:val="21"/>
                <w:highlight w:val="none"/>
              </w:rPr>
            </w:pPr>
          </w:p>
        </w:tc>
        <w:tc>
          <w:tcPr>
            <w:tcW w:w="1107" w:type="dxa"/>
            <w:tcBorders>
              <w:right w:val="single" w:color="000000" w:sz="6" w:space="0"/>
            </w:tcBorders>
            <w:vAlign w:val="top"/>
          </w:tcPr>
          <w:p w14:paraId="3308340B">
            <w:pPr>
              <w:rPr>
                <w:rFonts w:ascii="Arial"/>
                <w:color w:val="auto"/>
                <w:sz w:val="21"/>
                <w:highlight w:val="none"/>
              </w:rPr>
            </w:pPr>
          </w:p>
        </w:tc>
      </w:tr>
      <w:tr w14:paraId="3A4BA60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9" w:hRule="atLeast"/>
        </w:trPr>
        <w:tc>
          <w:tcPr>
            <w:tcW w:w="827" w:type="dxa"/>
            <w:tcBorders>
              <w:left w:val="single" w:color="000000" w:sz="6" w:space="0"/>
              <w:bottom w:val="single" w:color="000000" w:sz="6" w:space="0"/>
            </w:tcBorders>
            <w:vAlign w:val="top"/>
          </w:tcPr>
          <w:p w14:paraId="43DF391F">
            <w:pPr>
              <w:rPr>
                <w:rFonts w:ascii="Arial"/>
                <w:color w:val="auto"/>
                <w:sz w:val="21"/>
                <w:highlight w:val="none"/>
              </w:rPr>
            </w:pPr>
          </w:p>
        </w:tc>
        <w:tc>
          <w:tcPr>
            <w:tcW w:w="1696" w:type="dxa"/>
            <w:tcBorders>
              <w:bottom w:val="single" w:color="000000" w:sz="6" w:space="0"/>
            </w:tcBorders>
            <w:vAlign w:val="top"/>
          </w:tcPr>
          <w:p w14:paraId="7F58C223">
            <w:pPr>
              <w:rPr>
                <w:rFonts w:ascii="Arial"/>
                <w:color w:val="auto"/>
                <w:sz w:val="21"/>
                <w:highlight w:val="none"/>
              </w:rPr>
            </w:pPr>
          </w:p>
        </w:tc>
        <w:tc>
          <w:tcPr>
            <w:tcW w:w="851" w:type="dxa"/>
            <w:tcBorders>
              <w:bottom w:val="single" w:color="000000" w:sz="6" w:space="0"/>
            </w:tcBorders>
            <w:vAlign w:val="top"/>
          </w:tcPr>
          <w:p w14:paraId="26F053DD">
            <w:pPr>
              <w:rPr>
                <w:rFonts w:ascii="Arial"/>
                <w:color w:val="auto"/>
                <w:sz w:val="21"/>
                <w:highlight w:val="none"/>
              </w:rPr>
            </w:pPr>
          </w:p>
        </w:tc>
        <w:tc>
          <w:tcPr>
            <w:tcW w:w="707" w:type="dxa"/>
            <w:tcBorders>
              <w:bottom w:val="single" w:color="000000" w:sz="6" w:space="0"/>
            </w:tcBorders>
            <w:vAlign w:val="top"/>
          </w:tcPr>
          <w:p w14:paraId="5639BF7A">
            <w:pPr>
              <w:rPr>
                <w:rFonts w:ascii="Arial"/>
                <w:color w:val="auto"/>
                <w:sz w:val="21"/>
                <w:highlight w:val="none"/>
              </w:rPr>
            </w:pPr>
          </w:p>
        </w:tc>
        <w:tc>
          <w:tcPr>
            <w:tcW w:w="850" w:type="dxa"/>
            <w:tcBorders>
              <w:bottom w:val="single" w:color="000000" w:sz="6" w:space="0"/>
            </w:tcBorders>
            <w:vAlign w:val="top"/>
          </w:tcPr>
          <w:p w14:paraId="0AD05FD8">
            <w:pPr>
              <w:rPr>
                <w:rFonts w:ascii="Arial"/>
                <w:color w:val="auto"/>
                <w:sz w:val="21"/>
                <w:highlight w:val="none"/>
              </w:rPr>
            </w:pPr>
          </w:p>
        </w:tc>
        <w:tc>
          <w:tcPr>
            <w:tcW w:w="848" w:type="dxa"/>
            <w:tcBorders>
              <w:bottom w:val="single" w:color="000000" w:sz="6" w:space="0"/>
            </w:tcBorders>
            <w:vAlign w:val="top"/>
          </w:tcPr>
          <w:p w14:paraId="0F35E3CB">
            <w:pPr>
              <w:rPr>
                <w:rFonts w:ascii="Arial"/>
                <w:color w:val="auto"/>
                <w:sz w:val="21"/>
                <w:highlight w:val="none"/>
              </w:rPr>
            </w:pPr>
          </w:p>
        </w:tc>
        <w:tc>
          <w:tcPr>
            <w:tcW w:w="1131" w:type="dxa"/>
            <w:tcBorders>
              <w:bottom w:val="single" w:color="000000" w:sz="6" w:space="0"/>
            </w:tcBorders>
            <w:vAlign w:val="top"/>
          </w:tcPr>
          <w:p w14:paraId="40071940">
            <w:pPr>
              <w:rPr>
                <w:rFonts w:ascii="Arial"/>
                <w:color w:val="auto"/>
                <w:sz w:val="21"/>
                <w:highlight w:val="none"/>
              </w:rPr>
            </w:pPr>
          </w:p>
        </w:tc>
        <w:tc>
          <w:tcPr>
            <w:tcW w:w="992" w:type="dxa"/>
            <w:tcBorders>
              <w:bottom w:val="single" w:color="000000" w:sz="6" w:space="0"/>
            </w:tcBorders>
            <w:vAlign w:val="top"/>
          </w:tcPr>
          <w:p w14:paraId="7D306AC6">
            <w:pPr>
              <w:rPr>
                <w:rFonts w:ascii="Arial"/>
                <w:color w:val="auto"/>
                <w:sz w:val="21"/>
                <w:highlight w:val="none"/>
              </w:rPr>
            </w:pPr>
          </w:p>
        </w:tc>
        <w:tc>
          <w:tcPr>
            <w:tcW w:w="1107" w:type="dxa"/>
            <w:tcBorders>
              <w:bottom w:val="single" w:color="000000" w:sz="6" w:space="0"/>
              <w:right w:val="single" w:color="000000" w:sz="6" w:space="0"/>
            </w:tcBorders>
            <w:vAlign w:val="top"/>
          </w:tcPr>
          <w:p w14:paraId="6D7821A6">
            <w:pPr>
              <w:rPr>
                <w:rFonts w:ascii="Arial"/>
                <w:color w:val="auto"/>
                <w:sz w:val="21"/>
                <w:highlight w:val="none"/>
              </w:rPr>
            </w:pPr>
          </w:p>
        </w:tc>
      </w:tr>
    </w:tbl>
    <w:p w14:paraId="450F7AC5">
      <w:pPr>
        <w:pStyle w:val="3"/>
        <w:rPr>
          <w:color w:val="auto"/>
          <w:highlight w:val="none"/>
        </w:rPr>
      </w:pPr>
    </w:p>
    <w:p w14:paraId="3CB1944A">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4158F54A">
      <w:pPr>
        <w:spacing w:before="47" w:line="219" w:lineRule="auto"/>
        <w:ind w:left="28"/>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附件三：</w:t>
      </w:r>
    </w:p>
    <w:p w14:paraId="4FB30591">
      <w:pPr>
        <w:spacing w:before="183" w:line="219" w:lineRule="auto"/>
        <w:ind w:left="2836"/>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拟投入本标段的劳动力计划表</w:t>
      </w:r>
    </w:p>
    <w:p w14:paraId="6F2BAF05">
      <w:pPr>
        <w:spacing w:before="181" w:line="220" w:lineRule="auto"/>
        <w:ind w:left="7458"/>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单位：人</w:t>
      </w:r>
    </w:p>
    <w:p w14:paraId="3FEDF7AA">
      <w:pPr>
        <w:spacing w:line="145" w:lineRule="exact"/>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622"/>
        <w:gridCol w:w="1001"/>
        <w:gridCol w:w="1002"/>
        <w:gridCol w:w="1004"/>
        <w:gridCol w:w="997"/>
        <w:gridCol w:w="1126"/>
        <w:gridCol w:w="1124"/>
        <w:gridCol w:w="1133"/>
      </w:tblGrid>
      <w:tr w14:paraId="4DAFEC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4" w:hRule="atLeast"/>
        </w:trPr>
        <w:tc>
          <w:tcPr>
            <w:tcW w:w="1622" w:type="dxa"/>
            <w:tcBorders>
              <w:top w:val="single" w:color="000000" w:sz="6" w:space="0"/>
              <w:left w:val="single" w:color="000000" w:sz="6" w:space="0"/>
            </w:tcBorders>
            <w:vAlign w:val="top"/>
          </w:tcPr>
          <w:p w14:paraId="793EBA01">
            <w:pPr>
              <w:pStyle w:val="33"/>
              <w:spacing w:before="167" w:line="220" w:lineRule="auto"/>
              <w:ind w:left="513"/>
              <w:rPr>
                <w:color w:val="auto"/>
                <w:sz w:val="24"/>
                <w:szCs w:val="24"/>
                <w:highlight w:val="none"/>
              </w:rPr>
            </w:pPr>
            <w:r>
              <w:rPr>
                <w:color w:val="auto"/>
                <w:spacing w:val="-7"/>
                <w:sz w:val="24"/>
                <w:szCs w:val="24"/>
                <w:highlight w:val="none"/>
              </w:rPr>
              <w:t>工</w:t>
            </w:r>
            <w:r>
              <w:rPr>
                <w:color w:val="auto"/>
                <w:spacing w:val="10"/>
                <w:sz w:val="24"/>
                <w:szCs w:val="24"/>
                <w:highlight w:val="none"/>
              </w:rPr>
              <w:t xml:space="preserve"> </w:t>
            </w:r>
            <w:r>
              <w:rPr>
                <w:color w:val="auto"/>
                <w:spacing w:val="-7"/>
                <w:sz w:val="24"/>
                <w:szCs w:val="24"/>
                <w:highlight w:val="none"/>
              </w:rPr>
              <w:t>种</w:t>
            </w:r>
          </w:p>
        </w:tc>
        <w:tc>
          <w:tcPr>
            <w:tcW w:w="7387" w:type="dxa"/>
            <w:gridSpan w:val="7"/>
            <w:tcBorders>
              <w:top w:val="single" w:color="000000" w:sz="6" w:space="0"/>
              <w:right w:val="single" w:color="000000" w:sz="6" w:space="0"/>
            </w:tcBorders>
            <w:vAlign w:val="top"/>
          </w:tcPr>
          <w:p w14:paraId="7EA9480C">
            <w:pPr>
              <w:pStyle w:val="33"/>
              <w:spacing w:before="166" w:line="220" w:lineRule="auto"/>
              <w:ind w:left="2034"/>
              <w:rPr>
                <w:color w:val="auto"/>
                <w:sz w:val="24"/>
                <w:szCs w:val="24"/>
                <w:highlight w:val="none"/>
              </w:rPr>
            </w:pPr>
            <w:r>
              <w:rPr>
                <w:color w:val="auto"/>
                <w:spacing w:val="-1"/>
                <w:sz w:val="24"/>
                <w:szCs w:val="24"/>
                <w:highlight w:val="none"/>
              </w:rPr>
              <w:t>按工程施工阶段投入劳动力情况</w:t>
            </w:r>
          </w:p>
        </w:tc>
      </w:tr>
      <w:tr w14:paraId="7C956E8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47565535">
            <w:pPr>
              <w:rPr>
                <w:rFonts w:ascii="Arial"/>
                <w:color w:val="auto"/>
                <w:sz w:val="21"/>
                <w:highlight w:val="none"/>
              </w:rPr>
            </w:pPr>
          </w:p>
        </w:tc>
        <w:tc>
          <w:tcPr>
            <w:tcW w:w="1001" w:type="dxa"/>
            <w:vAlign w:val="top"/>
          </w:tcPr>
          <w:p w14:paraId="2588093B">
            <w:pPr>
              <w:rPr>
                <w:rFonts w:ascii="Arial"/>
                <w:color w:val="auto"/>
                <w:sz w:val="21"/>
                <w:highlight w:val="none"/>
              </w:rPr>
            </w:pPr>
          </w:p>
        </w:tc>
        <w:tc>
          <w:tcPr>
            <w:tcW w:w="1002" w:type="dxa"/>
            <w:vAlign w:val="top"/>
          </w:tcPr>
          <w:p w14:paraId="20F4498D">
            <w:pPr>
              <w:rPr>
                <w:rFonts w:ascii="Arial"/>
                <w:color w:val="auto"/>
                <w:sz w:val="21"/>
                <w:highlight w:val="none"/>
              </w:rPr>
            </w:pPr>
          </w:p>
        </w:tc>
        <w:tc>
          <w:tcPr>
            <w:tcW w:w="1004" w:type="dxa"/>
            <w:vAlign w:val="top"/>
          </w:tcPr>
          <w:p w14:paraId="5BCA883B">
            <w:pPr>
              <w:rPr>
                <w:rFonts w:ascii="Arial"/>
                <w:color w:val="auto"/>
                <w:sz w:val="21"/>
                <w:highlight w:val="none"/>
              </w:rPr>
            </w:pPr>
          </w:p>
        </w:tc>
        <w:tc>
          <w:tcPr>
            <w:tcW w:w="997" w:type="dxa"/>
            <w:vAlign w:val="top"/>
          </w:tcPr>
          <w:p w14:paraId="3F630E3D">
            <w:pPr>
              <w:rPr>
                <w:rFonts w:ascii="Arial"/>
                <w:color w:val="auto"/>
                <w:sz w:val="21"/>
                <w:highlight w:val="none"/>
              </w:rPr>
            </w:pPr>
          </w:p>
        </w:tc>
        <w:tc>
          <w:tcPr>
            <w:tcW w:w="1126" w:type="dxa"/>
            <w:vAlign w:val="top"/>
          </w:tcPr>
          <w:p w14:paraId="42E32918">
            <w:pPr>
              <w:rPr>
                <w:rFonts w:ascii="Arial"/>
                <w:color w:val="auto"/>
                <w:sz w:val="21"/>
                <w:highlight w:val="none"/>
              </w:rPr>
            </w:pPr>
          </w:p>
        </w:tc>
        <w:tc>
          <w:tcPr>
            <w:tcW w:w="1124" w:type="dxa"/>
            <w:vAlign w:val="top"/>
          </w:tcPr>
          <w:p w14:paraId="31BD06F7">
            <w:pPr>
              <w:rPr>
                <w:rFonts w:ascii="Arial"/>
                <w:color w:val="auto"/>
                <w:sz w:val="21"/>
                <w:highlight w:val="none"/>
              </w:rPr>
            </w:pPr>
          </w:p>
        </w:tc>
        <w:tc>
          <w:tcPr>
            <w:tcW w:w="1133" w:type="dxa"/>
            <w:tcBorders>
              <w:right w:val="single" w:color="000000" w:sz="6" w:space="0"/>
            </w:tcBorders>
            <w:vAlign w:val="top"/>
          </w:tcPr>
          <w:p w14:paraId="09CAD824">
            <w:pPr>
              <w:rPr>
                <w:rFonts w:ascii="Arial"/>
                <w:color w:val="auto"/>
                <w:sz w:val="21"/>
                <w:highlight w:val="none"/>
              </w:rPr>
            </w:pPr>
          </w:p>
        </w:tc>
      </w:tr>
      <w:tr w14:paraId="3802574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2B2F0A35">
            <w:pPr>
              <w:rPr>
                <w:rFonts w:ascii="Arial"/>
                <w:color w:val="auto"/>
                <w:sz w:val="21"/>
                <w:highlight w:val="none"/>
              </w:rPr>
            </w:pPr>
          </w:p>
        </w:tc>
        <w:tc>
          <w:tcPr>
            <w:tcW w:w="1001" w:type="dxa"/>
            <w:vAlign w:val="top"/>
          </w:tcPr>
          <w:p w14:paraId="36FBD0CE">
            <w:pPr>
              <w:rPr>
                <w:rFonts w:ascii="Arial"/>
                <w:color w:val="auto"/>
                <w:sz w:val="21"/>
                <w:highlight w:val="none"/>
              </w:rPr>
            </w:pPr>
          </w:p>
        </w:tc>
        <w:tc>
          <w:tcPr>
            <w:tcW w:w="1002" w:type="dxa"/>
            <w:vAlign w:val="top"/>
          </w:tcPr>
          <w:p w14:paraId="2CD5E608">
            <w:pPr>
              <w:rPr>
                <w:rFonts w:ascii="Arial"/>
                <w:color w:val="auto"/>
                <w:sz w:val="21"/>
                <w:highlight w:val="none"/>
              </w:rPr>
            </w:pPr>
          </w:p>
        </w:tc>
        <w:tc>
          <w:tcPr>
            <w:tcW w:w="1004" w:type="dxa"/>
            <w:vAlign w:val="top"/>
          </w:tcPr>
          <w:p w14:paraId="59135B4F">
            <w:pPr>
              <w:rPr>
                <w:rFonts w:ascii="Arial"/>
                <w:color w:val="auto"/>
                <w:sz w:val="21"/>
                <w:highlight w:val="none"/>
              </w:rPr>
            </w:pPr>
          </w:p>
        </w:tc>
        <w:tc>
          <w:tcPr>
            <w:tcW w:w="997" w:type="dxa"/>
            <w:vAlign w:val="top"/>
          </w:tcPr>
          <w:p w14:paraId="1AB82B91">
            <w:pPr>
              <w:rPr>
                <w:rFonts w:ascii="Arial"/>
                <w:color w:val="auto"/>
                <w:sz w:val="21"/>
                <w:highlight w:val="none"/>
              </w:rPr>
            </w:pPr>
          </w:p>
        </w:tc>
        <w:tc>
          <w:tcPr>
            <w:tcW w:w="1126" w:type="dxa"/>
            <w:vAlign w:val="top"/>
          </w:tcPr>
          <w:p w14:paraId="39D0EA1E">
            <w:pPr>
              <w:rPr>
                <w:rFonts w:ascii="Arial"/>
                <w:color w:val="auto"/>
                <w:sz w:val="21"/>
                <w:highlight w:val="none"/>
              </w:rPr>
            </w:pPr>
          </w:p>
        </w:tc>
        <w:tc>
          <w:tcPr>
            <w:tcW w:w="1124" w:type="dxa"/>
            <w:vAlign w:val="top"/>
          </w:tcPr>
          <w:p w14:paraId="591273FC">
            <w:pPr>
              <w:rPr>
                <w:rFonts w:ascii="Arial"/>
                <w:color w:val="auto"/>
                <w:sz w:val="21"/>
                <w:highlight w:val="none"/>
              </w:rPr>
            </w:pPr>
          </w:p>
        </w:tc>
        <w:tc>
          <w:tcPr>
            <w:tcW w:w="1133" w:type="dxa"/>
            <w:tcBorders>
              <w:right w:val="single" w:color="000000" w:sz="6" w:space="0"/>
            </w:tcBorders>
            <w:vAlign w:val="top"/>
          </w:tcPr>
          <w:p w14:paraId="2272698B">
            <w:pPr>
              <w:rPr>
                <w:rFonts w:ascii="Arial"/>
                <w:color w:val="auto"/>
                <w:sz w:val="21"/>
                <w:highlight w:val="none"/>
              </w:rPr>
            </w:pPr>
          </w:p>
        </w:tc>
      </w:tr>
      <w:tr w14:paraId="0DE543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2FEEDE4F">
            <w:pPr>
              <w:rPr>
                <w:rFonts w:ascii="Arial"/>
                <w:color w:val="auto"/>
                <w:sz w:val="21"/>
                <w:highlight w:val="none"/>
              </w:rPr>
            </w:pPr>
          </w:p>
        </w:tc>
        <w:tc>
          <w:tcPr>
            <w:tcW w:w="1001" w:type="dxa"/>
            <w:vAlign w:val="top"/>
          </w:tcPr>
          <w:p w14:paraId="0B667FA1">
            <w:pPr>
              <w:rPr>
                <w:rFonts w:ascii="Arial"/>
                <w:color w:val="auto"/>
                <w:sz w:val="21"/>
                <w:highlight w:val="none"/>
              </w:rPr>
            </w:pPr>
          </w:p>
        </w:tc>
        <w:tc>
          <w:tcPr>
            <w:tcW w:w="1002" w:type="dxa"/>
            <w:vAlign w:val="top"/>
          </w:tcPr>
          <w:p w14:paraId="5C4A1FD1">
            <w:pPr>
              <w:rPr>
                <w:rFonts w:ascii="Arial"/>
                <w:color w:val="auto"/>
                <w:sz w:val="21"/>
                <w:highlight w:val="none"/>
              </w:rPr>
            </w:pPr>
          </w:p>
        </w:tc>
        <w:tc>
          <w:tcPr>
            <w:tcW w:w="1004" w:type="dxa"/>
            <w:vAlign w:val="top"/>
          </w:tcPr>
          <w:p w14:paraId="4A55250B">
            <w:pPr>
              <w:rPr>
                <w:rFonts w:ascii="Arial"/>
                <w:color w:val="auto"/>
                <w:sz w:val="21"/>
                <w:highlight w:val="none"/>
              </w:rPr>
            </w:pPr>
          </w:p>
        </w:tc>
        <w:tc>
          <w:tcPr>
            <w:tcW w:w="997" w:type="dxa"/>
            <w:vAlign w:val="top"/>
          </w:tcPr>
          <w:p w14:paraId="771BA127">
            <w:pPr>
              <w:rPr>
                <w:rFonts w:ascii="Arial"/>
                <w:color w:val="auto"/>
                <w:sz w:val="21"/>
                <w:highlight w:val="none"/>
              </w:rPr>
            </w:pPr>
          </w:p>
        </w:tc>
        <w:tc>
          <w:tcPr>
            <w:tcW w:w="1126" w:type="dxa"/>
            <w:vAlign w:val="top"/>
          </w:tcPr>
          <w:p w14:paraId="11F0AF96">
            <w:pPr>
              <w:rPr>
                <w:rFonts w:ascii="Arial"/>
                <w:color w:val="auto"/>
                <w:sz w:val="21"/>
                <w:highlight w:val="none"/>
              </w:rPr>
            </w:pPr>
          </w:p>
        </w:tc>
        <w:tc>
          <w:tcPr>
            <w:tcW w:w="1124" w:type="dxa"/>
            <w:vAlign w:val="top"/>
          </w:tcPr>
          <w:p w14:paraId="1CE04A81">
            <w:pPr>
              <w:rPr>
                <w:rFonts w:ascii="Arial"/>
                <w:color w:val="auto"/>
                <w:sz w:val="21"/>
                <w:highlight w:val="none"/>
              </w:rPr>
            </w:pPr>
          </w:p>
        </w:tc>
        <w:tc>
          <w:tcPr>
            <w:tcW w:w="1133" w:type="dxa"/>
            <w:tcBorders>
              <w:right w:val="single" w:color="000000" w:sz="6" w:space="0"/>
            </w:tcBorders>
            <w:vAlign w:val="top"/>
          </w:tcPr>
          <w:p w14:paraId="18F43A19">
            <w:pPr>
              <w:rPr>
                <w:rFonts w:ascii="Arial"/>
                <w:color w:val="auto"/>
                <w:sz w:val="21"/>
                <w:highlight w:val="none"/>
              </w:rPr>
            </w:pPr>
          </w:p>
        </w:tc>
      </w:tr>
      <w:tr w14:paraId="3971DE1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2B039E4D">
            <w:pPr>
              <w:rPr>
                <w:rFonts w:ascii="Arial"/>
                <w:color w:val="auto"/>
                <w:sz w:val="21"/>
                <w:highlight w:val="none"/>
              </w:rPr>
            </w:pPr>
          </w:p>
        </w:tc>
        <w:tc>
          <w:tcPr>
            <w:tcW w:w="1001" w:type="dxa"/>
            <w:vAlign w:val="top"/>
          </w:tcPr>
          <w:p w14:paraId="69746260">
            <w:pPr>
              <w:rPr>
                <w:rFonts w:ascii="Arial"/>
                <w:color w:val="auto"/>
                <w:sz w:val="21"/>
                <w:highlight w:val="none"/>
              </w:rPr>
            </w:pPr>
          </w:p>
        </w:tc>
        <w:tc>
          <w:tcPr>
            <w:tcW w:w="1002" w:type="dxa"/>
            <w:vAlign w:val="top"/>
          </w:tcPr>
          <w:p w14:paraId="7990E2AE">
            <w:pPr>
              <w:rPr>
                <w:rFonts w:ascii="Arial"/>
                <w:color w:val="auto"/>
                <w:sz w:val="21"/>
                <w:highlight w:val="none"/>
              </w:rPr>
            </w:pPr>
          </w:p>
        </w:tc>
        <w:tc>
          <w:tcPr>
            <w:tcW w:w="1004" w:type="dxa"/>
            <w:vAlign w:val="top"/>
          </w:tcPr>
          <w:p w14:paraId="7A99DA61">
            <w:pPr>
              <w:rPr>
                <w:rFonts w:ascii="Arial"/>
                <w:color w:val="auto"/>
                <w:sz w:val="21"/>
                <w:highlight w:val="none"/>
              </w:rPr>
            </w:pPr>
          </w:p>
        </w:tc>
        <w:tc>
          <w:tcPr>
            <w:tcW w:w="997" w:type="dxa"/>
            <w:vAlign w:val="top"/>
          </w:tcPr>
          <w:p w14:paraId="6F302A27">
            <w:pPr>
              <w:rPr>
                <w:rFonts w:ascii="Arial"/>
                <w:color w:val="auto"/>
                <w:sz w:val="21"/>
                <w:highlight w:val="none"/>
              </w:rPr>
            </w:pPr>
          </w:p>
        </w:tc>
        <w:tc>
          <w:tcPr>
            <w:tcW w:w="1126" w:type="dxa"/>
            <w:vAlign w:val="top"/>
          </w:tcPr>
          <w:p w14:paraId="62AD6A2E">
            <w:pPr>
              <w:rPr>
                <w:rFonts w:ascii="Arial"/>
                <w:color w:val="auto"/>
                <w:sz w:val="21"/>
                <w:highlight w:val="none"/>
              </w:rPr>
            </w:pPr>
          </w:p>
        </w:tc>
        <w:tc>
          <w:tcPr>
            <w:tcW w:w="1124" w:type="dxa"/>
            <w:vAlign w:val="top"/>
          </w:tcPr>
          <w:p w14:paraId="7BD048F7">
            <w:pPr>
              <w:rPr>
                <w:rFonts w:ascii="Arial"/>
                <w:color w:val="auto"/>
                <w:sz w:val="21"/>
                <w:highlight w:val="none"/>
              </w:rPr>
            </w:pPr>
          </w:p>
        </w:tc>
        <w:tc>
          <w:tcPr>
            <w:tcW w:w="1133" w:type="dxa"/>
            <w:tcBorders>
              <w:right w:val="single" w:color="000000" w:sz="6" w:space="0"/>
            </w:tcBorders>
            <w:vAlign w:val="top"/>
          </w:tcPr>
          <w:p w14:paraId="562658DA">
            <w:pPr>
              <w:rPr>
                <w:rFonts w:ascii="Arial"/>
                <w:color w:val="auto"/>
                <w:sz w:val="21"/>
                <w:highlight w:val="none"/>
              </w:rPr>
            </w:pPr>
          </w:p>
        </w:tc>
      </w:tr>
      <w:tr w14:paraId="77E6833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093C8D03">
            <w:pPr>
              <w:rPr>
                <w:rFonts w:ascii="Arial"/>
                <w:color w:val="auto"/>
                <w:sz w:val="21"/>
                <w:highlight w:val="none"/>
              </w:rPr>
            </w:pPr>
          </w:p>
        </w:tc>
        <w:tc>
          <w:tcPr>
            <w:tcW w:w="1001" w:type="dxa"/>
            <w:vAlign w:val="top"/>
          </w:tcPr>
          <w:p w14:paraId="7E49C8F6">
            <w:pPr>
              <w:rPr>
                <w:rFonts w:ascii="Arial"/>
                <w:color w:val="auto"/>
                <w:sz w:val="21"/>
                <w:highlight w:val="none"/>
              </w:rPr>
            </w:pPr>
          </w:p>
        </w:tc>
        <w:tc>
          <w:tcPr>
            <w:tcW w:w="1002" w:type="dxa"/>
            <w:vAlign w:val="top"/>
          </w:tcPr>
          <w:p w14:paraId="184B0372">
            <w:pPr>
              <w:rPr>
                <w:rFonts w:ascii="Arial"/>
                <w:color w:val="auto"/>
                <w:sz w:val="21"/>
                <w:highlight w:val="none"/>
              </w:rPr>
            </w:pPr>
          </w:p>
        </w:tc>
        <w:tc>
          <w:tcPr>
            <w:tcW w:w="1004" w:type="dxa"/>
            <w:vAlign w:val="top"/>
          </w:tcPr>
          <w:p w14:paraId="1308D500">
            <w:pPr>
              <w:rPr>
                <w:rFonts w:ascii="Arial"/>
                <w:color w:val="auto"/>
                <w:sz w:val="21"/>
                <w:highlight w:val="none"/>
              </w:rPr>
            </w:pPr>
          </w:p>
        </w:tc>
        <w:tc>
          <w:tcPr>
            <w:tcW w:w="997" w:type="dxa"/>
            <w:vAlign w:val="top"/>
          </w:tcPr>
          <w:p w14:paraId="7F638A39">
            <w:pPr>
              <w:rPr>
                <w:rFonts w:ascii="Arial"/>
                <w:color w:val="auto"/>
                <w:sz w:val="21"/>
                <w:highlight w:val="none"/>
              </w:rPr>
            </w:pPr>
          </w:p>
        </w:tc>
        <w:tc>
          <w:tcPr>
            <w:tcW w:w="1126" w:type="dxa"/>
            <w:vAlign w:val="top"/>
          </w:tcPr>
          <w:p w14:paraId="48B6436B">
            <w:pPr>
              <w:rPr>
                <w:rFonts w:ascii="Arial"/>
                <w:color w:val="auto"/>
                <w:sz w:val="21"/>
                <w:highlight w:val="none"/>
              </w:rPr>
            </w:pPr>
          </w:p>
        </w:tc>
        <w:tc>
          <w:tcPr>
            <w:tcW w:w="1124" w:type="dxa"/>
            <w:vAlign w:val="top"/>
          </w:tcPr>
          <w:p w14:paraId="0924F298">
            <w:pPr>
              <w:rPr>
                <w:rFonts w:ascii="Arial"/>
                <w:color w:val="auto"/>
                <w:sz w:val="21"/>
                <w:highlight w:val="none"/>
              </w:rPr>
            </w:pPr>
          </w:p>
        </w:tc>
        <w:tc>
          <w:tcPr>
            <w:tcW w:w="1133" w:type="dxa"/>
            <w:tcBorders>
              <w:right w:val="single" w:color="000000" w:sz="6" w:space="0"/>
            </w:tcBorders>
            <w:vAlign w:val="top"/>
          </w:tcPr>
          <w:p w14:paraId="72F3C356">
            <w:pPr>
              <w:rPr>
                <w:rFonts w:ascii="Arial"/>
                <w:color w:val="auto"/>
                <w:sz w:val="21"/>
                <w:highlight w:val="none"/>
              </w:rPr>
            </w:pPr>
          </w:p>
        </w:tc>
      </w:tr>
      <w:tr w14:paraId="349EE0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49489CF9">
            <w:pPr>
              <w:rPr>
                <w:rFonts w:ascii="Arial"/>
                <w:color w:val="auto"/>
                <w:sz w:val="21"/>
                <w:highlight w:val="none"/>
              </w:rPr>
            </w:pPr>
          </w:p>
        </w:tc>
        <w:tc>
          <w:tcPr>
            <w:tcW w:w="1001" w:type="dxa"/>
            <w:vAlign w:val="top"/>
          </w:tcPr>
          <w:p w14:paraId="196620F5">
            <w:pPr>
              <w:rPr>
                <w:rFonts w:ascii="Arial"/>
                <w:color w:val="auto"/>
                <w:sz w:val="21"/>
                <w:highlight w:val="none"/>
              </w:rPr>
            </w:pPr>
          </w:p>
        </w:tc>
        <w:tc>
          <w:tcPr>
            <w:tcW w:w="1002" w:type="dxa"/>
            <w:vAlign w:val="top"/>
          </w:tcPr>
          <w:p w14:paraId="23D1246E">
            <w:pPr>
              <w:rPr>
                <w:rFonts w:ascii="Arial"/>
                <w:color w:val="auto"/>
                <w:sz w:val="21"/>
                <w:highlight w:val="none"/>
              </w:rPr>
            </w:pPr>
          </w:p>
        </w:tc>
        <w:tc>
          <w:tcPr>
            <w:tcW w:w="1004" w:type="dxa"/>
            <w:vAlign w:val="top"/>
          </w:tcPr>
          <w:p w14:paraId="066A26C9">
            <w:pPr>
              <w:rPr>
                <w:rFonts w:ascii="Arial"/>
                <w:color w:val="auto"/>
                <w:sz w:val="21"/>
                <w:highlight w:val="none"/>
              </w:rPr>
            </w:pPr>
          </w:p>
        </w:tc>
        <w:tc>
          <w:tcPr>
            <w:tcW w:w="997" w:type="dxa"/>
            <w:vAlign w:val="top"/>
          </w:tcPr>
          <w:p w14:paraId="2E9DC9EF">
            <w:pPr>
              <w:rPr>
                <w:rFonts w:ascii="Arial"/>
                <w:color w:val="auto"/>
                <w:sz w:val="21"/>
                <w:highlight w:val="none"/>
              </w:rPr>
            </w:pPr>
          </w:p>
        </w:tc>
        <w:tc>
          <w:tcPr>
            <w:tcW w:w="1126" w:type="dxa"/>
            <w:vAlign w:val="top"/>
          </w:tcPr>
          <w:p w14:paraId="3D2F7D33">
            <w:pPr>
              <w:rPr>
                <w:rFonts w:ascii="Arial"/>
                <w:color w:val="auto"/>
                <w:sz w:val="21"/>
                <w:highlight w:val="none"/>
              </w:rPr>
            </w:pPr>
          </w:p>
        </w:tc>
        <w:tc>
          <w:tcPr>
            <w:tcW w:w="1124" w:type="dxa"/>
            <w:vAlign w:val="top"/>
          </w:tcPr>
          <w:p w14:paraId="37A1C51C">
            <w:pPr>
              <w:rPr>
                <w:rFonts w:ascii="Arial"/>
                <w:color w:val="auto"/>
                <w:sz w:val="21"/>
                <w:highlight w:val="none"/>
              </w:rPr>
            </w:pPr>
          </w:p>
        </w:tc>
        <w:tc>
          <w:tcPr>
            <w:tcW w:w="1133" w:type="dxa"/>
            <w:tcBorders>
              <w:right w:val="single" w:color="000000" w:sz="6" w:space="0"/>
            </w:tcBorders>
            <w:vAlign w:val="top"/>
          </w:tcPr>
          <w:p w14:paraId="47A3E0AB">
            <w:pPr>
              <w:rPr>
                <w:rFonts w:ascii="Arial"/>
                <w:color w:val="auto"/>
                <w:sz w:val="21"/>
                <w:highlight w:val="none"/>
              </w:rPr>
            </w:pPr>
          </w:p>
        </w:tc>
      </w:tr>
      <w:tr w14:paraId="66378A1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16C1575A">
            <w:pPr>
              <w:rPr>
                <w:rFonts w:ascii="Arial"/>
                <w:color w:val="auto"/>
                <w:sz w:val="21"/>
                <w:highlight w:val="none"/>
              </w:rPr>
            </w:pPr>
          </w:p>
        </w:tc>
        <w:tc>
          <w:tcPr>
            <w:tcW w:w="1001" w:type="dxa"/>
            <w:vAlign w:val="top"/>
          </w:tcPr>
          <w:p w14:paraId="68B53618">
            <w:pPr>
              <w:rPr>
                <w:rFonts w:ascii="Arial"/>
                <w:color w:val="auto"/>
                <w:sz w:val="21"/>
                <w:highlight w:val="none"/>
              </w:rPr>
            </w:pPr>
          </w:p>
        </w:tc>
        <w:tc>
          <w:tcPr>
            <w:tcW w:w="1002" w:type="dxa"/>
            <w:vAlign w:val="top"/>
          </w:tcPr>
          <w:p w14:paraId="414A8262">
            <w:pPr>
              <w:rPr>
                <w:rFonts w:ascii="Arial"/>
                <w:color w:val="auto"/>
                <w:sz w:val="21"/>
                <w:highlight w:val="none"/>
              </w:rPr>
            </w:pPr>
          </w:p>
        </w:tc>
        <w:tc>
          <w:tcPr>
            <w:tcW w:w="1004" w:type="dxa"/>
            <w:vAlign w:val="top"/>
          </w:tcPr>
          <w:p w14:paraId="4E261C7B">
            <w:pPr>
              <w:rPr>
                <w:rFonts w:ascii="Arial"/>
                <w:color w:val="auto"/>
                <w:sz w:val="21"/>
                <w:highlight w:val="none"/>
              </w:rPr>
            </w:pPr>
          </w:p>
        </w:tc>
        <w:tc>
          <w:tcPr>
            <w:tcW w:w="997" w:type="dxa"/>
            <w:vAlign w:val="top"/>
          </w:tcPr>
          <w:p w14:paraId="35CAEC13">
            <w:pPr>
              <w:rPr>
                <w:rFonts w:ascii="Arial"/>
                <w:color w:val="auto"/>
                <w:sz w:val="21"/>
                <w:highlight w:val="none"/>
              </w:rPr>
            </w:pPr>
          </w:p>
        </w:tc>
        <w:tc>
          <w:tcPr>
            <w:tcW w:w="1126" w:type="dxa"/>
            <w:vAlign w:val="top"/>
          </w:tcPr>
          <w:p w14:paraId="211D9782">
            <w:pPr>
              <w:rPr>
                <w:rFonts w:ascii="Arial"/>
                <w:color w:val="auto"/>
                <w:sz w:val="21"/>
                <w:highlight w:val="none"/>
              </w:rPr>
            </w:pPr>
          </w:p>
        </w:tc>
        <w:tc>
          <w:tcPr>
            <w:tcW w:w="1124" w:type="dxa"/>
            <w:vAlign w:val="top"/>
          </w:tcPr>
          <w:p w14:paraId="119AD590">
            <w:pPr>
              <w:rPr>
                <w:rFonts w:ascii="Arial"/>
                <w:color w:val="auto"/>
                <w:sz w:val="21"/>
                <w:highlight w:val="none"/>
              </w:rPr>
            </w:pPr>
          </w:p>
        </w:tc>
        <w:tc>
          <w:tcPr>
            <w:tcW w:w="1133" w:type="dxa"/>
            <w:tcBorders>
              <w:right w:val="single" w:color="000000" w:sz="6" w:space="0"/>
            </w:tcBorders>
            <w:vAlign w:val="top"/>
          </w:tcPr>
          <w:p w14:paraId="5C5B1663">
            <w:pPr>
              <w:rPr>
                <w:rFonts w:ascii="Arial"/>
                <w:color w:val="auto"/>
                <w:sz w:val="21"/>
                <w:highlight w:val="none"/>
              </w:rPr>
            </w:pPr>
          </w:p>
        </w:tc>
      </w:tr>
      <w:tr w14:paraId="6DA110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40775152">
            <w:pPr>
              <w:rPr>
                <w:rFonts w:ascii="Arial"/>
                <w:color w:val="auto"/>
                <w:sz w:val="21"/>
                <w:highlight w:val="none"/>
              </w:rPr>
            </w:pPr>
          </w:p>
        </w:tc>
        <w:tc>
          <w:tcPr>
            <w:tcW w:w="1001" w:type="dxa"/>
            <w:vAlign w:val="top"/>
          </w:tcPr>
          <w:p w14:paraId="6A2BD136">
            <w:pPr>
              <w:rPr>
                <w:rFonts w:ascii="Arial"/>
                <w:color w:val="auto"/>
                <w:sz w:val="21"/>
                <w:highlight w:val="none"/>
              </w:rPr>
            </w:pPr>
          </w:p>
        </w:tc>
        <w:tc>
          <w:tcPr>
            <w:tcW w:w="1002" w:type="dxa"/>
            <w:vAlign w:val="top"/>
          </w:tcPr>
          <w:p w14:paraId="2B1F4908">
            <w:pPr>
              <w:rPr>
                <w:rFonts w:ascii="Arial"/>
                <w:color w:val="auto"/>
                <w:sz w:val="21"/>
                <w:highlight w:val="none"/>
              </w:rPr>
            </w:pPr>
          </w:p>
        </w:tc>
        <w:tc>
          <w:tcPr>
            <w:tcW w:w="1004" w:type="dxa"/>
            <w:vAlign w:val="top"/>
          </w:tcPr>
          <w:p w14:paraId="7D190A8C">
            <w:pPr>
              <w:rPr>
                <w:rFonts w:ascii="Arial"/>
                <w:color w:val="auto"/>
                <w:sz w:val="21"/>
                <w:highlight w:val="none"/>
              </w:rPr>
            </w:pPr>
          </w:p>
        </w:tc>
        <w:tc>
          <w:tcPr>
            <w:tcW w:w="997" w:type="dxa"/>
            <w:vAlign w:val="top"/>
          </w:tcPr>
          <w:p w14:paraId="218A2CEA">
            <w:pPr>
              <w:rPr>
                <w:rFonts w:ascii="Arial"/>
                <w:color w:val="auto"/>
                <w:sz w:val="21"/>
                <w:highlight w:val="none"/>
              </w:rPr>
            </w:pPr>
          </w:p>
        </w:tc>
        <w:tc>
          <w:tcPr>
            <w:tcW w:w="1126" w:type="dxa"/>
            <w:vAlign w:val="top"/>
          </w:tcPr>
          <w:p w14:paraId="54BB8288">
            <w:pPr>
              <w:rPr>
                <w:rFonts w:ascii="Arial"/>
                <w:color w:val="auto"/>
                <w:sz w:val="21"/>
                <w:highlight w:val="none"/>
              </w:rPr>
            </w:pPr>
          </w:p>
        </w:tc>
        <w:tc>
          <w:tcPr>
            <w:tcW w:w="1124" w:type="dxa"/>
            <w:vAlign w:val="top"/>
          </w:tcPr>
          <w:p w14:paraId="34FABA08">
            <w:pPr>
              <w:rPr>
                <w:rFonts w:ascii="Arial"/>
                <w:color w:val="auto"/>
                <w:sz w:val="21"/>
                <w:highlight w:val="none"/>
              </w:rPr>
            </w:pPr>
          </w:p>
        </w:tc>
        <w:tc>
          <w:tcPr>
            <w:tcW w:w="1133" w:type="dxa"/>
            <w:tcBorders>
              <w:right w:val="single" w:color="000000" w:sz="6" w:space="0"/>
            </w:tcBorders>
            <w:vAlign w:val="top"/>
          </w:tcPr>
          <w:p w14:paraId="4D3E50A7">
            <w:pPr>
              <w:rPr>
                <w:rFonts w:ascii="Arial"/>
                <w:color w:val="auto"/>
                <w:sz w:val="21"/>
                <w:highlight w:val="none"/>
              </w:rPr>
            </w:pPr>
          </w:p>
        </w:tc>
      </w:tr>
      <w:tr w14:paraId="5C14A8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5412B8D9">
            <w:pPr>
              <w:rPr>
                <w:rFonts w:ascii="Arial"/>
                <w:color w:val="auto"/>
                <w:sz w:val="21"/>
                <w:highlight w:val="none"/>
              </w:rPr>
            </w:pPr>
          </w:p>
        </w:tc>
        <w:tc>
          <w:tcPr>
            <w:tcW w:w="1001" w:type="dxa"/>
            <w:vAlign w:val="top"/>
          </w:tcPr>
          <w:p w14:paraId="4DEA77F9">
            <w:pPr>
              <w:rPr>
                <w:rFonts w:ascii="Arial"/>
                <w:color w:val="auto"/>
                <w:sz w:val="21"/>
                <w:highlight w:val="none"/>
              </w:rPr>
            </w:pPr>
          </w:p>
        </w:tc>
        <w:tc>
          <w:tcPr>
            <w:tcW w:w="1002" w:type="dxa"/>
            <w:vAlign w:val="top"/>
          </w:tcPr>
          <w:p w14:paraId="152A5BEA">
            <w:pPr>
              <w:rPr>
                <w:rFonts w:ascii="Arial"/>
                <w:color w:val="auto"/>
                <w:sz w:val="21"/>
                <w:highlight w:val="none"/>
              </w:rPr>
            </w:pPr>
          </w:p>
        </w:tc>
        <w:tc>
          <w:tcPr>
            <w:tcW w:w="1004" w:type="dxa"/>
            <w:vAlign w:val="top"/>
          </w:tcPr>
          <w:p w14:paraId="63DF6D48">
            <w:pPr>
              <w:rPr>
                <w:rFonts w:ascii="Arial"/>
                <w:color w:val="auto"/>
                <w:sz w:val="21"/>
                <w:highlight w:val="none"/>
              </w:rPr>
            </w:pPr>
          </w:p>
        </w:tc>
        <w:tc>
          <w:tcPr>
            <w:tcW w:w="997" w:type="dxa"/>
            <w:vAlign w:val="top"/>
          </w:tcPr>
          <w:p w14:paraId="7354C749">
            <w:pPr>
              <w:rPr>
                <w:rFonts w:ascii="Arial"/>
                <w:color w:val="auto"/>
                <w:sz w:val="21"/>
                <w:highlight w:val="none"/>
              </w:rPr>
            </w:pPr>
          </w:p>
        </w:tc>
        <w:tc>
          <w:tcPr>
            <w:tcW w:w="1126" w:type="dxa"/>
            <w:vAlign w:val="top"/>
          </w:tcPr>
          <w:p w14:paraId="47C6EE32">
            <w:pPr>
              <w:rPr>
                <w:rFonts w:ascii="Arial"/>
                <w:color w:val="auto"/>
                <w:sz w:val="21"/>
                <w:highlight w:val="none"/>
              </w:rPr>
            </w:pPr>
          </w:p>
        </w:tc>
        <w:tc>
          <w:tcPr>
            <w:tcW w:w="1124" w:type="dxa"/>
            <w:vAlign w:val="top"/>
          </w:tcPr>
          <w:p w14:paraId="5CDC2DA1">
            <w:pPr>
              <w:rPr>
                <w:rFonts w:ascii="Arial"/>
                <w:color w:val="auto"/>
                <w:sz w:val="21"/>
                <w:highlight w:val="none"/>
              </w:rPr>
            </w:pPr>
          </w:p>
        </w:tc>
        <w:tc>
          <w:tcPr>
            <w:tcW w:w="1133" w:type="dxa"/>
            <w:tcBorders>
              <w:right w:val="single" w:color="000000" w:sz="6" w:space="0"/>
            </w:tcBorders>
            <w:vAlign w:val="top"/>
          </w:tcPr>
          <w:p w14:paraId="1628F52B">
            <w:pPr>
              <w:rPr>
                <w:rFonts w:ascii="Arial"/>
                <w:color w:val="auto"/>
                <w:sz w:val="21"/>
                <w:highlight w:val="none"/>
              </w:rPr>
            </w:pPr>
          </w:p>
        </w:tc>
      </w:tr>
      <w:tr w14:paraId="5E3B571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7B0543F3">
            <w:pPr>
              <w:rPr>
                <w:rFonts w:ascii="Arial"/>
                <w:color w:val="auto"/>
                <w:sz w:val="21"/>
                <w:highlight w:val="none"/>
              </w:rPr>
            </w:pPr>
          </w:p>
        </w:tc>
        <w:tc>
          <w:tcPr>
            <w:tcW w:w="1001" w:type="dxa"/>
            <w:vAlign w:val="top"/>
          </w:tcPr>
          <w:p w14:paraId="754F9073">
            <w:pPr>
              <w:rPr>
                <w:rFonts w:ascii="Arial"/>
                <w:color w:val="auto"/>
                <w:sz w:val="21"/>
                <w:highlight w:val="none"/>
              </w:rPr>
            </w:pPr>
          </w:p>
        </w:tc>
        <w:tc>
          <w:tcPr>
            <w:tcW w:w="1002" w:type="dxa"/>
            <w:vAlign w:val="top"/>
          </w:tcPr>
          <w:p w14:paraId="67C94061">
            <w:pPr>
              <w:rPr>
                <w:rFonts w:ascii="Arial"/>
                <w:color w:val="auto"/>
                <w:sz w:val="21"/>
                <w:highlight w:val="none"/>
              </w:rPr>
            </w:pPr>
          </w:p>
        </w:tc>
        <w:tc>
          <w:tcPr>
            <w:tcW w:w="1004" w:type="dxa"/>
            <w:vAlign w:val="top"/>
          </w:tcPr>
          <w:p w14:paraId="1E792280">
            <w:pPr>
              <w:rPr>
                <w:rFonts w:ascii="Arial"/>
                <w:color w:val="auto"/>
                <w:sz w:val="21"/>
                <w:highlight w:val="none"/>
              </w:rPr>
            </w:pPr>
          </w:p>
        </w:tc>
        <w:tc>
          <w:tcPr>
            <w:tcW w:w="997" w:type="dxa"/>
            <w:vAlign w:val="top"/>
          </w:tcPr>
          <w:p w14:paraId="2B398A7F">
            <w:pPr>
              <w:rPr>
                <w:rFonts w:ascii="Arial"/>
                <w:color w:val="auto"/>
                <w:sz w:val="21"/>
                <w:highlight w:val="none"/>
              </w:rPr>
            </w:pPr>
          </w:p>
        </w:tc>
        <w:tc>
          <w:tcPr>
            <w:tcW w:w="1126" w:type="dxa"/>
            <w:vAlign w:val="top"/>
          </w:tcPr>
          <w:p w14:paraId="2742DA4E">
            <w:pPr>
              <w:rPr>
                <w:rFonts w:ascii="Arial"/>
                <w:color w:val="auto"/>
                <w:sz w:val="21"/>
                <w:highlight w:val="none"/>
              </w:rPr>
            </w:pPr>
          </w:p>
        </w:tc>
        <w:tc>
          <w:tcPr>
            <w:tcW w:w="1124" w:type="dxa"/>
            <w:vAlign w:val="top"/>
          </w:tcPr>
          <w:p w14:paraId="27CD31EC">
            <w:pPr>
              <w:rPr>
                <w:rFonts w:ascii="Arial"/>
                <w:color w:val="auto"/>
                <w:sz w:val="21"/>
                <w:highlight w:val="none"/>
              </w:rPr>
            </w:pPr>
          </w:p>
        </w:tc>
        <w:tc>
          <w:tcPr>
            <w:tcW w:w="1133" w:type="dxa"/>
            <w:tcBorders>
              <w:right w:val="single" w:color="000000" w:sz="6" w:space="0"/>
            </w:tcBorders>
            <w:vAlign w:val="top"/>
          </w:tcPr>
          <w:p w14:paraId="0E7EB9C3">
            <w:pPr>
              <w:rPr>
                <w:rFonts w:ascii="Arial"/>
                <w:color w:val="auto"/>
                <w:sz w:val="21"/>
                <w:highlight w:val="none"/>
              </w:rPr>
            </w:pPr>
          </w:p>
        </w:tc>
      </w:tr>
      <w:tr w14:paraId="1DA754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37A71CA5">
            <w:pPr>
              <w:rPr>
                <w:rFonts w:ascii="Arial"/>
                <w:color w:val="auto"/>
                <w:sz w:val="21"/>
                <w:highlight w:val="none"/>
              </w:rPr>
            </w:pPr>
          </w:p>
        </w:tc>
        <w:tc>
          <w:tcPr>
            <w:tcW w:w="1001" w:type="dxa"/>
            <w:vAlign w:val="top"/>
          </w:tcPr>
          <w:p w14:paraId="5B39183C">
            <w:pPr>
              <w:rPr>
                <w:rFonts w:ascii="Arial"/>
                <w:color w:val="auto"/>
                <w:sz w:val="21"/>
                <w:highlight w:val="none"/>
              </w:rPr>
            </w:pPr>
          </w:p>
        </w:tc>
        <w:tc>
          <w:tcPr>
            <w:tcW w:w="1002" w:type="dxa"/>
            <w:vAlign w:val="top"/>
          </w:tcPr>
          <w:p w14:paraId="1059BDEB">
            <w:pPr>
              <w:rPr>
                <w:rFonts w:ascii="Arial"/>
                <w:color w:val="auto"/>
                <w:sz w:val="21"/>
                <w:highlight w:val="none"/>
              </w:rPr>
            </w:pPr>
          </w:p>
        </w:tc>
        <w:tc>
          <w:tcPr>
            <w:tcW w:w="1004" w:type="dxa"/>
            <w:vAlign w:val="top"/>
          </w:tcPr>
          <w:p w14:paraId="6C9B63A9">
            <w:pPr>
              <w:rPr>
                <w:rFonts w:ascii="Arial"/>
                <w:color w:val="auto"/>
                <w:sz w:val="21"/>
                <w:highlight w:val="none"/>
              </w:rPr>
            </w:pPr>
          </w:p>
        </w:tc>
        <w:tc>
          <w:tcPr>
            <w:tcW w:w="997" w:type="dxa"/>
            <w:vAlign w:val="top"/>
          </w:tcPr>
          <w:p w14:paraId="2B6E6C27">
            <w:pPr>
              <w:rPr>
                <w:rFonts w:ascii="Arial"/>
                <w:color w:val="auto"/>
                <w:sz w:val="21"/>
                <w:highlight w:val="none"/>
              </w:rPr>
            </w:pPr>
          </w:p>
        </w:tc>
        <w:tc>
          <w:tcPr>
            <w:tcW w:w="1126" w:type="dxa"/>
            <w:vAlign w:val="top"/>
          </w:tcPr>
          <w:p w14:paraId="5EC86343">
            <w:pPr>
              <w:rPr>
                <w:rFonts w:ascii="Arial"/>
                <w:color w:val="auto"/>
                <w:sz w:val="21"/>
                <w:highlight w:val="none"/>
              </w:rPr>
            </w:pPr>
          </w:p>
        </w:tc>
        <w:tc>
          <w:tcPr>
            <w:tcW w:w="1124" w:type="dxa"/>
            <w:vAlign w:val="top"/>
          </w:tcPr>
          <w:p w14:paraId="1DA6E95F">
            <w:pPr>
              <w:rPr>
                <w:rFonts w:ascii="Arial"/>
                <w:color w:val="auto"/>
                <w:sz w:val="21"/>
                <w:highlight w:val="none"/>
              </w:rPr>
            </w:pPr>
          </w:p>
        </w:tc>
        <w:tc>
          <w:tcPr>
            <w:tcW w:w="1133" w:type="dxa"/>
            <w:tcBorders>
              <w:right w:val="single" w:color="000000" w:sz="6" w:space="0"/>
            </w:tcBorders>
            <w:vAlign w:val="top"/>
          </w:tcPr>
          <w:p w14:paraId="1FE464FA">
            <w:pPr>
              <w:rPr>
                <w:rFonts w:ascii="Arial"/>
                <w:color w:val="auto"/>
                <w:sz w:val="21"/>
                <w:highlight w:val="none"/>
              </w:rPr>
            </w:pPr>
          </w:p>
        </w:tc>
      </w:tr>
      <w:tr w14:paraId="657B4F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37F2F452">
            <w:pPr>
              <w:rPr>
                <w:rFonts w:ascii="Arial"/>
                <w:color w:val="auto"/>
                <w:sz w:val="21"/>
                <w:highlight w:val="none"/>
              </w:rPr>
            </w:pPr>
          </w:p>
        </w:tc>
        <w:tc>
          <w:tcPr>
            <w:tcW w:w="1001" w:type="dxa"/>
            <w:vAlign w:val="top"/>
          </w:tcPr>
          <w:p w14:paraId="3F60ACBB">
            <w:pPr>
              <w:rPr>
                <w:rFonts w:ascii="Arial"/>
                <w:color w:val="auto"/>
                <w:sz w:val="21"/>
                <w:highlight w:val="none"/>
              </w:rPr>
            </w:pPr>
          </w:p>
        </w:tc>
        <w:tc>
          <w:tcPr>
            <w:tcW w:w="1002" w:type="dxa"/>
            <w:vAlign w:val="top"/>
          </w:tcPr>
          <w:p w14:paraId="32DDFB29">
            <w:pPr>
              <w:rPr>
                <w:rFonts w:ascii="Arial"/>
                <w:color w:val="auto"/>
                <w:sz w:val="21"/>
                <w:highlight w:val="none"/>
              </w:rPr>
            </w:pPr>
          </w:p>
        </w:tc>
        <w:tc>
          <w:tcPr>
            <w:tcW w:w="1004" w:type="dxa"/>
            <w:vAlign w:val="top"/>
          </w:tcPr>
          <w:p w14:paraId="4D28BDB8">
            <w:pPr>
              <w:rPr>
                <w:rFonts w:ascii="Arial"/>
                <w:color w:val="auto"/>
                <w:sz w:val="21"/>
                <w:highlight w:val="none"/>
              </w:rPr>
            </w:pPr>
          </w:p>
        </w:tc>
        <w:tc>
          <w:tcPr>
            <w:tcW w:w="997" w:type="dxa"/>
            <w:vAlign w:val="top"/>
          </w:tcPr>
          <w:p w14:paraId="6AC7CEE1">
            <w:pPr>
              <w:rPr>
                <w:rFonts w:ascii="Arial"/>
                <w:color w:val="auto"/>
                <w:sz w:val="21"/>
                <w:highlight w:val="none"/>
              </w:rPr>
            </w:pPr>
          </w:p>
        </w:tc>
        <w:tc>
          <w:tcPr>
            <w:tcW w:w="1126" w:type="dxa"/>
            <w:vAlign w:val="top"/>
          </w:tcPr>
          <w:p w14:paraId="2E4B9E57">
            <w:pPr>
              <w:rPr>
                <w:rFonts w:ascii="Arial"/>
                <w:color w:val="auto"/>
                <w:sz w:val="21"/>
                <w:highlight w:val="none"/>
              </w:rPr>
            </w:pPr>
          </w:p>
        </w:tc>
        <w:tc>
          <w:tcPr>
            <w:tcW w:w="1124" w:type="dxa"/>
            <w:vAlign w:val="top"/>
          </w:tcPr>
          <w:p w14:paraId="3AAE5159">
            <w:pPr>
              <w:rPr>
                <w:rFonts w:ascii="Arial"/>
                <w:color w:val="auto"/>
                <w:sz w:val="21"/>
                <w:highlight w:val="none"/>
              </w:rPr>
            </w:pPr>
          </w:p>
        </w:tc>
        <w:tc>
          <w:tcPr>
            <w:tcW w:w="1133" w:type="dxa"/>
            <w:tcBorders>
              <w:right w:val="single" w:color="000000" w:sz="6" w:space="0"/>
            </w:tcBorders>
            <w:vAlign w:val="top"/>
          </w:tcPr>
          <w:p w14:paraId="33FDE82F">
            <w:pPr>
              <w:rPr>
                <w:rFonts w:ascii="Arial"/>
                <w:color w:val="auto"/>
                <w:sz w:val="21"/>
                <w:highlight w:val="none"/>
              </w:rPr>
            </w:pPr>
          </w:p>
        </w:tc>
      </w:tr>
      <w:tr w14:paraId="4AEA9A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11ECE5C7">
            <w:pPr>
              <w:rPr>
                <w:rFonts w:ascii="Arial"/>
                <w:color w:val="auto"/>
                <w:sz w:val="21"/>
                <w:highlight w:val="none"/>
              </w:rPr>
            </w:pPr>
          </w:p>
        </w:tc>
        <w:tc>
          <w:tcPr>
            <w:tcW w:w="1001" w:type="dxa"/>
            <w:vAlign w:val="top"/>
          </w:tcPr>
          <w:p w14:paraId="483FDDA3">
            <w:pPr>
              <w:rPr>
                <w:rFonts w:ascii="Arial"/>
                <w:color w:val="auto"/>
                <w:sz w:val="21"/>
                <w:highlight w:val="none"/>
              </w:rPr>
            </w:pPr>
          </w:p>
        </w:tc>
        <w:tc>
          <w:tcPr>
            <w:tcW w:w="1002" w:type="dxa"/>
            <w:vAlign w:val="top"/>
          </w:tcPr>
          <w:p w14:paraId="7F906391">
            <w:pPr>
              <w:rPr>
                <w:rFonts w:ascii="Arial"/>
                <w:color w:val="auto"/>
                <w:sz w:val="21"/>
                <w:highlight w:val="none"/>
              </w:rPr>
            </w:pPr>
          </w:p>
        </w:tc>
        <w:tc>
          <w:tcPr>
            <w:tcW w:w="1004" w:type="dxa"/>
            <w:vAlign w:val="top"/>
          </w:tcPr>
          <w:p w14:paraId="56F35BF7">
            <w:pPr>
              <w:rPr>
                <w:rFonts w:ascii="Arial"/>
                <w:color w:val="auto"/>
                <w:sz w:val="21"/>
                <w:highlight w:val="none"/>
              </w:rPr>
            </w:pPr>
          </w:p>
        </w:tc>
        <w:tc>
          <w:tcPr>
            <w:tcW w:w="997" w:type="dxa"/>
            <w:vAlign w:val="top"/>
          </w:tcPr>
          <w:p w14:paraId="3AC8CFA6">
            <w:pPr>
              <w:rPr>
                <w:rFonts w:ascii="Arial"/>
                <w:color w:val="auto"/>
                <w:sz w:val="21"/>
                <w:highlight w:val="none"/>
              </w:rPr>
            </w:pPr>
          </w:p>
        </w:tc>
        <w:tc>
          <w:tcPr>
            <w:tcW w:w="1126" w:type="dxa"/>
            <w:vAlign w:val="top"/>
          </w:tcPr>
          <w:p w14:paraId="31275E4B">
            <w:pPr>
              <w:rPr>
                <w:rFonts w:ascii="Arial"/>
                <w:color w:val="auto"/>
                <w:sz w:val="21"/>
                <w:highlight w:val="none"/>
              </w:rPr>
            </w:pPr>
          </w:p>
        </w:tc>
        <w:tc>
          <w:tcPr>
            <w:tcW w:w="1124" w:type="dxa"/>
            <w:vAlign w:val="top"/>
          </w:tcPr>
          <w:p w14:paraId="78CDA897">
            <w:pPr>
              <w:rPr>
                <w:rFonts w:ascii="Arial"/>
                <w:color w:val="auto"/>
                <w:sz w:val="21"/>
                <w:highlight w:val="none"/>
              </w:rPr>
            </w:pPr>
          </w:p>
        </w:tc>
        <w:tc>
          <w:tcPr>
            <w:tcW w:w="1133" w:type="dxa"/>
            <w:tcBorders>
              <w:right w:val="single" w:color="000000" w:sz="6" w:space="0"/>
            </w:tcBorders>
            <w:vAlign w:val="top"/>
          </w:tcPr>
          <w:p w14:paraId="31EBEDBA">
            <w:pPr>
              <w:rPr>
                <w:rFonts w:ascii="Arial"/>
                <w:color w:val="auto"/>
                <w:sz w:val="21"/>
                <w:highlight w:val="none"/>
              </w:rPr>
            </w:pPr>
          </w:p>
        </w:tc>
      </w:tr>
      <w:tr w14:paraId="611336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5885DB8B">
            <w:pPr>
              <w:rPr>
                <w:rFonts w:ascii="Arial"/>
                <w:color w:val="auto"/>
                <w:sz w:val="21"/>
                <w:highlight w:val="none"/>
              </w:rPr>
            </w:pPr>
          </w:p>
        </w:tc>
        <w:tc>
          <w:tcPr>
            <w:tcW w:w="1001" w:type="dxa"/>
            <w:vAlign w:val="top"/>
          </w:tcPr>
          <w:p w14:paraId="28D9C6E9">
            <w:pPr>
              <w:rPr>
                <w:rFonts w:ascii="Arial"/>
                <w:color w:val="auto"/>
                <w:sz w:val="21"/>
                <w:highlight w:val="none"/>
              </w:rPr>
            </w:pPr>
          </w:p>
        </w:tc>
        <w:tc>
          <w:tcPr>
            <w:tcW w:w="1002" w:type="dxa"/>
            <w:vAlign w:val="top"/>
          </w:tcPr>
          <w:p w14:paraId="76D2D573">
            <w:pPr>
              <w:rPr>
                <w:rFonts w:ascii="Arial"/>
                <w:color w:val="auto"/>
                <w:sz w:val="21"/>
                <w:highlight w:val="none"/>
              </w:rPr>
            </w:pPr>
          </w:p>
        </w:tc>
        <w:tc>
          <w:tcPr>
            <w:tcW w:w="1004" w:type="dxa"/>
            <w:vAlign w:val="top"/>
          </w:tcPr>
          <w:p w14:paraId="2F0D94EA">
            <w:pPr>
              <w:rPr>
                <w:rFonts w:ascii="Arial"/>
                <w:color w:val="auto"/>
                <w:sz w:val="21"/>
                <w:highlight w:val="none"/>
              </w:rPr>
            </w:pPr>
          </w:p>
        </w:tc>
        <w:tc>
          <w:tcPr>
            <w:tcW w:w="997" w:type="dxa"/>
            <w:vAlign w:val="top"/>
          </w:tcPr>
          <w:p w14:paraId="148463D2">
            <w:pPr>
              <w:rPr>
                <w:rFonts w:ascii="Arial"/>
                <w:color w:val="auto"/>
                <w:sz w:val="21"/>
                <w:highlight w:val="none"/>
              </w:rPr>
            </w:pPr>
          </w:p>
        </w:tc>
        <w:tc>
          <w:tcPr>
            <w:tcW w:w="1126" w:type="dxa"/>
            <w:vAlign w:val="top"/>
          </w:tcPr>
          <w:p w14:paraId="6AC226B3">
            <w:pPr>
              <w:rPr>
                <w:rFonts w:ascii="Arial"/>
                <w:color w:val="auto"/>
                <w:sz w:val="21"/>
                <w:highlight w:val="none"/>
              </w:rPr>
            </w:pPr>
          </w:p>
        </w:tc>
        <w:tc>
          <w:tcPr>
            <w:tcW w:w="1124" w:type="dxa"/>
            <w:vAlign w:val="top"/>
          </w:tcPr>
          <w:p w14:paraId="002F4D76">
            <w:pPr>
              <w:rPr>
                <w:rFonts w:ascii="Arial"/>
                <w:color w:val="auto"/>
                <w:sz w:val="21"/>
                <w:highlight w:val="none"/>
              </w:rPr>
            </w:pPr>
          </w:p>
        </w:tc>
        <w:tc>
          <w:tcPr>
            <w:tcW w:w="1133" w:type="dxa"/>
            <w:tcBorders>
              <w:right w:val="single" w:color="000000" w:sz="6" w:space="0"/>
            </w:tcBorders>
            <w:vAlign w:val="top"/>
          </w:tcPr>
          <w:p w14:paraId="71339A6B">
            <w:pPr>
              <w:rPr>
                <w:rFonts w:ascii="Arial"/>
                <w:color w:val="auto"/>
                <w:sz w:val="21"/>
                <w:highlight w:val="none"/>
              </w:rPr>
            </w:pPr>
          </w:p>
        </w:tc>
      </w:tr>
      <w:tr w14:paraId="2E6127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7ECEAD8E">
            <w:pPr>
              <w:rPr>
                <w:rFonts w:ascii="Arial"/>
                <w:color w:val="auto"/>
                <w:sz w:val="21"/>
                <w:highlight w:val="none"/>
              </w:rPr>
            </w:pPr>
          </w:p>
        </w:tc>
        <w:tc>
          <w:tcPr>
            <w:tcW w:w="1001" w:type="dxa"/>
            <w:vAlign w:val="top"/>
          </w:tcPr>
          <w:p w14:paraId="68740ED8">
            <w:pPr>
              <w:rPr>
                <w:rFonts w:ascii="Arial"/>
                <w:color w:val="auto"/>
                <w:sz w:val="21"/>
                <w:highlight w:val="none"/>
              </w:rPr>
            </w:pPr>
          </w:p>
        </w:tc>
        <w:tc>
          <w:tcPr>
            <w:tcW w:w="1002" w:type="dxa"/>
            <w:vAlign w:val="top"/>
          </w:tcPr>
          <w:p w14:paraId="04E93E52">
            <w:pPr>
              <w:rPr>
                <w:rFonts w:ascii="Arial"/>
                <w:color w:val="auto"/>
                <w:sz w:val="21"/>
                <w:highlight w:val="none"/>
              </w:rPr>
            </w:pPr>
          </w:p>
        </w:tc>
        <w:tc>
          <w:tcPr>
            <w:tcW w:w="1004" w:type="dxa"/>
            <w:vAlign w:val="top"/>
          </w:tcPr>
          <w:p w14:paraId="3E0E0FEC">
            <w:pPr>
              <w:rPr>
                <w:rFonts w:ascii="Arial"/>
                <w:color w:val="auto"/>
                <w:sz w:val="21"/>
                <w:highlight w:val="none"/>
              </w:rPr>
            </w:pPr>
          </w:p>
        </w:tc>
        <w:tc>
          <w:tcPr>
            <w:tcW w:w="997" w:type="dxa"/>
            <w:vAlign w:val="top"/>
          </w:tcPr>
          <w:p w14:paraId="71C6B77A">
            <w:pPr>
              <w:rPr>
                <w:rFonts w:ascii="Arial"/>
                <w:color w:val="auto"/>
                <w:sz w:val="21"/>
                <w:highlight w:val="none"/>
              </w:rPr>
            </w:pPr>
          </w:p>
        </w:tc>
        <w:tc>
          <w:tcPr>
            <w:tcW w:w="1126" w:type="dxa"/>
            <w:vAlign w:val="top"/>
          </w:tcPr>
          <w:p w14:paraId="6B966BDC">
            <w:pPr>
              <w:rPr>
                <w:rFonts w:ascii="Arial"/>
                <w:color w:val="auto"/>
                <w:sz w:val="21"/>
                <w:highlight w:val="none"/>
              </w:rPr>
            </w:pPr>
          </w:p>
        </w:tc>
        <w:tc>
          <w:tcPr>
            <w:tcW w:w="1124" w:type="dxa"/>
            <w:vAlign w:val="top"/>
          </w:tcPr>
          <w:p w14:paraId="4CECF454">
            <w:pPr>
              <w:rPr>
                <w:rFonts w:ascii="Arial"/>
                <w:color w:val="auto"/>
                <w:sz w:val="21"/>
                <w:highlight w:val="none"/>
              </w:rPr>
            </w:pPr>
          </w:p>
        </w:tc>
        <w:tc>
          <w:tcPr>
            <w:tcW w:w="1133" w:type="dxa"/>
            <w:tcBorders>
              <w:right w:val="single" w:color="000000" w:sz="6" w:space="0"/>
            </w:tcBorders>
            <w:vAlign w:val="top"/>
          </w:tcPr>
          <w:p w14:paraId="53A8AF0F">
            <w:pPr>
              <w:rPr>
                <w:rFonts w:ascii="Arial"/>
                <w:color w:val="auto"/>
                <w:sz w:val="21"/>
                <w:highlight w:val="none"/>
              </w:rPr>
            </w:pPr>
          </w:p>
        </w:tc>
      </w:tr>
      <w:tr w14:paraId="62E53C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167A7EC3">
            <w:pPr>
              <w:rPr>
                <w:rFonts w:ascii="Arial"/>
                <w:color w:val="auto"/>
                <w:sz w:val="21"/>
                <w:highlight w:val="none"/>
              </w:rPr>
            </w:pPr>
          </w:p>
        </w:tc>
        <w:tc>
          <w:tcPr>
            <w:tcW w:w="1001" w:type="dxa"/>
            <w:vAlign w:val="top"/>
          </w:tcPr>
          <w:p w14:paraId="388DC02D">
            <w:pPr>
              <w:rPr>
                <w:rFonts w:ascii="Arial"/>
                <w:color w:val="auto"/>
                <w:sz w:val="21"/>
                <w:highlight w:val="none"/>
              </w:rPr>
            </w:pPr>
          </w:p>
        </w:tc>
        <w:tc>
          <w:tcPr>
            <w:tcW w:w="1002" w:type="dxa"/>
            <w:vAlign w:val="top"/>
          </w:tcPr>
          <w:p w14:paraId="655F5372">
            <w:pPr>
              <w:rPr>
                <w:rFonts w:ascii="Arial"/>
                <w:color w:val="auto"/>
                <w:sz w:val="21"/>
                <w:highlight w:val="none"/>
              </w:rPr>
            </w:pPr>
          </w:p>
        </w:tc>
        <w:tc>
          <w:tcPr>
            <w:tcW w:w="1004" w:type="dxa"/>
            <w:vAlign w:val="top"/>
          </w:tcPr>
          <w:p w14:paraId="7D90C2E3">
            <w:pPr>
              <w:rPr>
                <w:rFonts w:ascii="Arial"/>
                <w:color w:val="auto"/>
                <w:sz w:val="21"/>
                <w:highlight w:val="none"/>
              </w:rPr>
            </w:pPr>
          </w:p>
        </w:tc>
        <w:tc>
          <w:tcPr>
            <w:tcW w:w="997" w:type="dxa"/>
            <w:vAlign w:val="top"/>
          </w:tcPr>
          <w:p w14:paraId="669CDC15">
            <w:pPr>
              <w:rPr>
                <w:rFonts w:ascii="Arial"/>
                <w:color w:val="auto"/>
                <w:sz w:val="21"/>
                <w:highlight w:val="none"/>
              </w:rPr>
            </w:pPr>
          </w:p>
        </w:tc>
        <w:tc>
          <w:tcPr>
            <w:tcW w:w="1126" w:type="dxa"/>
            <w:vAlign w:val="top"/>
          </w:tcPr>
          <w:p w14:paraId="3E2EC450">
            <w:pPr>
              <w:rPr>
                <w:rFonts w:ascii="Arial"/>
                <w:color w:val="auto"/>
                <w:sz w:val="21"/>
                <w:highlight w:val="none"/>
              </w:rPr>
            </w:pPr>
          </w:p>
        </w:tc>
        <w:tc>
          <w:tcPr>
            <w:tcW w:w="1124" w:type="dxa"/>
            <w:vAlign w:val="top"/>
          </w:tcPr>
          <w:p w14:paraId="0A648530">
            <w:pPr>
              <w:rPr>
                <w:rFonts w:ascii="Arial"/>
                <w:color w:val="auto"/>
                <w:sz w:val="21"/>
                <w:highlight w:val="none"/>
              </w:rPr>
            </w:pPr>
          </w:p>
        </w:tc>
        <w:tc>
          <w:tcPr>
            <w:tcW w:w="1133" w:type="dxa"/>
            <w:tcBorders>
              <w:right w:val="single" w:color="000000" w:sz="6" w:space="0"/>
            </w:tcBorders>
            <w:vAlign w:val="top"/>
          </w:tcPr>
          <w:p w14:paraId="43E26465">
            <w:pPr>
              <w:rPr>
                <w:rFonts w:ascii="Arial"/>
                <w:color w:val="auto"/>
                <w:sz w:val="21"/>
                <w:highlight w:val="none"/>
              </w:rPr>
            </w:pPr>
          </w:p>
        </w:tc>
      </w:tr>
      <w:tr w14:paraId="1B486E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0" w:hRule="atLeast"/>
        </w:trPr>
        <w:tc>
          <w:tcPr>
            <w:tcW w:w="1622" w:type="dxa"/>
            <w:tcBorders>
              <w:left w:val="single" w:color="000000" w:sz="6" w:space="0"/>
            </w:tcBorders>
            <w:vAlign w:val="top"/>
          </w:tcPr>
          <w:p w14:paraId="0B8C866B">
            <w:pPr>
              <w:rPr>
                <w:rFonts w:ascii="Arial"/>
                <w:color w:val="auto"/>
                <w:sz w:val="21"/>
                <w:highlight w:val="none"/>
              </w:rPr>
            </w:pPr>
          </w:p>
        </w:tc>
        <w:tc>
          <w:tcPr>
            <w:tcW w:w="1001" w:type="dxa"/>
            <w:vAlign w:val="top"/>
          </w:tcPr>
          <w:p w14:paraId="7F231D11">
            <w:pPr>
              <w:rPr>
                <w:rFonts w:ascii="Arial"/>
                <w:color w:val="auto"/>
                <w:sz w:val="21"/>
                <w:highlight w:val="none"/>
              </w:rPr>
            </w:pPr>
          </w:p>
        </w:tc>
        <w:tc>
          <w:tcPr>
            <w:tcW w:w="1002" w:type="dxa"/>
            <w:vAlign w:val="top"/>
          </w:tcPr>
          <w:p w14:paraId="669718EF">
            <w:pPr>
              <w:rPr>
                <w:rFonts w:ascii="Arial"/>
                <w:color w:val="auto"/>
                <w:sz w:val="21"/>
                <w:highlight w:val="none"/>
              </w:rPr>
            </w:pPr>
          </w:p>
        </w:tc>
        <w:tc>
          <w:tcPr>
            <w:tcW w:w="1004" w:type="dxa"/>
            <w:vAlign w:val="top"/>
          </w:tcPr>
          <w:p w14:paraId="1550C16F">
            <w:pPr>
              <w:rPr>
                <w:rFonts w:ascii="Arial"/>
                <w:color w:val="auto"/>
                <w:sz w:val="21"/>
                <w:highlight w:val="none"/>
              </w:rPr>
            </w:pPr>
          </w:p>
        </w:tc>
        <w:tc>
          <w:tcPr>
            <w:tcW w:w="997" w:type="dxa"/>
            <w:vAlign w:val="top"/>
          </w:tcPr>
          <w:p w14:paraId="7B7434E0">
            <w:pPr>
              <w:rPr>
                <w:rFonts w:ascii="Arial"/>
                <w:color w:val="auto"/>
                <w:sz w:val="21"/>
                <w:highlight w:val="none"/>
              </w:rPr>
            </w:pPr>
          </w:p>
        </w:tc>
        <w:tc>
          <w:tcPr>
            <w:tcW w:w="1126" w:type="dxa"/>
            <w:vAlign w:val="top"/>
          </w:tcPr>
          <w:p w14:paraId="0890369D">
            <w:pPr>
              <w:rPr>
                <w:rFonts w:ascii="Arial"/>
                <w:color w:val="auto"/>
                <w:sz w:val="21"/>
                <w:highlight w:val="none"/>
              </w:rPr>
            </w:pPr>
          </w:p>
        </w:tc>
        <w:tc>
          <w:tcPr>
            <w:tcW w:w="1124" w:type="dxa"/>
            <w:vAlign w:val="top"/>
          </w:tcPr>
          <w:p w14:paraId="566678F1">
            <w:pPr>
              <w:rPr>
                <w:rFonts w:ascii="Arial"/>
                <w:color w:val="auto"/>
                <w:sz w:val="21"/>
                <w:highlight w:val="none"/>
              </w:rPr>
            </w:pPr>
          </w:p>
        </w:tc>
        <w:tc>
          <w:tcPr>
            <w:tcW w:w="1133" w:type="dxa"/>
            <w:tcBorders>
              <w:right w:val="single" w:color="000000" w:sz="6" w:space="0"/>
            </w:tcBorders>
            <w:vAlign w:val="top"/>
          </w:tcPr>
          <w:p w14:paraId="2798DD9E">
            <w:pPr>
              <w:rPr>
                <w:rFonts w:ascii="Arial"/>
                <w:color w:val="auto"/>
                <w:sz w:val="21"/>
                <w:highlight w:val="none"/>
              </w:rPr>
            </w:pPr>
          </w:p>
        </w:tc>
      </w:tr>
      <w:tr w14:paraId="46EFB9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3" w:hRule="atLeast"/>
        </w:trPr>
        <w:tc>
          <w:tcPr>
            <w:tcW w:w="1622" w:type="dxa"/>
            <w:tcBorders>
              <w:left w:val="single" w:color="000000" w:sz="6" w:space="0"/>
            </w:tcBorders>
            <w:vAlign w:val="top"/>
          </w:tcPr>
          <w:p w14:paraId="73531D24">
            <w:pPr>
              <w:rPr>
                <w:rFonts w:ascii="Arial"/>
                <w:color w:val="auto"/>
                <w:sz w:val="21"/>
                <w:highlight w:val="none"/>
              </w:rPr>
            </w:pPr>
          </w:p>
        </w:tc>
        <w:tc>
          <w:tcPr>
            <w:tcW w:w="1001" w:type="dxa"/>
            <w:vAlign w:val="top"/>
          </w:tcPr>
          <w:p w14:paraId="3FE3F986">
            <w:pPr>
              <w:rPr>
                <w:rFonts w:ascii="Arial"/>
                <w:color w:val="auto"/>
                <w:sz w:val="21"/>
                <w:highlight w:val="none"/>
              </w:rPr>
            </w:pPr>
          </w:p>
        </w:tc>
        <w:tc>
          <w:tcPr>
            <w:tcW w:w="1002" w:type="dxa"/>
            <w:vAlign w:val="top"/>
          </w:tcPr>
          <w:p w14:paraId="0BBDB0E2">
            <w:pPr>
              <w:rPr>
                <w:rFonts w:ascii="Arial"/>
                <w:color w:val="auto"/>
                <w:sz w:val="21"/>
                <w:highlight w:val="none"/>
              </w:rPr>
            </w:pPr>
          </w:p>
        </w:tc>
        <w:tc>
          <w:tcPr>
            <w:tcW w:w="1004" w:type="dxa"/>
            <w:vAlign w:val="top"/>
          </w:tcPr>
          <w:p w14:paraId="0FC5DA58">
            <w:pPr>
              <w:rPr>
                <w:rFonts w:ascii="Arial"/>
                <w:color w:val="auto"/>
                <w:sz w:val="21"/>
                <w:highlight w:val="none"/>
              </w:rPr>
            </w:pPr>
          </w:p>
        </w:tc>
        <w:tc>
          <w:tcPr>
            <w:tcW w:w="997" w:type="dxa"/>
            <w:vAlign w:val="top"/>
          </w:tcPr>
          <w:p w14:paraId="72CD6B62">
            <w:pPr>
              <w:rPr>
                <w:rFonts w:ascii="Arial"/>
                <w:color w:val="auto"/>
                <w:sz w:val="21"/>
                <w:highlight w:val="none"/>
              </w:rPr>
            </w:pPr>
          </w:p>
        </w:tc>
        <w:tc>
          <w:tcPr>
            <w:tcW w:w="1126" w:type="dxa"/>
            <w:vAlign w:val="top"/>
          </w:tcPr>
          <w:p w14:paraId="6D59B9D0">
            <w:pPr>
              <w:rPr>
                <w:rFonts w:ascii="Arial"/>
                <w:color w:val="auto"/>
                <w:sz w:val="21"/>
                <w:highlight w:val="none"/>
              </w:rPr>
            </w:pPr>
          </w:p>
        </w:tc>
        <w:tc>
          <w:tcPr>
            <w:tcW w:w="1124" w:type="dxa"/>
            <w:vAlign w:val="top"/>
          </w:tcPr>
          <w:p w14:paraId="01415DFE">
            <w:pPr>
              <w:rPr>
                <w:rFonts w:ascii="Arial"/>
                <w:color w:val="auto"/>
                <w:sz w:val="21"/>
                <w:highlight w:val="none"/>
              </w:rPr>
            </w:pPr>
          </w:p>
        </w:tc>
        <w:tc>
          <w:tcPr>
            <w:tcW w:w="1133" w:type="dxa"/>
            <w:tcBorders>
              <w:right w:val="single" w:color="000000" w:sz="6" w:space="0"/>
            </w:tcBorders>
            <w:vAlign w:val="top"/>
          </w:tcPr>
          <w:p w14:paraId="651EA4E1">
            <w:pPr>
              <w:rPr>
                <w:rFonts w:ascii="Arial"/>
                <w:color w:val="auto"/>
                <w:sz w:val="21"/>
                <w:highlight w:val="none"/>
              </w:rPr>
            </w:pPr>
          </w:p>
        </w:tc>
      </w:tr>
      <w:tr w14:paraId="7F1B14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84" w:hRule="atLeast"/>
        </w:trPr>
        <w:tc>
          <w:tcPr>
            <w:tcW w:w="1622" w:type="dxa"/>
            <w:tcBorders>
              <w:left w:val="single" w:color="000000" w:sz="6" w:space="0"/>
              <w:bottom w:val="single" w:color="000000" w:sz="6" w:space="0"/>
            </w:tcBorders>
            <w:vAlign w:val="top"/>
          </w:tcPr>
          <w:p w14:paraId="65ED5EC1">
            <w:pPr>
              <w:rPr>
                <w:rFonts w:ascii="Arial"/>
                <w:color w:val="auto"/>
                <w:sz w:val="21"/>
                <w:highlight w:val="none"/>
              </w:rPr>
            </w:pPr>
          </w:p>
        </w:tc>
        <w:tc>
          <w:tcPr>
            <w:tcW w:w="1001" w:type="dxa"/>
            <w:tcBorders>
              <w:bottom w:val="single" w:color="000000" w:sz="6" w:space="0"/>
            </w:tcBorders>
            <w:vAlign w:val="top"/>
          </w:tcPr>
          <w:p w14:paraId="4A9C3A0C">
            <w:pPr>
              <w:rPr>
                <w:rFonts w:ascii="Arial"/>
                <w:color w:val="auto"/>
                <w:sz w:val="21"/>
                <w:highlight w:val="none"/>
              </w:rPr>
            </w:pPr>
          </w:p>
        </w:tc>
        <w:tc>
          <w:tcPr>
            <w:tcW w:w="1002" w:type="dxa"/>
            <w:tcBorders>
              <w:bottom w:val="single" w:color="000000" w:sz="6" w:space="0"/>
            </w:tcBorders>
            <w:vAlign w:val="top"/>
          </w:tcPr>
          <w:p w14:paraId="504F7536">
            <w:pPr>
              <w:rPr>
                <w:rFonts w:ascii="Arial"/>
                <w:color w:val="auto"/>
                <w:sz w:val="21"/>
                <w:highlight w:val="none"/>
              </w:rPr>
            </w:pPr>
          </w:p>
        </w:tc>
        <w:tc>
          <w:tcPr>
            <w:tcW w:w="1004" w:type="dxa"/>
            <w:tcBorders>
              <w:bottom w:val="single" w:color="000000" w:sz="6" w:space="0"/>
            </w:tcBorders>
            <w:vAlign w:val="top"/>
          </w:tcPr>
          <w:p w14:paraId="13D63DCB">
            <w:pPr>
              <w:rPr>
                <w:rFonts w:ascii="Arial"/>
                <w:color w:val="auto"/>
                <w:sz w:val="21"/>
                <w:highlight w:val="none"/>
              </w:rPr>
            </w:pPr>
          </w:p>
        </w:tc>
        <w:tc>
          <w:tcPr>
            <w:tcW w:w="997" w:type="dxa"/>
            <w:tcBorders>
              <w:bottom w:val="single" w:color="000000" w:sz="6" w:space="0"/>
            </w:tcBorders>
            <w:vAlign w:val="top"/>
          </w:tcPr>
          <w:p w14:paraId="2648F9E1">
            <w:pPr>
              <w:rPr>
                <w:rFonts w:ascii="Arial"/>
                <w:color w:val="auto"/>
                <w:sz w:val="21"/>
                <w:highlight w:val="none"/>
              </w:rPr>
            </w:pPr>
          </w:p>
        </w:tc>
        <w:tc>
          <w:tcPr>
            <w:tcW w:w="1126" w:type="dxa"/>
            <w:tcBorders>
              <w:bottom w:val="single" w:color="000000" w:sz="6" w:space="0"/>
            </w:tcBorders>
            <w:vAlign w:val="top"/>
          </w:tcPr>
          <w:p w14:paraId="713953F7">
            <w:pPr>
              <w:rPr>
                <w:rFonts w:ascii="Arial"/>
                <w:color w:val="auto"/>
                <w:sz w:val="21"/>
                <w:highlight w:val="none"/>
              </w:rPr>
            </w:pPr>
          </w:p>
        </w:tc>
        <w:tc>
          <w:tcPr>
            <w:tcW w:w="1124" w:type="dxa"/>
            <w:tcBorders>
              <w:bottom w:val="single" w:color="000000" w:sz="6" w:space="0"/>
            </w:tcBorders>
            <w:vAlign w:val="top"/>
          </w:tcPr>
          <w:p w14:paraId="38C43009">
            <w:pPr>
              <w:rPr>
                <w:rFonts w:ascii="Arial"/>
                <w:color w:val="auto"/>
                <w:sz w:val="21"/>
                <w:highlight w:val="none"/>
              </w:rPr>
            </w:pPr>
          </w:p>
        </w:tc>
        <w:tc>
          <w:tcPr>
            <w:tcW w:w="1133" w:type="dxa"/>
            <w:tcBorders>
              <w:bottom w:val="single" w:color="000000" w:sz="6" w:space="0"/>
              <w:right w:val="single" w:color="000000" w:sz="6" w:space="0"/>
            </w:tcBorders>
            <w:vAlign w:val="top"/>
          </w:tcPr>
          <w:p w14:paraId="3A4E11DF">
            <w:pPr>
              <w:rPr>
                <w:rFonts w:ascii="Arial"/>
                <w:color w:val="auto"/>
                <w:sz w:val="21"/>
                <w:highlight w:val="none"/>
              </w:rPr>
            </w:pPr>
          </w:p>
        </w:tc>
      </w:tr>
    </w:tbl>
    <w:p w14:paraId="5B50F1EE">
      <w:pPr>
        <w:pStyle w:val="3"/>
        <w:rPr>
          <w:color w:val="auto"/>
          <w:highlight w:val="none"/>
        </w:rPr>
      </w:pPr>
    </w:p>
    <w:p w14:paraId="445819FF">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4F4A5298">
      <w:pPr>
        <w:spacing w:before="47" w:line="219" w:lineRule="auto"/>
        <w:ind w:left="14"/>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附件四：</w:t>
      </w:r>
    </w:p>
    <w:p w14:paraId="7234A36D">
      <w:pPr>
        <w:spacing w:before="182" w:line="220" w:lineRule="auto"/>
        <w:ind w:left="2340"/>
        <w:rPr>
          <w:rFonts w:ascii="宋体" w:hAnsi="宋体" w:eastAsia="宋体" w:cs="宋体"/>
          <w:color w:val="auto"/>
          <w:sz w:val="24"/>
          <w:szCs w:val="24"/>
          <w:highlight w:val="none"/>
        </w:rPr>
      </w:pPr>
      <w:r>
        <w:rPr>
          <w:rFonts w:ascii="宋体" w:hAnsi="宋体" w:eastAsia="宋体" w:cs="宋体"/>
          <w:b/>
          <w:bCs/>
          <w:color w:val="auto"/>
          <w:spacing w:val="-3"/>
          <w:sz w:val="24"/>
          <w:szCs w:val="24"/>
          <w:highlight w:val="none"/>
        </w:rPr>
        <w:t>计划开工日期、完工日期和施工进度表</w:t>
      </w:r>
    </w:p>
    <w:p w14:paraId="2128887F">
      <w:pPr>
        <w:pStyle w:val="3"/>
        <w:spacing w:line="257" w:lineRule="auto"/>
        <w:rPr>
          <w:color w:val="auto"/>
          <w:highlight w:val="none"/>
        </w:rPr>
      </w:pPr>
    </w:p>
    <w:p w14:paraId="7A170DBA">
      <w:pPr>
        <w:pStyle w:val="3"/>
        <w:spacing w:line="257" w:lineRule="auto"/>
        <w:rPr>
          <w:color w:val="auto"/>
          <w:highlight w:val="none"/>
        </w:rPr>
      </w:pPr>
    </w:p>
    <w:p w14:paraId="661AF382">
      <w:pPr>
        <w:spacing w:before="78" w:line="289" w:lineRule="auto"/>
        <w:ind w:right="1" w:firstLine="494"/>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 xml:space="preserve">1.  </w:t>
      </w:r>
      <w:r>
        <w:rPr>
          <w:rFonts w:ascii="宋体" w:hAnsi="宋体" w:eastAsia="宋体" w:cs="宋体"/>
          <w:color w:val="auto"/>
          <w:spacing w:val="2"/>
          <w:sz w:val="24"/>
          <w:szCs w:val="24"/>
          <w:highlight w:val="none"/>
        </w:rPr>
        <w:t>投标人应递交施工进度表，说明按招标文</w:t>
      </w:r>
      <w:r>
        <w:rPr>
          <w:rFonts w:ascii="宋体" w:hAnsi="宋体" w:eastAsia="宋体" w:cs="宋体"/>
          <w:color w:val="auto"/>
          <w:spacing w:val="1"/>
          <w:sz w:val="24"/>
          <w:szCs w:val="24"/>
          <w:highlight w:val="none"/>
        </w:rPr>
        <w:t>件要求的计划工期进行施工的各个</w:t>
      </w:r>
      <w:r>
        <w:rPr>
          <w:rFonts w:ascii="宋体" w:hAnsi="宋体" w:eastAsia="宋体" w:cs="宋体"/>
          <w:color w:val="auto"/>
          <w:sz w:val="24"/>
          <w:szCs w:val="24"/>
          <w:highlight w:val="none"/>
        </w:rPr>
        <w:t xml:space="preserve"> </w:t>
      </w:r>
      <w:r>
        <w:rPr>
          <w:rFonts w:ascii="宋体" w:hAnsi="宋体" w:eastAsia="宋体" w:cs="宋体"/>
          <w:color w:val="auto"/>
          <w:spacing w:val="-8"/>
          <w:sz w:val="24"/>
          <w:szCs w:val="24"/>
          <w:highlight w:val="none"/>
        </w:rPr>
        <w:t>关键日期。</w:t>
      </w:r>
    </w:p>
    <w:p w14:paraId="3435159C">
      <w:pPr>
        <w:spacing w:before="181" w:line="219" w:lineRule="auto"/>
        <w:ind w:left="471"/>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 xml:space="preserve">2.  </w:t>
      </w:r>
      <w:r>
        <w:rPr>
          <w:rFonts w:ascii="宋体" w:hAnsi="宋体" w:eastAsia="宋体" w:cs="宋体"/>
          <w:color w:val="auto"/>
          <w:spacing w:val="-2"/>
          <w:sz w:val="24"/>
          <w:szCs w:val="24"/>
          <w:highlight w:val="none"/>
        </w:rPr>
        <w:t>施工进度表可采用网络图（或横道图）表示。</w:t>
      </w:r>
    </w:p>
    <w:p w14:paraId="57DA00D8">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211A7B45">
      <w:pPr>
        <w:spacing w:before="47" w:line="219" w:lineRule="auto"/>
        <w:ind w:left="15"/>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附件五：</w:t>
      </w:r>
    </w:p>
    <w:p w14:paraId="35F584CF">
      <w:pPr>
        <w:spacing w:before="183" w:line="221" w:lineRule="auto"/>
        <w:ind w:left="3668"/>
        <w:rPr>
          <w:rFonts w:ascii="宋体" w:hAnsi="宋体" w:eastAsia="宋体" w:cs="宋体"/>
          <w:color w:val="auto"/>
          <w:sz w:val="24"/>
          <w:szCs w:val="24"/>
          <w:highlight w:val="none"/>
        </w:rPr>
      </w:pPr>
      <w:r>
        <w:rPr>
          <w:rFonts w:ascii="宋体" w:hAnsi="宋体" w:eastAsia="宋体" w:cs="宋体"/>
          <w:b/>
          <w:bCs/>
          <w:color w:val="auto"/>
          <w:spacing w:val="-4"/>
          <w:sz w:val="24"/>
          <w:szCs w:val="24"/>
          <w:highlight w:val="none"/>
        </w:rPr>
        <w:t>施工总平面图</w:t>
      </w:r>
    </w:p>
    <w:p w14:paraId="75AE1EA2">
      <w:pPr>
        <w:spacing w:before="178" w:line="350" w:lineRule="auto"/>
        <w:ind w:firstLine="480"/>
        <w:jc w:val="both"/>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投标人应递交一份施工总平面图，绘出现场临时设施布置图及表并附文字</w:t>
      </w:r>
      <w:r>
        <w:rPr>
          <w:rFonts w:ascii="宋体" w:hAnsi="宋体" w:eastAsia="宋体" w:cs="宋体"/>
          <w:color w:val="auto"/>
          <w:spacing w:val="-2"/>
          <w:sz w:val="24"/>
          <w:szCs w:val="24"/>
          <w:highlight w:val="none"/>
        </w:rPr>
        <w:t>说明，</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说明临时设施、加工车间、现场办公、设备及仓储、供电、供水、卫生、生活、道路、</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消防等设施的情况和布置。</w:t>
      </w:r>
    </w:p>
    <w:p w14:paraId="27C9C32F">
      <w:pPr>
        <w:spacing w:line="35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F653CCC">
      <w:pPr>
        <w:spacing w:before="47" w:line="219" w:lineRule="auto"/>
        <w:ind w:left="28"/>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附件六：</w:t>
      </w:r>
    </w:p>
    <w:p w14:paraId="58A0DA96">
      <w:pPr>
        <w:spacing w:before="182" w:line="220" w:lineRule="auto"/>
        <w:ind w:left="3814"/>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临时用地表</w:t>
      </w:r>
    </w:p>
    <w:p w14:paraId="794DEFFD">
      <w:pPr>
        <w:spacing w:line="144" w:lineRule="exact"/>
        <w:rPr>
          <w:color w:val="auto"/>
          <w:highlight w:val="none"/>
        </w:rPr>
      </w:pPr>
    </w:p>
    <w:tbl>
      <w:tblPr>
        <w:tblStyle w:val="32"/>
        <w:tblW w:w="890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93"/>
        <w:gridCol w:w="2211"/>
        <w:gridCol w:w="2358"/>
        <w:gridCol w:w="2039"/>
      </w:tblGrid>
      <w:tr w14:paraId="2F3371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2293" w:type="dxa"/>
            <w:tcBorders>
              <w:top w:val="single" w:color="000000" w:sz="6" w:space="0"/>
              <w:left w:val="single" w:color="000000" w:sz="6" w:space="0"/>
            </w:tcBorders>
            <w:vAlign w:val="top"/>
          </w:tcPr>
          <w:p w14:paraId="5023187D">
            <w:pPr>
              <w:pStyle w:val="33"/>
              <w:spacing w:before="107" w:line="221" w:lineRule="auto"/>
              <w:ind w:left="728"/>
              <w:rPr>
                <w:color w:val="auto"/>
                <w:sz w:val="24"/>
                <w:szCs w:val="24"/>
                <w:highlight w:val="none"/>
              </w:rPr>
            </w:pPr>
            <w:r>
              <w:rPr>
                <w:color w:val="auto"/>
                <w:spacing w:val="-6"/>
                <w:sz w:val="24"/>
                <w:szCs w:val="24"/>
                <w:highlight w:val="none"/>
              </w:rPr>
              <w:t>用</w:t>
            </w:r>
            <w:r>
              <w:rPr>
                <w:color w:val="auto"/>
                <w:spacing w:val="3"/>
                <w:sz w:val="24"/>
                <w:szCs w:val="24"/>
                <w:highlight w:val="none"/>
              </w:rPr>
              <w:t xml:space="preserve">   </w:t>
            </w:r>
            <w:r>
              <w:rPr>
                <w:color w:val="auto"/>
                <w:spacing w:val="-6"/>
                <w:sz w:val="24"/>
                <w:szCs w:val="24"/>
                <w:highlight w:val="none"/>
              </w:rPr>
              <w:t>途</w:t>
            </w:r>
          </w:p>
        </w:tc>
        <w:tc>
          <w:tcPr>
            <w:tcW w:w="2211" w:type="dxa"/>
            <w:tcBorders>
              <w:top w:val="single" w:color="000000" w:sz="6" w:space="0"/>
            </w:tcBorders>
            <w:vAlign w:val="top"/>
          </w:tcPr>
          <w:p w14:paraId="2FFD367F">
            <w:pPr>
              <w:pStyle w:val="33"/>
              <w:spacing w:before="107" w:line="220" w:lineRule="auto"/>
              <w:ind w:left="496"/>
              <w:rPr>
                <w:color w:val="auto"/>
                <w:sz w:val="24"/>
                <w:szCs w:val="24"/>
                <w:highlight w:val="none"/>
              </w:rPr>
            </w:pPr>
            <w:r>
              <w:rPr>
                <w:color w:val="auto"/>
                <w:spacing w:val="-2"/>
                <w:sz w:val="24"/>
                <w:szCs w:val="24"/>
                <w:highlight w:val="none"/>
              </w:rPr>
              <w:t>面积（</w:t>
            </w:r>
            <w:r>
              <w:rPr>
                <w:rFonts w:ascii="Times New Roman" w:hAnsi="Times New Roman" w:eastAsia="Times New Roman" w:cs="Times New Roman"/>
                <w:color w:val="auto"/>
                <w:spacing w:val="-2"/>
                <w:sz w:val="24"/>
                <w:szCs w:val="24"/>
                <w:highlight w:val="none"/>
              </w:rPr>
              <w:t>m</w:t>
            </w:r>
            <w:r>
              <w:rPr>
                <w:rFonts w:ascii="Times New Roman" w:hAnsi="Times New Roman" w:eastAsia="Times New Roman" w:cs="Times New Roman"/>
                <w:color w:val="auto"/>
                <w:spacing w:val="-2"/>
                <w:position w:val="8"/>
                <w:sz w:val="16"/>
                <w:szCs w:val="16"/>
                <w:highlight w:val="none"/>
              </w:rPr>
              <w:t>2</w:t>
            </w:r>
            <w:r>
              <w:rPr>
                <w:color w:val="auto"/>
                <w:spacing w:val="-2"/>
                <w:sz w:val="24"/>
                <w:szCs w:val="24"/>
                <w:highlight w:val="none"/>
              </w:rPr>
              <w:t>）</w:t>
            </w:r>
          </w:p>
        </w:tc>
        <w:tc>
          <w:tcPr>
            <w:tcW w:w="2358" w:type="dxa"/>
            <w:tcBorders>
              <w:top w:val="single" w:color="000000" w:sz="6" w:space="0"/>
            </w:tcBorders>
            <w:vAlign w:val="top"/>
          </w:tcPr>
          <w:p w14:paraId="04079373">
            <w:pPr>
              <w:pStyle w:val="33"/>
              <w:spacing w:before="107" w:line="221" w:lineRule="auto"/>
              <w:ind w:left="765"/>
              <w:rPr>
                <w:color w:val="auto"/>
                <w:sz w:val="24"/>
                <w:szCs w:val="24"/>
                <w:highlight w:val="none"/>
              </w:rPr>
            </w:pPr>
            <w:r>
              <w:rPr>
                <w:color w:val="auto"/>
                <w:spacing w:val="-5"/>
                <w:sz w:val="24"/>
                <w:szCs w:val="24"/>
                <w:highlight w:val="none"/>
              </w:rPr>
              <w:t>位</w:t>
            </w:r>
            <w:r>
              <w:rPr>
                <w:color w:val="auto"/>
                <w:spacing w:val="2"/>
                <w:sz w:val="24"/>
                <w:szCs w:val="24"/>
                <w:highlight w:val="none"/>
              </w:rPr>
              <w:t xml:space="preserve">   </w:t>
            </w:r>
            <w:r>
              <w:rPr>
                <w:color w:val="auto"/>
                <w:spacing w:val="-5"/>
                <w:sz w:val="24"/>
                <w:szCs w:val="24"/>
                <w:highlight w:val="none"/>
              </w:rPr>
              <w:t>置</w:t>
            </w:r>
          </w:p>
        </w:tc>
        <w:tc>
          <w:tcPr>
            <w:tcW w:w="2039" w:type="dxa"/>
            <w:tcBorders>
              <w:top w:val="single" w:color="000000" w:sz="6" w:space="0"/>
              <w:right w:val="single" w:color="000000" w:sz="6" w:space="0"/>
            </w:tcBorders>
            <w:vAlign w:val="top"/>
          </w:tcPr>
          <w:p w14:paraId="3E5FD501">
            <w:pPr>
              <w:pStyle w:val="33"/>
              <w:spacing w:before="107" w:line="220" w:lineRule="auto"/>
              <w:ind w:left="559"/>
              <w:rPr>
                <w:color w:val="auto"/>
                <w:sz w:val="24"/>
                <w:szCs w:val="24"/>
                <w:highlight w:val="none"/>
              </w:rPr>
            </w:pPr>
            <w:r>
              <w:rPr>
                <w:color w:val="auto"/>
                <w:spacing w:val="-5"/>
                <w:sz w:val="24"/>
                <w:szCs w:val="24"/>
                <w:highlight w:val="none"/>
              </w:rPr>
              <w:t>需用时间</w:t>
            </w:r>
          </w:p>
        </w:tc>
      </w:tr>
      <w:tr w14:paraId="0B624C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2293" w:type="dxa"/>
            <w:tcBorders>
              <w:left w:val="single" w:color="000000" w:sz="6" w:space="0"/>
            </w:tcBorders>
            <w:vAlign w:val="top"/>
          </w:tcPr>
          <w:p w14:paraId="0DC1013D">
            <w:pPr>
              <w:rPr>
                <w:rFonts w:ascii="Arial"/>
                <w:color w:val="auto"/>
                <w:sz w:val="21"/>
                <w:highlight w:val="none"/>
              </w:rPr>
            </w:pPr>
          </w:p>
        </w:tc>
        <w:tc>
          <w:tcPr>
            <w:tcW w:w="2211" w:type="dxa"/>
            <w:vAlign w:val="top"/>
          </w:tcPr>
          <w:p w14:paraId="114EEB19">
            <w:pPr>
              <w:rPr>
                <w:rFonts w:ascii="Arial"/>
                <w:color w:val="auto"/>
                <w:sz w:val="21"/>
                <w:highlight w:val="none"/>
              </w:rPr>
            </w:pPr>
          </w:p>
        </w:tc>
        <w:tc>
          <w:tcPr>
            <w:tcW w:w="2358" w:type="dxa"/>
            <w:vAlign w:val="top"/>
          </w:tcPr>
          <w:p w14:paraId="2029794E">
            <w:pPr>
              <w:rPr>
                <w:rFonts w:ascii="Arial"/>
                <w:color w:val="auto"/>
                <w:sz w:val="21"/>
                <w:highlight w:val="none"/>
              </w:rPr>
            </w:pPr>
          </w:p>
        </w:tc>
        <w:tc>
          <w:tcPr>
            <w:tcW w:w="2039" w:type="dxa"/>
            <w:tcBorders>
              <w:right w:val="single" w:color="000000" w:sz="6" w:space="0"/>
            </w:tcBorders>
            <w:vAlign w:val="top"/>
          </w:tcPr>
          <w:p w14:paraId="0C9370CE">
            <w:pPr>
              <w:rPr>
                <w:rFonts w:ascii="Arial"/>
                <w:color w:val="auto"/>
                <w:sz w:val="21"/>
                <w:highlight w:val="none"/>
              </w:rPr>
            </w:pPr>
          </w:p>
        </w:tc>
      </w:tr>
      <w:tr w14:paraId="60B899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3E09CDD0">
            <w:pPr>
              <w:rPr>
                <w:rFonts w:ascii="Arial"/>
                <w:color w:val="auto"/>
                <w:sz w:val="21"/>
                <w:highlight w:val="none"/>
              </w:rPr>
            </w:pPr>
          </w:p>
        </w:tc>
        <w:tc>
          <w:tcPr>
            <w:tcW w:w="2211" w:type="dxa"/>
            <w:vAlign w:val="top"/>
          </w:tcPr>
          <w:p w14:paraId="48EAB450">
            <w:pPr>
              <w:rPr>
                <w:rFonts w:ascii="Arial"/>
                <w:color w:val="auto"/>
                <w:sz w:val="21"/>
                <w:highlight w:val="none"/>
              </w:rPr>
            </w:pPr>
          </w:p>
        </w:tc>
        <w:tc>
          <w:tcPr>
            <w:tcW w:w="2358" w:type="dxa"/>
            <w:vAlign w:val="top"/>
          </w:tcPr>
          <w:p w14:paraId="7D11FC9C">
            <w:pPr>
              <w:rPr>
                <w:rFonts w:ascii="Arial"/>
                <w:color w:val="auto"/>
                <w:sz w:val="21"/>
                <w:highlight w:val="none"/>
              </w:rPr>
            </w:pPr>
          </w:p>
        </w:tc>
        <w:tc>
          <w:tcPr>
            <w:tcW w:w="2039" w:type="dxa"/>
            <w:tcBorders>
              <w:right w:val="single" w:color="000000" w:sz="6" w:space="0"/>
            </w:tcBorders>
            <w:vAlign w:val="top"/>
          </w:tcPr>
          <w:p w14:paraId="4B78FFAF">
            <w:pPr>
              <w:rPr>
                <w:rFonts w:ascii="Arial"/>
                <w:color w:val="auto"/>
                <w:sz w:val="21"/>
                <w:highlight w:val="none"/>
              </w:rPr>
            </w:pPr>
          </w:p>
        </w:tc>
      </w:tr>
      <w:tr w14:paraId="7B60F3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29496B13">
            <w:pPr>
              <w:rPr>
                <w:rFonts w:ascii="Arial"/>
                <w:color w:val="auto"/>
                <w:sz w:val="21"/>
                <w:highlight w:val="none"/>
              </w:rPr>
            </w:pPr>
          </w:p>
        </w:tc>
        <w:tc>
          <w:tcPr>
            <w:tcW w:w="2211" w:type="dxa"/>
            <w:vAlign w:val="top"/>
          </w:tcPr>
          <w:p w14:paraId="2A7A106A">
            <w:pPr>
              <w:rPr>
                <w:rFonts w:ascii="Arial"/>
                <w:color w:val="auto"/>
                <w:sz w:val="21"/>
                <w:highlight w:val="none"/>
              </w:rPr>
            </w:pPr>
          </w:p>
        </w:tc>
        <w:tc>
          <w:tcPr>
            <w:tcW w:w="2358" w:type="dxa"/>
            <w:vAlign w:val="top"/>
          </w:tcPr>
          <w:p w14:paraId="79931C80">
            <w:pPr>
              <w:rPr>
                <w:rFonts w:ascii="Arial"/>
                <w:color w:val="auto"/>
                <w:sz w:val="21"/>
                <w:highlight w:val="none"/>
              </w:rPr>
            </w:pPr>
          </w:p>
        </w:tc>
        <w:tc>
          <w:tcPr>
            <w:tcW w:w="2039" w:type="dxa"/>
            <w:tcBorders>
              <w:right w:val="single" w:color="000000" w:sz="6" w:space="0"/>
            </w:tcBorders>
            <w:vAlign w:val="top"/>
          </w:tcPr>
          <w:p w14:paraId="42FC9366">
            <w:pPr>
              <w:rPr>
                <w:rFonts w:ascii="Arial"/>
                <w:color w:val="auto"/>
                <w:sz w:val="21"/>
                <w:highlight w:val="none"/>
              </w:rPr>
            </w:pPr>
          </w:p>
        </w:tc>
      </w:tr>
      <w:tr w14:paraId="77C7137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34264C41">
            <w:pPr>
              <w:rPr>
                <w:rFonts w:ascii="Arial"/>
                <w:color w:val="auto"/>
                <w:sz w:val="21"/>
                <w:highlight w:val="none"/>
              </w:rPr>
            </w:pPr>
          </w:p>
        </w:tc>
        <w:tc>
          <w:tcPr>
            <w:tcW w:w="2211" w:type="dxa"/>
            <w:vAlign w:val="top"/>
          </w:tcPr>
          <w:p w14:paraId="5BCD772C">
            <w:pPr>
              <w:rPr>
                <w:rFonts w:ascii="Arial"/>
                <w:color w:val="auto"/>
                <w:sz w:val="21"/>
                <w:highlight w:val="none"/>
              </w:rPr>
            </w:pPr>
          </w:p>
        </w:tc>
        <w:tc>
          <w:tcPr>
            <w:tcW w:w="2358" w:type="dxa"/>
            <w:vAlign w:val="top"/>
          </w:tcPr>
          <w:p w14:paraId="7D21FF86">
            <w:pPr>
              <w:rPr>
                <w:rFonts w:ascii="Arial"/>
                <w:color w:val="auto"/>
                <w:sz w:val="21"/>
                <w:highlight w:val="none"/>
              </w:rPr>
            </w:pPr>
          </w:p>
        </w:tc>
        <w:tc>
          <w:tcPr>
            <w:tcW w:w="2039" w:type="dxa"/>
            <w:tcBorders>
              <w:right w:val="single" w:color="000000" w:sz="6" w:space="0"/>
            </w:tcBorders>
            <w:vAlign w:val="top"/>
          </w:tcPr>
          <w:p w14:paraId="64BEA977">
            <w:pPr>
              <w:rPr>
                <w:rFonts w:ascii="Arial"/>
                <w:color w:val="auto"/>
                <w:sz w:val="21"/>
                <w:highlight w:val="none"/>
              </w:rPr>
            </w:pPr>
          </w:p>
        </w:tc>
      </w:tr>
      <w:tr w14:paraId="70A825B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3" w:hRule="atLeast"/>
        </w:trPr>
        <w:tc>
          <w:tcPr>
            <w:tcW w:w="2293" w:type="dxa"/>
            <w:tcBorders>
              <w:left w:val="single" w:color="000000" w:sz="6" w:space="0"/>
            </w:tcBorders>
            <w:vAlign w:val="top"/>
          </w:tcPr>
          <w:p w14:paraId="10B8019C">
            <w:pPr>
              <w:rPr>
                <w:rFonts w:ascii="Arial"/>
                <w:color w:val="auto"/>
                <w:sz w:val="21"/>
                <w:highlight w:val="none"/>
              </w:rPr>
            </w:pPr>
          </w:p>
        </w:tc>
        <w:tc>
          <w:tcPr>
            <w:tcW w:w="2211" w:type="dxa"/>
            <w:vAlign w:val="top"/>
          </w:tcPr>
          <w:p w14:paraId="49951B0A">
            <w:pPr>
              <w:rPr>
                <w:rFonts w:ascii="Arial"/>
                <w:color w:val="auto"/>
                <w:sz w:val="21"/>
                <w:highlight w:val="none"/>
              </w:rPr>
            </w:pPr>
          </w:p>
        </w:tc>
        <w:tc>
          <w:tcPr>
            <w:tcW w:w="2358" w:type="dxa"/>
            <w:vAlign w:val="top"/>
          </w:tcPr>
          <w:p w14:paraId="206EAFA0">
            <w:pPr>
              <w:rPr>
                <w:rFonts w:ascii="Arial"/>
                <w:color w:val="auto"/>
                <w:sz w:val="21"/>
                <w:highlight w:val="none"/>
              </w:rPr>
            </w:pPr>
          </w:p>
        </w:tc>
        <w:tc>
          <w:tcPr>
            <w:tcW w:w="2039" w:type="dxa"/>
            <w:tcBorders>
              <w:right w:val="single" w:color="000000" w:sz="6" w:space="0"/>
            </w:tcBorders>
            <w:vAlign w:val="top"/>
          </w:tcPr>
          <w:p w14:paraId="65A8C60D">
            <w:pPr>
              <w:rPr>
                <w:rFonts w:ascii="Arial"/>
                <w:color w:val="auto"/>
                <w:sz w:val="21"/>
                <w:highlight w:val="none"/>
              </w:rPr>
            </w:pPr>
          </w:p>
        </w:tc>
      </w:tr>
      <w:tr w14:paraId="5D1BD8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036CBADE">
            <w:pPr>
              <w:rPr>
                <w:rFonts w:ascii="Arial"/>
                <w:color w:val="auto"/>
                <w:sz w:val="21"/>
                <w:highlight w:val="none"/>
              </w:rPr>
            </w:pPr>
          </w:p>
        </w:tc>
        <w:tc>
          <w:tcPr>
            <w:tcW w:w="2211" w:type="dxa"/>
            <w:vAlign w:val="top"/>
          </w:tcPr>
          <w:p w14:paraId="25424798">
            <w:pPr>
              <w:rPr>
                <w:rFonts w:ascii="Arial"/>
                <w:color w:val="auto"/>
                <w:sz w:val="21"/>
                <w:highlight w:val="none"/>
              </w:rPr>
            </w:pPr>
          </w:p>
        </w:tc>
        <w:tc>
          <w:tcPr>
            <w:tcW w:w="2358" w:type="dxa"/>
            <w:vAlign w:val="top"/>
          </w:tcPr>
          <w:p w14:paraId="0923C437">
            <w:pPr>
              <w:rPr>
                <w:rFonts w:ascii="Arial"/>
                <w:color w:val="auto"/>
                <w:sz w:val="21"/>
                <w:highlight w:val="none"/>
              </w:rPr>
            </w:pPr>
          </w:p>
        </w:tc>
        <w:tc>
          <w:tcPr>
            <w:tcW w:w="2039" w:type="dxa"/>
            <w:tcBorders>
              <w:right w:val="single" w:color="000000" w:sz="6" w:space="0"/>
            </w:tcBorders>
            <w:vAlign w:val="top"/>
          </w:tcPr>
          <w:p w14:paraId="36DBF7BC">
            <w:pPr>
              <w:rPr>
                <w:rFonts w:ascii="Arial"/>
                <w:color w:val="auto"/>
                <w:sz w:val="21"/>
                <w:highlight w:val="none"/>
              </w:rPr>
            </w:pPr>
          </w:p>
        </w:tc>
      </w:tr>
      <w:tr w14:paraId="62E70DF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2293" w:type="dxa"/>
            <w:tcBorders>
              <w:left w:val="single" w:color="000000" w:sz="6" w:space="0"/>
            </w:tcBorders>
            <w:vAlign w:val="top"/>
          </w:tcPr>
          <w:p w14:paraId="13EBF7DB">
            <w:pPr>
              <w:rPr>
                <w:rFonts w:ascii="Arial"/>
                <w:color w:val="auto"/>
                <w:sz w:val="21"/>
                <w:highlight w:val="none"/>
              </w:rPr>
            </w:pPr>
          </w:p>
        </w:tc>
        <w:tc>
          <w:tcPr>
            <w:tcW w:w="2211" w:type="dxa"/>
            <w:vAlign w:val="top"/>
          </w:tcPr>
          <w:p w14:paraId="40F6CB80">
            <w:pPr>
              <w:rPr>
                <w:rFonts w:ascii="Arial"/>
                <w:color w:val="auto"/>
                <w:sz w:val="21"/>
                <w:highlight w:val="none"/>
              </w:rPr>
            </w:pPr>
          </w:p>
        </w:tc>
        <w:tc>
          <w:tcPr>
            <w:tcW w:w="2358" w:type="dxa"/>
            <w:vAlign w:val="top"/>
          </w:tcPr>
          <w:p w14:paraId="21707B6A">
            <w:pPr>
              <w:rPr>
                <w:rFonts w:ascii="Arial"/>
                <w:color w:val="auto"/>
                <w:sz w:val="21"/>
                <w:highlight w:val="none"/>
              </w:rPr>
            </w:pPr>
          </w:p>
        </w:tc>
        <w:tc>
          <w:tcPr>
            <w:tcW w:w="2039" w:type="dxa"/>
            <w:tcBorders>
              <w:right w:val="single" w:color="000000" w:sz="6" w:space="0"/>
            </w:tcBorders>
            <w:vAlign w:val="top"/>
          </w:tcPr>
          <w:p w14:paraId="43E76CA3">
            <w:pPr>
              <w:rPr>
                <w:rFonts w:ascii="Arial"/>
                <w:color w:val="auto"/>
                <w:sz w:val="21"/>
                <w:highlight w:val="none"/>
              </w:rPr>
            </w:pPr>
          </w:p>
        </w:tc>
      </w:tr>
      <w:tr w14:paraId="227446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7CDD287C">
            <w:pPr>
              <w:rPr>
                <w:rFonts w:ascii="Arial"/>
                <w:color w:val="auto"/>
                <w:sz w:val="21"/>
                <w:highlight w:val="none"/>
              </w:rPr>
            </w:pPr>
          </w:p>
        </w:tc>
        <w:tc>
          <w:tcPr>
            <w:tcW w:w="2211" w:type="dxa"/>
            <w:vAlign w:val="top"/>
          </w:tcPr>
          <w:p w14:paraId="158E9862">
            <w:pPr>
              <w:rPr>
                <w:rFonts w:ascii="Arial"/>
                <w:color w:val="auto"/>
                <w:sz w:val="21"/>
                <w:highlight w:val="none"/>
              </w:rPr>
            </w:pPr>
          </w:p>
        </w:tc>
        <w:tc>
          <w:tcPr>
            <w:tcW w:w="2358" w:type="dxa"/>
            <w:vAlign w:val="top"/>
          </w:tcPr>
          <w:p w14:paraId="4BBC641C">
            <w:pPr>
              <w:rPr>
                <w:rFonts w:ascii="Arial"/>
                <w:color w:val="auto"/>
                <w:sz w:val="21"/>
                <w:highlight w:val="none"/>
              </w:rPr>
            </w:pPr>
          </w:p>
        </w:tc>
        <w:tc>
          <w:tcPr>
            <w:tcW w:w="2039" w:type="dxa"/>
            <w:tcBorders>
              <w:right w:val="single" w:color="000000" w:sz="6" w:space="0"/>
            </w:tcBorders>
            <w:vAlign w:val="top"/>
          </w:tcPr>
          <w:p w14:paraId="322BA4BE">
            <w:pPr>
              <w:rPr>
                <w:rFonts w:ascii="Arial"/>
                <w:color w:val="auto"/>
                <w:sz w:val="21"/>
                <w:highlight w:val="none"/>
              </w:rPr>
            </w:pPr>
          </w:p>
        </w:tc>
      </w:tr>
      <w:tr w14:paraId="3F5FE74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1A2FFE47">
            <w:pPr>
              <w:rPr>
                <w:rFonts w:ascii="Arial"/>
                <w:color w:val="auto"/>
                <w:sz w:val="21"/>
                <w:highlight w:val="none"/>
              </w:rPr>
            </w:pPr>
          </w:p>
        </w:tc>
        <w:tc>
          <w:tcPr>
            <w:tcW w:w="2211" w:type="dxa"/>
            <w:vAlign w:val="top"/>
          </w:tcPr>
          <w:p w14:paraId="6B9B9D00">
            <w:pPr>
              <w:rPr>
                <w:rFonts w:ascii="Arial"/>
                <w:color w:val="auto"/>
                <w:sz w:val="21"/>
                <w:highlight w:val="none"/>
              </w:rPr>
            </w:pPr>
          </w:p>
        </w:tc>
        <w:tc>
          <w:tcPr>
            <w:tcW w:w="2358" w:type="dxa"/>
            <w:vAlign w:val="top"/>
          </w:tcPr>
          <w:p w14:paraId="7175C195">
            <w:pPr>
              <w:rPr>
                <w:rFonts w:ascii="Arial"/>
                <w:color w:val="auto"/>
                <w:sz w:val="21"/>
                <w:highlight w:val="none"/>
              </w:rPr>
            </w:pPr>
          </w:p>
        </w:tc>
        <w:tc>
          <w:tcPr>
            <w:tcW w:w="2039" w:type="dxa"/>
            <w:tcBorders>
              <w:right w:val="single" w:color="000000" w:sz="6" w:space="0"/>
            </w:tcBorders>
            <w:vAlign w:val="top"/>
          </w:tcPr>
          <w:p w14:paraId="7BBF9A9E">
            <w:pPr>
              <w:rPr>
                <w:rFonts w:ascii="Arial"/>
                <w:color w:val="auto"/>
                <w:sz w:val="21"/>
                <w:highlight w:val="none"/>
              </w:rPr>
            </w:pPr>
          </w:p>
        </w:tc>
      </w:tr>
      <w:tr w14:paraId="444E2D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11E9DFB2">
            <w:pPr>
              <w:rPr>
                <w:rFonts w:ascii="Arial"/>
                <w:color w:val="auto"/>
                <w:sz w:val="21"/>
                <w:highlight w:val="none"/>
              </w:rPr>
            </w:pPr>
          </w:p>
        </w:tc>
        <w:tc>
          <w:tcPr>
            <w:tcW w:w="2211" w:type="dxa"/>
            <w:vAlign w:val="top"/>
          </w:tcPr>
          <w:p w14:paraId="4989FE39">
            <w:pPr>
              <w:rPr>
                <w:rFonts w:ascii="Arial"/>
                <w:color w:val="auto"/>
                <w:sz w:val="21"/>
                <w:highlight w:val="none"/>
              </w:rPr>
            </w:pPr>
          </w:p>
        </w:tc>
        <w:tc>
          <w:tcPr>
            <w:tcW w:w="2358" w:type="dxa"/>
            <w:vAlign w:val="top"/>
          </w:tcPr>
          <w:p w14:paraId="7224F365">
            <w:pPr>
              <w:rPr>
                <w:rFonts w:ascii="Arial"/>
                <w:color w:val="auto"/>
                <w:sz w:val="21"/>
                <w:highlight w:val="none"/>
              </w:rPr>
            </w:pPr>
          </w:p>
        </w:tc>
        <w:tc>
          <w:tcPr>
            <w:tcW w:w="2039" w:type="dxa"/>
            <w:tcBorders>
              <w:right w:val="single" w:color="000000" w:sz="6" w:space="0"/>
            </w:tcBorders>
            <w:vAlign w:val="top"/>
          </w:tcPr>
          <w:p w14:paraId="7912759B">
            <w:pPr>
              <w:rPr>
                <w:rFonts w:ascii="Arial"/>
                <w:color w:val="auto"/>
                <w:sz w:val="21"/>
                <w:highlight w:val="none"/>
              </w:rPr>
            </w:pPr>
          </w:p>
        </w:tc>
      </w:tr>
      <w:tr w14:paraId="65C138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72FDBB92">
            <w:pPr>
              <w:rPr>
                <w:rFonts w:ascii="Arial"/>
                <w:color w:val="auto"/>
                <w:sz w:val="21"/>
                <w:highlight w:val="none"/>
              </w:rPr>
            </w:pPr>
          </w:p>
        </w:tc>
        <w:tc>
          <w:tcPr>
            <w:tcW w:w="2211" w:type="dxa"/>
            <w:vAlign w:val="top"/>
          </w:tcPr>
          <w:p w14:paraId="5C46C887">
            <w:pPr>
              <w:rPr>
                <w:rFonts w:ascii="Arial"/>
                <w:color w:val="auto"/>
                <w:sz w:val="21"/>
                <w:highlight w:val="none"/>
              </w:rPr>
            </w:pPr>
          </w:p>
        </w:tc>
        <w:tc>
          <w:tcPr>
            <w:tcW w:w="2358" w:type="dxa"/>
            <w:vAlign w:val="top"/>
          </w:tcPr>
          <w:p w14:paraId="7F229ACA">
            <w:pPr>
              <w:rPr>
                <w:rFonts w:ascii="Arial"/>
                <w:color w:val="auto"/>
                <w:sz w:val="21"/>
                <w:highlight w:val="none"/>
              </w:rPr>
            </w:pPr>
          </w:p>
        </w:tc>
        <w:tc>
          <w:tcPr>
            <w:tcW w:w="2039" w:type="dxa"/>
            <w:tcBorders>
              <w:right w:val="single" w:color="000000" w:sz="6" w:space="0"/>
            </w:tcBorders>
            <w:vAlign w:val="top"/>
          </w:tcPr>
          <w:p w14:paraId="0A2593F6">
            <w:pPr>
              <w:rPr>
                <w:rFonts w:ascii="Arial"/>
                <w:color w:val="auto"/>
                <w:sz w:val="21"/>
                <w:highlight w:val="none"/>
              </w:rPr>
            </w:pPr>
          </w:p>
        </w:tc>
      </w:tr>
      <w:tr w14:paraId="150A76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2B696CC8">
            <w:pPr>
              <w:rPr>
                <w:rFonts w:ascii="Arial"/>
                <w:color w:val="auto"/>
                <w:sz w:val="21"/>
                <w:highlight w:val="none"/>
              </w:rPr>
            </w:pPr>
          </w:p>
        </w:tc>
        <w:tc>
          <w:tcPr>
            <w:tcW w:w="2211" w:type="dxa"/>
            <w:vAlign w:val="top"/>
          </w:tcPr>
          <w:p w14:paraId="228FE072">
            <w:pPr>
              <w:rPr>
                <w:rFonts w:ascii="Arial"/>
                <w:color w:val="auto"/>
                <w:sz w:val="21"/>
                <w:highlight w:val="none"/>
              </w:rPr>
            </w:pPr>
          </w:p>
        </w:tc>
        <w:tc>
          <w:tcPr>
            <w:tcW w:w="2358" w:type="dxa"/>
            <w:vAlign w:val="top"/>
          </w:tcPr>
          <w:p w14:paraId="7F98EA9A">
            <w:pPr>
              <w:rPr>
                <w:rFonts w:ascii="Arial"/>
                <w:color w:val="auto"/>
                <w:sz w:val="21"/>
                <w:highlight w:val="none"/>
              </w:rPr>
            </w:pPr>
          </w:p>
        </w:tc>
        <w:tc>
          <w:tcPr>
            <w:tcW w:w="2039" w:type="dxa"/>
            <w:tcBorders>
              <w:right w:val="single" w:color="000000" w:sz="6" w:space="0"/>
            </w:tcBorders>
            <w:vAlign w:val="top"/>
          </w:tcPr>
          <w:p w14:paraId="1DA546BC">
            <w:pPr>
              <w:rPr>
                <w:rFonts w:ascii="Arial"/>
                <w:color w:val="auto"/>
                <w:sz w:val="21"/>
                <w:highlight w:val="none"/>
              </w:rPr>
            </w:pPr>
          </w:p>
        </w:tc>
      </w:tr>
      <w:tr w14:paraId="47BD7CD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2293" w:type="dxa"/>
            <w:tcBorders>
              <w:left w:val="single" w:color="000000" w:sz="6" w:space="0"/>
            </w:tcBorders>
            <w:vAlign w:val="top"/>
          </w:tcPr>
          <w:p w14:paraId="63297CD8">
            <w:pPr>
              <w:rPr>
                <w:rFonts w:ascii="Arial"/>
                <w:color w:val="auto"/>
                <w:sz w:val="21"/>
                <w:highlight w:val="none"/>
              </w:rPr>
            </w:pPr>
          </w:p>
        </w:tc>
        <w:tc>
          <w:tcPr>
            <w:tcW w:w="2211" w:type="dxa"/>
            <w:vAlign w:val="top"/>
          </w:tcPr>
          <w:p w14:paraId="55657BB3">
            <w:pPr>
              <w:rPr>
                <w:rFonts w:ascii="Arial"/>
                <w:color w:val="auto"/>
                <w:sz w:val="21"/>
                <w:highlight w:val="none"/>
              </w:rPr>
            </w:pPr>
          </w:p>
        </w:tc>
        <w:tc>
          <w:tcPr>
            <w:tcW w:w="2358" w:type="dxa"/>
            <w:vAlign w:val="top"/>
          </w:tcPr>
          <w:p w14:paraId="09D5E23E">
            <w:pPr>
              <w:rPr>
                <w:rFonts w:ascii="Arial"/>
                <w:color w:val="auto"/>
                <w:sz w:val="21"/>
                <w:highlight w:val="none"/>
              </w:rPr>
            </w:pPr>
          </w:p>
        </w:tc>
        <w:tc>
          <w:tcPr>
            <w:tcW w:w="2039" w:type="dxa"/>
            <w:tcBorders>
              <w:right w:val="single" w:color="000000" w:sz="6" w:space="0"/>
            </w:tcBorders>
            <w:vAlign w:val="top"/>
          </w:tcPr>
          <w:p w14:paraId="6A813F8D">
            <w:pPr>
              <w:rPr>
                <w:rFonts w:ascii="Arial"/>
                <w:color w:val="auto"/>
                <w:sz w:val="21"/>
                <w:highlight w:val="none"/>
              </w:rPr>
            </w:pPr>
          </w:p>
        </w:tc>
      </w:tr>
      <w:tr w14:paraId="4199A4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22A955F5">
            <w:pPr>
              <w:rPr>
                <w:rFonts w:ascii="Arial"/>
                <w:color w:val="auto"/>
                <w:sz w:val="21"/>
                <w:highlight w:val="none"/>
              </w:rPr>
            </w:pPr>
          </w:p>
        </w:tc>
        <w:tc>
          <w:tcPr>
            <w:tcW w:w="2211" w:type="dxa"/>
            <w:vAlign w:val="top"/>
          </w:tcPr>
          <w:p w14:paraId="20E53BAB">
            <w:pPr>
              <w:rPr>
                <w:rFonts w:ascii="Arial"/>
                <w:color w:val="auto"/>
                <w:sz w:val="21"/>
                <w:highlight w:val="none"/>
              </w:rPr>
            </w:pPr>
          </w:p>
        </w:tc>
        <w:tc>
          <w:tcPr>
            <w:tcW w:w="2358" w:type="dxa"/>
            <w:vAlign w:val="top"/>
          </w:tcPr>
          <w:p w14:paraId="0916F218">
            <w:pPr>
              <w:rPr>
                <w:rFonts w:ascii="Arial"/>
                <w:color w:val="auto"/>
                <w:sz w:val="21"/>
                <w:highlight w:val="none"/>
              </w:rPr>
            </w:pPr>
          </w:p>
        </w:tc>
        <w:tc>
          <w:tcPr>
            <w:tcW w:w="2039" w:type="dxa"/>
            <w:tcBorders>
              <w:right w:val="single" w:color="000000" w:sz="6" w:space="0"/>
            </w:tcBorders>
            <w:vAlign w:val="top"/>
          </w:tcPr>
          <w:p w14:paraId="793A8726">
            <w:pPr>
              <w:rPr>
                <w:rFonts w:ascii="Arial"/>
                <w:color w:val="auto"/>
                <w:sz w:val="21"/>
                <w:highlight w:val="none"/>
              </w:rPr>
            </w:pPr>
          </w:p>
        </w:tc>
      </w:tr>
      <w:tr w14:paraId="29919A2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1051A09E">
            <w:pPr>
              <w:rPr>
                <w:rFonts w:ascii="Arial"/>
                <w:color w:val="auto"/>
                <w:sz w:val="21"/>
                <w:highlight w:val="none"/>
              </w:rPr>
            </w:pPr>
          </w:p>
        </w:tc>
        <w:tc>
          <w:tcPr>
            <w:tcW w:w="2211" w:type="dxa"/>
            <w:vAlign w:val="top"/>
          </w:tcPr>
          <w:p w14:paraId="179306DC">
            <w:pPr>
              <w:rPr>
                <w:rFonts w:ascii="Arial"/>
                <w:color w:val="auto"/>
                <w:sz w:val="21"/>
                <w:highlight w:val="none"/>
              </w:rPr>
            </w:pPr>
          </w:p>
        </w:tc>
        <w:tc>
          <w:tcPr>
            <w:tcW w:w="2358" w:type="dxa"/>
            <w:vAlign w:val="top"/>
          </w:tcPr>
          <w:p w14:paraId="08103EE4">
            <w:pPr>
              <w:rPr>
                <w:rFonts w:ascii="Arial"/>
                <w:color w:val="auto"/>
                <w:sz w:val="21"/>
                <w:highlight w:val="none"/>
              </w:rPr>
            </w:pPr>
          </w:p>
        </w:tc>
        <w:tc>
          <w:tcPr>
            <w:tcW w:w="2039" w:type="dxa"/>
            <w:tcBorders>
              <w:right w:val="single" w:color="000000" w:sz="6" w:space="0"/>
            </w:tcBorders>
            <w:vAlign w:val="top"/>
          </w:tcPr>
          <w:p w14:paraId="6C660E24">
            <w:pPr>
              <w:rPr>
                <w:rFonts w:ascii="Arial"/>
                <w:color w:val="auto"/>
                <w:sz w:val="21"/>
                <w:highlight w:val="none"/>
              </w:rPr>
            </w:pPr>
          </w:p>
        </w:tc>
      </w:tr>
      <w:tr w14:paraId="7978D2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65256B41">
            <w:pPr>
              <w:rPr>
                <w:rFonts w:ascii="Arial"/>
                <w:color w:val="auto"/>
                <w:sz w:val="21"/>
                <w:highlight w:val="none"/>
              </w:rPr>
            </w:pPr>
          </w:p>
        </w:tc>
        <w:tc>
          <w:tcPr>
            <w:tcW w:w="2211" w:type="dxa"/>
            <w:vAlign w:val="top"/>
          </w:tcPr>
          <w:p w14:paraId="435352C7">
            <w:pPr>
              <w:rPr>
                <w:rFonts w:ascii="Arial"/>
                <w:color w:val="auto"/>
                <w:sz w:val="21"/>
                <w:highlight w:val="none"/>
              </w:rPr>
            </w:pPr>
          </w:p>
        </w:tc>
        <w:tc>
          <w:tcPr>
            <w:tcW w:w="2358" w:type="dxa"/>
            <w:vAlign w:val="top"/>
          </w:tcPr>
          <w:p w14:paraId="09F6C77A">
            <w:pPr>
              <w:rPr>
                <w:rFonts w:ascii="Arial"/>
                <w:color w:val="auto"/>
                <w:sz w:val="21"/>
                <w:highlight w:val="none"/>
              </w:rPr>
            </w:pPr>
          </w:p>
        </w:tc>
        <w:tc>
          <w:tcPr>
            <w:tcW w:w="2039" w:type="dxa"/>
            <w:tcBorders>
              <w:right w:val="single" w:color="000000" w:sz="6" w:space="0"/>
            </w:tcBorders>
            <w:vAlign w:val="top"/>
          </w:tcPr>
          <w:p w14:paraId="2DDA1B01">
            <w:pPr>
              <w:rPr>
                <w:rFonts w:ascii="Arial"/>
                <w:color w:val="auto"/>
                <w:sz w:val="21"/>
                <w:highlight w:val="none"/>
              </w:rPr>
            </w:pPr>
          </w:p>
        </w:tc>
      </w:tr>
      <w:tr w14:paraId="4A8C2E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6E936FB9">
            <w:pPr>
              <w:rPr>
                <w:rFonts w:ascii="Arial"/>
                <w:color w:val="auto"/>
                <w:sz w:val="21"/>
                <w:highlight w:val="none"/>
              </w:rPr>
            </w:pPr>
          </w:p>
        </w:tc>
        <w:tc>
          <w:tcPr>
            <w:tcW w:w="2211" w:type="dxa"/>
            <w:vAlign w:val="top"/>
          </w:tcPr>
          <w:p w14:paraId="351B3FFA">
            <w:pPr>
              <w:rPr>
                <w:rFonts w:ascii="Arial"/>
                <w:color w:val="auto"/>
                <w:sz w:val="21"/>
                <w:highlight w:val="none"/>
              </w:rPr>
            </w:pPr>
          </w:p>
        </w:tc>
        <w:tc>
          <w:tcPr>
            <w:tcW w:w="2358" w:type="dxa"/>
            <w:vAlign w:val="top"/>
          </w:tcPr>
          <w:p w14:paraId="69F81BB6">
            <w:pPr>
              <w:rPr>
                <w:rFonts w:ascii="Arial"/>
                <w:color w:val="auto"/>
                <w:sz w:val="21"/>
                <w:highlight w:val="none"/>
              </w:rPr>
            </w:pPr>
          </w:p>
        </w:tc>
        <w:tc>
          <w:tcPr>
            <w:tcW w:w="2039" w:type="dxa"/>
            <w:tcBorders>
              <w:right w:val="single" w:color="000000" w:sz="6" w:space="0"/>
            </w:tcBorders>
            <w:vAlign w:val="top"/>
          </w:tcPr>
          <w:p w14:paraId="687FD419">
            <w:pPr>
              <w:rPr>
                <w:rFonts w:ascii="Arial"/>
                <w:color w:val="auto"/>
                <w:sz w:val="21"/>
                <w:highlight w:val="none"/>
              </w:rPr>
            </w:pPr>
          </w:p>
        </w:tc>
      </w:tr>
      <w:tr w14:paraId="182865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4" w:hRule="atLeast"/>
        </w:trPr>
        <w:tc>
          <w:tcPr>
            <w:tcW w:w="2293" w:type="dxa"/>
            <w:tcBorders>
              <w:left w:val="single" w:color="000000" w:sz="6" w:space="0"/>
            </w:tcBorders>
            <w:vAlign w:val="top"/>
          </w:tcPr>
          <w:p w14:paraId="47461C65">
            <w:pPr>
              <w:rPr>
                <w:rFonts w:ascii="Arial"/>
                <w:color w:val="auto"/>
                <w:sz w:val="21"/>
                <w:highlight w:val="none"/>
              </w:rPr>
            </w:pPr>
          </w:p>
        </w:tc>
        <w:tc>
          <w:tcPr>
            <w:tcW w:w="2211" w:type="dxa"/>
            <w:vAlign w:val="top"/>
          </w:tcPr>
          <w:p w14:paraId="5B1A7EDD">
            <w:pPr>
              <w:rPr>
                <w:rFonts w:ascii="Arial"/>
                <w:color w:val="auto"/>
                <w:sz w:val="21"/>
                <w:highlight w:val="none"/>
              </w:rPr>
            </w:pPr>
          </w:p>
        </w:tc>
        <w:tc>
          <w:tcPr>
            <w:tcW w:w="2358" w:type="dxa"/>
            <w:vAlign w:val="top"/>
          </w:tcPr>
          <w:p w14:paraId="026B5D75">
            <w:pPr>
              <w:rPr>
                <w:rFonts w:ascii="Arial"/>
                <w:color w:val="auto"/>
                <w:sz w:val="21"/>
                <w:highlight w:val="none"/>
              </w:rPr>
            </w:pPr>
          </w:p>
        </w:tc>
        <w:tc>
          <w:tcPr>
            <w:tcW w:w="2039" w:type="dxa"/>
            <w:tcBorders>
              <w:right w:val="single" w:color="000000" w:sz="6" w:space="0"/>
            </w:tcBorders>
            <w:vAlign w:val="top"/>
          </w:tcPr>
          <w:p w14:paraId="2A0B78B9">
            <w:pPr>
              <w:rPr>
                <w:rFonts w:ascii="Arial"/>
                <w:color w:val="auto"/>
                <w:sz w:val="21"/>
                <w:highlight w:val="none"/>
              </w:rPr>
            </w:pPr>
          </w:p>
        </w:tc>
      </w:tr>
      <w:tr w14:paraId="2480CCC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2293" w:type="dxa"/>
            <w:tcBorders>
              <w:left w:val="single" w:color="000000" w:sz="6" w:space="0"/>
              <w:bottom w:val="single" w:color="000000" w:sz="6" w:space="0"/>
            </w:tcBorders>
            <w:vAlign w:val="top"/>
          </w:tcPr>
          <w:p w14:paraId="54A0A3DF">
            <w:pPr>
              <w:rPr>
                <w:rFonts w:ascii="Arial"/>
                <w:color w:val="auto"/>
                <w:sz w:val="21"/>
                <w:highlight w:val="none"/>
              </w:rPr>
            </w:pPr>
          </w:p>
        </w:tc>
        <w:tc>
          <w:tcPr>
            <w:tcW w:w="2211" w:type="dxa"/>
            <w:tcBorders>
              <w:bottom w:val="single" w:color="000000" w:sz="6" w:space="0"/>
            </w:tcBorders>
            <w:vAlign w:val="top"/>
          </w:tcPr>
          <w:p w14:paraId="772B6FE2">
            <w:pPr>
              <w:rPr>
                <w:rFonts w:ascii="Arial"/>
                <w:color w:val="auto"/>
                <w:sz w:val="21"/>
                <w:highlight w:val="none"/>
              </w:rPr>
            </w:pPr>
          </w:p>
        </w:tc>
        <w:tc>
          <w:tcPr>
            <w:tcW w:w="2358" w:type="dxa"/>
            <w:tcBorders>
              <w:bottom w:val="single" w:color="000000" w:sz="6" w:space="0"/>
            </w:tcBorders>
            <w:vAlign w:val="top"/>
          </w:tcPr>
          <w:p w14:paraId="4DEC6F7D">
            <w:pPr>
              <w:rPr>
                <w:rFonts w:ascii="Arial"/>
                <w:color w:val="auto"/>
                <w:sz w:val="21"/>
                <w:highlight w:val="none"/>
              </w:rPr>
            </w:pPr>
          </w:p>
        </w:tc>
        <w:tc>
          <w:tcPr>
            <w:tcW w:w="2039" w:type="dxa"/>
            <w:tcBorders>
              <w:bottom w:val="single" w:color="000000" w:sz="6" w:space="0"/>
              <w:right w:val="single" w:color="000000" w:sz="6" w:space="0"/>
            </w:tcBorders>
            <w:vAlign w:val="top"/>
          </w:tcPr>
          <w:p w14:paraId="13030B85">
            <w:pPr>
              <w:rPr>
                <w:rFonts w:ascii="Arial"/>
                <w:color w:val="auto"/>
                <w:sz w:val="21"/>
                <w:highlight w:val="none"/>
              </w:rPr>
            </w:pPr>
          </w:p>
        </w:tc>
      </w:tr>
    </w:tbl>
    <w:p w14:paraId="006D1C4E">
      <w:pPr>
        <w:pStyle w:val="3"/>
        <w:rPr>
          <w:color w:val="auto"/>
          <w:highlight w:val="none"/>
        </w:rPr>
      </w:pPr>
    </w:p>
    <w:p w14:paraId="16FE30BD">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4B3F8637">
      <w:pPr>
        <w:spacing w:before="56" w:line="219" w:lineRule="auto"/>
        <w:ind w:left="3003"/>
        <w:outlineLvl w:val="1"/>
        <w:rPr>
          <w:rFonts w:ascii="宋体" w:hAnsi="宋体" w:eastAsia="宋体" w:cs="宋体"/>
          <w:strike/>
          <w:dstrike w:val="0"/>
          <w:color w:val="auto"/>
          <w:sz w:val="28"/>
          <w:szCs w:val="28"/>
          <w:highlight w:val="none"/>
        </w:rPr>
      </w:pPr>
      <w:bookmarkStart w:id="850" w:name="bookmark1302"/>
      <w:bookmarkEnd w:id="850"/>
      <w:bookmarkStart w:id="851" w:name="bookmark1301"/>
      <w:bookmarkEnd w:id="851"/>
      <w:bookmarkStart w:id="852" w:name="_Toc10278"/>
      <w:bookmarkStart w:id="853" w:name="_Toc14216"/>
      <w:r>
        <w:rPr>
          <w:rFonts w:hint="eastAsia" w:ascii="宋体" w:hAnsi="宋体" w:eastAsia="宋体" w:cs="宋体"/>
          <w:b/>
          <w:bCs/>
          <w:strike/>
          <w:dstrike w:val="0"/>
          <w:color w:val="auto"/>
          <w:spacing w:val="-5"/>
          <w:sz w:val="28"/>
          <w:szCs w:val="28"/>
          <w:highlight w:val="none"/>
          <w:lang w:eastAsia="zh-CN"/>
        </w:rPr>
        <w:t>二</w:t>
      </w:r>
      <w:r>
        <w:rPr>
          <w:rFonts w:ascii="宋体" w:hAnsi="宋体" w:eastAsia="宋体" w:cs="宋体"/>
          <w:b/>
          <w:bCs/>
          <w:strike/>
          <w:dstrike w:val="0"/>
          <w:color w:val="auto"/>
          <w:spacing w:val="-5"/>
          <w:sz w:val="28"/>
          <w:szCs w:val="28"/>
          <w:highlight w:val="none"/>
        </w:rPr>
        <w:t>、拟分包项目情况表</w:t>
      </w:r>
      <w:bookmarkEnd w:id="852"/>
      <w:bookmarkEnd w:id="853"/>
    </w:p>
    <w:p w14:paraId="1FC395BE">
      <w:pPr>
        <w:spacing w:before="48"/>
        <w:rPr>
          <w:strike/>
          <w:dstrike w:val="0"/>
          <w:color w:val="auto"/>
          <w:highlight w:val="none"/>
        </w:rPr>
      </w:pPr>
    </w:p>
    <w:tbl>
      <w:tblPr>
        <w:tblStyle w:val="32"/>
        <w:tblW w:w="8901"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109"/>
        <w:gridCol w:w="2547"/>
        <w:gridCol w:w="2971"/>
        <w:gridCol w:w="2274"/>
      </w:tblGrid>
      <w:tr w14:paraId="02CFCBA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1109" w:type="dxa"/>
            <w:tcBorders>
              <w:top w:val="single" w:color="000000" w:sz="6" w:space="0"/>
              <w:left w:val="single" w:color="000000" w:sz="6" w:space="0"/>
            </w:tcBorders>
            <w:vAlign w:val="top"/>
          </w:tcPr>
          <w:p w14:paraId="47E39F72">
            <w:pPr>
              <w:pStyle w:val="33"/>
              <w:spacing w:before="121" w:line="221" w:lineRule="auto"/>
              <w:ind w:left="312"/>
              <w:rPr>
                <w:strike/>
                <w:dstrike w:val="0"/>
                <w:color w:val="auto"/>
                <w:sz w:val="24"/>
                <w:szCs w:val="24"/>
                <w:highlight w:val="none"/>
              </w:rPr>
            </w:pPr>
            <w:r>
              <w:rPr>
                <w:strike/>
                <w:dstrike w:val="0"/>
                <w:color w:val="auto"/>
                <w:spacing w:val="-3"/>
                <w:sz w:val="24"/>
                <w:szCs w:val="24"/>
                <w:highlight w:val="none"/>
              </w:rPr>
              <w:t>序号</w:t>
            </w:r>
          </w:p>
        </w:tc>
        <w:tc>
          <w:tcPr>
            <w:tcW w:w="2547" w:type="dxa"/>
            <w:tcBorders>
              <w:top w:val="single" w:color="000000" w:sz="6" w:space="0"/>
            </w:tcBorders>
            <w:vAlign w:val="top"/>
          </w:tcPr>
          <w:p w14:paraId="7881E2E1">
            <w:pPr>
              <w:pStyle w:val="33"/>
              <w:spacing w:before="121" w:line="219" w:lineRule="auto"/>
              <w:ind w:left="315"/>
              <w:rPr>
                <w:strike/>
                <w:dstrike w:val="0"/>
                <w:color w:val="auto"/>
                <w:sz w:val="24"/>
                <w:szCs w:val="24"/>
                <w:highlight w:val="none"/>
              </w:rPr>
            </w:pPr>
            <w:r>
              <w:rPr>
                <w:strike/>
                <w:dstrike w:val="0"/>
                <w:color w:val="auto"/>
                <w:spacing w:val="-2"/>
                <w:sz w:val="24"/>
                <w:szCs w:val="24"/>
                <w:highlight w:val="none"/>
              </w:rPr>
              <w:t>拟分包的工程项目</w:t>
            </w:r>
          </w:p>
        </w:tc>
        <w:tc>
          <w:tcPr>
            <w:tcW w:w="2971" w:type="dxa"/>
            <w:tcBorders>
              <w:top w:val="single" w:color="000000" w:sz="6" w:space="0"/>
            </w:tcBorders>
            <w:vAlign w:val="top"/>
          </w:tcPr>
          <w:p w14:paraId="152F48A8">
            <w:pPr>
              <w:pStyle w:val="33"/>
              <w:spacing w:before="121" w:line="220" w:lineRule="auto"/>
              <w:ind w:left="1013"/>
              <w:rPr>
                <w:strike/>
                <w:dstrike w:val="0"/>
                <w:color w:val="auto"/>
                <w:sz w:val="24"/>
                <w:szCs w:val="24"/>
                <w:highlight w:val="none"/>
              </w:rPr>
            </w:pPr>
            <w:r>
              <w:rPr>
                <w:strike/>
                <w:dstrike w:val="0"/>
                <w:color w:val="auto"/>
                <w:spacing w:val="-3"/>
                <w:sz w:val="24"/>
                <w:szCs w:val="24"/>
                <w:highlight w:val="none"/>
              </w:rPr>
              <w:t>主要内容</w:t>
            </w:r>
          </w:p>
        </w:tc>
        <w:tc>
          <w:tcPr>
            <w:tcW w:w="2274" w:type="dxa"/>
            <w:tcBorders>
              <w:top w:val="single" w:color="000000" w:sz="6" w:space="0"/>
              <w:right w:val="single" w:color="000000" w:sz="6" w:space="0"/>
            </w:tcBorders>
            <w:vAlign w:val="top"/>
          </w:tcPr>
          <w:p w14:paraId="2B38E954">
            <w:pPr>
              <w:pStyle w:val="33"/>
              <w:spacing w:before="122" w:line="218" w:lineRule="auto"/>
              <w:ind w:left="185"/>
              <w:rPr>
                <w:strike/>
                <w:dstrike w:val="0"/>
                <w:color w:val="auto"/>
                <w:sz w:val="24"/>
                <w:szCs w:val="24"/>
                <w:highlight w:val="none"/>
              </w:rPr>
            </w:pPr>
            <w:r>
              <w:rPr>
                <w:strike/>
                <w:dstrike w:val="0"/>
                <w:color w:val="auto"/>
                <w:spacing w:val="-3"/>
                <w:sz w:val="24"/>
                <w:szCs w:val="24"/>
                <w:highlight w:val="none"/>
              </w:rPr>
              <w:t>预计造价（万元）</w:t>
            </w:r>
          </w:p>
        </w:tc>
      </w:tr>
      <w:tr w14:paraId="6ACC100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top"/>
          </w:tcPr>
          <w:p w14:paraId="45D121DE">
            <w:pPr>
              <w:rPr>
                <w:rFonts w:ascii="Arial"/>
                <w:strike/>
                <w:dstrike w:val="0"/>
                <w:color w:val="auto"/>
                <w:sz w:val="21"/>
                <w:highlight w:val="none"/>
              </w:rPr>
            </w:pPr>
          </w:p>
        </w:tc>
        <w:tc>
          <w:tcPr>
            <w:tcW w:w="2547" w:type="dxa"/>
            <w:vAlign w:val="top"/>
          </w:tcPr>
          <w:p w14:paraId="5384B758">
            <w:pPr>
              <w:rPr>
                <w:rFonts w:ascii="Arial"/>
                <w:strike/>
                <w:dstrike w:val="0"/>
                <w:color w:val="auto"/>
                <w:sz w:val="21"/>
                <w:highlight w:val="none"/>
              </w:rPr>
            </w:pPr>
          </w:p>
        </w:tc>
        <w:tc>
          <w:tcPr>
            <w:tcW w:w="2971" w:type="dxa"/>
            <w:vAlign w:val="top"/>
          </w:tcPr>
          <w:p w14:paraId="06A2F9BF">
            <w:pPr>
              <w:rPr>
                <w:rFonts w:ascii="Arial"/>
                <w:strike/>
                <w:dstrike w:val="0"/>
                <w:color w:val="auto"/>
                <w:sz w:val="21"/>
                <w:highlight w:val="none"/>
              </w:rPr>
            </w:pPr>
          </w:p>
        </w:tc>
        <w:tc>
          <w:tcPr>
            <w:tcW w:w="2274" w:type="dxa"/>
            <w:tcBorders>
              <w:right w:val="single" w:color="000000" w:sz="6" w:space="0"/>
            </w:tcBorders>
            <w:vAlign w:val="top"/>
          </w:tcPr>
          <w:p w14:paraId="716B178A">
            <w:pPr>
              <w:rPr>
                <w:rFonts w:ascii="Arial"/>
                <w:strike/>
                <w:dstrike w:val="0"/>
                <w:color w:val="auto"/>
                <w:sz w:val="21"/>
                <w:highlight w:val="none"/>
              </w:rPr>
            </w:pPr>
          </w:p>
        </w:tc>
      </w:tr>
      <w:tr w14:paraId="23FCEB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42A5CCEB">
            <w:pPr>
              <w:rPr>
                <w:rFonts w:ascii="Arial"/>
                <w:strike/>
                <w:dstrike w:val="0"/>
                <w:color w:val="auto"/>
                <w:sz w:val="21"/>
                <w:highlight w:val="none"/>
              </w:rPr>
            </w:pPr>
          </w:p>
        </w:tc>
        <w:tc>
          <w:tcPr>
            <w:tcW w:w="2547" w:type="dxa"/>
            <w:vAlign w:val="top"/>
          </w:tcPr>
          <w:p w14:paraId="2C0952E4">
            <w:pPr>
              <w:rPr>
                <w:rFonts w:ascii="Arial"/>
                <w:strike/>
                <w:dstrike w:val="0"/>
                <w:color w:val="auto"/>
                <w:sz w:val="21"/>
                <w:highlight w:val="none"/>
              </w:rPr>
            </w:pPr>
          </w:p>
        </w:tc>
        <w:tc>
          <w:tcPr>
            <w:tcW w:w="2971" w:type="dxa"/>
            <w:vAlign w:val="top"/>
          </w:tcPr>
          <w:p w14:paraId="0BFDAE74">
            <w:pPr>
              <w:rPr>
                <w:rFonts w:ascii="Arial"/>
                <w:strike/>
                <w:dstrike w:val="0"/>
                <w:color w:val="auto"/>
                <w:sz w:val="21"/>
                <w:highlight w:val="none"/>
              </w:rPr>
            </w:pPr>
          </w:p>
        </w:tc>
        <w:tc>
          <w:tcPr>
            <w:tcW w:w="2274" w:type="dxa"/>
            <w:tcBorders>
              <w:right w:val="single" w:color="000000" w:sz="6" w:space="0"/>
            </w:tcBorders>
            <w:vAlign w:val="top"/>
          </w:tcPr>
          <w:p w14:paraId="405081B9">
            <w:pPr>
              <w:rPr>
                <w:rFonts w:ascii="Arial"/>
                <w:strike/>
                <w:dstrike w:val="0"/>
                <w:color w:val="auto"/>
                <w:sz w:val="21"/>
                <w:highlight w:val="none"/>
              </w:rPr>
            </w:pPr>
          </w:p>
        </w:tc>
      </w:tr>
      <w:tr w14:paraId="7EA342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58F5D869">
            <w:pPr>
              <w:rPr>
                <w:rFonts w:ascii="Arial"/>
                <w:strike/>
                <w:dstrike w:val="0"/>
                <w:color w:val="auto"/>
                <w:sz w:val="21"/>
                <w:highlight w:val="none"/>
              </w:rPr>
            </w:pPr>
          </w:p>
        </w:tc>
        <w:tc>
          <w:tcPr>
            <w:tcW w:w="2547" w:type="dxa"/>
            <w:vAlign w:val="top"/>
          </w:tcPr>
          <w:p w14:paraId="3308EDFF">
            <w:pPr>
              <w:rPr>
                <w:rFonts w:ascii="Arial"/>
                <w:strike/>
                <w:dstrike w:val="0"/>
                <w:color w:val="auto"/>
                <w:sz w:val="21"/>
                <w:highlight w:val="none"/>
              </w:rPr>
            </w:pPr>
          </w:p>
        </w:tc>
        <w:tc>
          <w:tcPr>
            <w:tcW w:w="2971" w:type="dxa"/>
            <w:vAlign w:val="top"/>
          </w:tcPr>
          <w:p w14:paraId="50C5504F">
            <w:pPr>
              <w:rPr>
                <w:rFonts w:ascii="Arial"/>
                <w:strike/>
                <w:dstrike w:val="0"/>
                <w:color w:val="auto"/>
                <w:sz w:val="21"/>
                <w:highlight w:val="none"/>
              </w:rPr>
            </w:pPr>
          </w:p>
        </w:tc>
        <w:tc>
          <w:tcPr>
            <w:tcW w:w="2274" w:type="dxa"/>
            <w:tcBorders>
              <w:right w:val="single" w:color="000000" w:sz="6" w:space="0"/>
            </w:tcBorders>
            <w:vAlign w:val="top"/>
          </w:tcPr>
          <w:p w14:paraId="0F0C32B6">
            <w:pPr>
              <w:rPr>
                <w:rFonts w:ascii="Arial"/>
                <w:strike/>
                <w:dstrike w:val="0"/>
                <w:color w:val="auto"/>
                <w:sz w:val="21"/>
                <w:highlight w:val="none"/>
              </w:rPr>
            </w:pPr>
          </w:p>
        </w:tc>
      </w:tr>
      <w:tr w14:paraId="61A165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top"/>
          </w:tcPr>
          <w:p w14:paraId="79243FB8">
            <w:pPr>
              <w:rPr>
                <w:rFonts w:ascii="Arial"/>
                <w:strike/>
                <w:dstrike w:val="0"/>
                <w:color w:val="auto"/>
                <w:sz w:val="21"/>
                <w:highlight w:val="none"/>
              </w:rPr>
            </w:pPr>
          </w:p>
        </w:tc>
        <w:tc>
          <w:tcPr>
            <w:tcW w:w="2547" w:type="dxa"/>
            <w:vAlign w:val="top"/>
          </w:tcPr>
          <w:p w14:paraId="07C1BB70">
            <w:pPr>
              <w:rPr>
                <w:rFonts w:ascii="Arial"/>
                <w:strike/>
                <w:dstrike w:val="0"/>
                <w:color w:val="auto"/>
                <w:sz w:val="21"/>
                <w:highlight w:val="none"/>
              </w:rPr>
            </w:pPr>
          </w:p>
        </w:tc>
        <w:tc>
          <w:tcPr>
            <w:tcW w:w="2971" w:type="dxa"/>
            <w:vAlign w:val="top"/>
          </w:tcPr>
          <w:p w14:paraId="7CEF8EC3">
            <w:pPr>
              <w:rPr>
                <w:rFonts w:ascii="Arial"/>
                <w:strike/>
                <w:dstrike w:val="0"/>
                <w:color w:val="auto"/>
                <w:sz w:val="21"/>
                <w:highlight w:val="none"/>
              </w:rPr>
            </w:pPr>
          </w:p>
        </w:tc>
        <w:tc>
          <w:tcPr>
            <w:tcW w:w="2274" w:type="dxa"/>
            <w:tcBorders>
              <w:right w:val="single" w:color="000000" w:sz="6" w:space="0"/>
            </w:tcBorders>
            <w:vAlign w:val="top"/>
          </w:tcPr>
          <w:p w14:paraId="67AAC611">
            <w:pPr>
              <w:rPr>
                <w:rFonts w:ascii="Arial"/>
                <w:strike/>
                <w:dstrike w:val="0"/>
                <w:color w:val="auto"/>
                <w:sz w:val="21"/>
                <w:highlight w:val="none"/>
              </w:rPr>
            </w:pPr>
          </w:p>
        </w:tc>
      </w:tr>
      <w:tr w14:paraId="7BC57A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385632F6">
            <w:pPr>
              <w:rPr>
                <w:rFonts w:ascii="Arial"/>
                <w:strike/>
                <w:dstrike w:val="0"/>
                <w:color w:val="auto"/>
                <w:sz w:val="21"/>
                <w:highlight w:val="none"/>
              </w:rPr>
            </w:pPr>
          </w:p>
        </w:tc>
        <w:tc>
          <w:tcPr>
            <w:tcW w:w="2547" w:type="dxa"/>
            <w:vAlign w:val="top"/>
          </w:tcPr>
          <w:p w14:paraId="6A16224A">
            <w:pPr>
              <w:rPr>
                <w:rFonts w:ascii="Arial"/>
                <w:strike/>
                <w:dstrike w:val="0"/>
                <w:color w:val="auto"/>
                <w:sz w:val="21"/>
                <w:highlight w:val="none"/>
              </w:rPr>
            </w:pPr>
          </w:p>
        </w:tc>
        <w:tc>
          <w:tcPr>
            <w:tcW w:w="2971" w:type="dxa"/>
            <w:vAlign w:val="top"/>
          </w:tcPr>
          <w:p w14:paraId="7647E36B">
            <w:pPr>
              <w:rPr>
                <w:rFonts w:ascii="Arial"/>
                <w:strike/>
                <w:dstrike w:val="0"/>
                <w:color w:val="auto"/>
                <w:sz w:val="21"/>
                <w:highlight w:val="none"/>
              </w:rPr>
            </w:pPr>
          </w:p>
        </w:tc>
        <w:tc>
          <w:tcPr>
            <w:tcW w:w="2274" w:type="dxa"/>
            <w:tcBorders>
              <w:right w:val="single" w:color="000000" w:sz="6" w:space="0"/>
            </w:tcBorders>
            <w:vAlign w:val="top"/>
          </w:tcPr>
          <w:p w14:paraId="4EBCBEC6">
            <w:pPr>
              <w:rPr>
                <w:rFonts w:ascii="Arial"/>
                <w:strike/>
                <w:dstrike w:val="0"/>
                <w:color w:val="auto"/>
                <w:sz w:val="21"/>
                <w:highlight w:val="none"/>
              </w:rPr>
            </w:pPr>
          </w:p>
        </w:tc>
      </w:tr>
      <w:tr w14:paraId="3E0C1C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3B12CB5E">
            <w:pPr>
              <w:rPr>
                <w:rFonts w:ascii="Arial"/>
                <w:strike/>
                <w:dstrike w:val="0"/>
                <w:color w:val="auto"/>
                <w:sz w:val="21"/>
                <w:highlight w:val="none"/>
              </w:rPr>
            </w:pPr>
          </w:p>
        </w:tc>
        <w:tc>
          <w:tcPr>
            <w:tcW w:w="2547" w:type="dxa"/>
            <w:vAlign w:val="top"/>
          </w:tcPr>
          <w:p w14:paraId="4F31D36F">
            <w:pPr>
              <w:rPr>
                <w:rFonts w:ascii="Arial"/>
                <w:strike/>
                <w:dstrike w:val="0"/>
                <w:color w:val="auto"/>
                <w:sz w:val="21"/>
                <w:highlight w:val="none"/>
              </w:rPr>
            </w:pPr>
          </w:p>
        </w:tc>
        <w:tc>
          <w:tcPr>
            <w:tcW w:w="2971" w:type="dxa"/>
            <w:vAlign w:val="top"/>
          </w:tcPr>
          <w:p w14:paraId="1CD5C86B">
            <w:pPr>
              <w:rPr>
                <w:rFonts w:ascii="Arial"/>
                <w:strike/>
                <w:dstrike w:val="0"/>
                <w:color w:val="auto"/>
                <w:sz w:val="21"/>
                <w:highlight w:val="none"/>
              </w:rPr>
            </w:pPr>
          </w:p>
        </w:tc>
        <w:tc>
          <w:tcPr>
            <w:tcW w:w="2274" w:type="dxa"/>
            <w:tcBorders>
              <w:right w:val="single" w:color="000000" w:sz="6" w:space="0"/>
            </w:tcBorders>
            <w:vAlign w:val="top"/>
          </w:tcPr>
          <w:p w14:paraId="05E2658C">
            <w:pPr>
              <w:rPr>
                <w:rFonts w:ascii="Arial"/>
                <w:strike/>
                <w:dstrike w:val="0"/>
                <w:color w:val="auto"/>
                <w:sz w:val="21"/>
                <w:highlight w:val="none"/>
              </w:rPr>
            </w:pPr>
          </w:p>
        </w:tc>
      </w:tr>
      <w:tr w14:paraId="4FC1D27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top"/>
          </w:tcPr>
          <w:p w14:paraId="2B101E69">
            <w:pPr>
              <w:rPr>
                <w:rFonts w:ascii="Arial"/>
                <w:strike/>
                <w:dstrike w:val="0"/>
                <w:color w:val="auto"/>
                <w:sz w:val="21"/>
                <w:highlight w:val="none"/>
              </w:rPr>
            </w:pPr>
          </w:p>
        </w:tc>
        <w:tc>
          <w:tcPr>
            <w:tcW w:w="2547" w:type="dxa"/>
            <w:vAlign w:val="top"/>
          </w:tcPr>
          <w:p w14:paraId="3C249FA4">
            <w:pPr>
              <w:rPr>
                <w:rFonts w:ascii="Arial"/>
                <w:strike/>
                <w:dstrike w:val="0"/>
                <w:color w:val="auto"/>
                <w:sz w:val="21"/>
                <w:highlight w:val="none"/>
              </w:rPr>
            </w:pPr>
          </w:p>
        </w:tc>
        <w:tc>
          <w:tcPr>
            <w:tcW w:w="2971" w:type="dxa"/>
            <w:vAlign w:val="top"/>
          </w:tcPr>
          <w:p w14:paraId="38BA17F2">
            <w:pPr>
              <w:rPr>
                <w:rFonts w:ascii="Arial"/>
                <w:strike/>
                <w:dstrike w:val="0"/>
                <w:color w:val="auto"/>
                <w:sz w:val="21"/>
                <w:highlight w:val="none"/>
              </w:rPr>
            </w:pPr>
          </w:p>
        </w:tc>
        <w:tc>
          <w:tcPr>
            <w:tcW w:w="2274" w:type="dxa"/>
            <w:tcBorders>
              <w:right w:val="single" w:color="000000" w:sz="6" w:space="0"/>
            </w:tcBorders>
            <w:vAlign w:val="top"/>
          </w:tcPr>
          <w:p w14:paraId="01A2973E">
            <w:pPr>
              <w:rPr>
                <w:rFonts w:ascii="Arial"/>
                <w:strike/>
                <w:dstrike w:val="0"/>
                <w:color w:val="auto"/>
                <w:sz w:val="21"/>
                <w:highlight w:val="none"/>
              </w:rPr>
            </w:pPr>
          </w:p>
        </w:tc>
      </w:tr>
      <w:tr w14:paraId="525ABC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0171CF59">
            <w:pPr>
              <w:rPr>
                <w:rFonts w:ascii="Arial"/>
                <w:strike/>
                <w:dstrike w:val="0"/>
                <w:color w:val="auto"/>
                <w:sz w:val="21"/>
                <w:highlight w:val="none"/>
              </w:rPr>
            </w:pPr>
          </w:p>
        </w:tc>
        <w:tc>
          <w:tcPr>
            <w:tcW w:w="2547" w:type="dxa"/>
            <w:vAlign w:val="top"/>
          </w:tcPr>
          <w:p w14:paraId="0EEAF98A">
            <w:pPr>
              <w:rPr>
                <w:rFonts w:ascii="Arial"/>
                <w:strike/>
                <w:dstrike w:val="0"/>
                <w:color w:val="auto"/>
                <w:sz w:val="21"/>
                <w:highlight w:val="none"/>
              </w:rPr>
            </w:pPr>
          </w:p>
        </w:tc>
        <w:tc>
          <w:tcPr>
            <w:tcW w:w="2971" w:type="dxa"/>
            <w:vAlign w:val="top"/>
          </w:tcPr>
          <w:p w14:paraId="741EB3C3">
            <w:pPr>
              <w:rPr>
                <w:rFonts w:ascii="Arial"/>
                <w:strike/>
                <w:dstrike w:val="0"/>
                <w:color w:val="auto"/>
                <w:sz w:val="21"/>
                <w:highlight w:val="none"/>
              </w:rPr>
            </w:pPr>
          </w:p>
        </w:tc>
        <w:tc>
          <w:tcPr>
            <w:tcW w:w="2274" w:type="dxa"/>
            <w:tcBorders>
              <w:right w:val="single" w:color="000000" w:sz="6" w:space="0"/>
            </w:tcBorders>
            <w:vAlign w:val="top"/>
          </w:tcPr>
          <w:p w14:paraId="3496A8AE">
            <w:pPr>
              <w:rPr>
                <w:rFonts w:ascii="Arial"/>
                <w:strike/>
                <w:dstrike w:val="0"/>
                <w:color w:val="auto"/>
                <w:sz w:val="21"/>
                <w:highlight w:val="none"/>
              </w:rPr>
            </w:pPr>
          </w:p>
        </w:tc>
      </w:tr>
      <w:tr w14:paraId="02FA64D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6C3695C9">
            <w:pPr>
              <w:rPr>
                <w:rFonts w:ascii="Arial"/>
                <w:strike/>
                <w:dstrike w:val="0"/>
                <w:color w:val="auto"/>
                <w:sz w:val="21"/>
                <w:highlight w:val="none"/>
              </w:rPr>
            </w:pPr>
          </w:p>
        </w:tc>
        <w:tc>
          <w:tcPr>
            <w:tcW w:w="2547" w:type="dxa"/>
            <w:vAlign w:val="top"/>
          </w:tcPr>
          <w:p w14:paraId="2E4676D6">
            <w:pPr>
              <w:rPr>
                <w:rFonts w:ascii="Arial"/>
                <w:strike/>
                <w:dstrike w:val="0"/>
                <w:color w:val="auto"/>
                <w:sz w:val="21"/>
                <w:highlight w:val="none"/>
              </w:rPr>
            </w:pPr>
          </w:p>
        </w:tc>
        <w:tc>
          <w:tcPr>
            <w:tcW w:w="2971" w:type="dxa"/>
            <w:vAlign w:val="top"/>
          </w:tcPr>
          <w:p w14:paraId="63C810C6">
            <w:pPr>
              <w:rPr>
                <w:rFonts w:ascii="Arial"/>
                <w:strike/>
                <w:dstrike w:val="0"/>
                <w:color w:val="auto"/>
                <w:sz w:val="21"/>
                <w:highlight w:val="none"/>
              </w:rPr>
            </w:pPr>
          </w:p>
        </w:tc>
        <w:tc>
          <w:tcPr>
            <w:tcW w:w="2274" w:type="dxa"/>
            <w:tcBorders>
              <w:right w:val="single" w:color="000000" w:sz="6" w:space="0"/>
            </w:tcBorders>
            <w:vAlign w:val="top"/>
          </w:tcPr>
          <w:p w14:paraId="44EB3D43">
            <w:pPr>
              <w:rPr>
                <w:rFonts w:ascii="Arial"/>
                <w:strike/>
                <w:dstrike w:val="0"/>
                <w:color w:val="auto"/>
                <w:sz w:val="21"/>
                <w:highlight w:val="none"/>
              </w:rPr>
            </w:pPr>
          </w:p>
        </w:tc>
      </w:tr>
      <w:tr w14:paraId="0ECFA3F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top"/>
          </w:tcPr>
          <w:p w14:paraId="2A7A72DB">
            <w:pPr>
              <w:rPr>
                <w:rFonts w:ascii="Arial"/>
                <w:strike/>
                <w:dstrike w:val="0"/>
                <w:color w:val="auto"/>
                <w:sz w:val="21"/>
                <w:highlight w:val="none"/>
              </w:rPr>
            </w:pPr>
          </w:p>
        </w:tc>
        <w:tc>
          <w:tcPr>
            <w:tcW w:w="2547" w:type="dxa"/>
            <w:vAlign w:val="top"/>
          </w:tcPr>
          <w:p w14:paraId="7C8F4438">
            <w:pPr>
              <w:rPr>
                <w:rFonts w:ascii="Arial"/>
                <w:strike/>
                <w:dstrike w:val="0"/>
                <w:color w:val="auto"/>
                <w:sz w:val="21"/>
                <w:highlight w:val="none"/>
              </w:rPr>
            </w:pPr>
          </w:p>
        </w:tc>
        <w:tc>
          <w:tcPr>
            <w:tcW w:w="2971" w:type="dxa"/>
            <w:vAlign w:val="top"/>
          </w:tcPr>
          <w:p w14:paraId="5388EA7A">
            <w:pPr>
              <w:rPr>
                <w:rFonts w:ascii="Arial"/>
                <w:strike/>
                <w:dstrike w:val="0"/>
                <w:color w:val="auto"/>
                <w:sz w:val="21"/>
                <w:highlight w:val="none"/>
              </w:rPr>
            </w:pPr>
          </w:p>
        </w:tc>
        <w:tc>
          <w:tcPr>
            <w:tcW w:w="2274" w:type="dxa"/>
            <w:tcBorders>
              <w:right w:val="single" w:color="000000" w:sz="6" w:space="0"/>
            </w:tcBorders>
            <w:vAlign w:val="top"/>
          </w:tcPr>
          <w:p w14:paraId="4C1A5C20">
            <w:pPr>
              <w:rPr>
                <w:rFonts w:ascii="Arial"/>
                <w:strike/>
                <w:dstrike w:val="0"/>
                <w:color w:val="auto"/>
                <w:sz w:val="21"/>
                <w:highlight w:val="none"/>
              </w:rPr>
            </w:pPr>
          </w:p>
        </w:tc>
      </w:tr>
      <w:tr w14:paraId="18B726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1E96DF8A">
            <w:pPr>
              <w:rPr>
                <w:rFonts w:ascii="Arial"/>
                <w:strike/>
                <w:dstrike w:val="0"/>
                <w:color w:val="auto"/>
                <w:sz w:val="21"/>
                <w:highlight w:val="none"/>
              </w:rPr>
            </w:pPr>
          </w:p>
        </w:tc>
        <w:tc>
          <w:tcPr>
            <w:tcW w:w="2547" w:type="dxa"/>
            <w:vAlign w:val="top"/>
          </w:tcPr>
          <w:p w14:paraId="0C112E70">
            <w:pPr>
              <w:rPr>
                <w:rFonts w:ascii="Arial"/>
                <w:strike/>
                <w:dstrike w:val="0"/>
                <w:color w:val="auto"/>
                <w:sz w:val="21"/>
                <w:highlight w:val="none"/>
              </w:rPr>
            </w:pPr>
          </w:p>
        </w:tc>
        <w:tc>
          <w:tcPr>
            <w:tcW w:w="2971" w:type="dxa"/>
            <w:vAlign w:val="top"/>
          </w:tcPr>
          <w:p w14:paraId="6C504DA3">
            <w:pPr>
              <w:rPr>
                <w:rFonts w:ascii="Arial"/>
                <w:strike/>
                <w:dstrike w:val="0"/>
                <w:color w:val="auto"/>
                <w:sz w:val="21"/>
                <w:highlight w:val="none"/>
              </w:rPr>
            </w:pPr>
          </w:p>
        </w:tc>
        <w:tc>
          <w:tcPr>
            <w:tcW w:w="2274" w:type="dxa"/>
            <w:tcBorders>
              <w:right w:val="single" w:color="000000" w:sz="6" w:space="0"/>
            </w:tcBorders>
            <w:vAlign w:val="top"/>
          </w:tcPr>
          <w:p w14:paraId="1F7F5666">
            <w:pPr>
              <w:rPr>
                <w:rFonts w:ascii="Arial"/>
                <w:strike/>
                <w:dstrike w:val="0"/>
                <w:color w:val="auto"/>
                <w:sz w:val="21"/>
                <w:highlight w:val="none"/>
              </w:rPr>
            </w:pPr>
          </w:p>
        </w:tc>
      </w:tr>
      <w:tr w14:paraId="6D227D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109" w:type="dxa"/>
            <w:tcBorders>
              <w:left w:val="single" w:color="000000" w:sz="6" w:space="0"/>
            </w:tcBorders>
            <w:vAlign w:val="top"/>
          </w:tcPr>
          <w:p w14:paraId="2852CEAD">
            <w:pPr>
              <w:rPr>
                <w:rFonts w:ascii="Arial"/>
                <w:strike/>
                <w:dstrike w:val="0"/>
                <w:color w:val="auto"/>
                <w:sz w:val="21"/>
                <w:highlight w:val="none"/>
              </w:rPr>
            </w:pPr>
          </w:p>
        </w:tc>
        <w:tc>
          <w:tcPr>
            <w:tcW w:w="2547" w:type="dxa"/>
            <w:vAlign w:val="top"/>
          </w:tcPr>
          <w:p w14:paraId="1E2823C7">
            <w:pPr>
              <w:rPr>
                <w:rFonts w:ascii="Arial"/>
                <w:strike/>
                <w:dstrike w:val="0"/>
                <w:color w:val="auto"/>
                <w:sz w:val="21"/>
                <w:highlight w:val="none"/>
              </w:rPr>
            </w:pPr>
          </w:p>
        </w:tc>
        <w:tc>
          <w:tcPr>
            <w:tcW w:w="2971" w:type="dxa"/>
            <w:vAlign w:val="top"/>
          </w:tcPr>
          <w:p w14:paraId="41A63730">
            <w:pPr>
              <w:rPr>
                <w:rFonts w:ascii="Arial"/>
                <w:strike/>
                <w:dstrike w:val="0"/>
                <w:color w:val="auto"/>
                <w:sz w:val="21"/>
                <w:highlight w:val="none"/>
              </w:rPr>
            </w:pPr>
          </w:p>
        </w:tc>
        <w:tc>
          <w:tcPr>
            <w:tcW w:w="2274" w:type="dxa"/>
            <w:tcBorders>
              <w:right w:val="single" w:color="000000" w:sz="6" w:space="0"/>
            </w:tcBorders>
            <w:vAlign w:val="top"/>
          </w:tcPr>
          <w:p w14:paraId="7FAD1175">
            <w:pPr>
              <w:rPr>
                <w:rFonts w:ascii="Arial"/>
                <w:strike/>
                <w:dstrike w:val="0"/>
                <w:color w:val="auto"/>
                <w:sz w:val="21"/>
                <w:highlight w:val="none"/>
              </w:rPr>
            </w:pPr>
          </w:p>
        </w:tc>
      </w:tr>
      <w:tr w14:paraId="05403C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1109" w:type="dxa"/>
            <w:tcBorders>
              <w:left w:val="single" w:color="000000" w:sz="6" w:space="0"/>
            </w:tcBorders>
            <w:vAlign w:val="top"/>
          </w:tcPr>
          <w:p w14:paraId="2790E672">
            <w:pPr>
              <w:rPr>
                <w:rFonts w:ascii="Arial"/>
                <w:strike/>
                <w:dstrike w:val="0"/>
                <w:color w:val="auto"/>
                <w:sz w:val="21"/>
                <w:highlight w:val="none"/>
              </w:rPr>
            </w:pPr>
          </w:p>
        </w:tc>
        <w:tc>
          <w:tcPr>
            <w:tcW w:w="2547" w:type="dxa"/>
            <w:vAlign w:val="top"/>
          </w:tcPr>
          <w:p w14:paraId="7307BC02">
            <w:pPr>
              <w:rPr>
                <w:rFonts w:ascii="Arial"/>
                <w:strike/>
                <w:dstrike w:val="0"/>
                <w:color w:val="auto"/>
                <w:sz w:val="21"/>
                <w:highlight w:val="none"/>
              </w:rPr>
            </w:pPr>
          </w:p>
        </w:tc>
        <w:tc>
          <w:tcPr>
            <w:tcW w:w="2971" w:type="dxa"/>
            <w:vAlign w:val="top"/>
          </w:tcPr>
          <w:p w14:paraId="54C083AD">
            <w:pPr>
              <w:rPr>
                <w:rFonts w:ascii="Arial"/>
                <w:strike/>
                <w:dstrike w:val="0"/>
                <w:color w:val="auto"/>
                <w:sz w:val="21"/>
                <w:highlight w:val="none"/>
              </w:rPr>
            </w:pPr>
          </w:p>
        </w:tc>
        <w:tc>
          <w:tcPr>
            <w:tcW w:w="2274" w:type="dxa"/>
            <w:tcBorders>
              <w:right w:val="single" w:color="000000" w:sz="6" w:space="0"/>
            </w:tcBorders>
            <w:vAlign w:val="top"/>
          </w:tcPr>
          <w:p w14:paraId="59118F16">
            <w:pPr>
              <w:rPr>
                <w:rFonts w:ascii="Arial"/>
                <w:strike/>
                <w:dstrike w:val="0"/>
                <w:color w:val="auto"/>
                <w:sz w:val="21"/>
                <w:highlight w:val="none"/>
              </w:rPr>
            </w:pPr>
          </w:p>
        </w:tc>
      </w:tr>
      <w:tr w14:paraId="6E35A09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1109" w:type="dxa"/>
            <w:tcBorders>
              <w:left w:val="single" w:color="000000" w:sz="6" w:space="0"/>
              <w:bottom w:val="single" w:color="000000" w:sz="6" w:space="0"/>
            </w:tcBorders>
            <w:vAlign w:val="top"/>
          </w:tcPr>
          <w:p w14:paraId="4BDB9154">
            <w:pPr>
              <w:rPr>
                <w:rFonts w:ascii="Arial"/>
                <w:strike/>
                <w:dstrike w:val="0"/>
                <w:color w:val="auto"/>
                <w:sz w:val="21"/>
                <w:highlight w:val="none"/>
              </w:rPr>
            </w:pPr>
          </w:p>
        </w:tc>
        <w:tc>
          <w:tcPr>
            <w:tcW w:w="2547" w:type="dxa"/>
            <w:tcBorders>
              <w:bottom w:val="single" w:color="000000" w:sz="6" w:space="0"/>
            </w:tcBorders>
            <w:vAlign w:val="top"/>
          </w:tcPr>
          <w:p w14:paraId="5789E4C5">
            <w:pPr>
              <w:rPr>
                <w:rFonts w:ascii="Arial"/>
                <w:strike/>
                <w:dstrike w:val="0"/>
                <w:color w:val="auto"/>
                <w:sz w:val="21"/>
                <w:highlight w:val="none"/>
              </w:rPr>
            </w:pPr>
          </w:p>
        </w:tc>
        <w:tc>
          <w:tcPr>
            <w:tcW w:w="2971" w:type="dxa"/>
            <w:tcBorders>
              <w:bottom w:val="single" w:color="000000" w:sz="6" w:space="0"/>
            </w:tcBorders>
            <w:vAlign w:val="top"/>
          </w:tcPr>
          <w:p w14:paraId="4E1EFA89">
            <w:pPr>
              <w:rPr>
                <w:rFonts w:ascii="Arial"/>
                <w:strike/>
                <w:dstrike w:val="0"/>
                <w:color w:val="auto"/>
                <w:sz w:val="21"/>
                <w:highlight w:val="none"/>
              </w:rPr>
            </w:pPr>
          </w:p>
        </w:tc>
        <w:tc>
          <w:tcPr>
            <w:tcW w:w="2274" w:type="dxa"/>
            <w:tcBorders>
              <w:bottom w:val="single" w:color="000000" w:sz="6" w:space="0"/>
              <w:right w:val="single" w:color="000000" w:sz="6" w:space="0"/>
            </w:tcBorders>
            <w:vAlign w:val="top"/>
          </w:tcPr>
          <w:p w14:paraId="521CD5C3">
            <w:pPr>
              <w:rPr>
                <w:rFonts w:ascii="Arial"/>
                <w:strike/>
                <w:dstrike w:val="0"/>
                <w:color w:val="auto"/>
                <w:sz w:val="21"/>
                <w:highlight w:val="none"/>
              </w:rPr>
            </w:pPr>
          </w:p>
        </w:tc>
      </w:tr>
    </w:tbl>
    <w:p w14:paraId="54249534">
      <w:pPr>
        <w:rPr>
          <w:strike/>
          <w:dstrike w:val="0"/>
          <w:color w:val="auto"/>
          <w:highlight w:val="none"/>
        </w:rPr>
        <w:sectPr>
          <w:pgSz w:w="11905" w:h="16843"/>
          <w:pgMar w:top="1429" w:right="1361" w:bottom="1253" w:left="1621" w:header="0" w:footer="1094" w:gutter="0"/>
          <w:pgNumType w:fmt="decimal"/>
          <w:cols w:space="0" w:num="1"/>
          <w:rtlGutter w:val="0"/>
          <w:docGrid w:linePitch="0" w:charSpace="0"/>
        </w:sectPr>
      </w:pPr>
    </w:p>
    <w:p w14:paraId="5D99BC12">
      <w:pPr>
        <w:pStyle w:val="3"/>
        <w:spacing w:line="268" w:lineRule="auto"/>
        <w:rPr>
          <w:color w:val="auto"/>
          <w:highlight w:val="none"/>
        </w:rPr>
      </w:pPr>
      <w:bookmarkStart w:id="854" w:name="bookmark1303"/>
      <w:bookmarkEnd w:id="854"/>
      <w:bookmarkStart w:id="855" w:name="bookmark1304"/>
      <w:bookmarkEnd w:id="855"/>
    </w:p>
    <w:p w14:paraId="19FBEF55">
      <w:pPr>
        <w:pStyle w:val="3"/>
        <w:spacing w:line="268" w:lineRule="auto"/>
        <w:rPr>
          <w:color w:val="auto"/>
          <w:highlight w:val="none"/>
        </w:rPr>
      </w:pPr>
    </w:p>
    <w:p w14:paraId="0D366E44">
      <w:pPr>
        <w:pStyle w:val="3"/>
        <w:spacing w:line="268" w:lineRule="auto"/>
        <w:rPr>
          <w:color w:val="auto"/>
          <w:highlight w:val="none"/>
        </w:rPr>
      </w:pPr>
    </w:p>
    <w:p w14:paraId="3A925201">
      <w:pPr>
        <w:pStyle w:val="3"/>
        <w:spacing w:line="268" w:lineRule="auto"/>
        <w:rPr>
          <w:color w:val="auto"/>
          <w:highlight w:val="none"/>
        </w:rPr>
      </w:pPr>
    </w:p>
    <w:p w14:paraId="06004FDB">
      <w:pPr>
        <w:pStyle w:val="3"/>
        <w:spacing w:line="268" w:lineRule="auto"/>
        <w:rPr>
          <w:color w:val="auto"/>
          <w:highlight w:val="none"/>
        </w:rPr>
      </w:pPr>
    </w:p>
    <w:p w14:paraId="7D1F7224">
      <w:pPr>
        <w:pStyle w:val="3"/>
        <w:spacing w:line="269" w:lineRule="auto"/>
        <w:rPr>
          <w:color w:val="auto"/>
          <w:highlight w:val="none"/>
        </w:rPr>
      </w:pPr>
    </w:p>
    <w:p w14:paraId="4D5A99FE">
      <w:pPr>
        <w:tabs>
          <w:tab w:val="left" w:pos="3577"/>
        </w:tabs>
        <w:spacing w:before="81" w:line="213" w:lineRule="auto"/>
        <w:ind w:left="141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9"/>
          <w:sz w:val="24"/>
          <w:szCs w:val="24"/>
          <w:highlight w:val="none"/>
        </w:rPr>
        <w:t>（</w:t>
      </w:r>
      <w:r>
        <w:rPr>
          <w:rFonts w:ascii="宋体" w:hAnsi="宋体" w:eastAsia="宋体" w:cs="宋体"/>
          <w:i/>
          <w:iCs/>
          <w:color w:val="auto"/>
          <w:spacing w:val="9"/>
          <w:sz w:val="25"/>
          <w:szCs w:val="25"/>
          <w:highlight w:val="none"/>
        </w:rPr>
        <w:t>项目名称</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1"/>
          <w:sz w:val="24"/>
          <w:szCs w:val="24"/>
          <w:highlight w:val="none"/>
        </w:rPr>
        <w:t>（</w:t>
      </w:r>
      <w:r>
        <w:rPr>
          <w:rFonts w:ascii="宋体" w:hAnsi="宋体" w:eastAsia="宋体" w:cs="宋体"/>
          <w:i/>
          <w:iCs/>
          <w:color w:val="auto"/>
          <w:spacing w:val="9"/>
          <w:sz w:val="25"/>
          <w:szCs w:val="25"/>
          <w:highlight w:val="none"/>
        </w:rPr>
        <w:t>标段名称</w:t>
      </w:r>
      <w:r>
        <w:rPr>
          <w:rFonts w:ascii="宋体" w:hAnsi="宋体" w:eastAsia="宋体" w:cs="宋体"/>
          <w:color w:val="auto"/>
          <w:spacing w:val="9"/>
          <w:sz w:val="24"/>
          <w:szCs w:val="24"/>
          <w:highlight w:val="none"/>
        </w:rPr>
        <w:t>）</w:t>
      </w:r>
    </w:p>
    <w:p w14:paraId="2E4C4B1E">
      <w:pPr>
        <w:pStyle w:val="3"/>
        <w:spacing w:line="244" w:lineRule="auto"/>
        <w:rPr>
          <w:color w:val="auto"/>
          <w:highlight w:val="none"/>
        </w:rPr>
      </w:pPr>
    </w:p>
    <w:p w14:paraId="74FFA3CA">
      <w:pPr>
        <w:pStyle w:val="3"/>
        <w:spacing w:line="245" w:lineRule="auto"/>
        <w:rPr>
          <w:color w:val="auto"/>
          <w:highlight w:val="none"/>
        </w:rPr>
      </w:pPr>
    </w:p>
    <w:p w14:paraId="131CBC54">
      <w:pPr>
        <w:pStyle w:val="3"/>
        <w:spacing w:line="245" w:lineRule="auto"/>
        <w:rPr>
          <w:color w:val="auto"/>
          <w:highlight w:val="none"/>
        </w:rPr>
      </w:pPr>
    </w:p>
    <w:p w14:paraId="2DA18840">
      <w:pPr>
        <w:pStyle w:val="3"/>
        <w:spacing w:line="245" w:lineRule="auto"/>
        <w:rPr>
          <w:color w:val="auto"/>
          <w:highlight w:val="none"/>
        </w:rPr>
      </w:pPr>
    </w:p>
    <w:p w14:paraId="695D0595">
      <w:pPr>
        <w:pStyle w:val="3"/>
        <w:spacing w:line="245" w:lineRule="auto"/>
        <w:rPr>
          <w:color w:val="auto"/>
          <w:highlight w:val="none"/>
        </w:rPr>
      </w:pPr>
    </w:p>
    <w:p w14:paraId="04121E3B">
      <w:pPr>
        <w:pStyle w:val="3"/>
        <w:spacing w:line="245" w:lineRule="auto"/>
        <w:rPr>
          <w:color w:val="auto"/>
          <w:highlight w:val="none"/>
        </w:rPr>
      </w:pPr>
    </w:p>
    <w:p w14:paraId="70DBA7BA">
      <w:pPr>
        <w:pStyle w:val="3"/>
        <w:spacing w:line="245" w:lineRule="auto"/>
        <w:rPr>
          <w:color w:val="auto"/>
          <w:highlight w:val="none"/>
        </w:rPr>
      </w:pPr>
    </w:p>
    <w:p w14:paraId="3727D67F">
      <w:pPr>
        <w:spacing w:before="140" w:line="223" w:lineRule="auto"/>
        <w:ind w:left="3204"/>
        <w:rPr>
          <w:rFonts w:ascii="宋体" w:hAnsi="宋体" w:eastAsia="宋体" w:cs="宋体"/>
          <w:color w:val="auto"/>
          <w:sz w:val="43"/>
          <w:szCs w:val="43"/>
          <w:highlight w:val="none"/>
        </w:rPr>
      </w:pPr>
      <w:r>
        <w:rPr>
          <w:rFonts w:ascii="宋体" w:hAnsi="宋体" w:eastAsia="宋体" w:cs="宋体"/>
          <w:b/>
          <w:bCs/>
          <w:color w:val="auto"/>
          <w:spacing w:val="-14"/>
          <w:sz w:val="43"/>
          <w:szCs w:val="43"/>
          <w:highlight w:val="none"/>
        </w:rPr>
        <w:t>投</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标</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文</w:t>
      </w:r>
      <w:r>
        <w:rPr>
          <w:rFonts w:ascii="宋体" w:hAnsi="宋体" w:eastAsia="宋体" w:cs="宋体"/>
          <w:color w:val="auto"/>
          <w:spacing w:val="24"/>
          <w:sz w:val="43"/>
          <w:szCs w:val="43"/>
          <w:highlight w:val="none"/>
        </w:rPr>
        <w:t xml:space="preserve"> </w:t>
      </w:r>
      <w:r>
        <w:rPr>
          <w:rFonts w:ascii="宋体" w:hAnsi="宋体" w:eastAsia="宋体" w:cs="宋体"/>
          <w:b/>
          <w:bCs/>
          <w:color w:val="auto"/>
          <w:spacing w:val="-14"/>
          <w:sz w:val="43"/>
          <w:szCs w:val="43"/>
          <w:highlight w:val="none"/>
        </w:rPr>
        <w:t>件</w:t>
      </w:r>
    </w:p>
    <w:p w14:paraId="663F01A2">
      <w:pPr>
        <w:spacing w:before="305" w:line="220" w:lineRule="auto"/>
        <w:ind w:left="381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（资信标）</w:t>
      </w:r>
    </w:p>
    <w:p w14:paraId="54EC4351">
      <w:pPr>
        <w:pStyle w:val="3"/>
        <w:spacing w:line="247" w:lineRule="auto"/>
        <w:rPr>
          <w:color w:val="auto"/>
          <w:highlight w:val="none"/>
        </w:rPr>
      </w:pPr>
    </w:p>
    <w:p w14:paraId="223E61EC">
      <w:pPr>
        <w:pStyle w:val="3"/>
        <w:spacing w:line="248" w:lineRule="auto"/>
        <w:rPr>
          <w:color w:val="auto"/>
          <w:highlight w:val="none"/>
        </w:rPr>
      </w:pPr>
    </w:p>
    <w:p w14:paraId="384A630D">
      <w:pPr>
        <w:pStyle w:val="3"/>
        <w:spacing w:line="248" w:lineRule="auto"/>
        <w:rPr>
          <w:color w:val="auto"/>
          <w:highlight w:val="none"/>
        </w:rPr>
      </w:pPr>
    </w:p>
    <w:p w14:paraId="0220D88D">
      <w:pPr>
        <w:pStyle w:val="3"/>
        <w:spacing w:line="248" w:lineRule="auto"/>
        <w:rPr>
          <w:color w:val="auto"/>
          <w:highlight w:val="none"/>
        </w:rPr>
      </w:pPr>
    </w:p>
    <w:p w14:paraId="7D13631A">
      <w:pPr>
        <w:pStyle w:val="3"/>
        <w:spacing w:line="248" w:lineRule="auto"/>
        <w:rPr>
          <w:color w:val="auto"/>
          <w:highlight w:val="none"/>
        </w:rPr>
      </w:pPr>
    </w:p>
    <w:p w14:paraId="2D7CE797">
      <w:pPr>
        <w:pStyle w:val="3"/>
        <w:spacing w:line="248" w:lineRule="auto"/>
        <w:rPr>
          <w:color w:val="auto"/>
          <w:highlight w:val="none"/>
        </w:rPr>
      </w:pPr>
    </w:p>
    <w:p w14:paraId="75E6AAD9">
      <w:pPr>
        <w:pStyle w:val="3"/>
        <w:spacing w:line="248" w:lineRule="auto"/>
        <w:rPr>
          <w:color w:val="auto"/>
          <w:highlight w:val="none"/>
        </w:rPr>
      </w:pPr>
    </w:p>
    <w:p w14:paraId="21B316CA">
      <w:pPr>
        <w:pStyle w:val="3"/>
        <w:spacing w:line="248" w:lineRule="auto"/>
        <w:rPr>
          <w:color w:val="auto"/>
          <w:highlight w:val="none"/>
        </w:rPr>
      </w:pPr>
    </w:p>
    <w:p w14:paraId="5233F39A">
      <w:pPr>
        <w:pStyle w:val="3"/>
        <w:spacing w:line="248" w:lineRule="auto"/>
        <w:rPr>
          <w:color w:val="auto"/>
          <w:highlight w:val="none"/>
        </w:rPr>
      </w:pPr>
    </w:p>
    <w:p w14:paraId="255456D2">
      <w:pPr>
        <w:pStyle w:val="3"/>
        <w:spacing w:line="248" w:lineRule="auto"/>
        <w:rPr>
          <w:color w:val="auto"/>
          <w:highlight w:val="none"/>
        </w:rPr>
      </w:pPr>
    </w:p>
    <w:p w14:paraId="3D5691C4">
      <w:pPr>
        <w:pStyle w:val="3"/>
        <w:spacing w:line="248" w:lineRule="auto"/>
        <w:rPr>
          <w:color w:val="auto"/>
          <w:highlight w:val="none"/>
        </w:rPr>
      </w:pPr>
    </w:p>
    <w:p w14:paraId="030DB5F6">
      <w:pPr>
        <w:pStyle w:val="3"/>
        <w:spacing w:line="248" w:lineRule="auto"/>
        <w:rPr>
          <w:color w:val="auto"/>
          <w:highlight w:val="none"/>
        </w:rPr>
      </w:pPr>
    </w:p>
    <w:p w14:paraId="664B4CF6">
      <w:pPr>
        <w:pStyle w:val="3"/>
        <w:spacing w:line="248" w:lineRule="auto"/>
        <w:rPr>
          <w:color w:val="auto"/>
          <w:highlight w:val="none"/>
        </w:rPr>
      </w:pPr>
    </w:p>
    <w:p w14:paraId="76528C52">
      <w:pPr>
        <w:pStyle w:val="3"/>
        <w:spacing w:line="248" w:lineRule="auto"/>
        <w:rPr>
          <w:color w:val="auto"/>
          <w:highlight w:val="none"/>
        </w:rPr>
      </w:pPr>
    </w:p>
    <w:p w14:paraId="75D72E24">
      <w:pPr>
        <w:pStyle w:val="3"/>
        <w:spacing w:line="248" w:lineRule="auto"/>
        <w:rPr>
          <w:color w:val="auto"/>
          <w:highlight w:val="none"/>
        </w:rPr>
      </w:pPr>
    </w:p>
    <w:p w14:paraId="4B530841">
      <w:pPr>
        <w:pStyle w:val="3"/>
        <w:spacing w:line="248" w:lineRule="auto"/>
        <w:rPr>
          <w:color w:val="auto"/>
          <w:highlight w:val="none"/>
        </w:rPr>
      </w:pPr>
    </w:p>
    <w:p w14:paraId="105BB513">
      <w:pPr>
        <w:pStyle w:val="3"/>
        <w:spacing w:line="248" w:lineRule="auto"/>
        <w:rPr>
          <w:color w:val="auto"/>
          <w:highlight w:val="none"/>
        </w:rPr>
      </w:pPr>
    </w:p>
    <w:p w14:paraId="2A17915F">
      <w:pPr>
        <w:spacing w:before="78" w:line="219" w:lineRule="auto"/>
        <w:ind w:left="121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标</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人</w:t>
      </w:r>
      <w:r>
        <w:rPr>
          <w:rFonts w:ascii="宋体" w:hAnsi="宋体" w:eastAsia="宋体" w:cs="宋体"/>
          <w:color w:val="auto"/>
          <w:spacing w:val="-31"/>
          <w:sz w:val="24"/>
          <w:szCs w:val="24"/>
          <w:highlight w:val="none"/>
        </w:rPr>
        <w:t>：</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31"/>
          <w:sz w:val="24"/>
          <w:szCs w:val="24"/>
          <w:highlight w:val="none"/>
          <w:u w:val="single" w:color="auto"/>
        </w:rPr>
        <w:t>（</w:t>
      </w:r>
      <w:r>
        <w:rPr>
          <w:rFonts w:ascii="宋体" w:hAnsi="宋体" w:eastAsia="宋体" w:cs="宋体"/>
          <w:color w:val="auto"/>
          <w:spacing w:val="-1"/>
          <w:sz w:val="24"/>
          <w:szCs w:val="24"/>
          <w:highlight w:val="none"/>
          <w:u w:val="single" w:color="auto"/>
        </w:rPr>
        <w:t>盖单位公章）</w:t>
      </w:r>
      <w:r>
        <w:rPr>
          <w:rFonts w:ascii="宋体" w:hAnsi="宋体" w:eastAsia="宋体" w:cs="宋体"/>
          <w:color w:val="auto"/>
          <w:sz w:val="24"/>
          <w:szCs w:val="24"/>
          <w:highlight w:val="none"/>
          <w:u w:val="single" w:color="auto"/>
        </w:rPr>
        <w:t xml:space="preserve">            </w:t>
      </w:r>
    </w:p>
    <w:p w14:paraId="46972D3D">
      <w:pPr>
        <w:pStyle w:val="3"/>
        <w:spacing w:line="257" w:lineRule="auto"/>
        <w:rPr>
          <w:color w:val="auto"/>
          <w:highlight w:val="none"/>
        </w:rPr>
      </w:pPr>
    </w:p>
    <w:p w14:paraId="18C96669">
      <w:pPr>
        <w:pStyle w:val="3"/>
        <w:spacing w:line="257" w:lineRule="auto"/>
        <w:rPr>
          <w:color w:val="auto"/>
          <w:highlight w:val="none"/>
        </w:rPr>
      </w:pPr>
    </w:p>
    <w:p w14:paraId="5BD438D6">
      <w:pPr>
        <w:tabs>
          <w:tab w:val="left" w:pos="4216"/>
        </w:tabs>
        <w:spacing w:before="78" w:line="347" w:lineRule="auto"/>
        <w:ind w:left="2896" w:right="1808" w:hanging="16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4"/>
          <w:sz w:val="24"/>
          <w:szCs w:val="24"/>
          <w:highlight w:val="none"/>
          <w:u w:val="single" w:color="auto"/>
        </w:rPr>
        <w:t>（</w:t>
      </w:r>
      <w:r>
        <w:rPr>
          <w:rFonts w:ascii="宋体" w:hAnsi="宋体" w:eastAsia="宋体" w:cs="宋体"/>
          <w:color w:val="auto"/>
          <w:spacing w:val="2"/>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9"/>
          <w:sz w:val="24"/>
          <w:szCs w:val="24"/>
          <w:highlight w:val="none"/>
        </w:rPr>
        <w:t>日</w:t>
      </w:r>
    </w:p>
    <w:p w14:paraId="4E36BFE1">
      <w:pPr>
        <w:pStyle w:val="3"/>
        <w:spacing w:line="296" w:lineRule="auto"/>
        <w:rPr>
          <w:color w:val="auto"/>
          <w:highlight w:val="none"/>
        </w:rPr>
      </w:pPr>
    </w:p>
    <w:p w14:paraId="472EC04A">
      <w:pPr>
        <w:pStyle w:val="3"/>
        <w:spacing w:line="297" w:lineRule="auto"/>
        <w:rPr>
          <w:color w:val="auto"/>
          <w:highlight w:val="none"/>
        </w:rPr>
      </w:pPr>
    </w:p>
    <w:p w14:paraId="12BEF3A2">
      <w:pPr>
        <w:pStyle w:val="3"/>
        <w:spacing w:line="297" w:lineRule="auto"/>
        <w:rPr>
          <w:color w:val="auto"/>
          <w:highlight w:val="none"/>
        </w:rPr>
      </w:pPr>
    </w:p>
    <w:p w14:paraId="0FC29937">
      <w:pPr>
        <w:pStyle w:val="3"/>
        <w:spacing w:line="297" w:lineRule="auto"/>
        <w:rPr>
          <w:color w:val="auto"/>
          <w:highlight w:val="none"/>
        </w:rPr>
      </w:pPr>
    </w:p>
    <w:p w14:paraId="6D73C795">
      <w:pPr>
        <w:spacing w:before="82" w:line="211"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rPr>
        <w:t>注：本页同时适用于封面或扉页。</w:t>
      </w:r>
    </w:p>
    <w:p w14:paraId="61497318">
      <w:pPr>
        <w:spacing w:line="211" w:lineRule="auto"/>
        <w:rPr>
          <w:rFonts w:ascii="宋体" w:hAnsi="宋体" w:eastAsia="宋体" w:cs="宋体"/>
          <w:color w:val="auto"/>
          <w:sz w:val="25"/>
          <w:szCs w:val="25"/>
          <w:highlight w:val="none"/>
        </w:rPr>
        <w:sectPr>
          <w:pgSz w:w="11905" w:h="16843"/>
          <w:pgMar w:top="1429" w:right="1361" w:bottom="1253" w:left="1621" w:header="0" w:footer="1094" w:gutter="0"/>
          <w:pgNumType w:fmt="decimal"/>
          <w:cols w:space="0" w:num="1"/>
          <w:rtlGutter w:val="0"/>
          <w:docGrid w:linePitch="0" w:charSpace="0"/>
        </w:sectPr>
      </w:pPr>
    </w:p>
    <w:p w14:paraId="26113E08">
      <w:pPr>
        <w:spacing w:before="56" w:line="220" w:lineRule="auto"/>
        <w:ind w:left="3517"/>
        <w:outlineLvl w:val="1"/>
        <w:rPr>
          <w:rFonts w:ascii="宋体" w:hAnsi="宋体" w:eastAsia="宋体" w:cs="宋体"/>
          <w:color w:val="auto"/>
          <w:sz w:val="28"/>
          <w:szCs w:val="28"/>
          <w:highlight w:val="none"/>
        </w:rPr>
      </w:pPr>
      <w:bookmarkStart w:id="856" w:name="bookmark1308"/>
      <w:bookmarkEnd w:id="856"/>
      <w:bookmarkStart w:id="857" w:name="bookmark1307"/>
      <w:bookmarkEnd w:id="857"/>
      <w:bookmarkStart w:id="858" w:name="_Toc2366"/>
      <w:bookmarkStart w:id="859" w:name="_Toc6876"/>
      <w:r>
        <w:rPr>
          <w:rFonts w:ascii="宋体" w:hAnsi="宋体" w:eastAsia="宋体" w:cs="宋体"/>
          <w:b/>
          <w:bCs/>
          <w:color w:val="auto"/>
          <w:spacing w:val="-7"/>
          <w:sz w:val="28"/>
          <w:szCs w:val="28"/>
          <w:highlight w:val="none"/>
        </w:rPr>
        <w:t>资信标目录</w:t>
      </w:r>
      <w:bookmarkEnd w:id="858"/>
      <w:bookmarkEnd w:id="859"/>
    </w:p>
    <w:p w14:paraId="57485498">
      <w:pPr>
        <w:pStyle w:val="3"/>
        <w:spacing w:line="245" w:lineRule="auto"/>
        <w:rPr>
          <w:color w:val="auto"/>
          <w:highlight w:val="none"/>
        </w:rPr>
      </w:pPr>
    </w:p>
    <w:p w14:paraId="1823BE01">
      <w:pPr>
        <w:spacing w:before="78" w:line="220" w:lineRule="auto"/>
        <w:ind w:left="296"/>
        <w:rPr>
          <w:rFonts w:ascii="宋体" w:hAnsi="宋体" w:eastAsia="宋体" w:cs="宋体"/>
          <w:sz w:val="24"/>
          <w:szCs w:val="24"/>
        </w:rPr>
      </w:pPr>
      <w:r>
        <w:rPr>
          <w:rFonts w:ascii="宋体" w:hAnsi="宋体" w:eastAsia="宋体" w:cs="宋体"/>
          <w:spacing w:val="-5"/>
          <w:sz w:val="24"/>
          <w:szCs w:val="24"/>
        </w:rPr>
        <w:t>一、企业信用等级。</w:t>
      </w:r>
    </w:p>
    <w:p w14:paraId="63325BD4">
      <w:pPr>
        <w:spacing w:before="180" w:line="220" w:lineRule="auto"/>
        <w:ind w:left="296"/>
        <w:rPr>
          <w:rFonts w:ascii="宋体" w:hAnsi="宋体" w:eastAsia="宋体" w:cs="宋体"/>
          <w:strike/>
          <w:dstrike w:val="0"/>
          <w:sz w:val="24"/>
          <w:szCs w:val="24"/>
        </w:rPr>
      </w:pPr>
      <w:r>
        <w:rPr>
          <w:rFonts w:ascii="宋体" w:hAnsi="宋体" w:eastAsia="宋体" w:cs="宋体"/>
          <w:strike/>
          <w:dstrike w:val="0"/>
          <w:spacing w:val="-3"/>
          <w:sz w:val="24"/>
          <w:szCs w:val="24"/>
        </w:rPr>
        <w:t>二、评审打分业绩。（若有）</w:t>
      </w:r>
    </w:p>
    <w:p w14:paraId="522D7A6C">
      <w:pPr>
        <w:spacing w:before="181" w:line="219" w:lineRule="auto"/>
        <w:ind w:left="292"/>
        <w:rPr>
          <w:rFonts w:ascii="宋体" w:hAnsi="宋体" w:eastAsia="宋体" w:cs="宋体"/>
          <w:sz w:val="24"/>
          <w:szCs w:val="24"/>
        </w:rPr>
      </w:pPr>
      <w:r>
        <w:rPr>
          <w:rFonts w:ascii="宋体" w:hAnsi="宋体" w:eastAsia="宋体" w:cs="宋体"/>
          <w:spacing w:val="-2"/>
          <w:sz w:val="24"/>
          <w:szCs w:val="24"/>
        </w:rPr>
        <w:t>三、其他材料</w:t>
      </w:r>
    </w:p>
    <w:p w14:paraId="1AAE6D08">
      <w:pPr>
        <w:spacing w:before="181" w:line="220" w:lineRule="auto"/>
        <w:ind w:left="298"/>
        <w:rPr>
          <w:rFonts w:ascii="宋体" w:hAnsi="宋体" w:eastAsia="宋体" w:cs="宋体"/>
          <w:color w:val="auto"/>
          <w:sz w:val="24"/>
          <w:szCs w:val="24"/>
          <w:highlight w:val="none"/>
        </w:rPr>
      </w:pPr>
      <w:r>
        <w:rPr>
          <w:rFonts w:ascii="宋体" w:hAnsi="宋体" w:eastAsia="宋体" w:cs="宋体"/>
          <w:spacing w:val="-5"/>
          <w:sz w:val="24"/>
          <w:szCs w:val="24"/>
        </w:rPr>
        <w:t>四、招标人要求提交的其他资料。</w:t>
      </w:r>
    </w:p>
    <w:p w14:paraId="424C1B65">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2DE693DA">
      <w:pPr>
        <w:spacing w:before="56" w:line="220" w:lineRule="auto"/>
        <w:outlineLvl w:val="1"/>
        <w:rPr>
          <w:rFonts w:ascii="宋体" w:hAnsi="宋体" w:eastAsia="宋体" w:cs="宋体"/>
          <w:color w:val="auto"/>
          <w:sz w:val="28"/>
          <w:szCs w:val="28"/>
          <w:highlight w:val="none"/>
        </w:rPr>
      </w:pPr>
      <w:bookmarkStart w:id="860" w:name="bookmark1309"/>
      <w:bookmarkEnd w:id="860"/>
      <w:bookmarkStart w:id="861" w:name="bookmark1310"/>
      <w:bookmarkEnd w:id="861"/>
      <w:bookmarkStart w:id="862" w:name="_Toc19334"/>
      <w:bookmarkStart w:id="863" w:name="_Toc12583"/>
      <w:r>
        <w:rPr>
          <w:rFonts w:ascii="宋体" w:hAnsi="宋体" w:eastAsia="宋体" w:cs="宋体"/>
          <w:b/>
          <w:bCs/>
          <w:color w:val="auto"/>
          <w:spacing w:val="-6"/>
          <w:sz w:val="28"/>
          <w:szCs w:val="28"/>
          <w:highlight w:val="none"/>
        </w:rPr>
        <w:t>一、企业信用等级</w:t>
      </w:r>
      <w:bookmarkEnd w:id="862"/>
      <w:bookmarkEnd w:id="863"/>
    </w:p>
    <w:p w14:paraId="7E5FFE15">
      <w:pPr>
        <w:spacing w:line="220" w:lineRule="auto"/>
        <w:rPr>
          <w:rFonts w:ascii="宋体" w:hAnsi="宋体" w:eastAsia="宋体" w:cs="宋体"/>
          <w:color w:val="auto"/>
          <w:sz w:val="28"/>
          <w:szCs w:val="28"/>
          <w:highlight w:val="none"/>
        </w:rPr>
        <w:sectPr>
          <w:pgSz w:w="11905" w:h="16843"/>
          <w:pgMar w:top="1429" w:right="1361" w:bottom="1253" w:left="1621" w:header="0" w:footer="1094" w:gutter="0"/>
          <w:pgNumType w:fmt="decimal"/>
          <w:cols w:space="0" w:num="1"/>
          <w:rtlGutter w:val="0"/>
          <w:docGrid w:linePitch="0" w:charSpace="0"/>
        </w:sectPr>
      </w:pPr>
    </w:p>
    <w:p w14:paraId="65DBF2C3">
      <w:pPr>
        <w:spacing w:before="55" w:line="221" w:lineRule="auto"/>
        <w:ind w:left="15"/>
        <w:outlineLvl w:val="1"/>
        <w:rPr>
          <w:rFonts w:ascii="宋体" w:hAnsi="宋体" w:eastAsia="宋体" w:cs="宋体"/>
          <w:strike/>
          <w:dstrike w:val="0"/>
          <w:color w:val="auto"/>
          <w:sz w:val="28"/>
          <w:szCs w:val="28"/>
          <w:highlight w:val="none"/>
        </w:rPr>
      </w:pPr>
      <w:bookmarkStart w:id="864" w:name="bookmark1312"/>
      <w:bookmarkEnd w:id="864"/>
      <w:bookmarkStart w:id="865" w:name="bookmark1311"/>
      <w:bookmarkEnd w:id="865"/>
      <w:bookmarkStart w:id="866" w:name="_Toc27044"/>
      <w:bookmarkStart w:id="867" w:name="_Toc26835"/>
      <w:r>
        <w:rPr>
          <w:rFonts w:ascii="宋体" w:hAnsi="宋体" w:eastAsia="宋体" w:cs="宋体"/>
          <w:b/>
          <w:bCs/>
          <w:strike/>
          <w:dstrike w:val="0"/>
          <w:color w:val="auto"/>
          <w:spacing w:val="-4"/>
          <w:sz w:val="28"/>
          <w:szCs w:val="28"/>
          <w:highlight w:val="none"/>
        </w:rPr>
        <w:t>二、评审打分业绩</w:t>
      </w:r>
      <w:bookmarkEnd w:id="866"/>
      <w:bookmarkEnd w:id="867"/>
    </w:p>
    <w:p w14:paraId="4A12E92B">
      <w:pPr>
        <w:spacing w:before="333" w:line="220" w:lineRule="auto"/>
        <w:ind w:left="2144"/>
        <w:rPr>
          <w:rFonts w:ascii="宋体" w:hAnsi="宋体" w:eastAsia="宋体" w:cs="宋体"/>
          <w:strike/>
          <w:dstrike w:val="0"/>
          <w:color w:val="auto"/>
          <w:sz w:val="30"/>
          <w:szCs w:val="30"/>
          <w:highlight w:val="yellow"/>
        </w:rPr>
      </w:pPr>
      <w:r>
        <w:rPr>
          <w:rFonts w:ascii="宋体" w:hAnsi="宋体" w:eastAsia="宋体" w:cs="宋体"/>
          <w:b/>
          <w:bCs/>
          <w:strike/>
          <w:dstrike w:val="0"/>
          <w:color w:val="auto"/>
          <w:spacing w:val="-4"/>
          <w:sz w:val="30"/>
          <w:szCs w:val="30"/>
          <w:highlight w:val="none"/>
        </w:rPr>
        <w:t>业绩汇总表（评审打分业绩的汇总）</w:t>
      </w:r>
    </w:p>
    <w:p w14:paraId="13E66EF7">
      <w:pPr>
        <w:spacing w:before="16"/>
        <w:rPr>
          <w:strike/>
          <w:dstrike w:val="0"/>
          <w:color w:val="auto"/>
          <w:highlight w:val="none"/>
        </w:rPr>
      </w:pPr>
    </w:p>
    <w:p w14:paraId="648C18DC">
      <w:pPr>
        <w:spacing w:before="15"/>
        <w:rPr>
          <w:strike/>
          <w:dstrike w:val="0"/>
          <w:color w:val="auto"/>
          <w:highlight w:val="none"/>
        </w:rPr>
      </w:pPr>
    </w:p>
    <w:tbl>
      <w:tblPr>
        <w:tblStyle w:val="32"/>
        <w:tblW w:w="8634"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742"/>
        <w:gridCol w:w="1321"/>
        <w:gridCol w:w="1146"/>
        <w:gridCol w:w="1376"/>
        <w:gridCol w:w="1685"/>
        <w:gridCol w:w="1153"/>
        <w:gridCol w:w="1211"/>
      </w:tblGrid>
      <w:tr w14:paraId="249300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903" w:hRule="atLeast"/>
        </w:trPr>
        <w:tc>
          <w:tcPr>
            <w:tcW w:w="742" w:type="dxa"/>
            <w:tcBorders>
              <w:top w:val="single" w:color="000000" w:sz="10" w:space="0"/>
              <w:left w:val="single" w:color="000000" w:sz="10" w:space="0"/>
            </w:tcBorders>
            <w:vAlign w:val="top"/>
          </w:tcPr>
          <w:p w14:paraId="424DDF8D">
            <w:pPr>
              <w:spacing w:line="250" w:lineRule="auto"/>
              <w:rPr>
                <w:rFonts w:ascii="Arial"/>
                <w:strike/>
                <w:dstrike w:val="0"/>
                <w:color w:val="auto"/>
                <w:sz w:val="21"/>
                <w:highlight w:val="none"/>
              </w:rPr>
            </w:pPr>
          </w:p>
          <w:p w14:paraId="72373888">
            <w:pPr>
              <w:spacing w:line="250" w:lineRule="auto"/>
              <w:rPr>
                <w:rFonts w:ascii="Arial"/>
                <w:strike/>
                <w:dstrike w:val="0"/>
                <w:color w:val="auto"/>
                <w:sz w:val="21"/>
                <w:highlight w:val="none"/>
              </w:rPr>
            </w:pPr>
          </w:p>
          <w:p w14:paraId="2B9373D0">
            <w:pPr>
              <w:spacing w:line="251" w:lineRule="auto"/>
              <w:rPr>
                <w:rFonts w:ascii="Arial"/>
                <w:strike/>
                <w:dstrike w:val="0"/>
                <w:color w:val="auto"/>
                <w:sz w:val="21"/>
                <w:highlight w:val="none"/>
              </w:rPr>
            </w:pPr>
          </w:p>
          <w:p w14:paraId="2E5D8E9E">
            <w:pPr>
              <w:pStyle w:val="33"/>
              <w:spacing w:before="78" w:line="221" w:lineRule="auto"/>
              <w:ind w:left="124"/>
              <w:rPr>
                <w:strike/>
                <w:dstrike w:val="0"/>
                <w:color w:val="auto"/>
                <w:sz w:val="24"/>
                <w:szCs w:val="24"/>
                <w:highlight w:val="none"/>
              </w:rPr>
            </w:pPr>
            <w:r>
              <w:rPr>
                <w:strike/>
                <w:dstrike w:val="0"/>
                <w:color w:val="auto"/>
                <w:spacing w:val="-3"/>
                <w:sz w:val="24"/>
                <w:szCs w:val="24"/>
                <w:highlight w:val="none"/>
              </w:rPr>
              <w:t>序号</w:t>
            </w:r>
          </w:p>
        </w:tc>
        <w:tc>
          <w:tcPr>
            <w:tcW w:w="1321" w:type="dxa"/>
            <w:tcBorders>
              <w:top w:val="single" w:color="000000" w:sz="10" w:space="0"/>
            </w:tcBorders>
            <w:vAlign w:val="top"/>
          </w:tcPr>
          <w:p w14:paraId="174EEBBE">
            <w:pPr>
              <w:spacing w:line="298" w:lineRule="auto"/>
              <w:rPr>
                <w:rFonts w:ascii="Arial"/>
                <w:strike/>
                <w:dstrike w:val="0"/>
                <w:color w:val="auto"/>
                <w:sz w:val="21"/>
                <w:highlight w:val="none"/>
              </w:rPr>
            </w:pPr>
          </w:p>
          <w:p w14:paraId="066F967B">
            <w:pPr>
              <w:spacing w:line="298" w:lineRule="auto"/>
              <w:rPr>
                <w:rFonts w:ascii="Arial"/>
                <w:strike/>
                <w:dstrike w:val="0"/>
                <w:color w:val="auto"/>
                <w:sz w:val="21"/>
                <w:highlight w:val="none"/>
              </w:rPr>
            </w:pPr>
          </w:p>
          <w:p w14:paraId="2EC21480">
            <w:pPr>
              <w:pStyle w:val="33"/>
              <w:spacing w:before="78" w:line="230" w:lineRule="auto"/>
              <w:ind w:left="412" w:right="66" w:hanging="355"/>
              <w:rPr>
                <w:strike/>
                <w:dstrike w:val="0"/>
                <w:color w:val="auto"/>
                <w:sz w:val="24"/>
                <w:szCs w:val="24"/>
                <w:highlight w:val="none"/>
              </w:rPr>
            </w:pPr>
            <w:r>
              <w:rPr>
                <w:strike/>
                <w:dstrike w:val="0"/>
                <w:color w:val="auto"/>
                <w:spacing w:val="-3"/>
                <w:sz w:val="24"/>
                <w:szCs w:val="24"/>
                <w:highlight w:val="none"/>
              </w:rPr>
              <w:t>该业绩证明</w:t>
            </w:r>
            <w:r>
              <w:rPr>
                <w:strike/>
                <w:dstrike w:val="0"/>
                <w:color w:val="auto"/>
                <w:sz w:val="24"/>
                <w:szCs w:val="24"/>
                <w:highlight w:val="none"/>
              </w:rPr>
              <w:t xml:space="preserve"> </w:t>
            </w:r>
            <w:r>
              <w:rPr>
                <w:strike/>
                <w:dstrike w:val="0"/>
                <w:color w:val="auto"/>
                <w:spacing w:val="-3"/>
                <w:sz w:val="24"/>
                <w:szCs w:val="24"/>
                <w:highlight w:val="none"/>
              </w:rPr>
              <w:t>对象</w:t>
            </w:r>
          </w:p>
        </w:tc>
        <w:tc>
          <w:tcPr>
            <w:tcW w:w="1146" w:type="dxa"/>
            <w:tcBorders>
              <w:top w:val="single" w:color="000000" w:sz="10" w:space="0"/>
            </w:tcBorders>
            <w:vAlign w:val="top"/>
          </w:tcPr>
          <w:p w14:paraId="53CD51B9">
            <w:pPr>
              <w:spacing w:line="250" w:lineRule="auto"/>
              <w:rPr>
                <w:rFonts w:ascii="Arial"/>
                <w:strike/>
                <w:dstrike w:val="0"/>
                <w:color w:val="auto"/>
                <w:sz w:val="21"/>
                <w:highlight w:val="none"/>
              </w:rPr>
            </w:pPr>
          </w:p>
          <w:p w14:paraId="45BF3E63">
            <w:pPr>
              <w:spacing w:line="251" w:lineRule="auto"/>
              <w:rPr>
                <w:rFonts w:ascii="Arial"/>
                <w:strike/>
                <w:dstrike w:val="0"/>
                <w:color w:val="auto"/>
                <w:sz w:val="21"/>
                <w:highlight w:val="none"/>
              </w:rPr>
            </w:pPr>
          </w:p>
          <w:p w14:paraId="2F5F98AC">
            <w:pPr>
              <w:spacing w:line="251" w:lineRule="auto"/>
              <w:rPr>
                <w:rFonts w:ascii="Arial"/>
                <w:strike/>
                <w:dstrike w:val="0"/>
                <w:color w:val="auto"/>
                <w:sz w:val="21"/>
                <w:highlight w:val="none"/>
              </w:rPr>
            </w:pPr>
          </w:p>
          <w:p w14:paraId="4A7E4F6B">
            <w:pPr>
              <w:pStyle w:val="33"/>
              <w:spacing w:before="78" w:line="220" w:lineRule="auto"/>
              <w:ind w:left="92"/>
              <w:rPr>
                <w:strike/>
                <w:dstrike w:val="0"/>
                <w:color w:val="auto"/>
                <w:sz w:val="24"/>
                <w:szCs w:val="24"/>
                <w:highlight w:val="none"/>
              </w:rPr>
            </w:pPr>
            <w:r>
              <w:rPr>
                <w:strike/>
                <w:dstrike w:val="0"/>
                <w:color w:val="auto"/>
                <w:spacing w:val="-3"/>
                <w:sz w:val="24"/>
                <w:szCs w:val="24"/>
                <w:highlight w:val="none"/>
              </w:rPr>
              <w:t>项目名称</w:t>
            </w:r>
          </w:p>
        </w:tc>
        <w:tc>
          <w:tcPr>
            <w:tcW w:w="1376" w:type="dxa"/>
            <w:tcBorders>
              <w:top w:val="single" w:color="000000" w:sz="10" w:space="0"/>
            </w:tcBorders>
            <w:vAlign w:val="top"/>
          </w:tcPr>
          <w:p w14:paraId="7BB7A66F">
            <w:pPr>
              <w:spacing w:line="298" w:lineRule="auto"/>
              <w:rPr>
                <w:rFonts w:ascii="Arial"/>
                <w:strike/>
                <w:dstrike w:val="0"/>
                <w:color w:val="auto"/>
                <w:sz w:val="21"/>
                <w:highlight w:val="none"/>
              </w:rPr>
            </w:pPr>
          </w:p>
          <w:p w14:paraId="626A9839">
            <w:pPr>
              <w:spacing w:line="299" w:lineRule="auto"/>
              <w:rPr>
                <w:rFonts w:ascii="Arial"/>
                <w:strike/>
                <w:dstrike w:val="0"/>
                <w:color w:val="auto"/>
                <w:sz w:val="21"/>
                <w:highlight w:val="none"/>
              </w:rPr>
            </w:pPr>
          </w:p>
          <w:p w14:paraId="5DE5AB79">
            <w:pPr>
              <w:pStyle w:val="33"/>
              <w:spacing w:before="78" w:line="230" w:lineRule="auto"/>
              <w:ind w:left="90" w:right="103"/>
              <w:rPr>
                <w:strike/>
                <w:dstrike w:val="0"/>
                <w:color w:val="auto"/>
                <w:sz w:val="24"/>
                <w:szCs w:val="24"/>
                <w:highlight w:val="none"/>
              </w:rPr>
            </w:pPr>
            <w:r>
              <w:rPr>
                <w:strike/>
                <w:dstrike w:val="0"/>
                <w:color w:val="auto"/>
                <w:spacing w:val="14"/>
                <w:sz w:val="24"/>
                <w:szCs w:val="24"/>
                <w:highlight w:val="none"/>
              </w:rPr>
              <w:t>建设单位(</w:t>
            </w:r>
            <w:r>
              <w:rPr>
                <w:strike/>
                <w:dstrike w:val="0"/>
                <w:color w:val="auto"/>
                <w:spacing w:val="1"/>
                <w:sz w:val="24"/>
                <w:szCs w:val="24"/>
                <w:highlight w:val="none"/>
              </w:rPr>
              <w:t xml:space="preserve"> </w:t>
            </w:r>
            <w:r>
              <w:rPr>
                <w:strike/>
                <w:dstrike w:val="0"/>
                <w:color w:val="auto"/>
                <w:spacing w:val="-6"/>
                <w:sz w:val="24"/>
                <w:szCs w:val="24"/>
                <w:highlight w:val="none"/>
              </w:rPr>
              <w:t>项目业主）</w:t>
            </w:r>
          </w:p>
        </w:tc>
        <w:tc>
          <w:tcPr>
            <w:tcW w:w="1685" w:type="dxa"/>
            <w:tcBorders>
              <w:top w:val="single" w:color="000000" w:sz="10" w:space="0"/>
            </w:tcBorders>
            <w:vAlign w:val="top"/>
          </w:tcPr>
          <w:p w14:paraId="3AA97799">
            <w:pPr>
              <w:spacing w:line="287" w:lineRule="auto"/>
              <w:rPr>
                <w:rFonts w:ascii="Arial"/>
                <w:strike/>
                <w:dstrike w:val="0"/>
                <w:color w:val="auto"/>
                <w:sz w:val="21"/>
                <w:highlight w:val="none"/>
              </w:rPr>
            </w:pPr>
          </w:p>
          <w:p w14:paraId="6125144B">
            <w:pPr>
              <w:pStyle w:val="33"/>
              <w:spacing w:before="78" w:line="233" w:lineRule="auto"/>
              <w:ind w:left="128" w:right="116" w:firstLine="3"/>
              <w:rPr>
                <w:strike/>
                <w:dstrike w:val="0"/>
                <w:color w:val="auto"/>
                <w:sz w:val="24"/>
                <w:szCs w:val="24"/>
                <w:highlight w:val="none"/>
              </w:rPr>
            </w:pPr>
            <w:r>
              <w:rPr>
                <w:strike/>
                <w:dstrike w:val="0"/>
                <w:color w:val="auto"/>
                <w:spacing w:val="-3"/>
                <w:sz w:val="24"/>
                <w:szCs w:val="24"/>
                <w:highlight w:val="none"/>
              </w:rPr>
              <w:t>与评审有关的</w:t>
            </w:r>
            <w:r>
              <w:rPr>
                <w:strike/>
                <w:dstrike w:val="0"/>
                <w:color w:val="auto"/>
                <w:spacing w:val="2"/>
                <w:sz w:val="24"/>
                <w:szCs w:val="24"/>
                <w:highlight w:val="none"/>
              </w:rPr>
              <w:t xml:space="preserve"> </w:t>
            </w:r>
            <w:r>
              <w:rPr>
                <w:strike/>
                <w:dstrike w:val="0"/>
                <w:color w:val="auto"/>
                <w:spacing w:val="-2"/>
                <w:sz w:val="24"/>
                <w:szCs w:val="24"/>
                <w:highlight w:val="none"/>
              </w:rPr>
              <w:t>时间、规模、</w:t>
            </w:r>
            <w:r>
              <w:rPr>
                <w:strike/>
                <w:dstrike w:val="0"/>
                <w:color w:val="auto"/>
                <w:sz w:val="24"/>
                <w:szCs w:val="24"/>
                <w:highlight w:val="none"/>
              </w:rPr>
              <w:t xml:space="preserve"> </w:t>
            </w:r>
            <w:r>
              <w:rPr>
                <w:strike/>
                <w:dstrike w:val="0"/>
                <w:color w:val="auto"/>
                <w:spacing w:val="-2"/>
                <w:sz w:val="24"/>
                <w:szCs w:val="24"/>
                <w:highlight w:val="none"/>
              </w:rPr>
              <w:t>技术指标及其</w:t>
            </w:r>
          </w:p>
          <w:p w14:paraId="2B74D9A3">
            <w:pPr>
              <w:pStyle w:val="33"/>
              <w:spacing w:before="26" w:line="220" w:lineRule="auto"/>
              <w:ind w:left="487"/>
              <w:rPr>
                <w:strike/>
                <w:dstrike w:val="0"/>
                <w:color w:val="auto"/>
                <w:sz w:val="24"/>
                <w:szCs w:val="24"/>
                <w:highlight w:val="none"/>
              </w:rPr>
            </w:pPr>
            <w:r>
              <w:rPr>
                <w:strike/>
                <w:dstrike w:val="0"/>
                <w:color w:val="auto"/>
                <w:spacing w:val="-3"/>
                <w:sz w:val="24"/>
                <w:szCs w:val="24"/>
                <w:highlight w:val="none"/>
              </w:rPr>
              <w:t>他要求</w:t>
            </w:r>
          </w:p>
        </w:tc>
        <w:tc>
          <w:tcPr>
            <w:tcW w:w="1153" w:type="dxa"/>
            <w:tcBorders>
              <w:top w:val="single" w:color="000000" w:sz="10" w:space="0"/>
            </w:tcBorders>
            <w:vAlign w:val="top"/>
          </w:tcPr>
          <w:p w14:paraId="6209E24E">
            <w:pPr>
              <w:spacing w:line="298" w:lineRule="auto"/>
              <w:rPr>
                <w:rFonts w:ascii="Arial"/>
                <w:strike/>
                <w:dstrike w:val="0"/>
                <w:color w:val="auto"/>
                <w:sz w:val="21"/>
                <w:highlight w:val="none"/>
              </w:rPr>
            </w:pPr>
          </w:p>
          <w:p w14:paraId="1CC5ECCD">
            <w:pPr>
              <w:spacing w:line="299" w:lineRule="auto"/>
              <w:rPr>
                <w:rFonts w:ascii="Arial"/>
                <w:strike/>
                <w:dstrike w:val="0"/>
                <w:color w:val="auto"/>
                <w:sz w:val="21"/>
                <w:highlight w:val="none"/>
              </w:rPr>
            </w:pPr>
          </w:p>
          <w:p w14:paraId="50E62AA2">
            <w:pPr>
              <w:pStyle w:val="33"/>
              <w:spacing w:before="78" w:line="229" w:lineRule="auto"/>
              <w:ind w:left="108" w:right="84"/>
              <w:rPr>
                <w:strike/>
                <w:dstrike w:val="0"/>
                <w:color w:val="auto"/>
                <w:sz w:val="24"/>
                <w:szCs w:val="24"/>
                <w:highlight w:val="none"/>
              </w:rPr>
            </w:pPr>
            <w:r>
              <w:rPr>
                <w:strike/>
                <w:dstrike w:val="0"/>
                <w:color w:val="auto"/>
                <w:spacing w:val="-3"/>
                <w:sz w:val="24"/>
                <w:szCs w:val="24"/>
                <w:highlight w:val="none"/>
              </w:rPr>
              <w:t>提交证明</w:t>
            </w:r>
            <w:r>
              <w:rPr>
                <w:strike/>
                <w:dstrike w:val="0"/>
                <w:color w:val="auto"/>
                <w:sz w:val="24"/>
                <w:szCs w:val="24"/>
                <w:highlight w:val="none"/>
              </w:rPr>
              <w:t xml:space="preserve"> </w:t>
            </w:r>
            <w:r>
              <w:rPr>
                <w:strike/>
                <w:dstrike w:val="0"/>
                <w:color w:val="auto"/>
                <w:spacing w:val="-3"/>
                <w:sz w:val="24"/>
                <w:szCs w:val="24"/>
                <w:highlight w:val="none"/>
              </w:rPr>
              <w:t>材料内容</w:t>
            </w:r>
          </w:p>
        </w:tc>
        <w:tc>
          <w:tcPr>
            <w:tcW w:w="1211" w:type="dxa"/>
            <w:tcBorders>
              <w:top w:val="single" w:color="000000" w:sz="10" w:space="0"/>
              <w:right w:val="single" w:color="000000" w:sz="10" w:space="0"/>
            </w:tcBorders>
            <w:vAlign w:val="top"/>
          </w:tcPr>
          <w:p w14:paraId="5D03A70C">
            <w:pPr>
              <w:spacing w:line="298" w:lineRule="auto"/>
              <w:rPr>
                <w:rFonts w:ascii="Arial"/>
                <w:strike/>
                <w:dstrike w:val="0"/>
                <w:color w:val="auto"/>
                <w:sz w:val="21"/>
                <w:highlight w:val="none"/>
              </w:rPr>
            </w:pPr>
          </w:p>
          <w:p w14:paraId="59FD14A1">
            <w:pPr>
              <w:spacing w:line="298" w:lineRule="auto"/>
              <w:rPr>
                <w:rFonts w:ascii="Arial"/>
                <w:strike/>
                <w:dstrike w:val="0"/>
                <w:color w:val="auto"/>
                <w:sz w:val="21"/>
                <w:highlight w:val="none"/>
              </w:rPr>
            </w:pPr>
          </w:p>
          <w:p w14:paraId="6FBC3879">
            <w:pPr>
              <w:pStyle w:val="33"/>
              <w:spacing w:before="78" w:line="230" w:lineRule="auto"/>
              <w:ind w:left="127" w:right="113"/>
              <w:rPr>
                <w:strike/>
                <w:dstrike w:val="0"/>
                <w:color w:val="auto"/>
                <w:sz w:val="24"/>
                <w:szCs w:val="24"/>
                <w:highlight w:val="none"/>
              </w:rPr>
            </w:pPr>
            <w:r>
              <w:rPr>
                <w:strike/>
                <w:dstrike w:val="0"/>
                <w:color w:val="auto"/>
                <w:spacing w:val="-3"/>
                <w:sz w:val="24"/>
                <w:szCs w:val="24"/>
                <w:highlight w:val="none"/>
              </w:rPr>
              <w:t>在投标文</w:t>
            </w:r>
            <w:r>
              <w:rPr>
                <w:strike/>
                <w:dstrike w:val="0"/>
                <w:color w:val="auto"/>
                <w:spacing w:val="2"/>
                <w:sz w:val="24"/>
                <w:szCs w:val="24"/>
                <w:highlight w:val="none"/>
              </w:rPr>
              <w:t xml:space="preserve"> </w:t>
            </w:r>
            <w:r>
              <w:rPr>
                <w:strike/>
                <w:dstrike w:val="0"/>
                <w:color w:val="auto"/>
                <w:spacing w:val="-3"/>
                <w:sz w:val="24"/>
                <w:szCs w:val="24"/>
                <w:highlight w:val="none"/>
              </w:rPr>
              <w:t>件的位置</w:t>
            </w:r>
          </w:p>
        </w:tc>
      </w:tr>
      <w:tr w14:paraId="520BB6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770" w:hRule="atLeast"/>
        </w:trPr>
        <w:tc>
          <w:tcPr>
            <w:tcW w:w="742" w:type="dxa"/>
            <w:tcBorders>
              <w:left w:val="single" w:color="000000" w:sz="10" w:space="0"/>
            </w:tcBorders>
            <w:vAlign w:val="top"/>
          </w:tcPr>
          <w:p w14:paraId="58C082CD">
            <w:pPr>
              <w:spacing w:line="247" w:lineRule="auto"/>
              <w:rPr>
                <w:rFonts w:ascii="Arial"/>
                <w:strike/>
                <w:dstrike w:val="0"/>
                <w:color w:val="auto"/>
                <w:sz w:val="21"/>
                <w:highlight w:val="none"/>
              </w:rPr>
            </w:pPr>
          </w:p>
          <w:p w14:paraId="487B67AF">
            <w:pPr>
              <w:spacing w:line="247" w:lineRule="auto"/>
              <w:rPr>
                <w:rFonts w:ascii="Arial"/>
                <w:strike/>
                <w:dstrike w:val="0"/>
                <w:color w:val="auto"/>
                <w:sz w:val="21"/>
                <w:highlight w:val="none"/>
              </w:rPr>
            </w:pPr>
          </w:p>
          <w:p w14:paraId="58AB7280">
            <w:pPr>
              <w:spacing w:line="248" w:lineRule="auto"/>
              <w:rPr>
                <w:rFonts w:ascii="Arial"/>
                <w:strike/>
                <w:dstrike w:val="0"/>
                <w:color w:val="auto"/>
                <w:sz w:val="21"/>
                <w:highlight w:val="none"/>
              </w:rPr>
            </w:pPr>
          </w:p>
          <w:p w14:paraId="3ED0038D">
            <w:pPr>
              <w:spacing w:before="69" w:line="186" w:lineRule="auto"/>
              <w:ind w:left="324"/>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strike/>
                <w:dstrike w:val="0"/>
                <w:color w:val="auto"/>
                <w:sz w:val="24"/>
                <w:szCs w:val="24"/>
                <w:highlight w:val="none"/>
              </w:rPr>
              <w:t>1</w:t>
            </w:r>
          </w:p>
        </w:tc>
        <w:tc>
          <w:tcPr>
            <w:tcW w:w="1321" w:type="dxa"/>
            <w:vAlign w:val="top"/>
          </w:tcPr>
          <w:p w14:paraId="39192225">
            <w:pPr>
              <w:spacing w:line="293" w:lineRule="auto"/>
              <w:rPr>
                <w:rFonts w:ascii="Arial"/>
                <w:strike/>
                <w:dstrike w:val="0"/>
                <w:color w:val="auto"/>
                <w:sz w:val="21"/>
                <w:highlight w:val="none"/>
              </w:rPr>
            </w:pPr>
          </w:p>
          <w:p w14:paraId="63FD876B">
            <w:pPr>
              <w:spacing w:line="293" w:lineRule="auto"/>
              <w:rPr>
                <w:rFonts w:ascii="Arial"/>
                <w:strike/>
                <w:dstrike w:val="0"/>
                <w:color w:val="auto"/>
                <w:sz w:val="21"/>
                <w:highlight w:val="none"/>
              </w:rPr>
            </w:pPr>
          </w:p>
          <w:p w14:paraId="2C41E4F5">
            <w:pPr>
              <w:spacing w:line="294" w:lineRule="auto"/>
              <w:rPr>
                <w:rFonts w:ascii="Arial"/>
                <w:strike/>
                <w:dstrike w:val="0"/>
                <w:color w:val="auto"/>
                <w:sz w:val="21"/>
                <w:highlight w:val="none"/>
              </w:rPr>
            </w:pPr>
          </w:p>
          <w:p w14:paraId="22AF6B9E">
            <w:pPr>
              <w:spacing w:before="69" w:line="75" w:lineRule="exact"/>
              <w:ind w:left="462"/>
              <w:rPr>
                <w:rFonts w:ascii="Times New Roman" w:hAnsi="Times New Roman" w:eastAsia="Times New Roman" w:cs="Times New Roman"/>
                <w:strike/>
                <w:dstrike w:val="0"/>
                <w:color w:val="auto"/>
                <w:sz w:val="24"/>
                <w:szCs w:val="24"/>
                <w:highlight w:val="none"/>
              </w:rPr>
            </w:pPr>
            <w:r>
              <w:rPr>
                <w:rFonts w:ascii="Times New Roman" w:hAnsi="Times New Roman" w:eastAsia="Times New Roman" w:cs="Times New Roman"/>
                <w:i/>
                <w:iCs/>
                <w:strike/>
                <w:dstrike w:val="0"/>
                <w:color w:val="auto"/>
                <w:spacing w:val="-8"/>
                <w:position w:val="-1"/>
                <w:sz w:val="24"/>
                <w:szCs w:val="24"/>
                <w:highlight w:val="none"/>
              </w:rPr>
              <w:t>……</w:t>
            </w:r>
          </w:p>
        </w:tc>
        <w:tc>
          <w:tcPr>
            <w:tcW w:w="1146" w:type="dxa"/>
            <w:vAlign w:val="top"/>
          </w:tcPr>
          <w:p w14:paraId="14B89DAB">
            <w:pPr>
              <w:rPr>
                <w:rFonts w:ascii="Arial"/>
                <w:strike/>
                <w:dstrike w:val="0"/>
                <w:color w:val="auto"/>
                <w:sz w:val="21"/>
                <w:highlight w:val="none"/>
              </w:rPr>
            </w:pPr>
          </w:p>
        </w:tc>
        <w:tc>
          <w:tcPr>
            <w:tcW w:w="1376" w:type="dxa"/>
            <w:vAlign w:val="top"/>
          </w:tcPr>
          <w:p w14:paraId="6439688C">
            <w:pPr>
              <w:rPr>
                <w:rFonts w:ascii="Arial"/>
                <w:strike/>
                <w:dstrike w:val="0"/>
                <w:color w:val="auto"/>
                <w:sz w:val="21"/>
                <w:highlight w:val="none"/>
              </w:rPr>
            </w:pPr>
          </w:p>
        </w:tc>
        <w:tc>
          <w:tcPr>
            <w:tcW w:w="1685" w:type="dxa"/>
            <w:vAlign w:val="top"/>
          </w:tcPr>
          <w:p w14:paraId="093D8D46">
            <w:pPr>
              <w:rPr>
                <w:rFonts w:ascii="Arial"/>
                <w:strike/>
                <w:dstrike w:val="0"/>
                <w:color w:val="auto"/>
                <w:sz w:val="21"/>
                <w:highlight w:val="none"/>
              </w:rPr>
            </w:pPr>
          </w:p>
        </w:tc>
        <w:tc>
          <w:tcPr>
            <w:tcW w:w="1153" w:type="dxa"/>
            <w:vAlign w:val="top"/>
          </w:tcPr>
          <w:p w14:paraId="660B92C4">
            <w:pPr>
              <w:rPr>
                <w:rFonts w:ascii="Arial"/>
                <w:strike/>
                <w:dstrike w:val="0"/>
                <w:color w:val="auto"/>
                <w:sz w:val="21"/>
                <w:highlight w:val="none"/>
              </w:rPr>
            </w:pPr>
          </w:p>
        </w:tc>
        <w:tc>
          <w:tcPr>
            <w:tcW w:w="1211" w:type="dxa"/>
            <w:tcBorders>
              <w:right w:val="single" w:color="000000" w:sz="10" w:space="0"/>
            </w:tcBorders>
            <w:vAlign w:val="top"/>
          </w:tcPr>
          <w:p w14:paraId="29B875B5">
            <w:pPr>
              <w:spacing w:line="378" w:lineRule="auto"/>
              <w:rPr>
                <w:rFonts w:ascii="Arial"/>
                <w:strike/>
                <w:dstrike w:val="0"/>
                <w:color w:val="auto"/>
                <w:sz w:val="21"/>
                <w:highlight w:val="none"/>
              </w:rPr>
            </w:pPr>
          </w:p>
          <w:p w14:paraId="4C5C42D0">
            <w:pPr>
              <w:pStyle w:val="33"/>
              <w:spacing w:before="81" w:line="213" w:lineRule="auto"/>
              <w:ind w:left="117"/>
              <w:rPr>
                <w:strike/>
                <w:dstrike w:val="0"/>
                <w:color w:val="auto"/>
                <w:sz w:val="25"/>
                <w:szCs w:val="25"/>
                <w:highlight w:val="none"/>
              </w:rPr>
            </w:pPr>
            <w:r>
              <w:rPr>
                <w:i/>
                <w:iCs/>
                <w:strike/>
                <w:dstrike w:val="0"/>
                <w:color w:val="auto"/>
                <w:spacing w:val="7"/>
                <w:sz w:val="25"/>
                <w:szCs w:val="25"/>
                <w:highlight w:val="none"/>
              </w:rPr>
              <w:t>例如：投</w:t>
            </w:r>
          </w:p>
          <w:p w14:paraId="6DB10CAE">
            <w:pPr>
              <w:pStyle w:val="33"/>
              <w:spacing w:before="21" w:line="212" w:lineRule="auto"/>
              <w:jc w:val="right"/>
              <w:rPr>
                <w:rFonts w:ascii="Times New Roman" w:hAnsi="Times New Roman" w:eastAsia="Times New Roman" w:cs="Times New Roman"/>
                <w:strike/>
                <w:dstrike w:val="0"/>
                <w:color w:val="auto"/>
                <w:sz w:val="24"/>
                <w:szCs w:val="24"/>
                <w:highlight w:val="none"/>
              </w:rPr>
            </w:pPr>
            <w:r>
              <w:rPr>
                <w:i/>
                <w:iCs/>
                <w:strike/>
                <w:dstrike w:val="0"/>
                <w:color w:val="auto"/>
                <w:spacing w:val="-11"/>
                <w:sz w:val="25"/>
                <w:szCs w:val="25"/>
                <w:highlight w:val="none"/>
              </w:rPr>
              <w:t>标</w:t>
            </w:r>
            <w:r>
              <w:rPr>
                <w:i/>
                <w:iCs/>
                <w:strike/>
                <w:dstrike w:val="0"/>
                <w:color w:val="auto"/>
                <w:spacing w:val="-10"/>
                <w:sz w:val="25"/>
                <w:szCs w:val="25"/>
                <w:highlight w:val="none"/>
              </w:rPr>
              <w:t>文件第</w:t>
            </w:r>
            <w:r>
              <w:rPr>
                <w:rFonts w:ascii="Times New Roman" w:hAnsi="Times New Roman" w:eastAsia="Times New Roman" w:cs="Times New Roman"/>
                <w:i/>
                <w:iCs/>
                <w:strike/>
                <w:dstrike w:val="0"/>
                <w:color w:val="auto"/>
                <w:spacing w:val="31"/>
                <w:sz w:val="24"/>
                <w:szCs w:val="24"/>
                <w:highlight w:val="none"/>
              </w:rPr>
              <w:t>X</w:t>
            </w:r>
          </w:p>
          <w:p w14:paraId="4EF3779C">
            <w:pPr>
              <w:pStyle w:val="33"/>
              <w:spacing w:before="25" w:line="214" w:lineRule="auto"/>
              <w:ind w:left="483"/>
              <w:rPr>
                <w:strike/>
                <w:dstrike w:val="0"/>
                <w:color w:val="auto"/>
                <w:sz w:val="25"/>
                <w:szCs w:val="25"/>
                <w:highlight w:val="none"/>
              </w:rPr>
            </w:pPr>
            <w:r>
              <w:rPr>
                <w:i/>
                <w:iCs/>
                <w:strike/>
                <w:dstrike w:val="0"/>
                <w:color w:val="auto"/>
                <w:spacing w:val="54"/>
                <w:sz w:val="25"/>
                <w:szCs w:val="25"/>
                <w:highlight w:val="none"/>
              </w:rPr>
              <w:t>页</w:t>
            </w:r>
          </w:p>
        </w:tc>
      </w:tr>
      <w:tr w14:paraId="027D73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039" w:hRule="atLeast"/>
        </w:trPr>
        <w:tc>
          <w:tcPr>
            <w:tcW w:w="742" w:type="dxa"/>
            <w:tcBorders>
              <w:left w:val="single" w:color="000000" w:sz="10" w:space="0"/>
            </w:tcBorders>
            <w:vAlign w:val="top"/>
          </w:tcPr>
          <w:p w14:paraId="238A1D90">
            <w:pPr>
              <w:rPr>
                <w:rFonts w:ascii="Arial"/>
                <w:strike/>
                <w:dstrike w:val="0"/>
                <w:color w:val="auto"/>
                <w:sz w:val="21"/>
                <w:highlight w:val="none"/>
              </w:rPr>
            </w:pPr>
          </w:p>
        </w:tc>
        <w:tc>
          <w:tcPr>
            <w:tcW w:w="1321" w:type="dxa"/>
            <w:vAlign w:val="top"/>
          </w:tcPr>
          <w:p w14:paraId="75D96C78">
            <w:pPr>
              <w:rPr>
                <w:rFonts w:ascii="Arial"/>
                <w:strike/>
                <w:dstrike w:val="0"/>
                <w:color w:val="auto"/>
                <w:sz w:val="21"/>
                <w:highlight w:val="none"/>
              </w:rPr>
            </w:pPr>
          </w:p>
        </w:tc>
        <w:tc>
          <w:tcPr>
            <w:tcW w:w="1146" w:type="dxa"/>
            <w:vAlign w:val="top"/>
          </w:tcPr>
          <w:p w14:paraId="753B6EF0">
            <w:pPr>
              <w:rPr>
                <w:rFonts w:ascii="Arial"/>
                <w:strike/>
                <w:dstrike w:val="0"/>
                <w:color w:val="auto"/>
                <w:sz w:val="21"/>
                <w:highlight w:val="none"/>
              </w:rPr>
            </w:pPr>
          </w:p>
        </w:tc>
        <w:tc>
          <w:tcPr>
            <w:tcW w:w="1376" w:type="dxa"/>
            <w:vAlign w:val="top"/>
          </w:tcPr>
          <w:p w14:paraId="1ECA66A1">
            <w:pPr>
              <w:rPr>
                <w:rFonts w:ascii="Arial"/>
                <w:strike/>
                <w:dstrike w:val="0"/>
                <w:color w:val="auto"/>
                <w:sz w:val="21"/>
                <w:highlight w:val="none"/>
              </w:rPr>
            </w:pPr>
          </w:p>
        </w:tc>
        <w:tc>
          <w:tcPr>
            <w:tcW w:w="1685" w:type="dxa"/>
            <w:vAlign w:val="top"/>
          </w:tcPr>
          <w:p w14:paraId="5066E0F7">
            <w:pPr>
              <w:rPr>
                <w:rFonts w:ascii="Arial"/>
                <w:strike/>
                <w:dstrike w:val="0"/>
                <w:color w:val="auto"/>
                <w:sz w:val="21"/>
                <w:highlight w:val="none"/>
              </w:rPr>
            </w:pPr>
          </w:p>
        </w:tc>
        <w:tc>
          <w:tcPr>
            <w:tcW w:w="1153" w:type="dxa"/>
            <w:vAlign w:val="top"/>
          </w:tcPr>
          <w:p w14:paraId="0F4E3C07">
            <w:pPr>
              <w:rPr>
                <w:rFonts w:ascii="Arial"/>
                <w:strike/>
                <w:dstrike w:val="0"/>
                <w:color w:val="auto"/>
                <w:sz w:val="21"/>
                <w:highlight w:val="none"/>
              </w:rPr>
            </w:pPr>
          </w:p>
        </w:tc>
        <w:tc>
          <w:tcPr>
            <w:tcW w:w="1211" w:type="dxa"/>
            <w:tcBorders>
              <w:right w:val="single" w:color="000000" w:sz="10" w:space="0"/>
            </w:tcBorders>
            <w:vAlign w:val="top"/>
          </w:tcPr>
          <w:p w14:paraId="07526800">
            <w:pPr>
              <w:rPr>
                <w:rFonts w:ascii="Arial"/>
                <w:strike/>
                <w:dstrike w:val="0"/>
                <w:color w:val="auto"/>
                <w:sz w:val="21"/>
                <w:highlight w:val="none"/>
              </w:rPr>
            </w:pPr>
          </w:p>
        </w:tc>
      </w:tr>
      <w:tr w14:paraId="424D0BE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50" w:hRule="atLeast"/>
        </w:trPr>
        <w:tc>
          <w:tcPr>
            <w:tcW w:w="742" w:type="dxa"/>
            <w:tcBorders>
              <w:left w:val="single" w:color="000000" w:sz="10" w:space="0"/>
              <w:bottom w:val="single" w:color="000000" w:sz="10" w:space="0"/>
            </w:tcBorders>
            <w:vAlign w:val="top"/>
          </w:tcPr>
          <w:p w14:paraId="49282862">
            <w:pPr>
              <w:rPr>
                <w:rFonts w:ascii="Arial"/>
                <w:strike/>
                <w:dstrike w:val="0"/>
                <w:color w:val="auto"/>
                <w:sz w:val="21"/>
                <w:highlight w:val="none"/>
              </w:rPr>
            </w:pPr>
          </w:p>
        </w:tc>
        <w:tc>
          <w:tcPr>
            <w:tcW w:w="1321" w:type="dxa"/>
            <w:tcBorders>
              <w:bottom w:val="single" w:color="000000" w:sz="10" w:space="0"/>
            </w:tcBorders>
            <w:vAlign w:val="top"/>
          </w:tcPr>
          <w:p w14:paraId="7223DDCA">
            <w:pPr>
              <w:rPr>
                <w:rFonts w:ascii="Arial"/>
                <w:strike/>
                <w:dstrike w:val="0"/>
                <w:color w:val="auto"/>
                <w:sz w:val="21"/>
                <w:highlight w:val="none"/>
              </w:rPr>
            </w:pPr>
          </w:p>
        </w:tc>
        <w:tc>
          <w:tcPr>
            <w:tcW w:w="1146" w:type="dxa"/>
            <w:tcBorders>
              <w:bottom w:val="single" w:color="000000" w:sz="10" w:space="0"/>
            </w:tcBorders>
            <w:vAlign w:val="top"/>
          </w:tcPr>
          <w:p w14:paraId="0AF41A18">
            <w:pPr>
              <w:rPr>
                <w:rFonts w:ascii="Arial"/>
                <w:strike/>
                <w:dstrike w:val="0"/>
                <w:color w:val="auto"/>
                <w:sz w:val="21"/>
                <w:highlight w:val="none"/>
              </w:rPr>
            </w:pPr>
          </w:p>
        </w:tc>
        <w:tc>
          <w:tcPr>
            <w:tcW w:w="1376" w:type="dxa"/>
            <w:tcBorders>
              <w:bottom w:val="single" w:color="000000" w:sz="10" w:space="0"/>
            </w:tcBorders>
            <w:vAlign w:val="top"/>
          </w:tcPr>
          <w:p w14:paraId="33260FAF">
            <w:pPr>
              <w:rPr>
                <w:rFonts w:ascii="Arial"/>
                <w:strike/>
                <w:dstrike w:val="0"/>
                <w:color w:val="auto"/>
                <w:sz w:val="21"/>
                <w:highlight w:val="none"/>
              </w:rPr>
            </w:pPr>
          </w:p>
        </w:tc>
        <w:tc>
          <w:tcPr>
            <w:tcW w:w="1685" w:type="dxa"/>
            <w:tcBorders>
              <w:bottom w:val="single" w:color="000000" w:sz="10" w:space="0"/>
            </w:tcBorders>
            <w:vAlign w:val="top"/>
          </w:tcPr>
          <w:p w14:paraId="7C210CB7">
            <w:pPr>
              <w:rPr>
                <w:rFonts w:ascii="Arial"/>
                <w:strike/>
                <w:dstrike w:val="0"/>
                <w:color w:val="auto"/>
                <w:sz w:val="21"/>
                <w:highlight w:val="none"/>
              </w:rPr>
            </w:pPr>
          </w:p>
        </w:tc>
        <w:tc>
          <w:tcPr>
            <w:tcW w:w="1153" w:type="dxa"/>
            <w:tcBorders>
              <w:bottom w:val="single" w:color="000000" w:sz="10" w:space="0"/>
            </w:tcBorders>
            <w:vAlign w:val="top"/>
          </w:tcPr>
          <w:p w14:paraId="3EEF084D">
            <w:pPr>
              <w:rPr>
                <w:rFonts w:ascii="Arial"/>
                <w:strike/>
                <w:dstrike w:val="0"/>
                <w:color w:val="auto"/>
                <w:sz w:val="21"/>
                <w:highlight w:val="none"/>
              </w:rPr>
            </w:pPr>
          </w:p>
        </w:tc>
        <w:tc>
          <w:tcPr>
            <w:tcW w:w="1211" w:type="dxa"/>
            <w:tcBorders>
              <w:bottom w:val="single" w:color="000000" w:sz="10" w:space="0"/>
              <w:right w:val="single" w:color="000000" w:sz="10" w:space="0"/>
            </w:tcBorders>
            <w:vAlign w:val="top"/>
          </w:tcPr>
          <w:p w14:paraId="684E0086">
            <w:pPr>
              <w:rPr>
                <w:rFonts w:ascii="Arial"/>
                <w:strike/>
                <w:dstrike w:val="0"/>
                <w:color w:val="auto"/>
                <w:sz w:val="21"/>
                <w:highlight w:val="none"/>
              </w:rPr>
            </w:pPr>
          </w:p>
        </w:tc>
      </w:tr>
    </w:tbl>
    <w:p w14:paraId="4BC70A91">
      <w:pPr>
        <w:pStyle w:val="3"/>
        <w:rPr>
          <w:strike/>
          <w:dstrike w:val="0"/>
          <w:color w:val="auto"/>
          <w:highlight w:val="none"/>
        </w:rPr>
      </w:pPr>
    </w:p>
    <w:p w14:paraId="7B489924">
      <w:pPr>
        <w:rPr>
          <w:strike/>
          <w:dstrike w:val="0"/>
          <w:color w:val="auto"/>
          <w:highlight w:val="none"/>
        </w:rPr>
        <w:sectPr>
          <w:pgSz w:w="11905" w:h="16843"/>
          <w:pgMar w:top="1429" w:right="1361" w:bottom="1253" w:left="1621" w:header="0" w:footer="1094" w:gutter="0"/>
          <w:pgNumType w:fmt="decimal"/>
          <w:cols w:space="0" w:num="1"/>
          <w:rtlGutter w:val="0"/>
          <w:docGrid w:linePitch="0" w:charSpace="0"/>
        </w:sectPr>
      </w:pPr>
    </w:p>
    <w:p w14:paraId="04905DB9">
      <w:pPr>
        <w:spacing w:before="47" w:line="220" w:lineRule="auto"/>
        <w:ind w:left="2847"/>
        <w:rPr>
          <w:rFonts w:ascii="宋体" w:hAnsi="宋体" w:eastAsia="宋体" w:cs="宋体"/>
          <w:strike w:val="0"/>
          <w:dstrike w:val="0"/>
          <w:color w:val="auto"/>
          <w:sz w:val="24"/>
          <w:szCs w:val="24"/>
          <w:highlight w:val="none"/>
        </w:rPr>
      </w:pPr>
      <w:r>
        <w:rPr>
          <w:rFonts w:ascii="宋体" w:hAnsi="宋体" w:eastAsia="宋体" w:cs="宋体"/>
          <w:b/>
          <w:bCs/>
          <w:strike/>
          <w:dstrike w:val="0"/>
          <w:color w:val="auto"/>
          <w:spacing w:val="-3"/>
          <w:sz w:val="24"/>
          <w:szCs w:val="24"/>
          <w:highlight w:val="none"/>
        </w:rPr>
        <w:t>近年完成的类似项目情况表</w:t>
      </w:r>
    </w:p>
    <w:p w14:paraId="1336B54F">
      <w:pPr>
        <w:spacing w:before="182" w:line="220" w:lineRule="auto"/>
        <w:ind w:left="1782"/>
        <w:rPr>
          <w:rFonts w:ascii="宋体" w:hAnsi="宋体" w:eastAsia="宋体" w:cs="宋体"/>
          <w:strike/>
          <w:dstrike w:val="0"/>
          <w:color w:val="auto"/>
          <w:sz w:val="24"/>
          <w:szCs w:val="24"/>
          <w:highlight w:val="none"/>
        </w:rPr>
      </w:pPr>
      <w:r>
        <w:rPr>
          <w:rFonts w:ascii="宋体" w:hAnsi="宋体" w:eastAsia="宋体" w:cs="宋体"/>
          <w:strike/>
          <w:dstrike w:val="0"/>
          <w:color w:val="auto"/>
          <w:spacing w:val="-8"/>
          <w:sz w:val="24"/>
          <w:szCs w:val="24"/>
          <w:highlight w:val="none"/>
        </w:rPr>
        <w:t>（近年指</w:t>
      </w:r>
      <w:r>
        <w:rPr>
          <w:rFonts w:ascii="宋体" w:hAnsi="宋体" w:eastAsia="宋体" w:cs="宋体"/>
          <w:strike/>
          <w:dstrike w:val="0"/>
          <w:color w:val="auto"/>
          <w:spacing w:val="-102"/>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10"/>
          <w:sz w:val="24"/>
          <w:szCs w:val="24"/>
          <w:highlight w:val="none"/>
        </w:rPr>
        <w:t xml:space="preserve"> </w:t>
      </w:r>
      <w:r>
        <w:rPr>
          <w:rFonts w:ascii="宋体" w:hAnsi="宋体" w:eastAsia="宋体" w:cs="宋体"/>
          <w:strike/>
          <w:dstrike w:val="0"/>
          <w:color w:val="auto"/>
          <w:spacing w:val="-8"/>
          <w:sz w:val="24"/>
          <w:szCs w:val="24"/>
          <w:highlight w:val="none"/>
        </w:rPr>
        <w:t>年</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104"/>
          <w:sz w:val="24"/>
          <w:szCs w:val="24"/>
          <w:highlight w:val="none"/>
        </w:rPr>
        <w:t xml:space="preserve"> </w:t>
      </w:r>
      <w:r>
        <w:rPr>
          <w:rFonts w:ascii="宋体" w:hAnsi="宋体" w:eastAsia="宋体" w:cs="宋体"/>
          <w:strike/>
          <w:dstrike w:val="0"/>
          <w:color w:val="auto"/>
          <w:spacing w:val="-8"/>
          <w:sz w:val="24"/>
          <w:szCs w:val="24"/>
          <w:highlight w:val="none"/>
        </w:rPr>
        <w:t>月</w:t>
      </w:r>
      <w:r>
        <w:rPr>
          <w:rFonts w:ascii="宋体" w:hAnsi="宋体" w:eastAsia="宋体" w:cs="宋体"/>
          <w:strike/>
          <w:dstrike w:val="0"/>
          <w:color w:val="auto"/>
          <w:spacing w:val="-120"/>
          <w:sz w:val="24"/>
          <w:szCs w:val="24"/>
          <w:highlight w:val="none"/>
        </w:rPr>
        <w:t xml:space="preserve"> </w:t>
      </w:r>
      <w:r>
        <w:rPr>
          <w:rFonts w:ascii="宋体" w:hAnsi="宋体" w:eastAsia="宋体" w:cs="宋体"/>
          <w:strike/>
          <w:dstrike w:val="0"/>
          <w:color w:val="auto"/>
          <w:sz w:val="24"/>
          <w:szCs w:val="24"/>
          <w:highlight w:val="none"/>
          <w:u w:val="single" w:color="auto"/>
        </w:rPr>
        <w:t xml:space="preserve">   </w:t>
      </w:r>
      <w:r>
        <w:rPr>
          <w:rFonts w:ascii="宋体" w:hAnsi="宋体" w:eastAsia="宋体" w:cs="宋体"/>
          <w:strike/>
          <w:dstrike w:val="0"/>
          <w:color w:val="auto"/>
          <w:spacing w:val="-70"/>
          <w:sz w:val="24"/>
          <w:szCs w:val="24"/>
          <w:highlight w:val="none"/>
        </w:rPr>
        <w:t xml:space="preserve"> </w:t>
      </w:r>
      <w:r>
        <w:rPr>
          <w:rFonts w:ascii="宋体" w:hAnsi="宋体" w:eastAsia="宋体" w:cs="宋体"/>
          <w:strike/>
          <w:dstrike w:val="0"/>
          <w:color w:val="auto"/>
          <w:spacing w:val="-8"/>
          <w:sz w:val="24"/>
          <w:szCs w:val="24"/>
          <w:highlight w:val="none"/>
        </w:rPr>
        <w:t>日至投标截止时间）</w:t>
      </w:r>
    </w:p>
    <w:p w14:paraId="53B96022">
      <w:pPr>
        <w:spacing w:line="144" w:lineRule="exact"/>
        <w:rPr>
          <w:strike/>
          <w:dstrike w:val="0"/>
          <w:color w:val="auto"/>
          <w:highlight w:val="none"/>
        </w:rPr>
      </w:pPr>
    </w:p>
    <w:tbl>
      <w:tblPr>
        <w:tblStyle w:val="32"/>
        <w:tblW w:w="877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2207"/>
        <w:gridCol w:w="6569"/>
      </w:tblGrid>
      <w:tr w14:paraId="16141A4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9" w:hRule="atLeast"/>
        </w:trPr>
        <w:tc>
          <w:tcPr>
            <w:tcW w:w="2207" w:type="dxa"/>
            <w:tcBorders>
              <w:top w:val="single" w:color="000000" w:sz="6" w:space="0"/>
              <w:left w:val="single" w:color="000000" w:sz="6" w:space="0"/>
            </w:tcBorders>
            <w:vAlign w:val="top"/>
          </w:tcPr>
          <w:p w14:paraId="0E260266">
            <w:pPr>
              <w:pStyle w:val="33"/>
              <w:spacing w:before="121" w:line="222" w:lineRule="auto"/>
              <w:ind w:left="624"/>
              <w:rPr>
                <w:strike/>
                <w:dstrike w:val="0"/>
                <w:color w:val="auto"/>
                <w:sz w:val="24"/>
                <w:szCs w:val="24"/>
                <w:highlight w:val="none"/>
              </w:rPr>
            </w:pPr>
            <w:r>
              <w:rPr>
                <w:strike/>
                <w:dstrike w:val="0"/>
                <w:color w:val="auto"/>
                <w:spacing w:val="-2"/>
                <w:sz w:val="24"/>
                <w:szCs w:val="24"/>
                <w:highlight w:val="none"/>
              </w:rPr>
              <w:t>合同名称</w:t>
            </w:r>
          </w:p>
        </w:tc>
        <w:tc>
          <w:tcPr>
            <w:tcW w:w="6569" w:type="dxa"/>
            <w:tcBorders>
              <w:top w:val="single" w:color="000000" w:sz="6" w:space="0"/>
              <w:right w:val="single" w:color="000000" w:sz="6" w:space="0"/>
            </w:tcBorders>
            <w:vAlign w:val="top"/>
          </w:tcPr>
          <w:p w14:paraId="63D09259">
            <w:pPr>
              <w:rPr>
                <w:rFonts w:ascii="Arial"/>
                <w:strike/>
                <w:dstrike w:val="0"/>
                <w:color w:val="auto"/>
                <w:sz w:val="21"/>
                <w:highlight w:val="none"/>
              </w:rPr>
            </w:pPr>
          </w:p>
        </w:tc>
      </w:tr>
      <w:tr w14:paraId="0A1AD69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52F9B261">
            <w:pPr>
              <w:pStyle w:val="33"/>
              <w:spacing w:before="119" w:line="220" w:lineRule="auto"/>
              <w:ind w:left="264"/>
              <w:rPr>
                <w:strike/>
                <w:dstrike w:val="0"/>
                <w:color w:val="auto"/>
                <w:sz w:val="24"/>
                <w:szCs w:val="24"/>
                <w:highlight w:val="none"/>
              </w:rPr>
            </w:pPr>
            <w:r>
              <w:rPr>
                <w:strike/>
                <w:dstrike w:val="0"/>
                <w:color w:val="auto"/>
                <w:spacing w:val="-2"/>
                <w:sz w:val="24"/>
                <w:szCs w:val="24"/>
                <w:highlight w:val="none"/>
              </w:rPr>
              <w:t>合同项目所在地</w:t>
            </w:r>
          </w:p>
        </w:tc>
        <w:tc>
          <w:tcPr>
            <w:tcW w:w="6569" w:type="dxa"/>
            <w:tcBorders>
              <w:right w:val="single" w:color="000000" w:sz="6" w:space="0"/>
            </w:tcBorders>
            <w:vAlign w:val="top"/>
          </w:tcPr>
          <w:p w14:paraId="58338F37">
            <w:pPr>
              <w:rPr>
                <w:rFonts w:ascii="Arial"/>
                <w:strike/>
                <w:dstrike w:val="0"/>
                <w:color w:val="auto"/>
                <w:sz w:val="21"/>
                <w:highlight w:val="none"/>
              </w:rPr>
            </w:pPr>
          </w:p>
        </w:tc>
      </w:tr>
      <w:tr w14:paraId="0DD5B42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top"/>
          </w:tcPr>
          <w:p w14:paraId="1F63C20B">
            <w:pPr>
              <w:pStyle w:val="33"/>
              <w:spacing w:before="119" w:line="220" w:lineRule="auto"/>
              <w:ind w:left="506"/>
              <w:rPr>
                <w:strike/>
                <w:dstrike w:val="0"/>
                <w:color w:val="auto"/>
                <w:sz w:val="24"/>
                <w:szCs w:val="24"/>
                <w:highlight w:val="none"/>
              </w:rPr>
            </w:pPr>
            <w:r>
              <w:rPr>
                <w:strike/>
                <w:dstrike w:val="0"/>
                <w:color w:val="auto"/>
                <w:spacing w:val="-3"/>
                <w:sz w:val="24"/>
                <w:szCs w:val="24"/>
                <w:highlight w:val="none"/>
              </w:rPr>
              <w:t>发包人名称</w:t>
            </w:r>
          </w:p>
        </w:tc>
        <w:tc>
          <w:tcPr>
            <w:tcW w:w="6569" w:type="dxa"/>
            <w:tcBorders>
              <w:right w:val="single" w:color="000000" w:sz="6" w:space="0"/>
            </w:tcBorders>
            <w:vAlign w:val="top"/>
          </w:tcPr>
          <w:p w14:paraId="22C49C15">
            <w:pPr>
              <w:rPr>
                <w:rFonts w:ascii="Arial"/>
                <w:strike/>
                <w:dstrike w:val="0"/>
                <w:color w:val="auto"/>
                <w:sz w:val="21"/>
                <w:highlight w:val="none"/>
              </w:rPr>
            </w:pPr>
          </w:p>
        </w:tc>
      </w:tr>
      <w:tr w14:paraId="72E6B3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1614745E">
            <w:pPr>
              <w:pStyle w:val="33"/>
              <w:spacing w:before="120" w:line="220" w:lineRule="auto"/>
              <w:ind w:left="506"/>
              <w:rPr>
                <w:strike/>
                <w:dstrike w:val="0"/>
                <w:color w:val="auto"/>
                <w:sz w:val="24"/>
                <w:szCs w:val="24"/>
                <w:highlight w:val="none"/>
              </w:rPr>
            </w:pPr>
            <w:r>
              <w:rPr>
                <w:strike/>
                <w:dstrike w:val="0"/>
                <w:color w:val="auto"/>
                <w:spacing w:val="-3"/>
                <w:sz w:val="24"/>
                <w:szCs w:val="24"/>
                <w:highlight w:val="none"/>
              </w:rPr>
              <w:t>发包人地址</w:t>
            </w:r>
          </w:p>
        </w:tc>
        <w:tc>
          <w:tcPr>
            <w:tcW w:w="6569" w:type="dxa"/>
            <w:tcBorders>
              <w:right w:val="single" w:color="000000" w:sz="6" w:space="0"/>
            </w:tcBorders>
            <w:vAlign w:val="top"/>
          </w:tcPr>
          <w:p w14:paraId="204FFE5E">
            <w:pPr>
              <w:rPr>
                <w:rFonts w:ascii="Arial"/>
                <w:strike/>
                <w:dstrike w:val="0"/>
                <w:color w:val="auto"/>
                <w:sz w:val="21"/>
                <w:highlight w:val="none"/>
              </w:rPr>
            </w:pPr>
          </w:p>
        </w:tc>
      </w:tr>
      <w:tr w14:paraId="399DD63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6CEBAC88">
            <w:pPr>
              <w:pStyle w:val="33"/>
              <w:spacing w:before="121" w:line="220" w:lineRule="auto"/>
              <w:ind w:left="506"/>
              <w:rPr>
                <w:strike/>
                <w:dstrike w:val="0"/>
                <w:color w:val="auto"/>
                <w:sz w:val="24"/>
                <w:szCs w:val="24"/>
                <w:highlight w:val="none"/>
              </w:rPr>
            </w:pPr>
            <w:r>
              <w:rPr>
                <w:strike/>
                <w:dstrike w:val="0"/>
                <w:color w:val="auto"/>
                <w:spacing w:val="-3"/>
                <w:sz w:val="24"/>
                <w:szCs w:val="24"/>
                <w:highlight w:val="none"/>
              </w:rPr>
              <w:t>发包人电话</w:t>
            </w:r>
          </w:p>
        </w:tc>
        <w:tc>
          <w:tcPr>
            <w:tcW w:w="6569" w:type="dxa"/>
            <w:tcBorders>
              <w:right w:val="single" w:color="000000" w:sz="6" w:space="0"/>
            </w:tcBorders>
            <w:vAlign w:val="top"/>
          </w:tcPr>
          <w:p w14:paraId="136DA392">
            <w:pPr>
              <w:rPr>
                <w:rFonts w:ascii="Arial"/>
                <w:strike/>
                <w:dstrike w:val="0"/>
                <w:color w:val="auto"/>
                <w:sz w:val="21"/>
                <w:highlight w:val="none"/>
              </w:rPr>
            </w:pPr>
          </w:p>
        </w:tc>
      </w:tr>
      <w:tr w14:paraId="3ACAA12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2207" w:type="dxa"/>
            <w:tcBorders>
              <w:left w:val="single" w:color="000000" w:sz="6" w:space="0"/>
            </w:tcBorders>
            <w:vAlign w:val="top"/>
          </w:tcPr>
          <w:p w14:paraId="2538ED22">
            <w:pPr>
              <w:pStyle w:val="33"/>
              <w:spacing w:before="121" w:line="218" w:lineRule="auto"/>
              <w:ind w:left="503"/>
              <w:rPr>
                <w:strike/>
                <w:dstrike w:val="0"/>
                <w:color w:val="auto"/>
                <w:sz w:val="24"/>
                <w:szCs w:val="24"/>
                <w:highlight w:val="none"/>
              </w:rPr>
            </w:pPr>
            <w:r>
              <w:rPr>
                <w:strike/>
                <w:dstrike w:val="0"/>
                <w:color w:val="auto"/>
                <w:spacing w:val="-2"/>
                <w:sz w:val="24"/>
                <w:szCs w:val="24"/>
                <w:highlight w:val="none"/>
              </w:rPr>
              <w:t>签约合同价</w:t>
            </w:r>
          </w:p>
        </w:tc>
        <w:tc>
          <w:tcPr>
            <w:tcW w:w="6569" w:type="dxa"/>
            <w:tcBorders>
              <w:right w:val="single" w:color="000000" w:sz="6" w:space="0"/>
            </w:tcBorders>
            <w:vAlign w:val="top"/>
          </w:tcPr>
          <w:p w14:paraId="3EECE886">
            <w:pPr>
              <w:rPr>
                <w:rFonts w:ascii="Arial"/>
                <w:strike/>
                <w:dstrike w:val="0"/>
                <w:color w:val="auto"/>
                <w:sz w:val="21"/>
                <w:highlight w:val="none"/>
              </w:rPr>
            </w:pPr>
          </w:p>
        </w:tc>
      </w:tr>
      <w:tr w14:paraId="1AB41A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53496734">
            <w:pPr>
              <w:pStyle w:val="33"/>
              <w:spacing w:before="123" w:line="220" w:lineRule="auto"/>
              <w:ind w:left="624"/>
              <w:rPr>
                <w:strike/>
                <w:dstrike w:val="0"/>
                <w:color w:val="auto"/>
                <w:sz w:val="24"/>
                <w:szCs w:val="24"/>
                <w:highlight w:val="none"/>
              </w:rPr>
            </w:pPr>
            <w:r>
              <w:rPr>
                <w:strike/>
                <w:dstrike w:val="0"/>
                <w:color w:val="auto"/>
                <w:spacing w:val="-2"/>
                <w:sz w:val="24"/>
                <w:szCs w:val="24"/>
                <w:highlight w:val="none"/>
              </w:rPr>
              <w:t>开工日期</w:t>
            </w:r>
          </w:p>
        </w:tc>
        <w:tc>
          <w:tcPr>
            <w:tcW w:w="6569" w:type="dxa"/>
            <w:tcBorders>
              <w:right w:val="single" w:color="000000" w:sz="6" w:space="0"/>
            </w:tcBorders>
            <w:vAlign w:val="top"/>
          </w:tcPr>
          <w:p w14:paraId="6443B7F6">
            <w:pPr>
              <w:rPr>
                <w:rFonts w:ascii="Arial"/>
                <w:strike/>
                <w:dstrike w:val="0"/>
                <w:color w:val="auto"/>
                <w:sz w:val="21"/>
                <w:highlight w:val="none"/>
              </w:rPr>
            </w:pPr>
          </w:p>
        </w:tc>
      </w:tr>
      <w:tr w14:paraId="59516B7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3585F463">
            <w:pPr>
              <w:pStyle w:val="33"/>
              <w:spacing w:before="123" w:line="220" w:lineRule="auto"/>
              <w:ind w:left="625"/>
              <w:rPr>
                <w:strike/>
                <w:dstrike w:val="0"/>
                <w:color w:val="auto"/>
                <w:sz w:val="24"/>
                <w:szCs w:val="24"/>
                <w:highlight w:val="none"/>
              </w:rPr>
            </w:pPr>
            <w:r>
              <w:rPr>
                <w:strike/>
                <w:dstrike w:val="0"/>
                <w:color w:val="auto"/>
                <w:spacing w:val="-3"/>
                <w:sz w:val="24"/>
                <w:szCs w:val="24"/>
                <w:highlight w:val="none"/>
              </w:rPr>
              <w:t>完工日期</w:t>
            </w:r>
          </w:p>
        </w:tc>
        <w:tc>
          <w:tcPr>
            <w:tcW w:w="6569" w:type="dxa"/>
            <w:tcBorders>
              <w:right w:val="single" w:color="000000" w:sz="6" w:space="0"/>
            </w:tcBorders>
            <w:vAlign w:val="top"/>
          </w:tcPr>
          <w:p w14:paraId="28573C76">
            <w:pPr>
              <w:rPr>
                <w:rFonts w:ascii="Arial"/>
                <w:strike/>
                <w:dstrike w:val="0"/>
                <w:color w:val="auto"/>
                <w:sz w:val="21"/>
                <w:highlight w:val="none"/>
              </w:rPr>
            </w:pPr>
          </w:p>
        </w:tc>
      </w:tr>
      <w:tr w14:paraId="124525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top"/>
          </w:tcPr>
          <w:p w14:paraId="5CB62D33">
            <w:pPr>
              <w:pStyle w:val="33"/>
              <w:spacing w:before="123" w:line="220" w:lineRule="auto"/>
              <w:ind w:left="503"/>
              <w:rPr>
                <w:strike/>
                <w:dstrike w:val="0"/>
                <w:color w:val="auto"/>
                <w:sz w:val="24"/>
                <w:szCs w:val="24"/>
                <w:highlight w:val="none"/>
              </w:rPr>
            </w:pPr>
            <w:r>
              <w:rPr>
                <w:strike/>
                <w:dstrike w:val="0"/>
                <w:color w:val="auto"/>
                <w:spacing w:val="-2"/>
                <w:sz w:val="24"/>
                <w:szCs w:val="24"/>
                <w:highlight w:val="none"/>
              </w:rPr>
              <w:t>承担的工作</w:t>
            </w:r>
          </w:p>
        </w:tc>
        <w:tc>
          <w:tcPr>
            <w:tcW w:w="6569" w:type="dxa"/>
            <w:tcBorders>
              <w:right w:val="single" w:color="000000" w:sz="6" w:space="0"/>
            </w:tcBorders>
            <w:vAlign w:val="top"/>
          </w:tcPr>
          <w:p w14:paraId="0EB39A37">
            <w:pPr>
              <w:rPr>
                <w:rFonts w:ascii="Arial"/>
                <w:strike/>
                <w:dstrike w:val="0"/>
                <w:color w:val="auto"/>
                <w:sz w:val="21"/>
                <w:highlight w:val="none"/>
              </w:rPr>
            </w:pPr>
          </w:p>
        </w:tc>
      </w:tr>
      <w:tr w14:paraId="3B1EA4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73053485">
            <w:pPr>
              <w:pStyle w:val="33"/>
              <w:spacing w:before="125" w:line="220" w:lineRule="auto"/>
              <w:ind w:left="626"/>
              <w:rPr>
                <w:strike/>
                <w:dstrike w:val="0"/>
                <w:color w:val="auto"/>
                <w:sz w:val="24"/>
                <w:szCs w:val="24"/>
                <w:highlight w:val="none"/>
              </w:rPr>
            </w:pPr>
            <w:r>
              <w:rPr>
                <w:strike/>
                <w:dstrike w:val="0"/>
                <w:color w:val="auto"/>
                <w:spacing w:val="-3"/>
                <w:sz w:val="24"/>
                <w:szCs w:val="24"/>
                <w:highlight w:val="none"/>
              </w:rPr>
              <w:t>工程质量</w:t>
            </w:r>
          </w:p>
        </w:tc>
        <w:tc>
          <w:tcPr>
            <w:tcW w:w="6569" w:type="dxa"/>
            <w:tcBorders>
              <w:right w:val="single" w:color="000000" w:sz="6" w:space="0"/>
            </w:tcBorders>
            <w:vAlign w:val="top"/>
          </w:tcPr>
          <w:p w14:paraId="33907F9E">
            <w:pPr>
              <w:rPr>
                <w:rFonts w:ascii="Arial"/>
                <w:strike/>
                <w:dstrike w:val="0"/>
                <w:color w:val="auto"/>
                <w:sz w:val="21"/>
                <w:highlight w:val="none"/>
              </w:rPr>
            </w:pPr>
          </w:p>
        </w:tc>
      </w:tr>
      <w:tr w14:paraId="1EB2B0E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2207" w:type="dxa"/>
            <w:tcBorders>
              <w:left w:val="single" w:color="000000" w:sz="6" w:space="0"/>
            </w:tcBorders>
            <w:vAlign w:val="top"/>
          </w:tcPr>
          <w:p w14:paraId="5E2B212A">
            <w:pPr>
              <w:pStyle w:val="33"/>
              <w:spacing w:before="125" w:line="220" w:lineRule="auto"/>
              <w:ind w:left="506"/>
              <w:rPr>
                <w:strike/>
                <w:dstrike w:val="0"/>
                <w:color w:val="auto"/>
                <w:sz w:val="24"/>
                <w:szCs w:val="24"/>
                <w:highlight w:val="none"/>
              </w:rPr>
            </w:pPr>
            <w:r>
              <w:rPr>
                <w:strike/>
                <w:dstrike w:val="0"/>
                <w:color w:val="auto"/>
                <w:spacing w:val="-3"/>
                <w:sz w:val="24"/>
                <w:szCs w:val="24"/>
                <w:highlight w:val="none"/>
              </w:rPr>
              <w:t>项目负责人</w:t>
            </w:r>
          </w:p>
        </w:tc>
        <w:tc>
          <w:tcPr>
            <w:tcW w:w="6569" w:type="dxa"/>
            <w:tcBorders>
              <w:right w:val="single" w:color="000000" w:sz="6" w:space="0"/>
            </w:tcBorders>
            <w:vAlign w:val="top"/>
          </w:tcPr>
          <w:p w14:paraId="4412C856">
            <w:pPr>
              <w:rPr>
                <w:rFonts w:ascii="Arial"/>
                <w:strike/>
                <w:dstrike w:val="0"/>
                <w:color w:val="auto"/>
                <w:sz w:val="21"/>
                <w:highlight w:val="none"/>
              </w:rPr>
            </w:pPr>
          </w:p>
        </w:tc>
      </w:tr>
      <w:tr w14:paraId="7832D2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2207" w:type="dxa"/>
            <w:tcBorders>
              <w:left w:val="single" w:color="000000" w:sz="6" w:space="0"/>
            </w:tcBorders>
            <w:vAlign w:val="top"/>
          </w:tcPr>
          <w:p w14:paraId="5A5E85F5">
            <w:pPr>
              <w:pStyle w:val="33"/>
              <w:spacing w:before="125" w:line="220" w:lineRule="auto"/>
              <w:ind w:left="266"/>
              <w:rPr>
                <w:strike/>
                <w:dstrike w:val="0"/>
                <w:color w:val="auto"/>
                <w:sz w:val="24"/>
                <w:szCs w:val="24"/>
                <w:highlight w:val="none"/>
              </w:rPr>
            </w:pPr>
            <w:r>
              <w:rPr>
                <w:strike/>
                <w:dstrike w:val="0"/>
                <w:color w:val="auto"/>
                <w:spacing w:val="-2"/>
                <w:sz w:val="24"/>
                <w:szCs w:val="24"/>
                <w:highlight w:val="none"/>
              </w:rPr>
              <w:t>项目技术负责人</w:t>
            </w:r>
          </w:p>
        </w:tc>
        <w:tc>
          <w:tcPr>
            <w:tcW w:w="6569" w:type="dxa"/>
            <w:tcBorders>
              <w:right w:val="single" w:color="000000" w:sz="6" w:space="0"/>
            </w:tcBorders>
            <w:vAlign w:val="top"/>
          </w:tcPr>
          <w:p w14:paraId="38ACC55A">
            <w:pPr>
              <w:rPr>
                <w:rFonts w:ascii="Arial"/>
                <w:strike/>
                <w:dstrike w:val="0"/>
                <w:color w:val="auto"/>
                <w:sz w:val="21"/>
                <w:highlight w:val="none"/>
              </w:rPr>
            </w:pPr>
          </w:p>
        </w:tc>
      </w:tr>
      <w:tr w14:paraId="1612C31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7" w:hRule="atLeast"/>
        </w:trPr>
        <w:tc>
          <w:tcPr>
            <w:tcW w:w="2207" w:type="dxa"/>
            <w:tcBorders>
              <w:left w:val="single" w:color="000000" w:sz="6" w:space="0"/>
            </w:tcBorders>
            <w:vAlign w:val="top"/>
          </w:tcPr>
          <w:p w14:paraId="3030430D">
            <w:pPr>
              <w:pStyle w:val="33"/>
              <w:spacing w:before="45" w:line="339" w:lineRule="auto"/>
              <w:ind w:left="382" w:right="143" w:hanging="238"/>
              <w:rPr>
                <w:strike/>
                <w:dstrike w:val="0"/>
                <w:color w:val="auto"/>
                <w:sz w:val="24"/>
                <w:szCs w:val="24"/>
                <w:highlight w:val="none"/>
              </w:rPr>
            </w:pPr>
            <w:r>
              <w:rPr>
                <w:strike/>
                <w:dstrike w:val="0"/>
                <w:color w:val="auto"/>
                <w:spacing w:val="-2"/>
                <w:sz w:val="24"/>
                <w:szCs w:val="24"/>
                <w:highlight w:val="none"/>
              </w:rPr>
              <w:t>监理人和总监理工</w:t>
            </w:r>
            <w:r>
              <w:rPr>
                <w:strike/>
                <w:dstrike w:val="0"/>
                <w:color w:val="auto"/>
                <w:spacing w:val="4"/>
                <w:sz w:val="24"/>
                <w:szCs w:val="24"/>
                <w:highlight w:val="none"/>
              </w:rPr>
              <w:t xml:space="preserve"> </w:t>
            </w:r>
            <w:r>
              <w:rPr>
                <w:strike/>
                <w:dstrike w:val="0"/>
                <w:color w:val="auto"/>
                <w:spacing w:val="-2"/>
                <w:sz w:val="24"/>
                <w:szCs w:val="24"/>
                <w:highlight w:val="none"/>
              </w:rPr>
              <w:t>程师以及电话</w:t>
            </w:r>
          </w:p>
        </w:tc>
        <w:tc>
          <w:tcPr>
            <w:tcW w:w="6569" w:type="dxa"/>
            <w:tcBorders>
              <w:right w:val="single" w:color="000000" w:sz="6" w:space="0"/>
            </w:tcBorders>
            <w:vAlign w:val="top"/>
          </w:tcPr>
          <w:p w14:paraId="06A9ABBD">
            <w:pPr>
              <w:rPr>
                <w:rFonts w:ascii="Arial"/>
                <w:strike/>
                <w:dstrike w:val="0"/>
                <w:color w:val="auto"/>
                <w:sz w:val="21"/>
                <w:highlight w:val="none"/>
              </w:rPr>
            </w:pPr>
          </w:p>
        </w:tc>
      </w:tr>
      <w:tr w14:paraId="6E4624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19" w:hRule="atLeast"/>
        </w:trPr>
        <w:tc>
          <w:tcPr>
            <w:tcW w:w="2207" w:type="dxa"/>
            <w:tcBorders>
              <w:left w:val="single" w:color="000000" w:sz="6" w:space="0"/>
            </w:tcBorders>
            <w:vAlign w:val="top"/>
          </w:tcPr>
          <w:p w14:paraId="497CCE30">
            <w:pPr>
              <w:spacing w:line="320" w:lineRule="auto"/>
              <w:rPr>
                <w:rFonts w:ascii="Arial"/>
                <w:strike/>
                <w:dstrike w:val="0"/>
                <w:color w:val="auto"/>
                <w:sz w:val="21"/>
                <w:highlight w:val="none"/>
              </w:rPr>
            </w:pPr>
          </w:p>
          <w:p w14:paraId="19B56DAF">
            <w:pPr>
              <w:spacing w:line="321" w:lineRule="auto"/>
              <w:rPr>
                <w:rFonts w:ascii="Arial"/>
                <w:strike/>
                <w:dstrike w:val="0"/>
                <w:color w:val="auto"/>
                <w:sz w:val="21"/>
                <w:highlight w:val="none"/>
              </w:rPr>
            </w:pPr>
          </w:p>
          <w:p w14:paraId="542E87DC">
            <w:pPr>
              <w:pStyle w:val="33"/>
              <w:spacing w:before="78" w:line="220" w:lineRule="auto"/>
              <w:ind w:left="384"/>
              <w:rPr>
                <w:strike/>
                <w:dstrike w:val="0"/>
                <w:color w:val="auto"/>
                <w:sz w:val="24"/>
                <w:szCs w:val="24"/>
                <w:highlight w:val="none"/>
              </w:rPr>
            </w:pPr>
            <w:r>
              <w:rPr>
                <w:strike/>
                <w:dstrike w:val="0"/>
                <w:color w:val="auto"/>
                <w:spacing w:val="-2"/>
                <w:sz w:val="24"/>
                <w:szCs w:val="24"/>
                <w:highlight w:val="none"/>
              </w:rPr>
              <w:t>合同项目描述</w:t>
            </w:r>
          </w:p>
        </w:tc>
        <w:tc>
          <w:tcPr>
            <w:tcW w:w="6569" w:type="dxa"/>
            <w:tcBorders>
              <w:right w:val="single" w:color="000000" w:sz="6" w:space="0"/>
            </w:tcBorders>
            <w:vAlign w:val="top"/>
          </w:tcPr>
          <w:p w14:paraId="0500BDB9">
            <w:pPr>
              <w:rPr>
                <w:rFonts w:ascii="Arial"/>
                <w:strike/>
                <w:dstrike w:val="0"/>
                <w:color w:val="auto"/>
                <w:sz w:val="21"/>
                <w:highlight w:val="none"/>
              </w:rPr>
            </w:pPr>
          </w:p>
        </w:tc>
      </w:tr>
      <w:tr w14:paraId="6AF8EBB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1800" w:hRule="atLeast"/>
        </w:trPr>
        <w:tc>
          <w:tcPr>
            <w:tcW w:w="2207" w:type="dxa"/>
            <w:tcBorders>
              <w:left w:val="single" w:color="000000" w:sz="6" w:space="0"/>
              <w:bottom w:val="single" w:color="000000" w:sz="6" w:space="0"/>
            </w:tcBorders>
            <w:vAlign w:val="top"/>
          </w:tcPr>
          <w:p w14:paraId="429C1E4D">
            <w:pPr>
              <w:spacing w:line="312" w:lineRule="auto"/>
              <w:rPr>
                <w:rFonts w:ascii="Arial"/>
                <w:strike/>
                <w:dstrike w:val="0"/>
                <w:color w:val="auto"/>
                <w:sz w:val="21"/>
                <w:highlight w:val="none"/>
              </w:rPr>
            </w:pPr>
          </w:p>
          <w:p w14:paraId="15C22C9C">
            <w:pPr>
              <w:spacing w:line="312" w:lineRule="auto"/>
              <w:rPr>
                <w:rFonts w:ascii="Arial"/>
                <w:strike/>
                <w:dstrike w:val="0"/>
                <w:color w:val="auto"/>
                <w:sz w:val="21"/>
                <w:highlight w:val="none"/>
              </w:rPr>
            </w:pPr>
          </w:p>
          <w:p w14:paraId="22BB3C57">
            <w:pPr>
              <w:pStyle w:val="33"/>
              <w:spacing w:before="78" w:line="221" w:lineRule="auto"/>
              <w:ind w:left="866"/>
              <w:rPr>
                <w:strike/>
                <w:dstrike w:val="0"/>
                <w:color w:val="auto"/>
                <w:sz w:val="24"/>
                <w:szCs w:val="24"/>
                <w:highlight w:val="none"/>
              </w:rPr>
            </w:pPr>
            <w:r>
              <w:rPr>
                <w:strike/>
                <w:dstrike w:val="0"/>
                <w:color w:val="auto"/>
                <w:spacing w:val="-4"/>
                <w:sz w:val="24"/>
                <w:szCs w:val="24"/>
                <w:highlight w:val="none"/>
              </w:rPr>
              <w:t>备注</w:t>
            </w:r>
          </w:p>
        </w:tc>
        <w:tc>
          <w:tcPr>
            <w:tcW w:w="6569" w:type="dxa"/>
            <w:tcBorders>
              <w:bottom w:val="single" w:color="000000" w:sz="6" w:space="0"/>
              <w:right w:val="single" w:color="000000" w:sz="6" w:space="0"/>
            </w:tcBorders>
            <w:vAlign w:val="top"/>
          </w:tcPr>
          <w:p w14:paraId="60FF8BEC">
            <w:pPr>
              <w:pStyle w:val="33"/>
              <w:spacing w:before="240" w:line="350" w:lineRule="auto"/>
              <w:ind w:left="108" w:right="102"/>
              <w:jc w:val="both"/>
              <w:rPr>
                <w:strike/>
                <w:dstrike w:val="0"/>
                <w:color w:val="auto"/>
                <w:sz w:val="24"/>
                <w:szCs w:val="24"/>
                <w:highlight w:val="none"/>
              </w:rPr>
            </w:pPr>
            <w:r>
              <w:rPr>
                <w:strike/>
                <w:dstrike w:val="0"/>
                <w:color w:val="auto"/>
                <w:spacing w:val="4"/>
                <w:sz w:val="24"/>
                <w:szCs w:val="24"/>
                <w:highlight w:val="none"/>
              </w:rPr>
              <w:t>合同项目描述内容至少包括项目概况、本合同在项目中的地</w:t>
            </w:r>
            <w:r>
              <w:rPr>
                <w:strike/>
                <w:dstrike w:val="0"/>
                <w:color w:val="auto"/>
                <w:sz w:val="24"/>
                <w:szCs w:val="24"/>
                <w:highlight w:val="none"/>
              </w:rPr>
              <w:t xml:space="preserve"> </w:t>
            </w:r>
            <w:r>
              <w:rPr>
                <w:strike/>
                <w:dstrike w:val="0"/>
                <w:color w:val="auto"/>
                <w:spacing w:val="-5"/>
                <w:sz w:val="24"/>
                <w:szCs w:val="24"/>
                <w:highlight w:val="none"/>
              </w:rPr>
              <w:t>位（部位、合同价格所占比例）和合同工程完工（竣工）验收</w:t>
            </w:r>
            <w:r>
              <w:rPr>
                <w:strike/>
                <w:dstrike w:val="0"/>
                <w:color w:val="auto"/>
                <w:spacing w:val="2"/>
                <w:sz w:val="24"/>
                <w:szCs w:val="24"/>
                <w:highlight w:val="none"/>
              </w:rPr>
              <w:t xml:space="preserve"> </w:t>
            </w:r>
            <w:r>
              <w:rPr>
                <w:strike/>
                <w:dstrike w:val="0"/>
                <w:color w:val="auto"/>
                <w:spacing w:val="-4"/>
                <w:sz w:val="24"/>
                <w:szCs w:val="24"/>
                <w:highlight w:val="none"/>
              </w:rPr>
              <w:t>鉴定书有关验收结论。</w:t>
            </w:r>
          </w:p>
        </w:tc>
      </w:tr>
    </w:tbl>
    <w:p w14:paraId="61D3C9BE">
      <w:pPr>
        <w:pStyle w:val="3"/>
        <w:rPr>
          <w:color w:val="auto"/>
          <w:highlight w:val="none"/>
        </w:rPr>
      </w:pPr>
    </w:p>
    <w:p w14:paraId="6CD5D154">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17A93229">
      <w:pPr>
        <w:spacing w:before="56" w:line="219" w:lineRule="auto"/>
        <w:outlineLvl w:val="1"/>
        <w:rPr>
          <w:rFonts w:ascii="宋体" w:hAnsi="宋体" w:eastAsia="宋体" w:cs="宋体"/>
          <w:color w:val="auto"/>
          <w:sz w:val="28"/>
          <w:szCs w:val="28"/>
          <w:highlight w:val="none"/>
        </w:rPr>
      </w:pPr>
      <w:bookmarkStart w:id="868" w:name="bookmark1314"/>
      <w:bookmarkEnd w:id="868"/>
      <w:bookmarkStart w:id="869" w:name="bookmark1313"/>
      <w:bookmarkEnd w:id="869"/>
      <w:bookmarkStart w:id="870" w:name="_Toc32475"/>
      <w:bookmarkStart w:id="871" w:name="_Toc29335"/>
      <w:r>
        <w:rPr>
          <w:rFonts w:ascii="宋体" w:hAnsi="宋体" w:eastAsia="宋体" w:cs="宋体"/>
          <w:b/>
          <w:bCs/>
          <w:color w:val="auto"/>
          <w:spacing w:val="-4"/>
          <w:sz w:val="28"/>
          <w:szCs w:val="28"/>
          <w:highlight w:val="none"/>
        </w:rPr>
        <w:t>三、其他材料</w:t>
      </w:r>
      <w:bookmarkEnd w:id="870"/>
      <w:bookmarkEnd w:id="871"/>
    </w:p>
    <w:p w14:paraId="4DEDB29B">
      <w:pPr>
        <w:spacing w:line="219" w:lineRule="auto"/>
        <w:rPr>
          <w:rFonts w:ascii="宋体" w:hAnsi="宋体" w:eastAsia="宋体" w:cs="宋体"/>
          <w:color w:val="auto"/>
          <w:sz w:val="28"/>
          <w:szCs w:val="28"/>
          <w:highlight w:val="none"/>
        </w:rPr>
        <w:sectPr>
          <w:pgSz w:w="11905" w:h="16843"/>
          <w:pgMar w:top="1429" w:right="1361" w:bottom="1253" w:left="1621" w:header="0" w:footer="1094" w:gutter="0"/>
          <w:pgNumType w:fmt="decimal"/>
          <w:cols w:space="0" w:num="1"/>
          <w:rtlGutter w:val="0"/>
          <w:docGrid w:linePitch="0" w:charSpace="0"/>
        </w:sectPr>
      </w:pPr>
    </w:p>
    <w:p w14:paraId="1055AF4D">
      <w:pPr>
        <w:spacing w:before="56" w:line="220" w:lineRule="auto"/>
        <w:outlineLvl w:val="1"/>
        <w:rPr>
          <w:rFonts w:ascii="宋体" w:hAnsi="宋体" w:eastAsia="宋体" w:cs="宋体"/>
          <w:color w:val="auto"/>
          <w:sz w:val="28"/>
          <w:szCs w:val="28"/>
          <w:highlight w:val="none"/>
        </w:rPr>
      </w:pPr>
      <w:bookmarkStart w:id="872" w:name="bookmark1316"/>
      <w:bookmarkEnd w:id="872"/>
      <w:bookmarkStart w:id="873" w:name="bookmark1315"/>
      <w:bookmarkEnd w:id="873"/>
      <w:bookmarkStart w:id="874" w:name="_Toc8610"/>
      <w:bookmarkStart w:id="875" w:name="_Toc21809"/>
      <w:r>
        <w:rPr>
          <w:rFonts w:ascii="宋体" w:hAnsi="宋体" w:eastAsia="宋体" w:cs="宋体"/>
          <w:b/>
          <w:bCs/>
          <w:color w:val="auto"/>
          <w:spacing w:val="-7"/>
          <w:sz w:val="28"/>
          <w:szCs w:val="28"/>
          <w:highlight w:val="none"/>
        </w:rPr>
        <w:t>四、原件的复制件</w:t>
      </w:r>
      <w:bookmarkEnd w:id="874"/>
      <w:bookmarkEnd w:id="875"/>
    </w:p>
    <w:p w14:paraId="13EF494A">
      <w:pPr>
        <w:pStyle w:val="3"/>
        <w:spacing w:line="245" w:lineRule="auto"/>
        <w:rPr>
          <w:color w:val="auto"/>
          <w:highlight w:val="none"/>
        </w:rPr>
      </w:pPr>
    </w:p>
    <w:p w14:paraId="3D7F0152">
      <w:pPr>
        <w:spacing w:before="78" w:line="219" w:lineRule="auto"/>
        <w:ind w:left="470"/>
        <w:rPr>
          <w:rFonts w:ascii="宋体" w:hAnsi="宋体" w:eastAsia="宋体" w:cs="宋体"/>
          <w:color w:val="auto"/>
          <w:sz w:val="24"/>
          <w:szCs w:val="24"/>
          <w:highlight w:val="none"/>
        </w:rPr>
      </w:pPr>
      <w:r>
        <w:rPr>
          <w:rFonts w:ascii="Times New Roman" w:hAnsi="Times New Roman" w:eastAsia="Times New Roman" w:cs="Times New Roman"/>
          <w:color w:val="auto"/>
          <w:spacing w:val="-3"/>
          <w:sz w:val="24"/>
          <w:szCs w:val="24"/>
          <w:highlight w:val="none"/>
        </w:rPr>
        <w:t>1.</w:t>
      </w:r>
      <w:r>
        <w:rPr>
          <w:rFonts w:ascii="宋体" w:hAnsi="宋体" w:eastAsia="宋体" w:cs="宋体"/>
          <w:color w:val="auto"/>
          <w:spacing w:val="-3"/>
          <w:sz w:val="24"/>
          <w:szCs w:val="24"/>
          <w:highlight w:val="none"/>
        </w:rPr>
        <w:t>详见投标人须知前附表第</w:t>
      </w:r>
      <w:r>
        <w:rPr>
          <w:rFonts w:ascii="Times New Roman" w:hAnsi="Times New Roman" w:eastAsia="Times New Roman" w:cs="Times New Roman"/>
          <w:color w:val="auto"/>
          <w:spacing w:val="-3"/>
          <w:sz w:val="24"/>
          <w:szCs w:val="24"/>
          <w:highlight w:val="none"/>
        </w:rPr>
        <w:t>10.3</w:t>
      </w:r>
      <w:r>
        <w:rPr>
          <w:rFonts w:ascii="宋体" w:hAnsi="宋体" w:eastAsia="宋体" w:cs="宋体"/>
          <w:color w:val="auto"/>
          <w:spacing w:val="-3"/>
          <w:sz w:val="24"/>
          <w:szCs w:val="24"/>
          <w:highlight w:val="none"/>
        </w:rPr>
        <w:t>款规定。</w:t>
      </w:r>
    </w:p>
    <w:p w14:paraId="697C8890">
      <w:pPr>
        <w:spacing w:before="180" w:line="220" w:lineRule="auto"/>
        <w:ind w:left="447"/>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2.</w:t>
      </w:r>
      <w:r>
        <w:rPr>
          <w:rFonts w:ascii="宋体" w:hAnsi="宋体" w:eastAsia="宋体" w:cs="宋体"/>
          <w:color w:val="auto"/>
          <w:spacing w:val="-1"/>
          <w:sz w:val="24"/>
          <w:szCs w:val="24"/>
          <w:highlight w:val="none"/>
        </w:rPr>
        <w:t>投标人须将上述原件的复制件及其他认为必须的复制件装订入投标</w:t>
      </w:r>
      <w:r>
        <w:rPr>
          <w:rFonts w:ascii="宋体" w:hAnsi="宋体" w:eastAsia="宋体" w:cs="宋体"/>
          <w:color w:val="auto"/>
          <w:spacing w:val="-2"/>
          <w:sz w:val="24"/>
          <w:szCs w:val="24"/>
          <w:highlight w:val="none"/>
        </w:rPr>
        <w:t>文件中。</w:t>
      </w:r>
    </w:p>
    <w:p w14:paraId="165B8C04">
      <w:pPr>
        <w:spacing w:line="220" w:lineRule="auto"/>
        <w:rPr>
          <w:rFonts w:ascii="宋体" w:hAnsi="宋体" w:eastAsia="宋体" w:cs="宋体"/>
          <w:strike/>
          <w:dstrike w:val="0"/>
          <w:color w:val="auto"/>
          <w:sz w:val="21"/>
          <w:szCs w:val="21"/>
          <w:highlight w:val="none"/>
        </w:rPr>
      </w:pPr>
    </w:p>
    <w:p w14:paraId="100BD86A">
      <w:pPr>
        <w:spacing w:line="220" w:lineRule="auto"/>
        <w:rPr>
          <w:rFonts w:ascii="宋体" w:hAnsi="宋体" w:eastAsia="宋体" w:cs="宋体"/>
          <w:strike/>
          <w:dstrike w:val="0"/>
          <w:color w:val="auto"/>
          <w:sz w:val="21"/>
          <w:szCs w:val="21"/>
          <w:highlight w:val="none"/>
        </w:rPr>
      </w:pPr>
    </w:p>
    <w:p w14:paraId="4639272B">
      <w:pPr>
        <w:spacing w:line="220" w:lineRule="auto"/>
        <w:rPr>
          <w:rFonts w:ascii="宋体" w:hAnsi="宋体" w:eastAsia="宋体" w:cs="宋体"/>
          <w:strike/>
          <w:dstrike w:val="0"/>
          <w:color w:val="auto"/>
          <w:sz w:val="21"/>
          <w:szCs w:val="21"/>
          <w:highlight w:val="none"/>
        </w:rPr>
      </w:pPr>
    </w:p>
    <w:p w14:paraId="70393422">
      <w:pPr>
        <w:spacing w:line="220" w:lineRule="auto"/>
        <w:rPr>
          <w:rFonts w:ascii="宋体" w:hAnsi="宋体" w:eastAsia="宋体" w:cs="宋体"/>
          <w:strike/>
          <w:dstrike w:val="0"/>
          <w:color w:val="auto"/>
          <w:sz w:val="21"/>
          <w:szCs w:val="21"/>
          <w:highlight w:val="none"/>
        </w:rPr>
      </w:pPr>
    </w:p>
    <w:p w14:paraId="068C048B">
      <w:pPr>
        <w:spacing w:line="220" w:lineRule="auto"/>
        <w:rPr>
          <w:rFonts w:ascii="宋体" w:hAnsi="宋体" w:eastAsia="宋体" w:cs="宋体"/>
          <w:strike/>
          <w:dstrike w:val="0"/>
          <w:color w:val="auto"/>
          <w:sz w:val="21"/>
          <w:szCs w:val="21"/>
          <w:highlight w:val="none"/>
        </w:rPr>
      </w:pPr>
    </w:p>
    <w:p w14:paraId="7FA0108B">
      <w:pPr>
        <w:spacing w:line="220" w:lineRule="auto"/>
        <w:rPr>
          <w:rFonts w:ascii="宋体" w:hAnsi="宋体" w:eastAsia="宋体" w:cs="宋体"/>
          <w:strike/>
          <w:dstrike w:val="0"/>
          <w:color w:val="auto"/>
          <w:sz w:val="21"/>
          <w:szCs w:val="21"/>
          <w:highlight w:val="none"/>
        </w:rPr>
      </w:pPr>
    </w:p>
    <w:p w14:paraId="542A836C">
      <w:pPr>
        <w:spacing w:line="220" w:lineRule="auto"/>
        <w:rPr>
          <w:rFonts w:ascii="宋体" w:hAnsi="宋体" w:eastAsia="宋体" w:cs="宋体"/>
          <w:strike/>
          <w:dstrike w:val="0"/>
          <w:color w:val="auto"/>
          <w:sz w:val="21"/>
          <w:szCs w:val="21"/>
          <w:highlight w:val="none"/>
        </w:rPr>
      </w:pPr>
    </w:p>
    <w:p w14:paraId="1A1FE4AB">
      <w:pPr>
        <w:spacing w:line="220" w:lineRule="auto"/>
        <w:rPr>
          <w:rFonts w:ascii="宋体" w:hAnsi="宋体" w:eastAsia="宋体" w:cs="宋体"/>
          <w:strike/>
          <w:dstrike w:val="0"/>
          <w:color w:val="auto"/>
          <w:sz w:val="21"/>
          <w:szCs w:val="21"/>
          <w:highlight w:val="none"/>
        </w:rPr>
      </w:pPr>
    </w:p>
    <w:p w14:paraId="79777144">
      <w:pPr>
        <w:spacing w:line="220" w:lineRule="auto"/>
        <w:rPr>
          <w:rFonts w:ascii="宋体" w:hAnsi="宋体" w:eastAsia="宋体" w:cs="宋体"/>
          <w:strike/>
          <w:dstrike w:val="0"/>
          <w:color w:val="auto"/>
          <w:sz w:val="21"/>
          <w:szCs w:val="21"/>
          <w:highlight w:val="none"/>
        </w:rPr>
      </w:pPr>
    </w:p>
    <w:p w14:paraId="049F8750">
      <w:pPr>
        <w:spacing w:line="220" w:lineRule="auto"/>
        <w:rPr>
          <w:rFonts w:ascii="宋体" w:hAnsi="宋体" w:eastAsia="宋体" w:cs="宋体"/>
          <w:strike/>
          <w:dstrike w:val="0"/>
          <w:color w:val="auto"/>
          <w:sz w:val="21"/>
          <w:szCs w:val="21"/>
          <w:highlight w:val="none"/>
        </w:rPr>
      </w:pPr>
    </w:p>
    <w:p w14:paraId="2E7818B7">
      <w:pPr>
        <w:spacing w:line="220" w:lineRule="auto"/>
        <w:rPr>
          <w:rFonts w:ascii="宋体" w:hAnsi="宋体" w:eastAsia="宋体" w:cs="宋体"/>
          <w:strike/>
          <w:dstrike w:val="0"/>
          <w:color w:val="auto"/>
          <w:sz w:val="21"/>
          <w:szCs w:val="21"/>
          <w:highlight w:val="none"/>
        </w:rPr>
      </w:pPr>
    </w:p>
    <w:p w14:paraId="60BFF64D">
      <w:pPr>
        <w:spacing w:line="220" w:lineRule="auto"/>
        <w:rPr>
          <w:rFonts w:ascii="宋体" w:hAnsi="宋体" w:eastAsia="宋体" w:cs="宋体"/>
          <w:strike/>
          <w:dstrike w:val="0"/>
          <w:color w:val="auto"/>
          <w:sz w:val="21"/>
          <w:szCs w:val="21"/>
          <w:highlight w:val="none"/>
        </w:rPr>
      </w:pPr>
    </w:p>
    <w:p w14:paraId="33E763BA">
      <w:pPr>
        <w:spacing w:line="220" w:lineRule="auto"/>
        <w:rPr>
          <w:rFonts w:ascii="宋体" w:hAnsi="宋体" w:eastAsia="宋体" w:cs="宋体"/>
          <w:strike/>
          <w:dstrike w:val="0"/>
          <w:color w:val="auto"/>
          <w:sz w:val="21"/>
          <w:szCs w:val="21"/>
          <w:highlight w:val="none"/>
        </w:rPr>
      </w:pPr>
    </w:p>
    <w:p w14:paraId="15F06A0B">
      <w:pPr>
        <w:spacing w:line="220" w:lineRule="auto"/>
        <w:rPr>
          <w:rFonts w:ascii="宋体" w:hAnsi="宋体" w:eastAsia="宋体" w:cs="宋体"/>
          <w:strike/>
          <w:dstrike w:val="0"/>
          <w:color w:val="auto"/>
          <w:sz w:val="21"/>
          <w:szCs w:val="21"/>
          <w:highlight w:val="none"/>
        </w:rPr>
      </w:pPr>
    </w:p>
    <w:p w14:paraId="50C09966">
      <w:pPr>
        <w:spacing w:line="220" w:lineRule="auto"/>
        <w:rPr>
          <w:rFonts w:ascii="宋体" w:hAnsi="宋体" w:eastAsia="宋体" w:cs="宋体"/>
          <w:strike/>
          <w:dstrike w:val="0"/>
          <w:color w:val="auto"/>
          <w:sz w:val="21"/>
          <w:szCs w:val="21"/>
          <w:highlight w:val="none"/>
        </w:rPr>
      </w:pPr>
    </w:p>
    <w:p w14:paraId="208D2274">
      <w:pPr>
        <w:spacing w:line="220" w:lineRule="auto"/>
        <w:rPr>
          <w:rFonts w:ascii="宋体" w:hAnsi="宋体" w:eastAsia="宋体" w:cs="宋体"/>
          <w:strike/>
          <w:dstrike w:val="0"/>
          <w:color w:val="auto"/>
          <w:sz w:val="21"/>
          <w:szCs w:val="21"/>
          <w:highlight w:val="none"/>
        </w:rPr>
      </w:pPr>
    </w:p>
    <w:p w14:paraId="042A9EAF">
      <w:pPr>
        <w:spacing w:line="220" w:lineRule="auto"/>
        <w:rPr>
          <w:rFonts w:ascii="宋体" w:hAnsi="宋体" w:eastAsia="宋体" w:cs="宋体"/>
          <w:strike/>
          <w:dstrike w:val="0"/>
          <w:color w:val="auto"/>
          <w:sz w:val="21"/>
          <w:szCs w:val="21"/>
          <w:highlight w:val="none"/>
        </w:rPr>
      </w:pPr>
    </w:p>
    <w:p w14:paraId="0B83EA1E">
      <w:pPr>
        <w:spacing w:line="220" w:lineRule="auto"/>
        <w:rPr>
          <w:rFonts w:ascii="宋体" w:hAnsi="宋体" w:eastAsia="宋体" w:cs="宋体"/>
          <w:strike/>
          <w:dstrike w:val="0"/>
          <w:color w:val="auto"/>
          <w:sz w:val="21"/>
          <w:szCs w:val="21"/>
          <w:highlight w:val="none"/>
        </w:rPr>
      </w:pPr>
    </w:p>
    <w:p w14:paraId="43F7E99E">
      <w:pPr>
        <w:spacing w:line="220" w:lineRule="auto"/>
        <w:rPr>
          <w:rFonts w:ascii="宋体" w:hAnsi="宋体" w:eastAsia="宋体" w:cs="宋体"/>
          <w:strike/>
          <w:dstrike w:val="0"/>
          <w:color w:val="auto"/>
          <w:sz w:val="21"/>
          <w:szCs w:val="21"/>
          <w:highlight w:val="none"/>
        </w:rPr>
      </w:pPr>
    </w:p>
    <w:p w14:paraId="42218B3B">
      <w:pPr>
        <w:spacing w:line="220" w:lineRule="auto"/>
        <w:rPr>
          <w:rFonts w:ascii="宋体" w:hAnsi="宋体" w:eastAsia="宋体" w:cs="宋体"/>
          <w:strike/>
          <w:dstrike w:val="0"/>
          <w:color w:val="auto"/>
          <w:sz w:val="21"/>
          <w:szCs w:val="21"/>
          <w:highlight w:val="none"/>
        </w:rPr>
      </w:pPr>
    </w:p>
    <w:p w14:paraId="09E2227B">
      <w:pPr>
        <w:spacing w:line="220" w:lineRule="auto"/>
        <w:rPr>
          <w:rFonts w:ascii="宋体" w:hAnsi="宋体" w:eastAsia="宋体" w:cs="宋体"/>
          <w:strike/>
          <w:dstrike w:val="0"/>
          <w:color w:val="auto"/>
          <w:sz w:val="21"/>
          <w:szCs w:val="21"/>
          <w:highlight w:val="none"/>
        </w:rPr>
      </w:pPr>
    </w:p>
    <w:p w14:paraId="0C63551A">
      <w:pPr>
        <w:spacing w:line="220" w:lineRule="auto"/>
        <w:rPr>
          <w:rFonts w:ascii="宋体" w:hAnsi="宋体" w:eastAsia="宋体" w:cs="宋体"/>
          <w:strike/>
          <w:dstrike w:val="0"/>
          <w:color w:val="auto"/>
          <w:sz w:val="21"/>
          <w:szCs w:val="21"/>
          <w:highlight w:val="none"/>
        </w:rPr>
      </w:pPr>
    </w:p>
    <w:p w14:paraId="0E34030F">
      <w:pPr>
        <w:spacing w:line="220" w:lineRule="auto"/>
        <w:rPr>
          <w:rFonts w:ascii="宋体" w:hAnsi="宋体" w:eastAsia="宋体" w:cs="宋体"/>
          <w:strike/>
          <w:dstrike w:val="0"/>
          <w:color w:val="auto"/>
          <w:sz w:val="21"/>
          <w:szCs w:val="21"/>
          <w:highlight w:val="none"/>
        </w:rPr>
      </w:pPr>
    </w:p>
    <w:p w14:paraId="0167FA11">
      <w:pPr>
        <w:spacing w:line="220" w:lineRule="auto"/>
        <w:rPr>
          <w:rFonts w:ascii="宋体" w:hAnsi="宋体" w:eastAsia="宋体" w:cs="宋体"/>
          <w:strike/>
          <w:dstrike w:val="0"/>
          <w:color w:val="auto"/>
          <w:sz w:val="21"/>
          <w:szCs w:val="21"/>
          <w:highlight w:val="none"/>
        </w:rPr>
      </w:pPr>
    </w:p>
    <w:p w14:paraId="00E72618">
      <w:pPr>
        <w:spacing w:line="220" w:lineRule="auto"/>
        <w:rPr>
          <w:rFonts w:ascii="宋体" w:hAnsi="宋体" w:eastAsia="宋体" w:cs="宋体"/>
          <w:strike/>
          <w:dstrike w:val="0"/>
          <w:color w:val="auto"/>
          <w:sz w:val="21"/>
          <w:szCs w:val="21"/>
          <w:highlight w:val="none"/>
        </w:rPr>
      </w:pPr>
    </w:p>
    <w:p w14:paraId="74262600">
      <w:pPr>
        <w:spacing w:line="220" w:lineRule="auto"/>
        <w:rPr>
          <w:rFonts w:ascii="宋体" w:hAnsi="宋体" w:eastAsia="宋体" w:cs="宋体"/>
          <w:strike/>
          <w:dstrike w:val="0"/>
          <w:color w:val="auto"/>
          <w:sz w:val="21"/>
          <w:szCs w:val="21"/>
          <w:highlight w:val="none"/>
        </w:rPr>
      </w:pPr>
    </w:p>
    <w:p w14:paraId="5106BE21">
      <w:pPr>
        <w:spacing w:line="220" w:lineRule="auto"/>
        <w:rPr>
          <w:rFonts w:ascii="宋体" w:hAnsi="宋体" w:eastAsia="宋体" w:cs="宋体"/>
          <w:strike/>
          <w:dstrike w:val="0"/>
          <w:color w:val="auto"/>
          <w:sz w:val="21"/>
          <w:szCs w:val="21"/>
          <w:highlight w:val="none"/>
        </w:rPr>
      </w:pPr>
    </w:p>
    <w:p w14:paraId="4E8906F3">
      <w:pPr>
        <w:spacing w:line="220" w:lineRule="auto"/>
        <w:rPr>
          <w:rFonts w:ascii="宋体" w:hAnsi="宋体" w:eastAsia="宋体" w:cs="宋体"/>
          <w:strike/>
          <w:dstrike w:val="0"/>
          <w:color w:val="auto"/>
          <w:sz w:val="21"/>
          <w:szCs w:val="21"/>
          <w:highlight w:val="none"/>
        </w:rPr>
      </w:pPr>
    </w:p>
    <w:p w14:paraId="336EDA69">
      <w:pPr>
        <w:spacing w:line="220" w:lineRule="auto"/>
        <w:rPr>
          <w:rFonts w:ascii="宋体" w:hAnsi="宋体" w:eastAsia="宋体" w:cs="宋体"/>
          <w:strike/>
          <w:dstrike w:val="0"/>
          <w:color w:val="auto"/>
          <w:sz w:val="21"/>
          <w:szCs w:val="21"/>
          <w:highlight w:val="none"/>
        </w:rPr>
      </w:pPr>
    </w:p>
    <w:p w14:paraId="785442D2">
      <w:pPr>
        <w:spacing w:line="220" w:lineRule="auto"/>
        <w:rPr>
          <w:rFonts w:ascii="宋体" w:hAnsi="宋体" w:eastAsia="宋体" w:cs="宋体"/>
          <w:strike/>
          <w:dstrike w:val="0"/>
          <w:color w:val="auto"/>
          <w:sz w:val="21"/>
          <w:szCs w:val="21"/>
          <w:highlight w:val="none"/>
        </w:rPr>
      </w:pPr>
    </w:p>
    <w:p w14:paraId="0E888B43">
      <w:pPr>
        <w:spacing w:line="220" w:lineRule="auto"/>
        <w:rPr>
          <w:rFonts w:ascii="宋体" w:hAnsi="宋体" w:eastAsia="宋体" w:cs="宋体"/>
          <w:strike/>
          <w:dstrike w:val="0"/>
          <w:color w:val="auto"/>
          <w:sz w:val="21"/>
          <w:szCs w:val="21"/>
          <w:highlight w:val="none"/>
        </w:rPr>
      </w:pPr>
    </w:p>
    <w:p w14:paraId="641CBBB1">
      <w:pPr>
        <w:spacing w:line="220" w:lineRule="auto"/>
        <w:rPr>
          <w:rFonts w:ascii="宋体" w:hAnsi="宋体" w:eastAsia="宋体" w:cs="宋体"/>
          <w:strike/>
          <w:dstrike w:val="0"/>
          <w:color w:val="auto"/>
          <w:sz w:val="21"/>
          <w:szCs w:val="21"/>
          <w:highlight w:val="none"/>
        </w:rPr>
      </w:pPr>
    </w:p>
    <w:p w14:paraId="21BD5BC4">
      <w:pPr>
        <w:spacing w:line="220" w:lineRule="auto"/>
        <w:rPr>
          <w:rFonts w:ascii="宋体" w:hAnsi="宋体" w:eastAsia="宋体" w:cs="宋体"/>
          <w:strike/>
          <w:dstrike w:val="0"/>
          <w:color w:val="auto"/>
          <w:sz w:val="21"/>
          <w:szCs w:val="21"/>
          <w:highlight w:val="none"/>
        </w:rPr>
      </w:pPr>
    </w:p>
    <w:p w14:paraId="208CF9CF">
      <w:pPr>
        <w:spacing w:line="220" w:lineRule="auto"/>
        <w:rPr>
          <w:rFonts w:ascii="宋体" w:hAnsi="宋体" w:eastAsia="宋体" w:cs="宋体"/>
          <w:strike/>
          <w:dstrike w:val="0"/>
          <w:color w:val="auto"/>
          <w:sz w:val="21"/>
          <w:szCs w:val="21"/>
          <w:highlight w:val="none"/>
        </w:rPr>
      </w:pPr>
    </w:p>
    <w:p w14:paraId="44C63F88">
      <w:pPr>
        <w:spacing w:line="220" w:lineRule="auto"/>
        <w:rPr>
          <w:rFonts w:ascii="宋体" w:hAnsi="宋体" w:eastAsia="宋体" w:cs="宋体"/>
          <w:strike/>
          <w:dstrike w:val="0"/>
          <w:color w:val="auto"/>
          <w:sz w:val="21"/>
          <w:szCs w:val="21"/>
          <w:highlight w:val="none"/>
        </w:rPr>
      </w:pPr>
    </w:p>
    <w:p w14:paraId="6208811A">
      <w:pPr>
        <w:spacing w:line="220" w:lineRule="auto"/>
        <w:rPr>
          <w:rFonts w:ascii="宋体" w:hAnsi="宋体" w:eastAsia="宋体" w:cs="宋体"/>
          <w:strike/>
          <w:dstrike w:val="0"/>
          <w:color w:val="auto"/>
          <w:sz w:val="21"/>
          <w:szCs w:val="21"/>
          <w:highlight w:val="none"/>
        </w:rPr>
      </w:pPr>
    </w:p>
    <w:p w14:paraId="7CE12BB1">
      <w:pPr>
        <w:spacing w:line="220" w:lineRule="auto"/>
        <w:rPr>
          <w:rFonts w:ascii="宋体" w:hAnsi="宋体" w:eastAsia="宋体" w:cs="宋体"/>
          <w:strike/>
          <w:dstrike w:val="0"/>
          <w:color w:val="auto"/>
          <w:sz w:val="21"/>
          <w:szCs w:val="21"/>
          <w:highlight w:val="none"/>
        </w:rPr>
      </w:pPr>
    </w:p>
    <w:p w14:paraId="4F1A27DF">
      <w:pPr>
        <w:spacing w:line="220" w:lineRule="auto"/>
        <w:rPr>
          <w:rFonts w:ascii="宋体" w:hAnsi="宋体" w:eastAsia="宋体" w:cs="宋体"/>
          <w:strike/>
          <w:dstrike w:val="0"/>
          <w:color w:val="auto"/>
          <w:sz w:val="21"/>
          <w:szCs w:val="21"/>
          <w:highlight w:val="none"/>
        </w:rPr>
      </w:pPr>
    </w:p>
    <w:p w14:paraId="62CABB89">
      <w:pPr>
        <w:spacing w:line="220" w:lineRule="auto"/>
        <w:rPr>
          <w:rFonts w:ascii="宋体" w:hAnsi="宋体" w:eastAsia="宋体" w:cs="宋体"/>
          <w:strike/>
          <w:dstrike w:val="0"/>
          <w:color w:val="auto"/>
          <w:sz w:val="21"/>
          <w:szCs w:val="21"/>
          <w:highlight w:val="none"/>
        </w:rPr>
      </w:pPr>
    </w:p>
    <w:p w14:paraId="50A3E63B">
      <w:pPr>
        <w:spacing w:line="220" w:lineRule="auto"/>
        <w:rPr>
          <w:rFonts w:ascii="宋体" w:hAnsi="宋体" w:eastAsia="宋体" w:cs="宋体"/>
          <w:strike/>
          <w:dstrike w:val="0"/>
          <w:color w:val="auto"/>
          <w:sz w:val="21"/>
          <w:szCs w:val="21"/>
          <w:highlight w:val="none"/>
        </w:rPr>
      </w:pPr>
    </w:p>
    <w:p w14:paraId="5816426E">
      <w:pPr>
        <w:spacing w:line="220" w:lineRule="auto"/>
        <w:rPr>
          <w:rFonts w:ascii="宋体" w:hAnsi="宋体" w:eastAsia="宋体" w:cs="宋体"/>
          <w:strike/>
          <w:dstrike w:val="0"/>
          <w:color w:val="auto"/>
          <w:sz w:val="21"/>
          <w:szCs w:val="21"/>
          <w:highlight w:val="none"/>
        </w:rPr>
      </w:pPr>
    </w:p>
    <w:p w14:paraId="3AFCD448">
      <w:pPr>
        <w:spacing w:line="220" w:lineRule="auto"/>
        <w:rPr>
          <w:rFonts w:ascii="宋体" w:hAnsi="宋体" w:eastAsia="宋体" w:cs="宋体"/>
          <w:strike/>
          <w:dstrike w:val="0"/>
          <w:color w:val="auto"/>
          <w:sz w:val="21"/>
          <w:szCs w:val="21"/>
          <w:highlight w:val="none"/>
        </w:rPr>
      </w:pPr>
    </w:p>
    <w:p w14:paraId="3BEBEF0C">
      <w:pPr>
        <w:spacing w:line="220" w:lineRule="auto"/>
        <w:rPr>
          <w:rFonts w:ascii="宋体" w:hAnsi="宋体" w:eastAsia="宋体" w:cs="宋体"/>
          <w:strike/>
          <w:dstrike w:val="0"/>
          <w:color w:val="auto"/>
          <w:sz w:val="21"/>
          <w:szCs w:val="21"/>
          <w:highlight w:val="none"/>
        </w:rPr>
      </w:pPr>
    </w:p>
    <w:p w14:paraId="1A3680FB">
      <w:pPr>
        <w:spacing w:line="220" w:lineRule="auto"/>
        <w:rPr>
          <w:rFonts w:ascii="宋体" w:hAnsi="宋体" w:eastAsia="宋体" w:cs="宋体"/>
          <w:strike/>
          <w:dstrike w:val="0"/>
          <w:color w:val="auto"/>
          <w:sz w:val="21"/>
          <w:szCs w:val="21"/>
          <w:highlight w:val="none"/>
        </w:rPr>
      </w:pPr>
    </w:p>
    <w:p w14:paraId="482B8EBF">
      <w:pPr>
        <w:spacing w:line="220" w:lineRule="auto"/>
        <w:rPr>
          <w:rFonts w:ascii="宋体" w:hAnsi="宋体" w:eastAsia="宋体" w:cs="宋体"/>
          <w:strike/>
          <w:dstrike w:val="0"/>
          <w:color w:val="auto"/>
          <w:sz w:val="21"/>
          <w:szCs w:val="21"/>
          <w:highlight w:val="none"/>
        </w:rPr>
      </w:pPr>
    </w:p>
    <w:p w14:paraId="52E2ECB6">
      <w:pPr>
        <w:spacing w:line="220" w:lineRule="auto"/>
        <w:rPr>
          <w:rFonts w:ascii="宋体" w:hAnsi="宋体" w:eastAsia="宋体" w:cs="宋体"/>
          <w:strike/>
          <w:dstrike w:val="0"/>
          <w:color w:val="auto"/>
          <w:sz w:val="21"/>
          <w:szCs w:val="21"/>
          <w:highlight w:val="none"/>
        </w:rPr>
      </w:pPr>
    </w:p>
    <w:p w14:paraId="794A0A72">
      <w:pPr>
        <w:spacing w:line="220" w:lineRule="auto"/>
        <w:rPr>
          <w:rFonts w:ascii="宋体" w:hAnsi="宋体" w:eastAsia="宋体" w:cs="宋体"/>
          <w:strike/>
          <w:dstrike w:val="0"/>
          <w:color w:val="auto"/>
          <w:sz w:val="21"/>
          <w:szCs w:val="21"/>
          <w:highlight w:val="none"/>
        </w:rPr>
      </w:pPr>
    </w:p>
    <w:p w14:paraId="025A604C">
      <w:pPr>
        <w:spacing w:line="220" w:lineRule="auto"/>
        <w:rPr>
          <w:rFonts w:ascii="宋体" w:hAnsi="宋体" w:eastAsia="宋体" w:cs="宋体"/>
          <w:strike/>
          <w:dstrike w:val="0"/>
          <w:color w:val="auto"/>
          <w:sz w:val="21"/>
          <w:szCs w:val="21"/>
          <w:highlight w:val="none"/>
        </w:rPr>
      </w:pPr>
    </w:p>
    <w:p w14:paraId="223226F8">
      <w:pPr>
        <w:spacing w:line="220" w:lineRule="auto"/>
        <w:rPr>
          <w:rFonts w:ascii="宋体" w:hAnsi="宋体" w:eastAsia="宋体" w:cs="宋体"/>
          <w:strike/>
          <w:dstrike w:val="0"/>
          <w:color w:val="auto"/>
          <w:sz w:val="21"/>
          <w:szCs w:val="21"/>
          <w:highlight w:val="none"/>
        </w:rPr>
      </w:pPr>
    </w:p>
    <w:p w14:paraId="0C2E7A9F">
      <w:pPr>
        <w:spacing w:line="220" w:lineRule="auto"/>
        <w:rPr>
          <w:rFonts w:ascii="宋体" w:hAnsi="宋体" w:eastAsia="宋体" w:cs="宋体"/>
          <w:strike/>
          <w:dstrike w:val="0"/>
          <w:color w:val="auto"/>
          <w:sz w:val="21"/>
          <w:szCs w:val="21"/>
          <w:highlight w:val="none"/>
        </w:rPr>
      </w:pPr>
    </w:p>
    <w:p w14:paraId="63AB0B6A">
      <w:pPr>
        <w:numPr>
          <w:ilvl w:val="0"/>
          <w:numId w:val="0"/>
        </w:numPr>
        <w:spacing w:before="56" w:line="220" w:lineRule="auto"/>
        <w:outlineLvl w:val="1"/>
        <w:rPr>
          <w:rFonts w:hint="eastAsia" w:ascii="宋体" w:hAnsi="宋体" w:eastAsia="宋体" w:cs="宋体"/>
          <w:b/>
          <w:bCs/>
          <w:strike w:val="0"/>
          <w:dstrike w:val="0"/>
          <w:color w:val="auto"/>
          <w:spacing w:val="-7"/>
          <w:sz w:val="24"/>
          <w:szCs w:val="24"/>
          <w:highlight w:val="none"/>
          <w:lang w:val="en-US" w:eastAsia="zh-CN"/>
        </w:rPr>
      </w:pPr>
      <w:bookmarkStart w:id="876" w:name="_Toc8749"/>
      <w:r>
        <w:rPr>
          <w:rFonts w:hint="eastAsia" w:ascii="宋体" w:hAnsi="宋体" w:eastAsia="宋体" w:cs="宋体"/>
          <w:b/>
          <w:bCs/>
          <w:strike w:val="0"/>
          <w:dstrike w:val="0"/>
          <w:snapToGrid w:val="0"/>
          <w:color w:val="auto"/>
          <w:spacing w:val="-7"/>
          <w:kern w:val="0"/>
          <w:sz w:val="24"/>
          <w:szCs w:val="24"/>
          <w:lang w:val="en-US" w:eastAsia="zh-CN" w:bidi="ar-SA"/>
        </w:rPr>
        <w:t>1.</w:t>
      </w:r>
      <w:r>
        <w:rPr>
          <w:rFonts w:hint="eastAsia" w:ascii="宋体" w:hAnsi="宋体" w:eastAsia="宋体" w:cs="宋体"/>
          <w:b/>
          <w:bCs/>
          <w:strike w:val="0"/>
          <w:dstrike w:val="0"/>
          <w:color w:val="auto"/>
          <w:spacing w:val="-7"/>
          <w:sz w:val="24"/>
          <w:szCs w:val="24"/>
          <w:highlight w:val="none"/>
          <w:lang w:val="en-US" w:eastAsia="zh-CN"/>
        </w:rPr>
        <w:t>企业信用等级</w:t>
      </w:r>
      <w:bookmarkEnd w:id="876"/>
    </w:p>
    <w:p w14:paraId="1EB3EF36">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26DF1BA7">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0B35FD52">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703ADC93">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45EA392A">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6FE3B64E">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1F5197DE">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6376CF40">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68D5B4D0">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6C597D08">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5A0E29F1">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6CDE6741">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00FE6393">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1467621F">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2BD87C55">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3039402D">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1619B14D">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04AE12B5">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058667D0">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7E9C56D5">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042285CC">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7893B61E">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11B4367B">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7CD0F04D">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3E9F2C3F">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320194EF">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044140C2">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3FA79A12">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6976F2F2">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6F49F0AC">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490BF9C8">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2EE9A854">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18371DA4">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25AFAF27">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23413F2E">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3B6F33A1">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4FC0323D">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1EC6F7FF">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b/>
          <w:bCs/>
          <w:color w:val="auto"/>
          <w:spacing w:val="-7"/>
          <w:sz w:val="24"/>
          <w:szCs w:val="24"/>
          <w:highlight w:val="none"/>
          <w:lang w:val="en-US" w:eastAsia="zh-CN"/>
        </w:rPr>
      </w:pPr>
    </w:p>
    <w:p w14:paraId="71AFF411">
      <w:pPr>
        <w:spacing w:before="78" w:line="233" w:lineRule="auto"/>
        <w:rPr>
          <w:rFonts w:ascii="宋体" w:hAnsi="宋体" w:eastAsia="宋体" w:cs="宋体"/>
          <w:strike/>
          <w:dstrike w:val="0"/>
          <w:sz w:val="24"/>
          <w:szCs w:val="24"/>
        </w:rPr>
      </w:pPr>
      <w:r>
        <w:rPr>
          <w:rFonts w:hint="eastAsia" w:ascii="宋体" w:hAnsi="宋体" w:eastAsia="宋体" w:cs="宋体"/>
          <w:b/>
          <w:bCs/>
          <w:strike/>
          <w:dstrike w:val="0"/>
          <w:color w:val="auto"/>
          <w:spacing w:val="-7"/>
          <w:sz w:val="24"/>
          <w:szCs w:val="24"/>
          <w:highlight w:val="none"/>
          <w:lang w:val="en-US" w:eastAsia="zh-CN"/>
        </w:rPr>
        <w:t>2.</w:t>
      </w:r>
      <w:r>
        <w:rPr>
          <w:rFonts w:ascii="宋体" w:hAnsi="宋体" w:eastAsia="宋体" w:cs="宋体"/>
          <w:b/>
          <w:bCs/>
          <w:strike/>
          <w:dstrike w:val="0"/>
          <w:spacing w:val="-2"/>
          <w:sz w:val="24"/>
          <w:szCs w:val="24"/>
        </w:rPr>
        <w:t>符合评审打分要求的类似项目业绩证明材料</w:t>
      </w:r>
    </w:p>
    <w:p w14:paraId="37B8A5CB">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trike/>
          <w:dstrike w:val="0"/>
          <w:spacing w:val="-1"/>
          <w:sz w:val="21"/>
          <w:szCs w:val="21"/>
        </w:rPr>
      </w:pPr>
      <w:bookmarkStart w:id="877" w:name="_Toc21873"/>
      <w:r>
        <w:rPr>
          <w:rFonts w:ascii="宋体" w:hAnsi="宋体" w:eastAsia="宋体" w:cs="宋体"/>
          <w:strike/>
          <w:dstrike w:val="0"/>
          <w:spacing w:val="-1"/>
          <w:sz w:val="21"/>
          <w:szCs w:val="21"/>
        </w:rPr>
        <w:t>注：如提供的是联合体业绩，还须提供联合体协议书。</w:t>
      </w:r>
      <w:bookmarkEnd w:id="877"/>
    </w:p>
    <w:p w14:paraId="366AF78F">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pacing w:val="-1"/>
          <w:sz w:val="21"/>
          <w:szCs w:val="21"/>
        </w:rPr>
      </w:pPr>
    </w:p>
    <w:p w14:paraId="3B372BC5">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pacing w:val="-1"/>
          <w:sz w:val="21"/>
          <w:szCs w:val="21"/>
        </w:rPr>
      </w:pPr>
    </w:p>
    <w:p w14:paraId="519BD4A6">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pacing w:val="-1"/>
          <w:sz w:val="21"/>
          <w:szCs w:val="21"/>
        </w:rPr>
      </w:pPr>
    </w:p>
    <w:p w14:paraId="153D61A8">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pacing w:val="-1"/>
          <w:sz w:val="21"/>
          <w:szCs w:val="21"/>
        </w:rPr>
      </w:pPr>
    </w:p>
    <w:p w14:paraId="05F55A8F">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pacing w:val="-1"/>
          <w:sz w:val="21"/>
          <w:szCs w:val="21"/>
        </w:rPr>
      </w:pPr>
    </w:p>
    <w:p w14:paraId="6D203F9D">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pacing w:val="-1"/>
          <w:sz w:val="21"/>
          <w:szCs w:val="21"/>
        </w:rPr>
      </w:pPr>
    </w:p>
    <w:p w14:paraId="48644230">
      <w:pPr>
        <w:numPr>
          <w:ilvl w:val="0"/>
          <w:numId w:val="0"/>
        </w:numPr>
        <w:kinsoku w:val="0"/>
        <w:autoSpaceDE w:val="0"/>
        <w:autoSpaceDN w:val="0"/>
        <w:adjustRightInd w:val="0"/>
        <w:snapToGrid w:val="0"/>
        <w:spacing w:before="56" w:line="220" w:lineRule="auto"/>
        <w:jc w:val="left"/>
        <w:textAlignment w:val="baseline"/>
        <w:outlineLvl w:val="1"/>
        <w:rPr>
          <w:rFonts w:ascii="宋体" w:hAnsi="宋体" w:eastAsia="宋体" w:cs="宋体"/>
          <w:spacing w:val="-1"/>
          <w:sz w:val="21"/>
          <w:szCs w:val="21"/>
        </w:rPr>
      </w:pPr>
    </w:p>
    <w:p w14:paraId="0D40994D">
      <w:pPr>
        <w:numPr>
          <w:ilvl w:val="0"/>
          <w:numId w:val="0"/>
        </w:numPr>
        <w:kinsoku w:val="0"/>
        <w:autoSpaceDE w:val="0"/>
        <w:autoSpaceDN w:val="0"/>
        <w:adjustRightInd w:val="0"/>
        <w:snapToGrid w:val="0"/>
        <w:spacing w:before="56" w:line="220" w:lineRule="auto"/>
        <w:jc w:val="left"/>
        <w:textAlignment w:val="baseline"/>
        <w:outlineLvl w:val="1"/>
        <w:rPr>
          <w:rFonts w:hint="default" w:ascii="宋体" w:hAnsi="宋体" w:eastAsia="宋体" w:cs="宋体"/>
          <w:spacing w:val="-1"/>
          <w:sz w:val="21"/>
          <w:szCs w:val="21"/>
          <w:lang w:val="en-US" w:eastAsia="zh-CN"/>
        </w:rPr>
      </w:pPr>
    </w:p>
    <w:p w14:paraId="7C07CC26">
      <w:pPr>
        <w:bidi w:val="0"/>
        <w:rPr>
          <w:rFonts w:hint="default" w:ascii="Arial" w:hAnsi="Arial" w:eastAsia="Arial" w:cs="Arial"/>
          <w:snapToGrid w:val="0"/>
          <w:color w:val="000000"/>
          <w:kern w:val="0"/>
          <w:sz w:val="21"/>
          <w:szCs w:val="21"/>
          <w:lang w:val="en-US" w:eastAsia="zh-CN" w:bidi="ar-SA"/>
        </w:rPr>
      </w:pPr>
    </w:p>
    <w:p w14:paraId="6F4F5FB4">
      <w:pPr>
        <w:bidi w:val="0"/>
        <w:rPr>
          <w:rFonts w:hint="default"/>
          <w:lang w:val="en-US" w:eastAsia="zh-CN"/>
        </w:rPr>
      </w:pPr>
    </w:p>
    <w:p w14:paraId="2ED22C02">
      <w:pPr>
        <w:bidi w:val="0"/>
        <w:rPr>
          <w:rFonts w:hint="default"/>
          <w:lang w:val="en-US" w:eastAsia="zh-CN"/>
        </w:rPr>
      </w:pPr>
    </w:p>
    <w:p w14:paraId="2F99733F">
      <w:pPr>
        <w:bidi w:val="0"/>
        <w:rPr>
          <w:rFonts w:hint="default"/>
          <w:lang w:val="en-US" w:eastAsia="zh-CN"/>
        </w:rPr>
      </w:pPr>
    </w:p>
    <w:p w14:paraId="45A28738">
      <w:pPr>
        <w:bidi w:val="0"/>
        <w:rPr>
          <w:rFonts w:hint="default"/>
          <w:lang w:val="en-US" w:eastAsia="zh-CN"/>
        </w:rPr>
      </w:pPr>
    </w:p>
    <w:p w14:paraId="7A77B8F3">
      <w:pPr>
        <w:bidi w:val="0"/>
        <w:rPr>
          <w:rFonts w:hint="default"/>
          <w:lang w:val="en-US" w:eastAsia="zh-CN"/>
        </w:rPr>
      </w:pPr>
    </w:p>
    <w:p w14:paraId="570A9980">
      <w:pPr>
        <w:bidi w:val="0"/>
        <w:rPr>
          <w:rFonts w:hint="default"/>
          <w:lang w:val="en-US" w:eastAsia="zh-CN"/>
        </w:rPr>
      </w:pPr>
    </w:p>
    <w:p w14:paraId="3B0B63ED">
      <w:pPr>
        <w:bidi w:val="0"/>
        <w:rPr>
          <w:rFonts w:hint="default"/>
          <w:lang w:val="en-US" w:eastAsia="zh-CN"/>
        </w:rPr>
      </w:pPr>
    </w:p>
    <w:p w14:paraId="6B72D529">
      <w:pPr>
        <w:bidi w:val="0"/>
        <w:rPr>
          <w:rFonts w:hint="default"/>
          <w:lang w:val="en-US" w:eastAsia="zh-CN"/>
        </w:rPr>
      </w:pPr>
    </w:p>
    <w:p w14:paraId="22D2928C">
      <w:pPr>
        <w:bidi w:val="0"/>
        <w:rPr>
          <w:rFonts w:hint="default"/>
          <w:lang w:val="en-US" w:eastAsia="zh-CN"/>
        </w:rPr>
      </w:pPr>
    </w:p>
    <w:p w14:paraId="6840FABF">
      <w:pPr>
        <w:bidi w:val="0"/>
        <w:rPr>
          <w:rFonts w:hint="default"/>
          <w:lang w:val="en-US" w:eastAsia="zh-CN"/>
        </w:rPr>
      </w:pPr>
    </w:p>
    <w:p w14:paraId="5500E05B">
      <w:pPr>
        <w:bidi w:val="0"/>
        <w:rPr>
          <w:rFonts w:hint="default"/>
          <w:lang w:val="en-US" w:eastAsia="zh-CN"/>
        </w:rPr>
      </w:pPr>
    </w:p>
    <w:p w14:paraId="6C846CD7">
      <w:pPr>
        <w:bidi w:val="0"/>
        <w:rPr>
          <w:rFonts w:hint="default"/>
          <w:lang w:val="en-US" w:eastAsia="zh-CN"/>
        </w:rPr>
      </w:pPr>
    </w:p>
    <w:p w14:paraId="014810E6">
      <w:pPr>
        <w:bidi w:val="0"/>
        <w:rPr>
          <w:rFonts w:hint="default"/>
          <w:lang w:val="en-US" w:eastAsia="zh-CN"/>
        </w:rPr>
      </w:pPr>
    </w:p>
    <w:p w14:paraId="0684FA7D">
      <w:pPr>
        <w:bidi w:val="0"/>
        <w:rPr>
          <w:rFonts w:hint="default"/>
          <w:lang w:val="en-US" w:eastAsia="zh-CN"/>
        </w:rPr>
      </w:pPr>
    </w:p>
    <w:p w14:paraId="1CF966F8">
      <w:pPr>
        <w:bidi w:val="0"/>
        <w:rPr>
          <w:rFonts w:hint="default"/>
          <w:lang w:val="en-US" w:eastAsia="zh-CN"/>
        </w:rPr>
      </w:pPr>
    </w:p>
    <w:p w14:paraId="0610DE1C">
      <w:pPr>
        <w:bidi w:val="0"/>
        <w:rPr>
          <w:rFonts w:hint="default"/>
          <w:lang w:val="en-US" w:eastAsia="zh-CN"/>
        </w:rPr>
      </w:pPr>
    </w:p>
    <w:p w14:paraId="5B4B8C13">
      <w:pPr>
        <w:bidi w:val="0"/>
        <w:rPr>
          <w:rFonts w:hint="default"/>
          <w:lang w:val="en-US" w:eastAsia="zh-CN"/>
        </w:rPr>
      </w:pPr>
    </w:p>
    <w:p w14:paraId="6E6448D8">
      <w:pPr>
        <w:bidi w:val="0"/>
        <w:rPr>
          <w:rFonts w:hint="default"/>
          <w:lang w:val="en-US" w:eastAsia="zh-CN"/>
        </w:rPr>
      </w:pPr>
    </w:p>
    <w:p w14:paraId="0FFBFC33">
      <w:pPr>
        <w:bidi w:val="0"/>
        <w:rPr>
          <w:rFonts w:hint="default"/>
          <w:lang w:val="en-US" w:eastAsia="zh-CN"/>
        </w:rPr>
      </w:pPr>
    </w:p>
    <w:p w14:paraId="4078325A">
      <w:pPr>
        <w:bidi w:val="0"/>
        <w:rPr>
          <w:rFonts w:hint="default"/>
          <w:lang w:val="en-US" w:eastAsia="zh-CN"/>
        </w:rPr>
      </w:pPr>
    </w:p>
    <w:p w14:paraId="3AB741EF">
      <w:pPr>
        <w:bidi w:val="0"/>
        <w:rPr>
          <w:rFonts w:hint="default"/>
          <w:lang w:val="en-US" w:eastAsia="zh-CN"/>
        </w:rPr>
      </w:pPr>
    </w:p>
    <w:p w14:paraId="2AE4EF11">
      <w:pPr>
        <w:bidi w:val="0"/>
        <w:rPr>
          <w:rFonts w:hint="default"/>
          <w:lang w:val="en-US" w:eastAsia="zh-CN"/>
        </w:rPr>
      </w:pPr>
    </w:p>
    <w:p w14:paraId="49AB8446">
      <w:pPr>
        <w:bidi w:val="0"/>
        <w:rPr>
          <w:rFonts w:hint="default"/>
          <w:lang w:val="en-US" w:eastAsia="zh-CN"/>
        </w:rPr>
      </w:pPr>
    </w:p>
    <w:p w14:paraId="1E6BD0A2">
      <w:pPr>
        <w:bidi w:val="0"/>
        <w:rPr>
          <w:rFonts w:hint="default"/>
          <w:lang w:val="en-US" w:eastAsia="zh-CN"/>
        </w:rPr>
      </w:pPr>
    </w:p>
    <w:p w14:paraId="2AA2C411">
      <w:pPr>
        <w:bidi w:val="0"/>
        <w:rPr>
          <w:rFonts w:hint="default"/>
          <w:lang w:val="en-US" w:eastAsia="zh-CN"/>
        </w:rPr>
      </w:pPr>
    </w:p>
    <w:p w14:paraId="19868644">
      <w:pPr>
        <w:bidi w:val="0"/>
        <w:rPr>
          <w:rFonts w:hint="default"/>
          <w:lang w:val="en-US" w:eastAsia="zh-CN"/>
        </w:rPr>
      </w:pPr>
    </w:p>
    <w:p w14:paraId="5C88803E">
      <w:pPr>
        <w:bidi w:val="0"/>
        <w:rPr>
          <w:rFonts w:hint="default"/>
          <w:lang w:val="en-US" w:eastAsia="zh-CN"/>
        </w:rPr>
      </w:pPr>
    </w:p>
    <w:p w14:paraId="793F675A">
      <w:pPr>
        <w:bidi w:val="0"/>
        <w:rPr>
          <w:rFonts w:hint="default"/>
          <w:lang w:val="en-US" w:eastAsia="zh-CN"/>
        </w:rPr>
      </w:pPr>
    </w:p>
    <w:p w14:paraId="35D1394E">
      <w:pPr>
        <w:bidi w:val="0"/>
        <w:rPr>
          <w:rFonts w:hint="default"/>
          <w:lang w:val="en-US" w:eastAsia="zh-CN"/>
        </w:rPr>
      </w:pPr>
    </w:p>
    <w:p w14:paraId="79BB43D0">
      <w:pPr>
        <w:bidi w:val="0"/>
        <w:rPr>
          <w:rFonts w:hint="default"/>
          <w:lang w:val="en-US" w:eastAsia="zh-CN"/>
        </w:rPr>
      </w:pPr>
    </w:p>
    <w:p w14:paraId="3E5E4888">
      <w:pPr>
        <w:bidi w:val="0"/>
        <w:rPr>
          <w:rFonts w:hint="default"/>
          <w:lang w:val="en-US" w:eastAsia="zh-CN"/>
        </w:rPr>
      </w:pPr>
    </w:p>
    <w:p w14:paraId="3D608BA0">
      <w:pPr>
        <w:bidi w:val="0"/>
        <w:rPr>
          <w:rFonts w:hint="default"/>
          <w:lang w:val="en-US" w:eastAsia="zh-CN"/>
        </w:rPr>
      </w:pPr>
    </w:p>
    <w:p w14:paraId="4726B6C3">
      <w:pPr>
        <w:bidi w:val="0"/>
        <w:rPr>
          <w:rFonts w:hint="default"/>
          <w:lang w:val="en-US" w:eastAsia="zh-CN"/>
        </w:rPr>
      </w:pPr>
    </w:p>
    <w:p w14:paraId="2F713CDD">
      <w:pPr>
        <w:bidi w:val="0"/>
        <w:rPr>
          <w:rFonts w:hint="default"/>
          <w:lang w:val="en-US" w:eastAsia="zh-CN"/>
        </w:rPr>
      </w:pPr>
    </w:p>
    <w:p w14:paraId="7EC9935D">
      <w:pPr>
        <w:bidi w:val="0"/>
        <w:rPr>
          <w:rFonts w:hint="default"/>
          <w:lang w:val="en-US" w:eastAsia="zh-CN"/>
        </w:rPr>
      </w:pPr>
    </w:p>
    <w:p w14:paraId="2E7979A1">
      <w:pPr>
        <w:bidi w:val="0"/>
        <w:rPr>
          <w:rFonts w:hint="default"/>
          <w:lang w:val="en-US" w:eastAsia="zh-CN"/>
        </w:rPr>
      </w:pPr>
    </w:p>
    <w:p w14:paraId="207D54E7">
      <w:pPr>
        <w:bidi w:val="0"/>
        <w:rPr>
          <w:rFonts w:hint="default"/>
          <w:lang w:val="en-US" w:eastAsia="zh-CN"/>
        </w:rPr>
      </w:pPr>
    </w:p>
    <w:p w14:paraId="1CE75F6D">
      <w:pPr>
        <w:bidi w:val="0"/>
        <w:rPr>
          <w:rFonts w:hint="default"/>
          <w:lang w:val="en-US" w:eastAsia="zh-CN"/>
        </w:rPr>
      </w:pPr>
    </w:p>
    <w:p w14:paraId="285F790C">
      <w:pPr>
        <w:bidi w:val="0"/>
        <w:rPr>
          <w:rFonts w:hint="default"/>
          <w:lang w:val="en-US" w:eastAsia="zh-CN"/>
        </w:rPr>
      </w:pPr>
    </w:p>
    <w:p w14:paraId="71BDB177">
      <w:pPr>
        <w:bidi w:val="0"/>
        <w:rPr>
          <w:rFonts w:hint="default"/>
          <w:lang w:val="en-US" w:eastAsia="zh-CN"/>
        </w:rPr>
      </w:pPr>
    </w:p>
    <w:p w14:paraId="360EE300">
      <w:pPr>
        <w:bidi w:val="0"/>
        <w:rPr>
          <w:rFonts w:hint="default"/>
          <w:lang w:val="en-US" w:eastAsia="zh-CN"/>
        </w:rPr>
      </w:pPr>
    </w:p>
    <w:p w14:paraId="27FFCF41">
      <w:pPr>
        <w:bidi w:val="0"/>
        <w:rPr>
          <w:rFonts w:hint="default"/>
          <w:lang w:val="en-US" w:eastAsia="zh-CN"/>
        </w:rPr>
      </w:pPr>
    </w:p>
    <w:p w14:paraId="792A6DD2">
      <w:pPr>
        <w:bidi w:val="0"/>
        <w:jc w:val="left"/>
        <w:rPr>
          <w:rFonts w:hint="default"/>
          <w:lang w:val="en-US" w:eastAsia="zh-CN"/>
        </w:rPr>
      </w:pPr>
    </w:p>
    <w:p w14:paraId="04256040">
      <w:pPr>
        <w:bidi w:val="0"/>
        <w:jc w:val="left"/>
        <w:rPr>
          <w:rFonts w:hint="default"/>
          <w:lang w:val="en-US" w:eastAsia="zh-CN"/>
        </w:rPr>
      </w:pPr>
    </w:p>
    <w:p w14:paraId="1920E601">
      <w:pPr>
        <w:spacing w:before="78" w:line="233" w:lineRule="auto"/>
        <w:rPr>
          <w:rFonts w:hint="default" w:ascii="宋体" w:hAnsi="宋体" w:eastAsia="宋体" w:cs="宋体"/>
          <w:b/>
          <w:bCs/>
          <w:strike w:val="0"/>
          <w:dstrike w:val="0"/>
          <w:spacing w:val="-2"/>
          <w:sz w:val="24"/>
          <w:szCs w:val="24"/>
          <w:lang w:val="en-US" w:eastAsia="zh-CN"/>
        </w:rPr>
        <w:sectPr>
          <w:pgSz w:w="11905" w:h="16843"/>
          <w:pgMar w:top="1429" w:right="1361" w:bottom="1253" w:left="1621" w:header="0" w:footer="1094" w:gutter="0"/>
          <w:pgNumType w:fmt="decimal"/>
          <w:cols w:space="0" w:num="1"/>
          <w:rtlGutter w:val="0"/>
          <w:docGrid w:linePitch="0" w:charSpace="0"/>
        </w:sectPr>
      </w:pPr>
      <w:r>
        <w:rPr>
          <w:rFonts w:hint="eastAsia" w:ascii="宋体" w:hAnsi="宋体" w:eastAsia="宋体" w:cs="宋体"/>
          <w:b/>
          <w:bCs/>
          <w:strike w:val="0"/>
          <w:dstrike w:val="0"/>
          <w:spacing w:val="-2"/>
          <w:sz w:val="24"/>
          <w:szCs w:val="24"/>
          <w:lang w:val="en-US" w:eastAsia="zh-CN"/>
        </w:rPr>
        <w:t>3.其他</w:t>
      </w:r>
    </w:p>
    <w:p w14:paraId="47DC18DE">
      <w:pPr>
        <w:pStyle w:val="3"/>
        <w:spacing w:line="244" w:lineRule="auto"/>
        <w:rPr>
          <w:color w:val="auto"/>
          <w:highlight w:val="none"/>
        </w:rPr>
      </w:pPr>
    </w:p>
    <w:p w14:paraId="12961EFF">
      <w:pPr>
        <w:pStyle w:val="3"/>
        <w:spacing w:line="244" w:lineRule="auto"/>
        <w:rPr>
          <w:color w:val="auto"/>
          <w:highlight w:val="none"/>
        </w:rPr>
      </w:pPr>
    </w:p>
    <w:p w14:paraId="3E72DC92">
      <w:pPr>
        <w:pStyle w:val="3"/>
        <w:spacing w:line="244" w:lineRule="auto"/>
        <w:rPr>
          <w:color w:val="auto"/>
          <w:highlight w:val="none"/>
        </w:rPr>
      </w:pPr>
    </w:p>
    <w:p w14:paraId="31ADA4B8">
      <w:pPr>
        <w:pStyle w:val="3"/>
        <w:spacing w:line="244" w:lineRule="auto"/>
        <w:rPr>
          <w:color w:val="auto"/>
          <w:highlight w:val="none"/>
        </w:rPr>
      </w:pPr>
    </w:p>
    <w:p w14:paraId="5FFFCF35">
      <w:pPr>
        <w:pStyle w:val="3"/>
        <w:spacing w:line="244" w:lineRule="auto"/>
        <w:rPr>
          <w:color w:val="auto"/>
          <w:highlight w:val="none"/>
        </w:rPr>
      </w:pPr>
    </w:p>
    <w:p w14:paraId="18AD6F23">
      <w:pPr>
        <w:pStyle w:val="3"/>
        <w:spacing w:line="244" w:lineRule="auto"/>
        <w:rPr>
          <w:color w:val="auto"/>
          <w:highlight w:val="none"/>
        </w:rPr>
      </w:pPr>
    </w:p>
    <w:p w14:paraId="7FE2EF0F">
      <w:pPr>
        <w:pStyle w:val="3"/>
        <w:spacing w:line="244" w:lineRule="auto"/>
        <w:rPr>
          <w:color w:val="auto"/>
          <w:highlight w:val="none"/>
        </w:rPr>
      </w:pPr>
    </w:p>
    <w:p w14:paraId="4C1AEF00">
      <w:pPr>
        <w:pStyle w:val="3"/>
        <w:spacing w:line="244" w:lineRule="auto"/>
        <w:rPr>
          <w:color w:val="auto"/>
          <w:highlight w:val="none"/>
        </w:rPr>
      </w:pPr>
    </w:p>
    <w:p w14:paraId="2E89EF8A">
      <w:pPr>
        <w:tabs>
          <w:tab w:val="left" w:pos="3577"/>
        </w:tabs>
        <w:spacing w:before="82" w:line="213" w:lineRule="auto"/>
        <w:ind w:left="1417"/>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9"/>
          <w:sz w:val="24"/>
          <w:szCs w:val="24"/>
          <w:highlight w:val="none"/>
        </w:rPr>
        <w:t>（</w:t>
      </w:r>
      <w:r>
        <w:rPr>
          <w:rFonts w:ascii="宋体" w:hAnsi="宋体" w:eastAsia="宋体" w:cs="宋体"/>
          <w:i/>
          <w:iCs/>
          <w:color w:val="auto"/>
          <w:spacing w:val="9"/>
          <w:sz w:val="25"/>
          <w:szCs w:val="25"/>
          <w:highlight w:val="none"/>
        </w:rPr>
        <w:t>项目名称</w:t>
      </w:r>
      <w:r>
        <w:rPr>
          <w:rFonts w:ascii="宋体" w:hAnsi="宋体" w:eastAsia="宋体" w:cs="宋体"/>
          <w:color w:val="auto"/>
          <w:spacing w:val="-51"/>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1"/>
          <w:sz w:val="24"/>
          <w:szCs w:val="24"/>
          <w:highlight w:val="none"/>
        </w:rPr>
        <w:t>（</w:t>
      </w:r>
      <w:r>
        <w:rPr>
          <w:rFonts w:ascii="宋体" w:hAnsi="宋体" w:eastAsia="宋体" w:cs="宋体"/>
          <w:i/>
          <w:iCs/>
          <w:color w:val="auto"/>
          <w:spacing w:val="9"/>
          <w:sz w:val="25"/>
          <w:szCs w:val="25"/>
          <w:highlight w:val="none"/>
        </w:rPr>
        <w:t>标段名称</w:t>
      </w:r>
      <w:r>
        <w:rPr>
          <w:rFonts w:ascii="宋体" w:hAnsi="宋体" w:eastAsia="宋体" w:cs="宋体"/>
          <w:color w:val="auto"/>
          <w:spacing w:val="9"/>
          <w:sz w:val="24"/>
          <w:szCs w:val="24"/>
          <w:highlight w:val="none"/>
        </w:rPr>
        <w:t>）</w:t>
      </w:r>
    </w:p>
    <w:p w14:paraId="6A38D286">
      <w:pPr>
        <w:pStyle w:val="3"/>
        <w:spacing w:line="244" w:lineRule="auto"/>
        <w:rPr>
          <w:color w:val="auto"/>
          <w:highlight w:val="none"/>
        </w:rPr>
      </w:pPr>
    </w:p>
    <w:p w14:paraId="212CB11A">
      <w:pPr>
        <w:pStyle w:val="3"/>
        <w:spacing w:line="245" w:lineRule="auto"/>
        <w:rPr>
          <w:color w:val="auto"/>
          <w:highlight w:val="none"/>
        </w:rPr>
      </w:pPr>
    </w:p>
    <w:p w14:paraId="04AA7528">
      <w:pPr>
        <w:pStyle w:val="3"/>
        <w:spacing w:line="245" w:lineRule="auto"/>
        <w:rPr>
          <w:color w:val="auto"/>
          <w:highlight w:val="none"/>
        </w:rPr>
      </w:pPr>
    </w:p>
    <w:p w14:paraId="0F175C71">
      <w:pPr>
        <w:pStyle w:val="3"/>
        <w:spacing w:line="245" w:lineRule="auto"/>
        <w:rPr>
          <w:color w:val="auto"/>
          <w:highlight w:val="none"/>
        </w:rPr>
      </w:pPr>
    </w:p>
    <w:p w14:paraId="2A111B12">
      <w:pPr>
        <w:pStyle w:val="3"/>
        <w:spacing w:line="245" w:lineRule="auto"/>
        <w:rPr>
          <w:color w:val="auto"/>
          <w:highlight w:val="none"/>
        </w:rPr>
      </w:pPr>
    </w:p>
    <w:p w14:paraId="633278F3">
      <w:pPr>
        <w:pStyle w:val="3"/>
        <w:spacing w:line="245" w:lineRule="auto"/>
        <w:rPr>
          <w:color w:val="auto"/>
          <w:highlight w:val="none"/>
        </w:rPr>
      </w:pPr>
    </w:p>
    <w:p w14:paraId="1EE02CDF">
      <w:pPr>
        <w:pStyle w:val="3"/>
        <w:spacing w:line="245" w:lineRule="auto"/>
        <w:rPr>
          <w:color w:val="auto"/>
          <w:highlight w:val="none"/>
        </w:rPr>
      </w:pPr>
    </w:p>
    <w:p w14:paraId="26FA3139">
      <w:pPr>
        <w:spacing w:before="140" w:line="223" w:lineRule="auto"/>
        <w:ind w:left="3204"/>
        <w:rPr>
          <w:rFonts w:ascii="宋体" w:hAnsi="宋体" w:eastAsia="宋体" w:cs="宋体"/>
          <w:color w:val="auto"/>
          <w:sz w:val="43"/>
          <w:szCs w:val="43"/>
          <w:highlight w:val="none"/>
        </w:rPr>
      </w:pPr>
      <w:r>
        <w:rPr>
          <w:rFonts w:ascii="宋体" w:hAnsi="宋体" w:eastAsia="宋体" w:cs="宋体"/>
          <w:b/>
          <w:bCs/>
          <w:color w:val="auto"/>
          <w:spacing w:val="-14"/>
          <w:sz w:val="43"/>
          <w:szCs w:val="43"/>
          <w:highlight w:val="none"/>
        </w:rPr>
        <w:t>投</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标</w:t>
      </w:r>
      <w:r>
        <w:rPr>
          <w:rFonts w:ascii="宋体" w:hAnsi="宋体" w:eastAsia="宋体" w:cs="宋体"/>
          <w:color w:val="auto"/>
          <w:spacing w:val="29"/>
          <w:sz w:val="43"/>
          <w:szCs w:val="43"/>
          <w:highlight w:val="none"/>
        </w:rPr>
        <w:t xml:space="preserve"> </w:t>
      </w:r>
      <w:r>
        <w:rPr>
          <w:rFonts w:ascii="宋体" w:hAnsi="宋体" w:eastAsia="宋体" w:cs="宋体"/>
          <w:b/>
          <w:bCs/>
          <w:color w:val="auto"/>
          <w:spacing w:val="-14"/>
          <w:sz w:val="43"/>
          <w:szCs w:val="43"/>
          <w:highlight w:val="none"/>
        </w:rPr>
        <w:t>文</w:t>
      </w:r>
      <w:r>
        <w:rPr>
          <w:rFonts w:ascii="宋体" w:hAnsi="宋体" w:eastAsia="宋体" w:cs="宋体"/>
          <w:color w:val="auto"/>
          <w:spacing w:val="24"/>
          <w:sz w:val="43"/>
          <w:szCs w:val="43"/>
          <w:highlight w:val="none"/>
        </w:rPr>
        <w:t xml:space="preserve"> </w:t>
      </w:r>
      <w:r>
        <w:rPr>
          <w:rFonts w:ascii="宋体" w:hAnsi="宋体" w:eastAsia="宋体" w:cs="宋体"/>
          <w:b/>
          <w:bCs/>
          <w:color w:val="auto"/>
          <w:spacing w:val="-14"/>
          <w:sz w:val="43"/>
          <w:szCs w:val="43"/>
          <w:highlight w:val="none"/>
        </w:rPr>
        <w:t>件</w:t>
      </w:r>
    </w:p>
    <w:p w14:paraId="2609086F">
      <w:pPr>
        <w:spacing w:before="305" w:line="220" w:lineRule="auto"/>
        <w:ind w:left="3812"/>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（商务标）</w:t>
      </w:r>
    </w:p>
    <w:p w14:paraId="2BBC79F6">
      <w:pPr>
        <w:pStyle w:val="3"/>
        <w:spacing w:line="247" w:lineRule="auto"/>
        <w:rPr>
          <w:color w:val="auto"/>
          <w:highlight w:val="none"/>
        </w:rPr>
      </w:pPr>
    </w:p>
    <w:p w14:paraId="224CB82D">
      <w:pPr>
        <w:pStyle w:val="3"/>
        <w:spacing w:line="248" w:lineRule="auto"/>
        <w:rPr>
          <w:color w:val="auto"/>
          <w:highlight w:val="none"/>
        </w:rPr>
      </w:pPr>
    </w:p>
    <w:p w14:paraId="2DF819A0">
      <w:pPr>
        <w:pStyle w:val="3"/>
        <w:spacing w:line="248" w:lineRule="auto"/>
        <w:rPr>
          <w:color w:val="auto"/>
          <w:highlight w:val="none"/>
        </w:rPr>
      </w:pPr>
    </w:p>
    <w:p w14:paraId="0532B614">
      <w:pPr>
        <w:pStyle w:val="3"/>
        <w:spacing w:line="248" w:lineRule="auto"/>
        <w:rPr>
          <w:color w:val="auto"/>
          <w:highlight w:val="none"/>
        </w:rPr>
      </w:pPr>
    </w:p>
    <w:p w14:paraId="024B6D10">
      <w:pPr>
        <w:pStyle w:val="3"/>
        <w:spacing w:line="248" w:lineRule="auto"/>
        <w:rPr>
          <w:color w:val="auto"/>
          <w:highlight w:val="none"/>
        </w:rPr>
      </w:pPr>
    </w:p>
    <w:p w14:paraId="21F87D22">
      <w:pPr>
        <w:pStyle w:val="3"/>
        <w:spacing w:line="248" w:lineRule="auto"/>
        <w:rPr>
          <w:color w:val="auto"/>
          <w:highlight w:val="none"/>
        </w:rPr>
      </w:pPr>
    </w:p>
    <w:p w14:paraId="5D320CB4">
      <w:pPr>
        <w:pStyle w:val="3"/>
        <w:spacing w:line="248" w:lineRule="auto"/>
        <w:rPr>
          <w:color w:val="auto"/>
          <w:highlight w:val="none"/>
        </w:rPr>
      </w:pPr>
    </w:p>
    <w:p w14:paraId="37B70715">
      <w:pPr>
        <w:pStyle w:val="3"/>
        <w:spacing w:line="248" w:lineRule="auto"/>
        <w:rPr>
          <w:color w:val="auto"/>
          <w:highlight w:val="none"/>
        </w:rPr>
      </w:pPr>
    </w:p>
    <w:p w14:paraId="08725ABD">
      <w:pPr>
        <w:pStyle w:val="3"/>
        <w:spacing w:line="248" w:lineRule="auto"/>
        <w:rPr>
          <w:color w:val="auto"/>
          <w:highlight w:val="none"/>
        </w:rPr>
      </w:pPr>
    </w:p>
    <w:p w14:paraId="7437973A">
      <w:pPr>
        <w:pStyle w:val="3"/>
        <w:spacing w:line="248" w:lineRule="auto"/>
        <w:rPr>
          <w:color w:val="auto"/>
          <w:highlight w:val="none"/>
        </w:rPr>
      </w:pPr>
    </w:p>
    <w:p w14:paraId="778205DC">
      <w:pPr>
        <w:pStyle w:val="3"/>
        <w:spacing w:line="248" w:lineRule="auto"/>
        <w:rPr>
          <w:color w:val="auto"/>
          <w:highlight w:val="none"/>
        </w:rPr>
      </w:pPr>
    </w:p>
    <w:p w14:paraId="72F2D4E3">
      <w:pPr>
        <w:pStyle w:val="3"/>
        <w:spacing w:line="248" w:lineRule="auto"/>
        <w:rPr>
          <w:color w:val="auto"/>
          <w:highlight w:val="none"/>
        </w:rPr>
      </w:pPr>
    </w:p>
    <w:p w14:paraId="11E391B8">
      <w:pPr>
        <w:pStyle w:val="3"/>
        <w:spacing w:line="248" w:lineRule="auto"/>
        <w:rPr>
          <w:color w:val="auto"/>
          <w:highlight w:val="none"/>
        </w:rPr>
      </w:pPr>
    </w:p>
    <w:p w14:paraId="3610DDF4">
      <w:pPr>
        <w:pStyle w:val="3"/>
        <w:spacing w:line="248" w:lineRule="auto"/>
        <w:rPr>
          <w:color w:val="auto"/>
          <w:highlight w:val="none"/>
        </w:rPr>
      </w:pPr>
    </w:p>
    <w:p w14:paraId="1938C175">
      <w:pPr>
        <w:pStyle w:val="3"/>
        <w:spacing w:line="248" w:lineRule="auto"/>
        <w:rPr>
          <w:color w:val="auto"/>
          <w:highlight w:val="none"/>
        </w:rPr>
      </w:pPr>
    </w:p>
    <w:p w14:paraId="330CE978">
      <w:pPr>
        <w:pStyle w:val="3"/>
        <w:spacing w:line="248" w:lineRule="auto"/>
        <w:rPr>
          <w:color w:val="auto"/>
          <w:highlight w:val="none"/>
        </w:rPr>
      </w:pPr>
    </w:p>
    <w:p w14:paraId="7204FE20">
      <w:pPr>
        <w:pStyle w:val="3"/>
        <w:spacing w:line="248" w:lineRule="auto"/>
        <w:rPr>
          <w:color w:val="auto"/>
          <w:highlight w:val="none"/>
        </w:rPr>
      </w:pPr>
    </w:p>
    <w:p w14:paraId="354F30CA">
      <w:pPr>
        <w:spacing w:before="78" w:line="219" w:lineRule="auto"/>
        <w:ind w:left="121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投</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标</w:t>
      </w:r>
      <w:r>
        <w:rPr>
          <w:rFonts w:ascii="宋体" w:hAnsi="宋体" w:eastAsia="宋体" w:cs="宋体"/>
          <w:color w:val="auto"/>
          <w:spacing w:val="15"/>
          <w:sz w:val="24"/>
          <w:szCs w:val="24"/>
          <w:highlight w:val="none"/>
        </w:rPr>
        <w:t xml:space="preserve">   </w:t>
      </w:r>
      <w:r>
        <w:rPr>
          <w:rFonts w:ascii="宋体" w:hAnsi="宋体" w:eastAsia="宋体" w:cs="宋体"/>
          <w:color w:val="auto"/>
          <w:spacing w:val="-1"/>
          <w:sz w:val="24"/>
          <w:szCs w:val="24"/>
          <w:highlight w:val="none"/>
        </w:rPr>
        <w:t>人</w:t>
      </w:r>
      <w:r>
        <w:rPr>
          <w:rFonts w:ascii="宋体" w:hAnsi="宋体" w:eastAsia="宋体" w:cs="宋体"/>
          <w:color w:val="auto"/>
          <w:spacing w:val="-31"/>
          <w:sz w:val="24"/>
          <w:szCs w:val="24"/>
          <w:highlight w:val="none"/>
        </w:rPr>
        <w:t>：</w:t>
      </w:r>
      <w:r>
        <w:rPr>
          <w:rFonts w:ascii="宋体" w:hAnsi="宋体" w:eastAsia="宋体" w:cs="宋体"/>
          <w:color w:val="auto"/>
          <w:spacing w:val="17"/>
          <w:sz w:val="24"/>
          <w:szCs w:val="24"/>
          <w:highlight w:val="none"/>
          <w:u w:val="single" w:color="auto"/>
        </w:rPr>
        <w:t xml:space="preserve">       </w:t>
      </w:r>
      <w:r>
        <w:rPr>
          <w:rFonts w:ascii="宋体" w:hAnsi="宋体" w:eastAsia="宋体" w:cs="宋体"/>
          <w:color w:val="auto"/>
          <w:spacing w:val="-31"/>
          <w:sz w:val="24"/>
          <w:szCs w:val="24"/>
          <w:highlight w:val="none"/>
          <w:u w:val="single" w:color="auto"/>
        </w:rPr>
        <w:t>（</w:t>
      </w:r>
      <w:r>
        <w:rPr>
          <w:rFonts w:ascii="宋体" w:hAnsi="宋体" w:eastAsia="宋体" w:cs="宋体"/>
          <w:color w:val="auto"/>
          <w:spacing w:val="-1"/>
          <w:sz w:val="24"/>
          <w:szCs w:val="24"/>
          <w:highlight w:val="none"/>
          <w:u w:val="single" w:color="auto"/>
        </w:rPr>
        <w:t>盖单位公章）</w:t>
      </w:r>
      <w:r>
        <w:rPr>
          <w:rFonts w:ascii="宋体" w:hAnsi="宋体" w:eastAsia="宋体" w:cs="宋体"/>
          <w:color w:val="auto"/>
          <w:sz w:val="24"/>
          <w:szCs w:val="24"/>
          <w:highlight w:val="none"/>
          <w:u w:val="single" w:color="auto"/>
        </w:rPr>
        <w:t xml:space="preserve">            </w:t>
      </w:r>
    </w:p>
    <w:p w14:paraId="4C0DB361">
      <w:pPr>
        <w:pStyle w:val="3"/>
        <w:spacing w:line="257" w:lineRule="auto"/>
        <w:rPr>
          <w:color w:val="auto"/>
          <w:highlight w:val="none"/>
        </w:rPr>
      </w:pPr>
    </w:p>
    <w:p w14:paraId="24C849C1">
      <w:pPr>
        <w:pStyle w:val="3"/>
        <w:spacing w:line="257" w:lineRule="auto"/>
        <w:rPr>
          <w:color w:val="auto"/>
          <w:highlight w:val="none"/>
        </w:rPr>
      </w:pPr>
    </w:p>
    <w:p w14:paraId="403FF36E">
      <w:pPr>
        <w:tabs>
          <w:tab w:val="left" w:pos="4216"/>
        </w:tabs>
        <w:spacing w:before="78" w:line="347" w:lineRule="auto"/>
        <w:ind w:left="2896" w:right="1808" w:hanging="168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4"/>
          <w:sz w:val="24"/>
          <w:szCs w:val="24"/>
          <w:highlight w:val="none"/>
          <w:u w:val="single" w:color="auto"/>
        </w:rPr>
        <w:t>（</w:t>
      </w:r>
      <w:r>
        <w:rPr>
          <w:rFonts w:ascii="宋体" w:hAnsi="宋体" w:eastAsia="宋体" w:cs="宋体"/>
          <w:color w:val="auto"/>
          <w:spacing w:val="2"/>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 xml:space="preserve"> </w:t>
      </w:r>
      <w:r>
        <w:rPr>
          <w:rFonts w:ascii="宋体" w:hAnsi="宋体" w:eastAsia="宋体" w:cs="宋体"/>
          <w:color w:val="auto"/>
          <w:sz w:val="24"/>
          <w:szCs w:val="24"/>
          <w:highlight w:val="none"/>
          <w:u w:val="single" w:color="auto"/>
        </w:rPr>
        <w:tab/>
      </w:r>
      <w:r>
        <w:rPr>
          <w:rFonts w:ascii="宋体" w:hAnsi="宋体" w:eastAsia="宋体" w:cs="宋体"/>
          <w:color w:val="auto"/>
          <w:spacing w:val="-109"/>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70"/>
          <w:sz w:val="24"/>
          <w:szCs w:val="24"/>
          <w:highlight w:val="none"/>
        </w:rPr>
        <w:t xml:space="preserve"> </w:t>
      </w:r>
      <w:r>
        <w:rPr>
          <w:rFonts w:ascii="宋体" w:hAnsi="宋体" w:eastAsia="宋体" w:cs="宋体"/>
          <w:color w:val="auto"/>
          <w:spacing w:val="-9"/>
          <w:sz w:val="24"/>
          <w:szCs w:val="24"/>
          <w:highlight w:val="none"/>
        </w:rPr>
        <w:t>日</w:t>
      </w:r>
    </w:p>
    <w:p w14:paraId="52D25789">
      <w:pPr>
        <w:pStyle w:val="3"/>
        <w:spacing w:line="296" w:lineRule="auto"/>
        <w:rPr>
          <w:color w:val="auto"/>
          <w:highlight w:val="none"/>
        </w:rPr>
      </w:pPr>
    </w:p>
    <w:p w14:paraId="71097D15">
      <w:pPr>
        <w:pStyle w:val="3"/>
        <w:spacing w:line="297" w:lineRule="auto"/>
        <w:rPr>
          <w:color w:val="auto"/>
          <w:highlight w:val="none"/>
        </w:rPr>
      </w:pPr>
    </w:p>
    <w:p w14:paraId="6CE7A0C1">
      <w:pPr>
        <w:pStyle w:val="3"/>
        <w:spacing w:line="297" w:lineRule="auto"/>
        <w:rPr>
          <w:color w:val="auto"/>
          <w:highlight w:val="none"/>
        </w:rPr>
      </w:pPr>
    </w:p>
    <w:p w14:paraId="77006FCB">
      <w:pPr>
        <w:pStyle w:val="3"/>
        <w:spacing w:line="297" w:lineRule="auto"/>
        <w:rPr>
          <w:color w:val="auto"/>
          <w:highlight w:val="none"/>
        </w:rPr>
      </w:pPr>
    </w:p>
    <w:p w14:paraId="4F3DF2DD">
      <w:pPr>
        <w:spacing w:before="81" w:line="211" w:lineRule="auto"/>
        <w:rPr>
          <w:rFonts w:ascii="宋体" w:hAnsi="宋体" w:eastAsia="宋体" w:cs="宋体"/>
          <w:color w:val="auto"/>
          <w:sz w:val="25"/>
          <w:szCs w:val="25"/>
          <w:highlight w:val="none"/>
        </w:rPr>
      </w:pPr>
      <w:r>
        <w:rPr>
          <w:rFonts w:ascii="宋体" w:hAnsi="宋体" w:eastAsia="宋体" w:cs="宋体"/>
          <w:i/>
          <w:iCs/>
          <w:color w:val="auto"/>
          <w:spacing w:val="-7"/>
          <w:sz w:val="25"/>
          <w:szCs w:val="25"/>
          <w:highlight w:val="none"/>
        </w:rPr>
        <w:t>注：本页同时适用于封面或扉页。</w:t>
      </w:r>
    </w:p>
    <w:p w14:paraId="3DCEBD14">
      <w:pPr>
        <w:spacing w:line="211" w:lineRule="auto"/>
        <w:rPr>
          <w:rFonts w:ascii="宋体" w:hAnsi="宋体" w:eastAsia="宋体" w:cs="宋体"/>
          <w:color w:val="auto"/>
          <w:sz w:val="25"/>
          <w:szCs w:val="25"/>
          <w:highlight w:val="none"/>
        </w:rPr>
        <w:sectPr>
          <w:pgSz w:w="11905" w:h="16843"/>
          <w:pgMar w:top="1429" w:right="1361" w:bottom="1253" w:left="1621" w:header="0" w:footer="1094" w:gutter="0"/>
          <w:pgNumType w:fmt="decimal"/>
          <w:cols w:space="0" w:num="1"/>
          <w:rtlGutter w:val="0"/>
          <w:docGrid w:linePitch="0" w:charSpace="0"/>
        </w:sectPr>
      </w:pPr>
    </w:p>
    <w:p w14:paraId="5B011E40">
      <w:pPr>
        <w:spacing w:before="56" w:line="220" w:lineRule="auto"/>
        <w:ind w:left="3510"/>
        <w:outlineLvl w:val="1"/>
        <w:rPr>
          <w:rFonts w:ascii="宋体" w:hAnsi="宋体" w:eastAsia="宋体" w:cs="宋体"/>
          <w:color w:val="auto"/>
          <w:sz w:val="28"/>
          <w:szCs w:val="28"/>
          <w:highlight w:val="none"/>
        </w:rPr>
      </w:pPr>
      <w:bookmarkStart w:id="878" w:name="bookmark1317"/>
      <w:bookmarkEnd w:id="878"/>
      <w:bookmarkStart w:id="879" w:name="bookmark1318"/>
      <w:bookmarkEnd w:id="879"/>
      <w:bookmarkStart w:id="880" w:name="_Toc21352"/>
      <w:bookmarkStart w:id="881" w:name="_Toc3689"/>
      <w:r>
        <w:rPr>
          <w:rFonts w:ascii="宋体" w:hAnsi="宋体" w:eastAsia="宋体" w:cs="宋体"/>
          <w:b/>
          <w:bCs/>
          <w:color w:val="auto"/>
          <w:spacing w:val="-5"/>
          <w:sz w:val="28"/>
          <w:szCs w:val="28"/>
          <w:highlight w:val="none"/>
        </w:rPr>
        <w:t>商务标目录</w:t>
      </w:r>
      <w:bookmarkEnd w:id="880"/>
      <w:bookmarkEnd w:id="881"/>
    </w:p>
    <w:p w14:paraId="04AFE244">
      <w:pPr>
        <w:pStyle w:val="3"/>
        <w:spacing w:line="245" w:lineRule="auto"/>
        <w:rPr>
          <w:color w:val="auto"/>
          <w:highlight w:val="none"/>
        </w:rPr>
      </w:pPr>
    </w:p>
    <w:p w14:paraId="1E3509A2">
      <w:pPr>
        <w:spacing w:before="78" w:line="219" w:lineRule="auto"/>
        <w:ind w:left="298"/>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）投标函及投标函附录。</w:t>
      </w:r>
    </w:p>
    <w:p w14:paraId="7C1E3699">
      <w:pPr>
        <w:spacing w:before="181" w:line="218" w:lineRule="auto"/>
        <w:ind w:left="29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2</w:t>
      </w:r>
      <w:r>
        <w:rPr>
          <w:rFonts w:ascii="宋体" w:hAnsi="宋体" w:eastAsia="宋体" w:cs="宋体"/>
          <w:color w:val="auto"/>
          <w:spacing w:val="-4"/>
          <w:sz w:val="24"/>
          <w:szCs w:val="24"/>
          <w:highlight w:val="none"/>
        </w:rPr>
        <w:t>）已标价的工程量清单。</w:t>
      </w:r>
    </w:p>
    <w:p w14:paraId="55D2D619">
      <w:pPr>
        <w:spacing w:before="184" w:line="220" w:lineRule="auto"/>
        <w:ind w:left="298"/>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w:t>
      </w:r>
      <w:r>
        <w:rPr>
          <w:rFonts w:ascii="Times New Roman" w:hAnsi="Times New Roman" w:eastAsia="Times New Roman" w:cs="Times New Roman"/>
          <w:color w:val="auto"/>
          <w:spacing w:val="-4"/>
          <w:sz w:val="24"/>
          <w:szCs w:val="24"/>
          <w:highlight w:val="none"/>
        </w:rPr>
        <w:t>3</w:t>
      </w:r>
      <w:r>
        <w:rPr>
          <w:rFonts w:ascii="宋体" w:hAnsi="宋体" w:eastAsia="宋体" w:cs="宋体"/>
          <w:color w:val="auto"/>
          <w:spacing w:val="-4"/>
          <w:sz w:val="24"/>
          <w:szCs w:val="24"/>
          <w:highlight w:val="none"/>
        </w:rPr>
        <w:t>）招标人要求提交的其他资料。</w:t>
      </w:r>
    </w:p>
    <w:p w14:paraId="7C63F87B">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4C25D476">
      <w:pPr>
        <w:spacing w:before="56" w:line="219" w:lineRule="auto"/>
        <w:ind w:left="2864"/>
        <w:outlineLvl w:val="1"/>
        <w:rPr>
          <w:rFonts w:ascii="宋体" w:hAnsi="宋体" w:eastAsia="宋体" w:cs="宋体"/>
          <w:color w:val="auto"/>
          <w:sz w:val="28"/>
          <w:szCs w:val="28"/>
          <w:highlight w:val="none"/>
        </w:rPr>
      </w:pPr>
      <w:bookmarkStart w:id="882" w:name="bookmark1319"/>
      <w:bookmarkEnd w:id="882"/>
      <w:bookmarkStart w:id="883" w:name="bookmark1320"/>
      <w:bookmarkEnd w:id="883"/>
      <w:bookmarkStart w:id="884" w:name="_Toc18151"/>
      <w:bookmarkStart w:id="885" w:name="_Toc21904"/>
      <w:r>
        <w:rPr>
          <w:rFonts w:ascii="宋体" w:hAnsi="宋体" w:eastAsia="宋体" w:cs="宋体"/>
          <w:b/>
          <w:bCs/>
          <w:color w:val="auto"/>
          <w:spacing w:val="-5"/>
          <w:sz w:val="28"/>
          <w:szCs w:val="28"/>
          <w:highlight w:val="none"/>
        </w:rPr>
        <w:t>一、投标函及投标函附录</w:t>
      </w:r>
      <w:bookmarkEnd w:id="884"/>
      <w:bookmarkEnd w:id="885"/>
    </w:p>
    <w:p w14:paraId="6D60E949">
      <w:pPr>
        <w:pStyle w:val="3"/>
        <w:spacing w:line="247" w:lineRule="auto"/>
        <w:rPr>
          <w:color w:val="auto"/>
          <w:highlight w:val="none"/>
        </w:rPr>
      </w:pPr>
    </w:p>
    <w:p w14:paraId="4B8E0496">
      <w:pPr>
        <w:spacing w:before="78" w:line="220" w:lineRule="auto"/>
        <w:ind w:left="15"/>
        <w:rPr>
          <w:rFonts w:ascii="宋体" w:hAnsi="宋体" w:eastAsia="宋体" w:cs="宋体"/>
          <w:color w:val="auto"/>
          <w:sz w:val="24"/>
          <w:szCs w:val="24"/>
          <w:highlight w:val="none"/>
        </w:rPr>
      </w:pPr>
      <w:r>
        <w:rPr>
          <w:rFonts w:ascii="宋体" w:hAnsi="宋体" w:eastAsia="宋体" w:cs="宋体"/>
          <w:b/>
          <w:bCs/>
          <w:color w:val="auto"/>
          <w:spacing w:val="-7"/>
          <w:sz w:val="24"/>
          <w:szCs w:val="24"/>
          <w:highlight w:val="none"/>
        </w:rPr>
        <w:t>（一）投标函</w:t>
      </w:r>
    </w:p>
    <w:p w14:paraId="4123B525">
      <w:pPr>
        <w:tabs>
          <w:tab w:val="left" w:pos="2400"/>
        </w:tabs>
        <w:spacing w:before="179" w:line="213" w:lineRule="auto"/>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3"/>
          <w:sz w:val="24"/>
          <w:szCs w:val="24"/>
          <w:highlight w:val="none"/>
        </w:rPr>
        <w:t>（</w:t>
      </w:r>
      <w:r>
        <w:rPr>
          <w:rFonts w:ascii="宋体" w:hAnsi="宋体" w:eastAsia="宋体" w:cs="宋体"/>
          <w:i/>
          <w:iCs/>
          <w:color w:val="auto"/>
          <w:spacing w:val="3"/>
          <w:sz w:val="25"/>
          <w:szCs w:val="25"/>
          <w:highlight w:val="none"/>
        </w:rPr>
        <w:t>招标人名称</w:t>
      </w:r>
      <w:r>
        <w:rPr>
          <w:rFonts w:ascii="宋体" w:hAnsi="宋体" w:eastAsia="宋体" w:cs="宋体"/>
          <w:color w:val="auto"/>
          <w:spacing w:val="-31"/>
          <w:sz w:val="24"/>
          <w:szCs w:val="24"/>
          <w:highlight w:val="none"/>
        </w:rPr>
        <w:t>）：</w:t>
      </w:r>
    </w:p>
    <w:p w14:paraId="70A53D69">
      <w:pPr>
        <w:spacing w:before="183" w:line="337" w:lineRule="auto"/>
        <w:ind w:left="8" w:right="1" w:firstLine="451"/>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1</w:t>
      </w:r>
      <w:r>
        <w:rPr>
          <w:rFonts w:ascii="Times New Roman" w:hAnsi="Times New Roman" w:eastAsia="Times New Roman" w:cs="Times New Roman"/>
          <w:color w:val="auto"/>
          <w:spacing w:val="-27"/>
          <w:sz w:val="24"/>
          <w:szCs w:val="24"/>
          <w:highlight w:val="none"/>
        </w:rPr>
        <w:t xml:space="preserve"> </w:t>
      </w:r>
      <w:r>
        <w:rPr>
          <w:rFonts w:ascii="宋体" w:hAnsi="宋体" w:eastAsia="宋体" w:cs="宋体"/>
          <w:color w:val="auto"/>
          <w:spacing w:val="-2"/>
          <w:sz w:val="24"/>
          <w:szCs w:val="24"/>
          <w:highlight w:val="none"/>
        </w:rPr>
        <w:t>．我方已仔细研究了</w:t>
      </w:r>
      <w:r>
        <w:rPr>
          <w:rFonts w:ascii="宋体" w:hAnsi="宋体" w:eastAsia="宋体" w:cs="宋体"/>
          <w:color w:val="auto"/>
          <w:spacing w:val="-2"/>
          <w:sz w:val="24"/>
          <w:szCs w:val="24"/>
          <w:highlight w:val="none"/>
          <w:u w:val="single" w:color="auto"/>
        </w:rPr>
        <w:t xml:space="preserve">                 </w:t>
      </w:r>
      <w:r>
        <w:rPr>
          <w:rFonts w:ascii="宋体" w:hAnsi="宋体" w:eastAsia="宋体" w:cs="宋体"/>
          <w:color w:val="auto"/>
          <w:spacing w:val="-2"/>
          <w:sz w:val="24"/>
          <w:szCs w:val="24"/>
          <w:highlight w:val="none"/>
        </w:rPr>
        <w:t>（</w:t>
      </w:r>
      <w:r>
        <w:rPr>
          <w:rFonts w:ascii="宋体" w:hAnsi="宋体" w:eastAsia="宋体" w:cs="宋体"/>
          <w:i/>
          <w:iCs/>
          <w:color w:val="auto"/>
          <w:spacing w:val="-2"/>
          <w:sz w:val="25"/>
          <w:szCs w:val="25"/>
          <w:highlight w:val="none"/>
        </w:rPr>
        <w:t>项目名称</w:t>
      </w:r>
      <w:r>
        <w:rPr>
          <w:rFonts w:ascii="宋体" w:hAnsi="宋体" w:eastAsia="宋体" w:cs="宋体"/>
          <w:color w:val="auto"/>
          <w:spacing w:val="-55"/>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55"/>
          <w:sz w:val="24"/>
          <w:szCs w:val="24"/>
          <w:highlight w:val="none"/>
        </w:rPr>
        <w:t>（</w:t>
      </w:r>
      <w:r>
        <w:rPr>
          <w:rFonts w:ascii="宋体" w:hAnsi="宋体" w:eastAsia="宋体" w:cs="宋体"/>
          <w:i/>
          <w:iCs/>
          <w:color w:val="auto"/>
          <w:spacing w:val="-2"/>
          <w:sz w:val="25"/>
          <w:szCs w:val="25"/>
          <w:highlight w:val="none"/>
        </w:rPr>
        <w:t>标段名称</w:t>
      </w:r>
      <w:r>
        <w:rPr>
          <w:rFonts w:ascii="宋体" w:hAnsi="宋体" w:eastAsia="宋体" w:cs="宋体"/>
          <w:color w:val="auto"/>
          <w:spacing w:val="-2"/>
          <w:sz w:val="24"/>
          <w:szCs w:val="24"/>
          <w:highlight w:val="none"/>
        </w:rPr>
        <w:t>）招标</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文件的全部内容，愿意以人民币（大写）</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97"/>
          <w:sz w:val="24"/>
          <w:szCs w:val="24"/>
          <w:highlight w:val="none"/>
        </w:rPr>
        <w:t xml:space="preserve"> </w:t>
      </w:r>
      <w:r>
        <w:rPr>
          <w:rFonts w:ascii="宋体" w:hAnsi="宋体" w:eastAsia="宋体" w:cs="宋体"/>
          <w:color w:val="auto"/>
          <w:spacing w:val="-1"/>
          <w:sz w:val="24"/>
          <w:szCs w:val="24"/>
          <w:highlight w:val="none"/>
        </w:rPr>
        <w:t>元(￥</w:t>
      </w:r>
      <w:r>
        <w:rPr>
          <w:rFonts w:ascii="宋体" w:hAnsi="宋体" w:eastAsia="宋体" w:cs="宋体"/>
          <w:color w:val="auto"/>
          <w:spacing w:val="-96"/>
          <w:sz w:val="24"/>
          <w:szCs w:val="24"/>
          <w:highlight w:val="none"/>
        </w:rPr>
        <w:t xml:space="preserve"> </w:t>
      </w:r>
      <w:r>
        <w:rPr>
          <w:rFonts w:ascii="宋体" w:hAnsi="宋体" w:eastAsia="宋体" w:cs="宋体"/>
          <w:color w:val="auto"/>
          <w:spacing w:val="20"/>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color w:val="auto"/>
          <w:spacing w:val="-1"/>
          <w:sz w:val="24"/>
          <w:szCs w:val="24"/>
          <w:highlight w:val="none"/>
        </w:rPr>
        <w:t>元）的投</w:t>
      </w:r>
      <w:r>
        <w:rPr>
          <w:rFonts w:ascii="宋体" w:hAnsi="宋体" w:eastAsia="宋体" w:cs="宋体"/>
          <w:color w:val="auto"/>
          <w:sz w:val="24"/>
          <w:szCs w:val="24"/>
          <w:highlight w:val="none"/>
        </w:rPr>
        <w:t xml:space="preserve"> 标总报价，工期</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9"/>
          <w:sz w:val="24"/>
          <w:szCs w:val="24"/>
          <w:highlight w:val="none"/>
        </w:rPr>
        <w:t xml:space="preserve"> </w:t>
      </w:r>
      <w:r>
        <w:rPr>
          <w:rFonts w:ascii="宋体" w:hAnsi="宋体" w:eastAsia="宋体" w:cs="宋体"/>
          <w:spacing w:val="-1"/>
          <w:sz w:val="24"/>
          <w:szCs w:val="24"/>
        </w:rPr>
        <w:t>日历天</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rPr>
        <w:t>按合同约定实施和完成承包工程，修补工</w:t>
      </w:r>
      <w:r>
        <w:rPr>
          <w:rFonts w:ascii="宋体" w:hAnsi="宋体" w:eastAsia="宋体" w:cs="宋体"/>
          <w:color w:val="auto"/>
          <w:spacing w:val="9"/>
          <w:sz w:val="24"/>
          <w:szCs w:val="24"/>
          <w:highlight w:val="none"/>
        </w:rPr>
        <w:t>程中的任何缺陷，工程质量达到</w:t>
      </w:r>
      <w:r>
        <w:rPr>
          <w:rFonts w:ascii="宋体" w:hAnsi="宋体" w:eastAsia="宋体" w:cs="宋体"/>
          <w:color w:val="auto"/>
          <w:spacing w:val="-88"/>
          <w:sz w:val="24"/>
          <w:szCs w:val="24"/>
          <w:highlight w:val="none"/>
        </w:rPr>
        <w:t xml:space="preserve"> </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9"/>
          <w:sz w:val="24"/>
          <w:szCs w:val="24"/>
          <w:highlight w:val="none"/>
        </w:rPr>
        <w:t>，项目负责人</w:t>
      </w:r>
      <w:r>
        <w:rPr>
          <w:rFonts w:ascii="宋体" w:hAnsi="宋体" w:eastAsia="宋体" w:cs="宋体"/>
          <w:color w:val="auto"/>
          <w:spacing w:val="-106"/>
          <w:sz w:val="24"/>
          <w:szCs w:val="24"/>
          <w:highlight w:val="none"/>
        </w:rPr>
        <w:t xml:space="preserve"> </w:t>
      </w:r>
      <w:r>
        <w:rPr>
          <w:rFonts w:ascii="宋体" w:hAnsi="宋体" w:eastAsia="宋体" w:cs="宋体"/>
          <w:color w:val="auto"/>
          <w:spacing w:val="9"/>
          <w:sz w:val="24"/>
          <w:szCs w:val="24"/>
          <w:highlight w:val="none"/>
          <w:u w:val="single" w:color="auto"/>
        </w:rPr>
        <w:t xml:space="preserve">           </w:t>
      </w:r>
      <w:r>
        <w:rPr>
          <w:rFonts w:ascii="宋体" w:hAnsi="宋体" w:eastAsia="宋体" w:cs="宋体"/>
          <w:color w:val="auto"/>
          <w:spacing w:val="-73"/>
          <w:sz w:val="24"/>
          <w:szCs w:val="24"/>
          <w:highlight w:val="none"/>
        </w:rPr>
        <w:t xml:space="preserve"> </w:t>
      </w:r>
      <w:r>
        <w:rPr>
          <w:rFonts w:ascii="宋体" w:hAnsi="宋体" w:eastAsia="宋体" w:cs="宋体"/>
          <w:color w:val="auto"/>
          <w:spacing w:val="9"/>
          <w:sz w:val="24"/>
          <w:szCs w:val="24"/>
          <w:highlight w:val="none"/>
        </w:rPr>
        <w:t>（身份证号</w:t>
      </w:r>
      <w:r>
        <w:rPr>
          <w:rFonts w:ascii="宋体" w:hAnsi="宋体" w:eastAsia="宋体" w:cs="宋体"/>
          <w:color w:val="auto"/>
          <w:spacing w:val="-7"/>
          <w:sz w:val="24"/>
          <w:szCs w:val="24"/>
          <w:highlight w:val="none"/>
        </w:rPr>
        <w:t>码</w:t>
      </w:r>
      <w:r>
        <w:rPr>
          <w:rFonts w:ascii="宋体" w:hAnsi="宋体" w:eastAsia="宋体" w:cs="宋体"/>
          <w:color w:val="auto"/>
          <w:spacing w:val="-7"/>
          <w:sz w:val="24"/>
          <w:szCs w:val="24"/>
          <w:highlight w:val="none"/>
          <w:u w:val="single" w:color="auto"/>
        </w:rPr>
        <w:t xml:space="preserve">        ，联系电话</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0"/>
          <w:sz w:val="24"/>
          <w:szCs w:val="24"/>
          <w:highlight w:val="none"/>
        </w:rPr>
        <w:t>）；</w:t>
      </w:r>
      <w:r>
        <w:rPr>
          <w:rFonts w:ascii="宋体" w:hAnsi="宋体" w:eastAsia="宋体" w:cs="宋体"/>
          <w:color w:val="auto"/>
          <w:spacing w:val="-7"/>
          <w:sz w:val="24"/>
          <w:szCs w:val="24"/>
          <w:highlight w:val="none"/>
        </w:rPr>
        <w:t>技术负责人</w:t>
      </w:r>
      <w:r>
        <w:rPr>
          <w:rFonts w:ascii="宋体" w:hAnsi="宋体" w:eastAsia="宋体" w:cs="宋体"/>
          <w:color w:val="auto"/>
          <w:spacing w:val="12"/>
          <w:sz w:val="24"/>
          <w:szCs w:val="24"/>
          <w:highlight w:val="none"/>
          <w:u w:val="single" w:color="auto"/>
        </w:rPr>
        <w:t xml:space="preserve">          </w:t>
      </w:r>
      <w:r>
        <w:rPr>
          <w:rFonts w:ascii="宋体" w:hAnsi="宋体" w:eastAsia="宋体" w:cs="宋体"/>
          <w:color w:val="auto"/>
          <w:spacing w:val="-7"/>
          <w:sz w:val="24"/>
          <w:szCs w:val="24"/>
          <w:highlight w:val="none"/>
        </w:rPr>
        <w:t>（身份证号码</w:t>
      </w:r>
      <w:r>
        <w:rPr>
          <w:rFonts w:ascii="宋体" w:hAnsi="宋体" w:eastAsia="宋体" w:cs="宋体"/>
          <w:color w:val="auto"/>
          <w:spacing w:val="-108"/>
          <w:sz w:val="24"/>
          <w:szCs w:val="24"/>
          <w:highlight w:val="none"/>
        </w:rPr>
        <w:t xml:space="preserve"> </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7"/>
          <w:sz w:val="24"/>
          <w:szCs w:val="24"/>
          <w:highlight w:val="none"/>
          <w:u w:val="single" w:color="auto"/>
        </w:rPr>
        <w:t>，</w:t>
      </w:r>
      <w:r>
        <w:rPr>
          <w:rFonts w:ascii="宋体" w:hAnsi="宋体" w:eastAsia="宋体" w:cs="宋体"/>
          <w:color w:val="auto"/>
          <w:spacing w:val="5"/>
          <w:sz w:val="24"/>
          <w:szCs w:val="24"/>
          <w:highlight w:val="none"/>
        </w:rPr>
        <w:t xml:space="preserve"> </w:t>
      </w:r>
      <w:r>
        <w:rPr>
          <w:rFonts w:ascii="宋体" w:hAnsi="宋体" w:eastAsia="宋体" w:cs="宋体"/>
          <w:color w:val="auto"/>
          <w:spacing w:val="6"/>
          <w:sz w:val="24"/>
          <w:szCs w:val="24"/>
          <w:highlight w:val="none"/>
          <w:u w:val="single" w:color="auto"/>
        </w:rPr>
        <w:t>联系电话</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79"/>
          <w:sz w:val="24"/>
          <w:szCs w:val="24"/>
          <w:highlight w:val="none"/>
        </w:rPr>
        <w:t xml:space="preserve"> </w:t>
      </w:r>
      <w:r>
        <w:rPr>
          <w:rFonts w:ascii="宋体" w:hAnsi="宋体" w:eastAsia="宋体" w:cs="宋体"/>
          <w:color w:val="auto"/>
          <w:spacing w:val="-12"/>
          <w:sz w:val="24"/>
          <w:szCs w:val="24"/>
          <w:highlight w:val="none"/>
        </w:rPr>
        <w:t>）</w:t>
      </w:r>
      <w:r>
        <w:rPr>
          <w:rFonts w:ascii="宋体" w:hAnsi="宋体" w:eastAsia="宋体" w:cs="宋体"/>
          <w:color w:val="auto"/>
          <w:spacing w:val="-69"/>
          <w:sz w:val="24"/>
          <w:szCs w:val="24"/>
          <w:highlight w:val="none"/>
        </w:rPr>
        <w:t xml:space="preserve"> </w:t>
      </w:r>
      <w:r>
        <w:rPr>
          <w:rFonts w:ascii="宋体" w:hAnsi="宋体" w:eastAsia="宋体" w:cs="宋体"/>
          <w:color w:val="auto"/>
          <w:spacing w:val="-12"/>
          <w:sz w:val="24"/>
          <w:szCs w:val="24"/>
          <w:highlight w:val="none"/>
        </w:rPr>
        <w:t>；</w:t>
      </w:r>
      <w:r>
        <w:rPr>
          <w:rFonts w:ascii="宋体" w:hAnsi="宋体" w:eastAsia="宋体" w:cs="宋体"/>
          <w:strike/>
          <w:dstrike w:val="0"/>
          <w:color w:val="auto"/>
          <w:spacing w:val="6"/>
          <w:sz w:val="24"/>
          <w:szCs w:val="24"/>
          <w:highlight w:val="none"/>
        </w:rPr>
        <w:t>副项目负责人</w:t>
      </w:r>
      <w:r>
        <w:rPr>
          <w:rFonts w:ascii="宋体" w:hAnsi="宋体" w:eastAsia="宋体" w:cs="宋体"/>
          <w:strike/>
          <w:dstrike w:val="0"/>
          <w:color w:val="auto"/>
          <w:spacing w:val="-90"/>
          <w:sz w:val="24"/>
          <w:szCs w:val="24"/>
          <w:highlight w:val="none"/>
        </w:rPr>
        <w:t xml:space="preserve"> </w:t>
      </w:r>
      <w:r>
        <w:rPr>
          <w:rFonts w:ascii="宋体" w:hAnsi="宋体" w:eastAsia="宋体" w:cs="宋体"/>
          <w:strike/>
          <w:dstrike w:val="0"/>
          <w:color w:val="auto"/>
          <w:spacing w:val="14"/>
          <w:sz w:val="24"/>
          <w:szCs w:val="24"/>
          <w:highlight w:val="none"/>
          <w:u w:val="single" w:color="auto"/>
        </w:rPr>
        <w:t xml:space="preserve">        </w:t>
      </w:r>
      <w:r>
        <w:rPr>
          <w:rFonts w:ascii="宋体" w:hAnsi="宋体" w:eastAsia="宋体" w:cs="宋体"/>
          <w:strike/>
          <w:dstrike w:val="0"/>
          <w:color w:val="auto"/>
          <w:spacing w:val="-55"/>
          <w:sz w:val="24"/>
          <w:szCs w:val="24"/>
          <w:highlight w:val="none"/>
        </w:rPr>
        <w:t xml:space="preserve"> </w:t>
      </w:r>
      <w:r>
        <w:rPr>
          <w:rFonts w:ascii="宋体" w:hAnsi="宋体" w:eastAsia="宋体" w:cs="宋体"/>
          <w:strike/>
          <w:dstrike w:val="0"/>
          <w:color w:val="auto"/>
          <w:spacing w:val="6"/>
          <w:sz w:val="24"/>
          <w:szCs w:val="24"/>
          <w:highlight w:val="none"/>
        </w:rPr>
        <w:t>（身份证号</w:t>
      </w:r>
      <w:r>
        <w:rPr>
          <w:rFonts w:ascii="宋体" w:hAnsi="宋体" w:eastAsia="宋体" w:cs="宋体"/>
          <w:strike/>
          <w:dstrike w:val="0"/>
          <w:color w:val="auto"/>
          <w:spacing w:val="-86"/>
          <w:sz w:val="24"/>
          <w:szCs w:val="24"/>
          <w:highlight w:val="none"/>
        </w:rPr>
        <w:t xml:space="preserve"> </w:t>
      </w:r>
      <w:r>
        <w:rPr>
          <w:rFonts w:ascii="宋体" w:hAnsi="宋体" w:eastAsia="宋体" w:cs="宋体"/>
          <w:strike/>
          <w:dstrike w:val="0"/>
          <w:color w:val="auto"/>
          <w:spacing w:val="6"/>
          <w:sz w:val="24"/>
          <w:szCs w:val="24"/>
          <w:highlight w:val="none"/>
          <w:u w:val="single" w:color="auto"/>
        </w:rPr>
        <w:t xml:space="preserve">       </w:t>
      </w:r>
      <w:r>
        <w:rPr>
          <w:rFonts w:ascii="宋体" w:hAnsi="宋体" w:eastAsia="宋体" w:cs="宋体"/>
          <w:strike/>
          <w:dstrike w:val="0"/>
          <w:color w:val="auto"/>
          <w:spacing w:val="5"/>
          <w:sz w:val="24"/>
          <w:szCs w:val="24"/>
          <w:highlight w:val="none"/>
          <w:u w:val="single" w:color="auto"/>
        </w:rPr>
        <w:t xml:space="preserve">   ，联系电</w:t>
      </w:r>
      <w:r>
        <w:rPr>
          <w:rFonts w:ascii="宋体" w:hAnsi="宋体" w:eastAsia="宋体" w:cs="宋体"/>
          <w:strike/>
          <w:dstrike w:val="0"/>
          <w:color w:val="auto"/>
          <w:spacing w:val="-15"/>
          <w:sz w:val="24"/>
          <w:szCs w:val="24"/>
          <w:highlight w:val="none"/>
          <w:u w:val="single" w:color="auto"/>
        </w:rPr>
        <w:t>话</w:t>
      </w:r>
      <w:r>
        <w:rPr>
          <w:rFonts w:ascii="宋体" w:hAnsi="宋体" w:eastAsia="宋体" w:cs="宋体"/>
          <w:strike/>
          <w:dstrike w:val="0"/>
          <w:color w:val="auto"/>
          <w:spacing w:val="17"/>
          <w:sz w:val="24"/>
          <w:szCs w:val="24"/>
          <w:highlight w:val="none"/>
          <w:u w:val="single" w:color="auto"/>
        </w:rPr>
        <w:t xml:space="preserve">       </w:t>
      </w:r>
      <w:r>
        <w:rPr>
          <w:rFonts w:ascii="宋体" w:hAnsi="宋体" w:eastAsia="宋体" w:cs="宋体"/>
          <w:strike/>
          <w:dstrike w:val="0"/>
          <w:color w:val="auto"/>
          <w:spacing w:val="-84"/>
          <w:sz w:val="24"/>
          <w:szCs w:val="24"/>
          <w:highlight w:val="none"/>
        </w:rPr>
        <w:t xml:space="preserve"> </w:t>
      </w:r>
      <w:r>
        <w:rPr>
          <w:rFonts w:ascii="宋体" w:hAnsi="宋体" w:eastAsia="宋体" w:cs="宋体"/>
          <w:strike/>
          <w:dstrike w:val="0"/>
          <w:color w:val="auto"/>
          <w:spacing w:val="-15"/>
          <w:sz w:val="24"/>
          <w:szCs w:val="24"/>
          <w:highlight w:val="none"/>
        </w:rPr>
        <w:t>）</w:t>
      </w:r>
      <w:r>
        <w:rPr>
          <w:rFonts w:ascii="宋体" w:hAnsi="宋体" w:eastAsia="宋体" w:cs="宋体"/>
          <w:color w:val="auto"/>
          <w:spacing w:val="-15"/>
          <w:sz w:val="24"/>
          <w:szCs w:val="24"/>
          <w:highlight w:val="none"/>
        </w:rPr>
        <w:t>。</w:t>
      </w:r>
    </w:p>
    <w:p w14:paraId="383A47F3">
      <w:pPr>
        <w:spacing w:before="179" w:line="219" w:lineRule="auto"/>
        <w:ind w:left="485"/>
        <w:rPr>
          <w:rFonts w:ascii="宋体" w:hAnsi="宋体" w:eastAsia="宋体" w:cs="宋体"/>
          <w:color w:val="auto"/>
          <w:sz w:val="24"/>
          <w:szCs w:val="24"/>
          <w:highlight w:val="none"/>
        </w:rPr>
      </w:pPr>
      <w:r>
        <w:rPr>
          <w:rFonts w:ascii="Times New Roman" w:hAnsi="Times New Roman" w:eastAsia="Times New Roman" w:cs="Times New Roman"/>
          <w:color w:val="auto"/>
          <w:spacing w:val="-2"/>
          <w:sz w:val="24"/>
          <w:szCs w:val="24"/>
          <w:highlight w:val="none"/>
        </w:rPr>
        <w:t>2</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pacing w:val="-2"/>
          <w:sz w:val="24"/>
          <w:szCs w:val="24"/>
          <w:highlight w:val="none"/>
        </w:rPr>
        <w:t>．我方承诺在投标有效期内不补充、修改、替代或者</w:t>
      </w:r>
      <w:r>
        <w:rPr>
          <w:rFonts w:ascii="宋体" w:hAnsi="宋体" w:eastAsia="宋体" w:cs="宋体"/>
          <w:color w:val="auto"/>
          <w:spacing w:val="-3"/>
          <w:sz w:val="24"/>
          <w:szCs w:val="24"/>
          <w:highlight w:val="none"/>
        </w:rPr>
        <w:t>撤回本投标文件。</w:t>
      </w:r>
    </w:p>
    <w:p w14:paraId="76CA06D0">
      <w:pPr>
        <w:spacing w:before="181" w:line="291" w:lineRule="auto"/>
        <w:ind w:left="135" w:right="1" w:firstLine="353"/>
        <w:rPr>
          <w:rFonts w:ascii="宋体" w:hAnsi="宋体" w:eastAsia="宋体" w:cs="宋体"/>
          <w:color w:val="auto"/>
          <w:sz w:val="24"/>
          <w:szCs w:val="24"/>
          <w:highlight w:val="none"/>
        </w:rPr>
      </w:pPr>
      <w:r>
        <w:rPr>
          <w:rFonts w:ascii="Times New Roman" w:hAnsi="Times New Roman" w:eastAsia="Times New Roman" w:cs="Times New Roman"/>
          <w:color w:val="auto"/>
          <w:spacing w:val="-14"/>
          <w:sz w:val="24"/>
          <w:szCs w:val="24"/>
          <w:highlight w:val="none"/>
        </w:rPr>
        <w:t>3</w:t>
      </w:r>
      <w:r>
        <w:rPr>
          <w:rFonts w:ascii="宋体" w:hAnsi="宋体" w:eastAsia="宋体" w:cs="宋体"/>
          <w:color w:val="auto"/>
          <w:spacing w:val="-13"/>
          <w:sz w:val="24"/>
          <w:szCs w:val="24"/>
          <w:highlight w:val="none"/>
        </w:rPr>
        <w:t>．随同本投标函递交投标保证金一份，金额为人民币（大写）</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12"/>
          <w:sz w:val="24"/>
          <w:szCs w:val="24"/>
          <w:highlight w:val="none"/>
        </w:rPr>
        <w:t>元</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w:t>
      </w:r>
      <w:r>
        <w:rPr>
          <w:rFonts w:ascii="宋体" w:hAnsi="宋体" w:eastAsia="宋体" w:cs="宋体"/>
          <w:color w:val="auto"/>
          <w:spacing w:val="-95"/>
          <w:sz w:val="24"/>
          <w:szCs w:val="24"/>
          <w:highlight w:val="none"/>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85"/>
          <w:sz w:val="24"/>
          <w:szCs w:val="24"/>
          <w:highlight w:val="none"/>
        </w:rPr>
        <w:t xml:space="preserve"> </w:t>
      </w:r>
      <w:r>
        <w:rPr>
          <w:rFonts w:ascii="宋体" w:hAnsi="宋体" w:eastAsia="宋体" w:cs="宋体"/>
          <w:color w:val="auto"/>
          <w:spacing w:val="2"/>
          <w:sz w:val="24"/>
          <w:szCs w:val="24"/>
          <w:highlight w:val="none"/>
        </w:rPr>
        <w:t>)。</w:t>
      </w:r>
    </w:p>
    <w:p w14:paraId="523DD83B">
      <w:pPr>
        <w:spacing w:before="177" w:line="220" w:lineRule="auto"/>
        <w:ind w:left="483"/>
        <w:rPr>
          <w:rFonts w:ascii="宋体" w:hAnsi="宋体" w:eastAsia="宋体" w:cs="宋体"/>
          <w:color w:val="auto"/>
          <w:sz w:val="24"/>
          <w:szCs w:val="24"/>
          <w:highlight w:val="none"/>
        </w:rPr>
      </w:pPr>
      <w:r>
        <w:rPr>
          <w:rFonts w:ascii="Times New Roman" w:hAnsi="Times New Roman" w:eastAsia="Times New Roman" w:cs="Times New Roman"/>
          <w:color w:val="auto"/>
          <w:spacing w:val="-10"/>
          <w:sz w:val="24"/>
          <w:szCs w:val="24"/>
          <w:highlight w:val="none"/>
        </w:rPr>
        <w:t>4</w:t>
      </w:r>
      <w:r>
        <w:rPr>
          <w:rFonts w:ascii="Times New Roman" w:hAnsi="Times New Roman" w:eastAsia="Times New Roman" w:cs="Times New Roman"/>
          <w:color w:val="auto"/>
          <w:spacing w:val="-29"/>
          <w:sz w:val="24"/>
          <w:szCs w:val="24"/>
          <w:highlight w:val="none"/>
        </w:rPr>
        <w:t xml:space="preserve"> </w:t>
      </w:r>
      <w:r>
        <w:rPr>
          <w:rFonts w:ascii="宋体" w:hAnsi="宋体" w:eastAsia="宋体" w:cs="宋体"/>
          <w:color w:val="auto"/>
          <w:spacing w:val="-10"/>
          <w:sz w:val="24"/>
          <w:szCs w:val="24"/>
          <w:highlight w:val="none"/>
        </w:rPr>
        <w:t>．如我方中标：</w:t>
      </w:r>
    </w:p>
    <w:p w14:paraId="72C4ED7B">
      <w:pPr>
        <w:spacing w:before="182" w:line="290" w:lineRule="auto"/>
        <w:ind w:left="32" w:right="1" w:firstLine="462"/>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1</w:t>
      </w:r>
      <w:r>
        <w:rPr>
          <w:rFonts w:ascii="宋体" w:hAnsi="宋体" w:eastAsia="宋体" w:cs="宋体"/>
          <w:color w:val="auto"/>
          <w:spacing w:val="-2"/>
          <w:sz w:val="24"/>
          <w:szCs w:val="24"/>
          <w:highlight w:val="none"/>
        </w:rPr>
        <w:t>）</w:t>
      </w:r>
      <w:r>
        <w:rPr>
          <w:rFonts w:ascii="宋体" w:hAnsi="宋体" w:eastAsia="宋体" w:cs="宋体"/>
          <w:color w:val="auto"/>
          <w:spacing w:val="-35"/>
          <w:sz w:val="24"/>
          <w:szCs w:val="24"/>
          <w:highlight w:val="none"/>
        </w:rPr>
        <w:t xml:space="preserve"> </w:t>
      </w:r>
      <w:r>
        <w:rPr>
          <w:rFonts w:ascii="宋体" w:hAnsi="宋体" w:eastAsia="宋体" w:cs="宋体"/>
          <w:color w:val="auto"/>
          <w:spacing w:val="-2"/>
          <w:sz w:val="24"/>
          <w:szCs w:val="24"/>
          <w:highlight w:val="none"/>
        </w:rPr>
        <w:t>我方承诺在收到中标通知书后，在中标通知书规定的期限内与你</w:t>
      </w:r>
      <w:r>
        <w:rPr>
          <w:rFonts w:ascii="宋体" w:hAnsi="宋体" w:eastAsia="宋体" w:cs="宋体"/>
          <w:color w:val="auto"/>
          <w:spacing w:val="-3"/>
          <w:sz w:val="24"/>
          <w:szCs w:val="24"/>
          <w:highlight w:val="none"/>
        </w:rPr>
        <w:t>方签订合</w:t>
      </w:r>
      <w:r>
        <w:rPr>
          <w:rFonts w:ascii="宋体" w:hAnsi="宋体" w:eastAsia="宋体" w:cs="宋体"/>
          <w:color w:val="auto"/>
          <w:sz w:val="24"/>
          <w:szCs w:val="24"/>
          <w:highlight w:val="none"/>
        </w:rPr>
        <w:t xml:space="preserve"> </w:t>
      </w:r>
      <w:r>
        <w:rPr>
          <w:rFonts w:ascii="宋体" w:hAnsi="宋体" w:eastAsia="宋体" w:cs="宋体"/>
          <w:color w:val="auto"/>
          <w:spacing w:val="-17"/>
          <w:sz w:val="24"/>
          <w:szCs w:val="24"/>
          <w:highlight w:val="none"/>
        </w:rPr>
        <w:t>同。</w:t>
      </w:r>
    </w:p>
    <w:p w14:paraId="495355A2">
      <w:pPr>
        <w:spacing w:before="179" w:line="219"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）随同本投标函递交的投标函附录属于合同文件的组成部分。</w:t>
      </w:r>
    </w:p>
    <w:p w14:paraId="7896B264">
      <w:pPr>
        <w:spacing w:before="181" w:line="220"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3</w:t>
      </w:r>
      <w:r>
        <w:rPr>
          <w:rFonts w:ascii="宋体" w:hAnsi="宋体" w:eastAsia="宋体" w:cs="宋体"/>
          <w:color w:val="auto"/>
          <w:spacing w:val="-2"/>
          <w:sz w:val="24"/>
          <w:szCs w:val="24"/>
          <w:highlight w:val="none"/>
        </w:rPr>
        <w:t>）我方承诺按照招标文件规定向你方递交履约担保。</w:t>
      </w:r>
    </w:p>
    <w:p w14:paraId="33ECABC6">
      <w:pPr>
        <w:spacing w:before="182" w:line="220" w:lineRule="auto"/>
        <w:ind w:left="495"/>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w:t>
      </w:r>
      <w:r>
        <w:rPr>
          <w:rFonts w:ascii="Times New Roman" w:hAnsi="Times New Roman" w:eastAsia="Times New Roman" w:cs="Times New Roman"/>
          <w:color w:val="auto"/>
          <w:spacing w:val="-2"/>
          <w:sz w:val="24"/>
          <w:szCs w:val="24"/>
          <w:highlight w:val="none"/>
        </w:rPr>
        <w:t>4</w:t>
      </w:r>
      <w:r>
        <w:rPr>
          <w:rFonts w:ascii="宋体" w:hAnsi="宋体" w:eastAsia="宋体" w:cs="宋体"/>
          <w:color w:val="auto"/>
          <w:spacing w:val="-2"/>
          <w:sz w:val="24"/>
          <w:szCs w:val="24"/>
          <w:highlight w:val="none"/>
        </w:rPr>
        <w:t>）我方承诺在合同约定的期限内完成并移交全部合同工程。</w:t>
      </w:r>
    </w:p>
    <w:p w14:paraId="7C66776C">
      <w:pPr>
        <w:spacing w:before="184" w:line="288" w:lineRule="auto"/>
        <w:ind w:left="8" w:right="1" w:firstLine="483"/>
        <w:rPr>
          <w:rFonts w:ascii="宋体" w:hAnsi="宋体" w:eastAsia="宋体" w:cs="宋体"/>
          <w:color w:val="auto"/>
          <w:sz w:val="24"/>
          <w:szCs w:val="24"/>
          <w:highlight w:val="none"/>
        </w:rPr>
      </w:pPr>
      <w:r>
        <w:rPr>
          <w:rFonts w:ascii="Times New Roman" w:hAnsi="Times New Roman" w:eastAsia="Times New Roman" w:cs="Times New Roman"/>
          <w:color w:val="auto"/>
          <w:sz w:val="24"/>
          <w:szCs w:val="24"/>
          <w:highlight w:val="none"/>
        </w:rPr>
        <w:t>5</w:t>
      </w:r>
      <w:r>
        <w:rPr>
          <w:rFonts w:ascii="Times New Roman" w:hAnsi="Times New Roman" w:eastAsia="Times New Roman" w:cs="Times New Roman"/>
          <w:color w:val="auto"/>
          <w:spacing w:val="-28"/>
          <w:sz w:val="24"/>
          <w:szCs w:val="24"/>
          <w:highlight w:val="none"/>
        </w:rPr>
        <w:t xml:space="preserve"> </w:t>
      </w:r>
      <w:r>
        <w:rPr>
          <w:rFonts w:ascii="宋体" w:hAnsi="宋体" w:eastAsia="宋体" w:cs="宋体"/>
          <w:color w:val="auto"/>
          <w:sz w:val="24"/>
          <w:szCs w:val="24"/>
          <w:highlight w:val="none"/>
        </w:rPr>
        <w:t>．我方在此声明，所递交的投标文件及有</w:t>
      </w:r>
      <w:r>
        <w:rPr>
          <w:rFonts w:ascii="宋体" w:hAnsi="宋体" w:eastAsia="宋体" w:cs="宋体"/>
          <w:color w:val="auto"/>
          <w:spacing w:val="-1"/>
          <w:sz w:val="24"/>
          <w:szCs w:val="24"/>
          <w:highlight w:val="none"/>
        </w:rPr>
        <w:t>关资料内容完整、真实和准确，且不</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存在第</w:t>
      </w:r>
      <w:r>
        <w:rPr>
          <w:rFonts w:ascii="Times New Roman" w:hAnsi="Times New Roman" w:eastAsia="Times New Roman" w:cs="Times New Roman"/>
          <w:color w:val="auto"/>
          <w:spacing w:val="-2"/>
          <w:sz w:val="24"/>
          <w:szCs w:val="24"/>
          <w:highlight w:val="none"/>
        </w:rPr>
        <w:t>2</w:t>
      </w:r>
      <w:r>
        <w:rPr>
          <w:rFonts w:ascii="宋体" w:hAnsi="宋体" w:eastAsia="宋体" w:cs="宋体"/>
          <w:color w:val="auto"/>
          <w:spacing w:val="-2"/>
          <w:sz w:val="24"/>
          <w:szCs w:val="24"/>
          <w:highlight w:val="none"/>
        </w:rPr>
        <w:t>章投标人须知第</w:t>
      </w:r>
      <w:r>
        <w:rPr>
          <w:rFonts w:ascii="Times New Roman" w:hAnsi="Times New Roman" w:eastAsia="Times New Roman" w:cs="Times New Roman"/>
          <w:color w:val="auto"/>
          <w:spacing w:val="-2"/>
          <w:sz w:val="24"/>
          <w:szCs w:val="24"/>
          <w:highlight w:val="none"/>
        </w:rPr>
        <w:t>1.4.3</w:t>
      </w:r>
      <w:r>
        <w:rPr>
          <w:rFonts w:ascii="宋体" w:hAnsi="宋体" w:eastAsia="宋体" w:cs="宋体"/>
          <w:color w:val="auto"/>
          <w:spacing w:val="-2"/>
          <w:sz w:val="24"/>
          <w:szCs w:val="24"/>
          <w:highlight w:val="none"/>
        </w:rPr>
        <w:t>项规定的任何一种情形。</w:t>
      </w:r>
    </w:p>
    <w:p w14:paraId="34547FE3">
      <w:pPr>
        <w:spacing w:before="183" w:line="220" w:lineRule="auto"/>
        <w:ind w:left="490"/>
        <w:rPr>
          <w:rFonts w:ascii="宋体" w:hAnsi="宋体" w:eastAsia="宋体" w:cs="宋体"/>
          <w:color w:val="auto"/>
          <w:sz w:val="24"/>
          <w:szCs w:val="24"/>
          <w:highlight w:val="none"/>
        </w:rPr>
      </w:pPr>
      <w:r>
        <w:rPr>
          <w:rFonts w:ascii="Times New Roman" w:hAnsi="Times New Roman" w:eastAsia="Times New Roman" w:cs="Times New Roman"/>
          <w:color w:val="auto"/>
          <w:spacing w:val="-1"/>
          <w:sz w:val="24"/>
          <w:szCs w:val="24"/>
          <w:highlight w:val="none"/>
        </w:rPr>
        <w:t xml:space="preserve">6.  </w:t>
      </w:r>
      <w:r>
        <w:rPr>
          <w:rFonts w:ascii="Times New Roman" w:hAnsi="Times New Roman" w:eastAsia="Times New Roman" w:cs="Times New Roman"/>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（其他补充说明）。</w:t>
      </w:r>
    </w:p>
    <w:p w14:paraId="5718446B">
      <w:pPr>
        <w:spacing w:before="180" w:line="219" w:lineRule="auto"/>
        <w:ind w:left="3036"/>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投 标</w:t>
      </w:r>
      <w:r>
        <w:rPr>
          <w:rFonts w:ascii="宋体" w:hAnsi="宋体" w:eastAsia="宋体" w:cs="宋体"/>
          <w:color w:val="auto"/>
          <w:spacing w:val="11"/>
          <w:sz w:val="24"/>
          <w:szCs w:val="24"/>
          <w:highlight w:val="none"/>
        </w:rPr>
        <w:t xml:space="preserve"> </w:t>
      </w:r>
      <w:r>
        <w:rPr>
          <w:rFonts w:ascii="宋体" w:hAnsi="宋体" w:eastAsia="宋体" w:cs="宋体"/>
          <w:color w:val="auto"/>
          <w:spacing w:val="-3"/>
          <w:sz w:val="24"/>
          <w:szCs w:val="24"/>
          <w:highlight w:val="none"/>
        </w:rPr>
        <w:t>人</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3"/>
          <w:sz w:val="24"/>
          <w:szCs w:val="24"/>
          <w:highlight w:val="none"/>
        </w:rPr>
        <w:t>盖单位公章）</w:t>
      </w:r>
    </w:p>
    <w:p w14:paraId="0DD2AAA9">
      <w:pPr>
        <w:spacing w:before="182" w:line="350" w:lineRule="auto"/>
        <w:ind w:left="3033" w:right="200" w:firstLine="24"/>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16"/>
          <w:sz w:val="24"/>
          <w:szCs w:val="24"/>
          <w:highlight w:val="none"/>
        </w:rPr>
        <w:t>：</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16"/>
          <w:sz w:val="24"/>
          <w:szCs w:val="24"/>
          <w:highlight w:val="none"/>
          <w:u w:val="single" w:color="auto"/>
        </w:rPr>
        <w:t>（</w:t>
      </w:r>
      <w:r>
        <w:rPr>
          <w:rFonts w:ascii="宋体" w:hAnsi="宋体" w:eastAsia="宋体" w:cs="宋体"/>
          <w:color w:val="auto"/>
          <w:spacing w:val="2"/>
          <w:sz w:val="24"/>
          <w:szCs w:val="24"/>
          <w:highlight w:val="none"/>
          <w:u w:val="single" w:color="auto"/>
        </w:rPr>
        <w:t xml:space="preserve">签字或盖章）    </w:t>
      </w:r>
      <w:r>
        <w:rPr>
          <w:rFonts w:ascii="宋体" w:hAnsi="宋体" w:eastAsia="宋体" w:cs="宋体"/>
          <w:color w:val="auto"/>
          <w:sz w:val="24"/>
          <w:szCs w:val="24"/>
          <w:highlight w:val="none"/>
        </w:rPr>
        <w:t xml:space="preserve"> </w:t>
      </w:r>
      <w:r>
        <w:rPr>
          <w:rFonts w:ascii="宋体" w:hAnsi="宋体" w:eastAsia="宋体" w:cs="宋体"/>
          <w:color w:val="auto"/>
          <w:spacing w:val="-4"/>
          <w:sz w:val="24"/>
          <w:szCs w:val="24"/>
          <w:highlight w:val="none"/>
        </w:rPr>
        <w:t>地</w:t>
      </w:r>
      <w:r>
        <w:rPr>
          <w:rFonts w:ascii="宋体" w:hAnsi="宋体" w:eastAsia="宋体" w:cs="宋体"/>
          <w:color w:val="auto"/>
          <w:spacing w:val="2"/>
          <w:sz w:val="24"/>
          <w:szCs w:val="24"/>
          <w:highlight w:val="none"/>
        </w:rPr>
        <w:t xml:space="preserve">    </w:t>
      </w:r>
      <w:r>
        <w:rPr>
          <w:rFonts w:ascii="宋体" w:hAnsi="宋体" w:eastAsia="宋体" w:cs="宋体"/>
          <w:color w:val="auto"/>
          <w:spacing w:val="-4"/>
          <w:sz w:val="24"/>
          <w:szCs w:val="24"/>
          <w:highlight w:val="none"/>
        </w:rPr>
        <w:t>址：</w:t>
      </w:r>
      <w:r>
        <w:rPr>
          <w:rFonts w:ascii="宋体" w:hAnsi="宋体" w:eastAsia="宋体" w:cs="宋体"/>
          <w:color w:val="auto"/>
          <w:spacing w:val="-4"/>
          <w:sz w:val="24"/>
          <w:szCs w:val="24"/>
          <w:highlight w:val="none"/>
          <w:u w:val="single" w:color="auto"/>
        </w:rPr>
        <w:t xml:space="preserve">                     </w:t>
      </w:r>
      <w:r>
        <w:rPr>
          <w:rFonts w:ascii="宋体" w:hAnsi="宋体" w:eastAsia="宋体" w:cs="宋体"/>
          <w:color w:val="auto"/>
          <w:spacing w:val="-5"/>
          <w:sz w:val="24"/>
          <w:szCs w:val="24"/>
          <w:highlight w:val="none"/>
          <w:u w:val="single" w:color="auto"/>
        </w:rPr>
        <w:t xml:space="preserve">         </w:t>
      </w:r>
    </w:p>
    <w:p w14:paraId="01D6AEC7">
      <w:pPr>
        <w:spacing w:before="24" w:line="220" w:lineRule="auto"/>
        <w:ind w:left="3061"/>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电子信箱：</w:t>
      </w:r>
      <w:r>
        <w:rPr>
          <w:rFonts w:ascii="宋体" w:hAnsi="宋体" w:eastAsia="宋体" w:cs="宋体"/>
          <w:color w:val="auto"/>
          <w:sz w:val="24"/>
          <w:szCs w:val="24"/>
          <w:highlight w:val="none"/>
          <w:u w:val="single" w:color="auto"/>
        </w:rPr>
        <w:t xml:space="preserve">                </w:t>
      </w:r>
    </w:p>
    <w:p w14:paraId="636073B3">
      <w:pPr>
        <w:spacing w:before="180" w:line="222" w:lineRule="auto"/>
        <w:ind w:left="3061"/>
        <w:rPr>
          <w:rFonts w:ascii="宋体" w:hAnsi="宋体" w:eastAsia="宋体" w:cs="宋体"/>
          <w:color w:val="auto"/>
          <w:sz w:val="24"/>
          <w:szCs w:val="24"/>
          <w:highlight w:val="none"/>
        </w:rPr>
      </w:pPr>
      <w:r>
        <w:rPr>
          <w:rFonts w:ascii="宋体" w:hAnsi="宋体" w:eastAsia="宋体" w:cs="宋体"/>
          <w:color w:val="auto"/>
          <w:spacing w:val="-16"/>
          <w:sz w:val="24"/>
          <w:szCs w:val="24"/>
          <w:highlight w:val="none"/>
        </w:rPr>
        <w:t>电</w:t>
      </w:r>
      <w:r>
        <w:rPr>
          <w:rFonts w:ascii="宋体" w:hAnsi="宋体" w:eastAsia="宋体" w:cs="宋体"/>
          <w:color w:val="auto"/>
          <w:spacing w:val="2"/>
          <w:sz w:val="24"/>
          <w:szCs w:val="24"/>
          <w:highlight w:val="none"/>
        </w:rPr>
        <w:t xml:space="preserve">    </w:t>
      </w:r>
      <w:r>
        <w:rPr>
          <w:rFonts w:ascii="宋体" w:hAnsi="宋体" w:eastAsia="宋体" w:cs="宋体"/>
          <w:color w:val="auto"/>
          <w:spacing w:val="-16"/>
          <w:sz w:val="24"/>
          <w:szCs w:val="24"/>
          <w:highlight w:val="none"/>
        </w:rPr>
        <w:t>话：</w:t>
      </w:r>
      <w:r>
        <w:rPr>
          <w:rFonts w:ascii="宋体" w:hAnsi="宋体" w:eastAsia="宋体" w:cs="宋体"/>
          <w:color w:val="auto"/>
          <w:sz w:val="24"/>
          <w:szCs w:val="24"/>
          <w:highlight w:val="none"/>
          <w:u w:val="single" w:color="auto"/>
        </w:rPr>
        <w:t xml:space="preserve">                </w:t>
      </w:r>
    </w:p>
    <w:p w14:paraId="13F4AF03">
      <w:pPr>
        <w:spacing w:before="179" w:line="220" w:lineRule="auto"/>
        <w:ind w:left="3051"/>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邮政编码：</w:t>
      </w:r>
      <w:r>
        <w:rPr>
          <w:rFonts w:ascii="宋体" w:hAnsi="宋体" w:eastAsia="宋体" w:cs="宋体"/>
          <w:color w:val="auto"/>
          <w:sz w:val="24"/>
          <w:szCs w:val="24"/>
          <w:highlight w:val="none"/>
          <w:u w:val="single" w:color="auto"/>
        </w:rPr>
        <w:t xml:space="preserve">                </w:t>
      </w:r>
    </w:p>
    <w:p w14:paraId="15CCFFE8">
      <w:pPr>
        <w:tabs>
          <w:tab w:val="left" w:pos="4200"/>
        </w:tabs>
        <w:spacing w:before="180" w:line="220" w:lineRule="auto"/>
        <w:ind w:left="3479"/>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10"/>
          <w:sz w:val="24"/>
          <w:szCs w:val="24"/>
          <w:highlight w:val="none"/>
        </w:rPr>
        <w:t xml:space="preserve"> </w:t>
      </w:r>
      <w:r>
        <w:rPr>
          <w:rFonts w:ascii="宋体" w:hAnsi="宋体" w:eastAsia="宋体" w:cs="宋体"/>
          <w:color w:val="auto"/>
          <w:spacing w:val="-9"/>
          <w:sz w:val="24"/>
          <w:szCs w:val="24"/>
          <w:highlight w:val="none"/>
        </w:rPr>
        <w:t>年</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05"/>
          <w:sz w:val="24"/>
          <w:szCs w:val="24"/>
          <w:highlight w:val="none"/>
        </w:rPr>
        <w:t xml:space="preserve"> </w:t>
      </w:r>
      <w:r>
        <w:rPr>
          <w:rFonts w:ascii="宋体" w:hAnsi="宋体" w:eastAsia="宋体" w:cs="宋体"/>
          <w:color w:val="auto"/>
          <w:spacing w:val="-9"/>
          <w:sz w:val="24"/>
          <w:szCs w:val="24"/>
          <w:highlight w:val="none"/>
        </w:rPr>
        <w:t>月</w:t>
      </w:r>
      <w:r>
        <w:rPr>
          <w:rFonts w:ascii="宋体" w:hAnsi="宋体" w:eastAsia="宋体" w:cs="宋体"/>
          <w:color w:val="auto"/>
          <w:spacing w:val="40"/>
          <w:sz w:val="24"/>
          <w:szCs w:val="24"/>
          <w:highlight w:val="none"/>
          <w:u w:val="single" w:color="auto"/>
        </w:rPr>
        <w:t xml:space="preserve">   </w:t>
      </w:r>
      <w:r>
        <w:rPr>
          <w:rFonts w:ascii="宋体" w:hAnsi="宋体" w:eastAsia="宋体" w:cs="宋体"/>
          <w:color w:val="auto"/>
          <w:spacing w:val="-69"/>
          <w:sz w:val="24"/>
          <w:szCs w:val="24"/>
          <w:highlight w:val="none"/>
        </w:rPr>
        <w:t xml:space="preserve"> </w:t>
      </w:r>
      <w:r>
        <w:rPr>
          <w:rFonts w:ascii="宋体" w:hAnsi="宋体" w:eastAsia="宋体" w:cs="宋体"/>
          <w:color w:val="auto"/>
          <w:spacing w:val="-9"/>
          <w:sz w:val="24"/>
          <w:szCs w:val="24"/>
          <w:highlight w:val="none"/>
        </w:rPr>
        <w:t>日</w:t>
      </w:r>
    </w:p>
    <w:p w14:paraId="0F0E9324">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60045C70">
      <w:pPr>
        <w:pStyle w:val="3"/>
        <w:spacing w:line="376" w:lineRule="auto"/>
        <w:rPr>
          <w:color w:val="auto"/>
          <w:highlight w:val="none"/>
        </w:rPr>
      </w:pPr>
    </w:p>
    <w:p w14:paraId="0DEC8A7D">
      <w:pPr>
        <w:spacing w:before="78" w:line="219" w:lineRule="auto"/>
        <w:ind w:left="15"/>
        <w:rPr>
          <w:rFonts w:ascii="宋体" w:hAnsi="宋体" w:eastAsia="宋体" w:cs="宋体"/>
          <w:color w:val="auto"/>
          <w:sz w:val="24"/>
          <w:szCs w:val="24"/>
          <w:highlight w:val="none"/>
        </w:rPr>
      </w:pPr>
      <w:r>
        <w:rPr>
          <w:rFonts w:ascii="宋体" w:hAnsi="宋体" w:eastAsia="宋体" w:cs="宋体"/>
          <w:b/>
          <w:bCs/>
          <w:color w:val="auto"/>
          <w:spacing w:val="-11"/>
          <w:sz w:val="24"/>
          <w:szCs w:val="24"/>
          <w:highlight w:val="none"/>
        </w:rPr>
        <w:t>（二）</w:t>
      </w:r>
      <w:r>
        <w:rPr>
          <w:rFonts w:ascii="宋体" w:hAnsi="宋体" w:eastAsia="宋体" w:cs="宋体"/>
          <w:color w:val="auto"/>
          <w:spacing w:val="-69"/>
          <w:sz w:val="24"/>
          <w:szCs w:val="24"/>
          <w:highlight w:val="none"/>
        </w:rPr>
        <w:t xml:space="preserve"> </w:t>
      </w:r>
      <w:r>
        <w:rPr>
          <w:rFonts w:ascii="宋体" w:hAnsi="宋体" w:eastAsia="宋体" w:cs="宋体"/>
          <w:b/>
          <w:bCs/>
          <w:color w:val="auto"/>
          <w:spacing w:val="-11"/>
          <w:sz w:val="24"/>
          <w:szCs w:val="24"/>
          <w:highlight w:val="none"/>
        </w:rPr>
        <w:t>投标函附录</w:t>
      </w:r>
    </w:p>
    <w:p w14:paraId="75A8839D">
      <w:pPr>
        <w:spacing w:line="147" w:lineRule="exact"/>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37"/>
        <w:gridCol w:w="2437"/>
        <w:gridCol w:w="1699"/>
        <w:gridCol w:w="2688"/>
        <w:gridCol w:w="1248"/>
      </w:tblGrid>
      <w:tr w14:paraId="7055DC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8" w:hRule="atLeast"/>
        </w:trPr>
        <w:tc>
          <w:tcPr>
            <w:tcW w:w="937" w:type="dxa"/>
            <w:tcBorders>
              <w:top w:val="single" w:color="000000" w:sz="6" w:space="0"/>
              <w:left w:val="single" w:color="000000" w:sz="6" w:space="0"/>
            </w:tcBorders>
            <w:vAlign w:val="top"/>
          </w:tcPr>
          <w:p w14:paraId="259F5C2B">
            <w:pPr>
              <w:pStyle w:val="33"/>
              <w:spacing w:before="258" w:line="221" w:lineRule="auto"/>
              <w:ind w:left="226"/>
              <w:rPr>
                <w:color w:val="auto"/>
                <w:sz w:val="24"/>
                <w:szCs w:val="24"/>
                <w:highlight w:val="none"/>
              </w:rPr>
            </w:pPr>
            <w:r>
              <w:rPr>
                <w:color w:val="auto"/>
                <w:spacing w:val="-3"/>
                <w:sz w:val="24"/>
                <w:szCs w:val="24"/>
                <w:highlight w:val="none"/>
              </w:rPr>
              <w:t>序号</w:t>
            </w:r>
          </w:p>
        </w:tc>
        <w:tc>
          <w:tcPr>
            <w:tcW w:w="2437" w:type="dxa"/>
            <w:tcBorders>
              <w:top w:val="single" w:color="000000" w:sz="6" w:space="0"/>
            </w:tcBorders>
            <w:vAlign w:val="top"/>
          </w:tcPr>
          <w:p w14:paraId="4C312754">
            <w:pPr>
              <w:pStyle w:val="33"/>
              <w:spacing w:before="258" w:line="220" w:lineRule="auto"/>
              <w:ind w:left="739"/>
              <w:rPr>
                <w:color w:val="auto"/>
                <w:sz w:val="24"/>
                <w:szCs w:val="24"/>
                <w:highlight w:val="none"/>
              </w:rPr>
            </w:pPr>
            <w:r>
              <w:rPr>
                <w:color w:val="auto"/>
                <w:spacing w:val="-3"/>
                <w:sz w:val="24"/>
                <w:szCs w:val="24"/>
                <w:highlight w:val="none"/>
              </w:rPr>
              <w:t>条款名称</w:t>
            </w:r>
          </w:p>
        </w:tc>
        <w:tc>
          <w:tcPr>
            <w:tcW w:w="1699" w:type="dxa"/>
            <w:tcBorders>
              <w:top w:val="single" w:color="000000" w:sz="6" w:space="0"/>
            </w:tcBorders>
            <w:vAlign w:val="top"/>
          </w:tcPr>
          <w:p w14:paraId="51F1BAA8">
            <w:pPr>
              <w:pStyle w:val="33"/>
              <w:spacing w:before="258" w:line="220" w:lineRule="auto"/>
              <w:ind w:left="255"/>
              <w:rPr>
                <w:color w:val="auto"/>
                <w:sz w:val="24"/>
                <w:szCs w:val="24"/>
                <w:highlight w:val="none"/>
              </w:rPr>
            </w:pPr>
            <w:r>
              <w:rPr>
                <w:color w:val="auto"/>
                <w:spacing w:val="-2"/>
                <w:sz w:val="24"/>
                <w:szCs w:val="24"/>
                <w:highlight w:val="none"/>
              </w:rPr>
              <w:t>合同条款号</w:t>
            </w:r>
          </w:p>
        </w:tc>
        <w:tc>
          <w:tcPr>
            <w:tcW w:w="2688" w:type="dxa"/>
            <w:tcBorders>
              <w:top w:val="single" w:color="000000" w:sz="6" w:space="0"/>
            </w:tcBorders>
            <w:vAlign w:val="top"/>
          </w:tcPr>
          <w:p w14:paraId="5DE7C7FA">
            <w:pPr>
              <w:pStyle w:val="33"/>
              <w:spacing w:before="258" w:line="220" w:lineRule="auto"/>
              <w:ind w:left="876"/>
              <w:rPr>
                <w:color w:val="auto"/>
                <w:sz w:val="24"/>
                <w:szCs w:val="24"/>
                <w:highlight w:val="none"/>
              </w:rPr>
            </w:pPr>
            <w:r>
              <w:rPr>
                <w:color w:val="auto"/>
                <w:spacing w:val="-3"/>
                <w:sz w:val="24"/>
                <w:szCs w:val="24"/>
                <w:highlight w:val="none"/>
              </w:rPr>
              <w:t>约定内容</w:t>
            </w:r>
          </w:p>
        </w:tc>
        <w:tc>
          <w:tcPr>
            <w:tcW w:w="1248" w:type="dxa"/>
            <w:tcBorders>
              <w:top w:val="single" w:color="000000" w:sz="6" w:space="0"/>
              <w:right w:val="single" w:color="000000" w:sz="6" w:space="0"/>
            </w:tcBorders>
            <w:vAlign w:val="top"/>
          </w:tcPr>
          <w:p w14:paraId="6119BB33">
            <w:pPr>
              <w:pStyle w:val="33"/>
              <w:spacing w:before="258" w:line="221" w:lineRule="auto"/>
              <w:ind w:left="391"/>
              <w:rPr>
                <w:color w:val="auto"/>
                <w:sz w:val="24"/>
                <w:szCs w:val="24"/>
                <w:highlight w:val="none"/>
              </w:rPr>
            </w:pPr>
            <w:r>
              <w:rPr>
                <w:color w:val="auto"/>
                <w:spacing w:val="-4"/>
                <w:sz w:val="24"/>
                <w:szCs w:val="24"/>
                <w:highlight w:val="none"/>
              </w:rPr>
              <w:t>备注</w:t>
            </w:r>
          </w:p>
        </w:tc>
      </w:tr>
      <w:tr w14:paraId="0CE2F8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937" w:type="dxa"/>
            <w:tcBorders>
              <w:left w:val="single" w:color="000000" w:sz="6" w:space="0"/>
            </w:tcBorders>
            <w:vAlign w:val="top"/>
          </w:tcPr>
          <w:p w14:paraId="2B48E4ED">
            <w:pPr>
              <w:spacing w:before="300" w:line="186" w:lineRule="auto"/>
              <w:ind w:left="42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1</w:t>
            </w:r>
          </w:p>
        </w:tc>
        <w:tc>
          <w:tcPr>
            <w:tcW w:w="2437" w:type="dxa"/>
            <w:vAlign w:val="top"/>
          </w:tcPr>
          <w:p w14:paraId="053726F0">
            <w:pPr>
              <w:pStyle w:val="33"/>
              <w:spacing w:before="100" w:line="220" w:lineRule="auto"/>
              <w:ind w:left="617"/>
              <w:rPr>
                <w:color w:val="auto"/>
                <w:sz w:val="24"/>
                <w:szCs w:val="24"/>
                <w:highlight w:val="none"/>
              </w:rPr>
            </w:pPr>
            <w:r>
              <w:rPr>
                <w:color w:val="auto"/>
                <w:spacing w:val="-2"/>
                <w:sz w:val="24"/>
                <w:szCs w:val="24"/>
                <w:highlight w:val="none"/>
              </w:rPr>
              <w:t>缺陷责任期</w:t>
            </w:r>
          </w:p>
          <w:p w14:paraId="40E289D0">
            <w:pPr>
              <w:pStyle w:val="33"/>
              <w:spacing w:before="25" w:line="220" w:lineRule="auto"/>
              <w:ind w:left="144"/>
              <w:rPr>
                <w:color w:val="auto"/>
                <w:sz w:val="24"/>
                <w:szCs w:val="24"/>
                <w:highlight w:val="none"/>
              </w:rPr>
            </w:pPr>
            <w:r>
              <w:rPr>
                <w:color w:val="auto"/>
                <w:spacing w:val="-4"/>
                <w:sz w:val="24"/>
                <w:szCs w:val="24"/>
                <w:highlight w:val="none"/>
              </w:rPr>
              <w:t>（工程质量保修期）</w:t>
            </w:r>
          </w:p>
        </w:tc>
        <w:tc>
          <w:tcPr>
            <w:tcW w:w="1699" w:type="dxa"/>
            <w:vAlign w:val="top"/>
          </w:tcPr>
          <w:p w14:paraId="46CA8B4F">
            <w:pPr>
              <w:spacing w:before="300" w:line="186" w:lineRule="auto"/>
              <w:ind w:left="544"/>
              <w:rPr>
                <w:rFonts w:ascii="Times New Roman" w:hAnsi="Times New Roman" w:eastAsia="Times New Roman" w:cs="Times New Roman"/>
                <w:color w:val="auto"/>
                <w:sz w:val="24"/>
                <w:szCs w:val="24"/>
                <w:highlight w:val="none"/>
              </w:rPr>
            </w:pPr>
            <w:r>
              <w:rPr>
                <w:color w:val="auto"/>
                <w:highlight w:val="none"/>
              </w:rPr>
              <w:fldChar w:fldCharType="begin"/>
            </w:r>
            <w:r>
              <w:rPr>
                <w:color w:val="auto"/>
                <w:highlight w:val="none"/>
              </w:rPr>
              <w:instrText xml:space="preserve"> HYPERLINK "1.1.4.5" </w:instrText>
            </w:r>
            <w:r>
              <w:rPr>
                <w:color w:val="auto"/>
                <w:highlight w:val="none"/>
              </w:rPr>
              <w:fldChar w:fldCharType="separate"/>
            </w:r>
            <w:r>
              <w:rPr>
                <w:rFonts w:ascii="Times New Roman" w:hAnsi="Times New Roman" w:eastAsia="Times New Roman" w:cs="Times New Roman"/>
                <w:color w:val="auto"/>
                <w:spacing w:val="-4"/>
                <w:sz w:val="24"/>
                <w:szCs w:val="24"/>
                <w:highlight w:val="none"/>
              </w:rPr>
              <w:t>1.1.4.5</w:t>
            </w:r>
            <w:r>
              <w:rPr>
                <w:rFonts w:ascii="Times New Roman" w:hAnsi="Times New Roman" w:eastAsia="Times New Roman" w:cs="Times New Roman"/>
                <w:color w:val="auto"/>
                <w:spacing w:val="-4"/>
                <w:sz w:val="24"/>
                <w:szCs w:val="24"/>
                <w:highlight w:val="none"/>
              </w:rPr>
              <w:fldChar w:fldCharType="end"/>
            </w:r>
          </w:p>
        </w:tc>
        <w:tc>
          <w:tcPr>
            <w:tcW w:w="2688" w:type="dxa"/>
            <w:vAlign w:val="top"/>
          </w:tcPr>
          <w:p w14:paraId="2CEA6385">
            <w:pPr>
              <w:rPr>
                <w:rFonts w:ascii="Arial"/>
                <w:color w:val="auto"/>
                <w:sz w:val="21"/>
                <w:highlight w:val="none"/>
              </w:rPr>
            </w:pPr>
          </w:p>
        </w:tc>
        <w:tc>
          <w:tcPr>
            <w:tcW w:w="1248" w:type="dxa"/>
            <w:tcBorders>
              <w:right w:val="single" w:color="000000" w:sz="6" w:space="0"/>
            </w:tcBorders>
            <w:vAlign w:val="top"/>
          </w:tcPr>
          <w:p w14:paraId="6A0D3874">
            <w:pPr>
              <w:rPr>
                <w:rFonts w:ascii="Arial"/>
                <w:color w:val="auto"/>
                <w:sz w:val="21"/>
                <w:highlight w:val="none"/>
              </w:rPr>
            </w:pPr>
          </w:p>
        </w:tc>
      </w:tr>
      <w:tr w14:paraId="4B2D3C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937" w:type="dxa"/>
            <w:tcBorders>
              <w:left w:val="single" w:color="000000" w:sz="6" w:space="0"/>
            </w:tcBorders>
            <w:vAlign w:val="top"/>
          </w:tcPr>
          <w:p w14:paraId="5234CC2B">
            <w:pPr>
              <w:spacing w:before="300" w:line="186" w:lineRule="auto"/>
              <w:ind w:left="40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w:t>
            </w:r>
          </w:p>
        </w:tc>
        <w:tc>
          <w:tcPr>
            <w:tcW w:w="2437" w:type="dxa"/>
            <w:vAlign w:val="top"/>
          </w:tcPr>
          <w:p w14:paraId="727D73C0">
            <w:pPr>
              <w:pStyle w:val="33"/>
              <w:spacing w:before="258" w:line="220" w:lineRule="auto"/>
              <w:ind w:left="980"/>
              <w:rPr>
                <w:color w:val="auto"/>
                <w:sz w:val="24"/>
                <w:szCs w:val="24"/>
                <w:highlight w:val="none"/>
              </w:rPr>
            </w:pPr>
            <w:r>
              <w:rPr>
                <w:color w:val="auto"/>
                <w:spacing w:val="-4"/>
                <w:sz w:val="24"/>
                <w:szCs w:val="24"/>
                <w:highlight w:val="none"/>
              </w:rPr>
              <w:t>分包</w:t>
            </w:r>
          </w:p>
        </w:tc>
        <w:tc>
          <w:tcPr>
            <w:tcW w:w="1699" w:type="dxa"/>
            <w:vAlign w:val="top"/>
          </w:tcPr>
          <w:p w14:paraId="4560B10C">
            <w:pPr>
              <w:spacing w:before="300" w:line="186" w:lineRule="auto"/>
              <w:ind w:left="699"/>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1"/>
                <w:sz w:val="24"/>
                <w:szCs w:val="24"/>
                <w:highlight w:val="none"/>
              </w:rPr>
              <w:t>4.3</w:t>
            </w:r>
          </w:p>
        </w:tc>
        <w:tc>
          <w:tcPr>
            <w:tcW w:w="2688" w:type="dxa"/>
            <w:vAlign w:val="top"/>
          </w:tcPr>
          <w:p w14:paraId="144BACF7">
            <w:pPr>
              <w:rPr>
                <w:rFonts w:ascii="Arial"/>
                <w:color w:val="auto"/>
                <w:sz w:val="21"/>
                <w:highlight w:val="none"/>
              </w:rPr>
            </w:pPr>
          </w:p>
        </w:tc>
        <w:tc>
          <w:tcPr>
            <w:tcW w:w="1248" w:type="dxa"/>
            <w:tcBorders>
              <w:right w:val="single" w:color="000000" w:sz="6" w:space="0"/>
            </w:tcBorders>
            <w:vAlign w:val="top"/>
          </w:tcPr>
          <w:p w14:paraId="559C9BF0">
            <w:pPr>
              <w:rPr>
                <w:rFonts w:ascii="Arial"/>
                <w:color w:val="auto"/>
                <w:sz w:val="21"/>
                <w:highlight w:val="none"/>
              </w:rPr>
            </w:pPr>
          </w:p>
        </w:tc>
      </w:tr>
      <w:tr w14:paraId="1B690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4" w:hRule="atLeast"/>
        </w:trPr>
        <w:tc>
          <w:tcPr>
            <w:tcW w:w="937" w:type="dxa"/>
            <w:tcBorders>
              <w:left w:val="single" w:color="000000" w:sz="6" w:space="0"/>
            </w:tcBorders>
            <w:vAlign w:val="top"/>
          </w:tcPr>
          <w:p w14:paraId="68E667F6">
            <w:pPr>
              <w:spacing w:before="304" w:line="186" w:lineRule="auto"/>
              <w:ind w:left="40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w:t>
            </w:r>
          </w:p>
        </w:tc>
        <w:tc>
          <w:tcPr>
            <w:tcW w:w="2437" w:type="dxa"/>
            <w:vAlign w:val="top"/>
          </w:tcPr>
          <w:p w14:paraId="78DCCDA4">
            <w:pPr>
              <w:pStyle w:val="33"/>
              <w:spacing w:before="261" w:line="220" w:lineRule="auto"/>
              <w:ind w:left="620"/>
              <w:rPr>
                <w:color w:val="auto"/>
                <w:sz w:val="24"/>
                <w:szCs w:val="24"/>
                <w:highlight w:val="none"/>
              </w:rPr>
            </w:pPr>
            <w:r>
              <w:rPr>
                <w:color w:val="auto"/>
                <w:spacing w:val="-2"/>
                <w:sz w:val="24"/>
                <w:szCs w:val="24"/>
                <w:highlight w:val="none"/>
              </w:rPr>
              <w:t>投标有效期</w:t>
            </w:r>
          </w:p>
        </w:tc>
        <w:tc>
          <w:tcPr>
            <w:tcW w:w="1699" w:type="dxa"/>
            <w:vAlign w:val="top"/>
          </w:tcPr>
          <w:p w14:paraId="307E0841">
            <w:pPr>
              <w:spacing w:before="300" w:line="190" w:lineRule="auto"/>
              <w:ind w:left="81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w:t>
            </w:r>
          </w:p>
        </w:tc>
        <w:tc>
          <w:tcPr>
            <w:tcW w:w="2688" w:type="dxa"/>
            <w:vAlign w:val="top"/>
          </w:tcPr>
          <w:p w14:paraId="50ADF283">
            <w:pPr>
              <w:rPr>
                <w:rFonts w:ascii="Arial"/>
                <w:color w:val="auto"/>
                <w:sz w:val="21"/>
                <w:highlight w:val="none"/>
              </w:rPr>
            </w:pPr>
          </w:p>
        </w:tc>
        <w:tc>
          <w:tcPr>
            <w:tcW w:w="1248" w:type="dxa"/>
            <w:tcBorders>
              <w:right w:val="single" w:color="000000" w:sz="6" w:space="0"/>
            </w:tcBorders>
            <w:vAlign w:val="top"/>
          </w:tcPr>
          <w:p w14:paraId="2091D4E0">
            <w:pPr>
              <w:rPr>
                <w:rFonts w:ascii="Arial"/>
                <w:color w:val="auto"/>
                <w:sz w:val="21"/>
                <w:highlight w:val="none"/>
              </w:rPr>
            </w:pPr>
          </w:p>
        </w:tc>
      </w:tr>
      <w:tr w14:paraId="3F3FC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3" w:hRule="atLeast"/>
        </w:trPr>
        <w:tc>
          <w:tcPr>
            <w:tcW w:w="937" w:type="dxa"/>
            <w:tcBorders>
              <w:left w:val="single" w:color="000000" w:sz="6" w:space="0"/>
            </w:tcBorders>
            <w:vAlign w:val="top"/>
          </w:tcPr>
          <w:p w14:paraId="7D575CF4">
            <w:pPr>
              <w:spacing w:before="306" w:line="186" w:lineRule="auto"/>
              <w:ind w:left="40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4</w:t>
            </w:r>
          </w:p>
        </w:tc>
        <w:tc>
          <w:tcPr>
            <w:tcW w:w="2437" w:type="dxa"/>
            <w:vAlign w:val="top"/>
          </w:tcPr>
          <w:p w14:paraId="6AE1D116">
            <w:pPr>
              <w:pStyle w:val="33"/>
              <w:spacing w:before="262" w:line="220" w:lineRule="auto"/>
              <w:ind w:left="501"/>
              <w:rPr>
                <w:color w:val="auto"/>
                <w:sz w:val="24"/>
                <w:szCs w:val="24"/>
                <w:highlight w:val="none"/>
              </w:rPr>
            </w:pPr>
            <w:r>
              <w:rPr>
                <w:color w:val="auto"/>
                <w:spacing w:val="-2"/>
                <w:sz w:val="24"/>
                <w:szCs w:val="24"/>
                <w:highlight w:val="none"/>
              </w:rPr>
              <w:t>企业信用等级</w:t>
            </w:r>
          </w:p>
        </w:tc>
        <w:tc>
          <w:tcPr>
            <w:tcW w:w="1699" w:type="dxa"/>
            <w:vAlign w:val="top"/>
          </w:tcPr>
          <w:p w14:paraId="6F2DFAA3">
            <w:pPr>
              <w:spacing w:before="302" w:line="190" w:lineRule="auto"/>
              <w:ind w:left="81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w:t>
            </w:r>
          </w:p>
        </w:tc>
        <w:tc>
          <w:tcPr>
            <w:tcW w:w="2688" w:type="dxa"/>
            <w:vAlign w:val="top"/>
          </w:tcPr>
          <w:p w14:paraId="6805DF43">
            <w:pPr>
              <w:pStyle w:val="33"/>
              <w:tabs>
                <w:tab w:val="left" w:pos="1643"/>
              </w:tabs>
              <w:spacing w:before="262" w:line="222" w:lineRule="auto"/>
              <w:ind w:left="1284"/>
              <w:rPr>
                <w:color w:val="auto"/>
                <w:sz w:val="24"/>
                <w:szCs w:val="24"/>
                <w:highlight w:val="none"/>
              </w:rPr>
            </w:pPr>
            <w:r>
              <w:rPr>
                <w:color w:val="auto"/>
                <w:sz w:val="24"/>
                <w:szCs w:val="24"/>
                <w:highlight w:val="none"/>
                <w:u w:val="single" w:color="auto"/>
              </w:rPr>
              <w:tab/>
            </w:r>
            <w:r>
              <w:rPr>
                <w:color w:val="auto"/>
                <w:spacing w:val="-107"/>
                <w:sz w:val="24"/>
                <w:szCs w:val="24"/>
                <w:highlight w:val="none"/>
              </w:rPr>
              <w:t xml:space="preserve"> </w:t>
            </w:r>
            <w:r>
              <w:rPr>
                <w:color w:val="auto"/>
                <w:sz w:val="24"/>
                <w:szCs w:val="24"/>
                <w:highlight w:val="none"/>
              </w:rPr>
              <w:t>级</w:t>
            </w:r>
          </w:p>
        </w:tc>
        <w:tc>
          <w:tcPr>
            <w:tcW w:w="1248" w:type="dxa"/>
            <w:tcBorders>
              <w:right w:val="single" w:color="000000" w:sz="6" w:space="0"/>
            </w:tcBorders>
            <w:vAlign w:val="top"/>
          </w:tcPr>
          <w:p w14:paraId="18ECB292">
            <w:pPr>
              <w:rPr>
                <w:rFonts w:ascii="Arial"/>
                <w:color w:val="auto"/>
                <w:sz w:val="21"/>
                <w:highlight w:val="none"/>
              </w:rPr>
            </w:pPr>
          </w:p>
        </w:tc>
      </w:tr>
      <w:tr w14:paraId="08C96B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51" w:hRule="atLeast"/>
        </w:trPr>
        <w:tc>
          <w:tcPr>
            <w:tcW w:w="937" w:type="dxa"/>
            <w:tcBorders>
              <w:left w:val="single" w:color="000000" w:sz="6" w:space="0"/>
            </w:tcBorders>
            <w:vAlign w:val="top"/>
          </w:tcPr>
          <w:p w14:paraId="12808CC7">
            <w:pPr>
              <w:spacing w:line="375" w:lineRule="auto"/>
              <w:rPr>
                <w:rFonts w:ascii="Arial"/>
                <w:color w:val="auto"/>
                <w:sz w:val="21"/>
                <w:highlight w:val="none"/>
              </w:rPr>
            </w:pPr>
          </w:p>
          <w:p w14:paraId="146B1BA4">
            <w:pPr>
              <w:spacing w:before="69" w:line="74" w:lineRule="exact"/>
              <w:ind w:left="24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437" w:type="dxa"/>
            <w:vAlign w:val="top"/>
          </w:tcPr>
          <w:p w14:paraId="55138149">
            <w:pPr>
              <w:spacing w:line="375" w:lineRule="auto"/>
              <w:rPr>
                <w:rFonts w:ascii="Arial"/>
                <w:color w:val="auto"/>
                <w:sz w:val="21"/>
                <w:highlight w:val="none"/>
              </w:rPr>
            </w:pPr>
          </w:p>
          <w:p w14:paraId="3458EB15">
            <w:pPr>
              <w:spacing w:before="69" w:line="74" w:lineRule="exact"/>
              <w:ind w:left="99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699" w:type="dxa"/>
            <w:vAlign w:val="top"/>
          </w:tcPr>
          <w:p w14:paraId="4CE817D7">
            <w:pPr>
              <w:spacing w:line="375" w:lineRule="auto"/>
              <w:rPr>
                <w:rFonts w:ascii="Arial"/>
                <w:color w:val="auto"/>
                <w:sz w:val="21"/>
                <w:highlight w:val="none"/>
              </w:rPr>
            </w:pPr>
          </w:p>
          <w:p w14:paraId="0140A275">
            <w:pPr>
              <w:spacing w:before="69" w:line="74" w:lineRule="exact"/>
              <w:ind w:left="63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688" w:type="dxa"/>
            <w:vAlign w:val="top"/>
          </w:tcPr>
          <w:p w14:paraId="0793E849">
            <w:pPr>
              <w:spacing w:line="375" w:lineRule="auto"/>
              <w:rPr>
                <w:rFonts w:ascii="Arial"/>
                <w:color w:val="auto"/>
                <w:sz w:val="21"/>
                <w:highlight w:val="none"/>
              </w:rPr>
            </w:pPr>
          </w:p>
          <w:p w14:paraId="78D93253">
            <w:pPr>
              <w:spacing w:before="69" w:line="74" w:lineRule="exact"/>
              <w:ind w:left="112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248" w:type="dxa"/>
            <w:tcBorders>
              <w:right w:val="single" w:color="000000" w:sz="6" w:space="0"/>
            </w:tcBorders>
            <w:vAlign w:val="top"/>
          </w:tcPr>
          <w:p w14:paraId="0F739A34">
            <w:pPr>
              <w:rPr>
                <w:rFonts w:ascii="Arial"/>
                <w:color w:val="auto"/>
                <w:sz w:val="21"/>
                <w:highlight w:val="none"/>
              </w:rPr>
            </w:pPr>
          </w:p>
        </w:tc>
      </w:tr>
      <w:tr w14:paraId="205A0D8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937" w:type="dxa"/>
            <w:tcBorders>
              <w:left w:val="single" w:color="000000" w:sz="6" w:space="0"/>
              <w:bottom w:val="single" w:color="000000" w:sz="6" w:space="0"/>
            </w:tcBorders>
            <w:vAlign w:val="top"/>
          </w:tcPr>
          <w:p w14:paraId="577B8739">
            <w:pPr>
              <w:spacing w:line="379" w:lineRule="auto"/>
              <w:rPr>
                <w:rFonts w:ascii="Arial"/>
                <w:color w:val="auto"/>
                <w:sz w:val="21"/>
                <w:highlight w:val="none"/>
              </w:rPr>
            </w:pPr>
          </w:p>
          <w:p w14:paraId="4B9C4364">
            <w:pPr>
              <w:spacing w:before="69" w:line="75" w:lineRule="exact"/>
              <w:ind w:left="244"/>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437" w:type="dxa"/>
            <w:tcBorders>
              <w:bottom w:val="single" w:color="000000" w:sz="6" w:space="0"/>
            </w:tcBorders>
            <w:vAlign w:val="top"/>
          </w:tcPr>
          <w:p w14:paraId="38CA9F6F">
            <w:pPr>
              <w:spacing w:line="379" w:lineRule="auto"/>
              <w:rPr>
                <w:rFonts w:ascii="Arial"/>
                <w:color w:val="auto"/>
                <w:sz w:val="21"/>
                <w:highlight w:val="none"/>
              </w:rPr>
            </w:pPr>
          </w:p>
          <w:p w14:paraId="41156BF2">
            <w:pPr>
              <w:spacing w:before="69" w:line="75" w:lineRule="exact"/>
              <w:ind w:left="99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699" w:type="dxa"/>
            <w:tcBorders>
              <w:bottom w:val="single" w:color="000000" w:sz="6" w:space="0"/>
            </w:tcBorders>
            <w:vAlign w:val="top"/>
          </w:tcPr>
          <w:p w14:paraId="339416A0">
            <w:pPr>
              <w:spacing w:line="379" w:lineRule="auto"/>
              <w:rPr>
                <w:rFonts w:ascii="Arial"/>
                <w:color w:val="auto"/>
                <w:sz w:val="21"/>
                <w:highlight w:val="none"/>
              </w:rPr>
            </w:pPr>
          </w:p>
          <w:p w14:paraId="02766616">
            <w:pPr>
              <w:spacing w:before="69" w:line="75" w:lineRule="exact"/>
              <w:ind w:left="631"/>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2688" w:type="dxa"/>
            <w:tcBorders>
              <w:bottom w:val="single" w:color="000000" w:sz="6" w:space="0"/>
            </w:tcBorders>
            <w:vAlign w:val="top"/>
          </w:tcPr>
          <w:p w14:paraId="50887681">
            <w:pPr>
              <w:spacing w:line="379" w:lineRule="auto"/>
              <w:rPr>
                <w:rFonts w:ascii="Arial"/>
                <w:color w:val="auto"/>
                <w:sz w:val="21"/>
                <w:highlight w:val="none"/>
              </w:rPr>
            </w:pPr>
          </w:p>
          <w:p w14:paraId="5CE94F80">
            <w:pPr>
              <w:spacing w:before="69" w:line="75" w:lineRule="exact"/>
              <w:ind w:left="1128"/>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248" w:type="dxa"/>
            <w:tcBorders>
              <w:bottom w:val="single" w:color="000000" w:sz="6" w:space="0"/>
              <w:right w:val="single" w:color="000000" w:sz="6" w:space="0"/>
            </w:tcBorders>
            <w:vAlign w:val="top"/>
          </w:tcPr>
          <w:p w14:paraId="7CEFD6B4">
            <w:pPr>
              <w:rPr>
                <w:rFonts w:ascii="Arial"/>
                <w:color w:val="auto"/>
                <w:sz w:val="21"/>
                <w:highlight w:val="none"/>
              </w:rPr>
            </w:pPr>
          </w:p>
        </w:tc>
      </w:tr>
    </w:tbl>
    <w:p w14:paraId="44A0399D">
      <w:pPr>
        <w:pStyle w:val="3"/>
        <w:rPr>
          <w:color w:val="auto"/>
          <w:highlight w:val="none"/>
        </w:rPr>
      </w:pPr>
    </w:p>
    <w:p w14:paraId="516A5552">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610424E9">
      <w:pPr>
        <w:spacing w:before="55" w:line="219" w:lineRule="auto"/>
        <w:ind w:left="2806"/>
        <w:outlineLvl w:val="1"/>
        <w:rPr>
          <w:rFonts w:ascii="宋体" w:hAnsi="宋体" w:eastAsia="宋体" w:cs="宋体"/>
          <w:color w:val="auto"/>
          <w:sz w:val="28"/>
          <w:szCs w:val="28"/>
          <w:highlight w:val="none"/>
        </w:rPr>
      </w:pPr>
      <w:bookmarkStart w:id="886" w:name="bookmark1322"/>
      <w:bookmarkEnd w:id="886"/>
      <w:bookmarkStart w:id="887" w:name="bookmark1321"/>
      <w:bookmarkEnd w:id="887"/>
      <w:bookmarkStart w:id="888" w:name="_Toc8235"/>
      <w:bookmarkStart w:id="889" w:name="_Toc19482"/>
      <w:r>
        <w:rPr>
          <w:rFonts w:ascii="宋体" w:hAnsi="宋体" w:eastAsia="宋体" w:cs="宋体"/>
          <w:b/>
          <w:bCs/>
          <w:color w:val="auto"/>
          <w:spacing w:val="-5"/>
          <w:sz w:val="28"/>
          <w:szCs w:val="28"/>
          <w:highlight w:val="none"/>
        </w:rPr>
        <w:t>二、已标价工程量清单</w:t>
      </w:r>
      <w:bookmarkEnd w:id="888"/>
      <w:bookmarkEnd w:id="889"/>
    </w:p>
    <w:p w14:paraId="4B116D07">
      <w:pPr>
        <w:spacing w:line="219" w:lineRule="auto"/>
        <w:rPr>
          <w:rFonts w:ascii="宋体" w:hAnsi="宋体" w:eastAsia="宋体" w:cs="宋体"/>
          <w:color w:val="auto"/>
          <w:sz w:val="28"/>
          <w:szCs w:val="28"/>
          <w:highlight w:val="none"/>
        </w:rPr>
        <w:sectPr>
          <w:pgSz w:w="11905" w:h="16843"/>
          <w:pgMar w:top="1429" w:right="1361" w:bottom="1253" w:left="1621" w:header="0" w:footer="1094" w:gutter="0"/>
          <w:pgNumType w:fmt="decimal"/>
          <w:cols w:space="0" w:num="1"/>
          <w:rtlGutter w:val="0"/>
          <w:docGrid w:linePitch="0" w:charSpace="0"/>
        </w:sectPr>
      </w:pPr>
    </w:p>
    <w:p w14:paraId="09F81300">
      <w:pPr>
        <w:pStyle w:val="3"/>
        <w:spacing w:line="263" w:lineRule="auto"/>
        <w:rPr>
          <w:color w:val="auto"/>
          <w:highlight w:val="none"/>
        </w:rPr>
      </w:pPr>
    </w:p>
    <w:p w14:paraId="3DCD6DBF">
      <w:pPr>
        <w:pStyle w:val="3"/>
        <w:spacing w:line="263" w:lineRule="auto"/>
        <w:rPr>
          <w:color w:val="auto"/>
          <w:highlight w:val="none"/>
        </w:rPr>
      </w:pPr>
    </w:p>
    <w:p w14:paraId="7F2626AD">
      <w:pPr>
        <w:pStyle w:val="3"/>
        <w:spacing w:line="264" w:lineRule="auto"/>
        <w:rPr>
          <w:color w:val="auto"/>
          <w:highlight w:val="none"/>
        </w:rPr>
      </w:pPr>
    </w:p>
    <w:p w14:paraId="21C82364">
      <w:pPr>
        <w:tabs>
          <w:tab w:val="left" w:pos="3717"/>
        </w:tabs>
        <w:spacing w:before="78" w:line="220" w:lineRule="auto"/>
        <w:ind w:left="3101"/>
        <w:rPr>
          <w:rFonts w:ascii="宋体" w:hAnsi="宋体" w:eastAsia="宋体" w:cs="宋体"/>
          <w:color w:val="auto"/>
          <w:sz w:val="24"/>
          <w:szCs w:val="24"/>
          <w:highlight w:val="none"/>
        </w:rPr>
      </w:pPr>
      <w:r>
        <w:rPr>
          <w:rFonts w:ascii="宋体" w:hAnsi="宋体" w:eastAsia="宋体" w:cs="宋体"/>
          <w:color w:val="auto"/>
          <w:sz w:val="24"/>
          <w:szCs w:val="24"/>
          <w:highlight w:val="none"/>
          <w:u w:val="single" w:color="auto"/>
        </w:rPr>
        <w:tab/>
      </w:r>
      <w:r>
        <w:rPr>
          <w:rFonts w:ascii="宋体" w:hAnsi="宋体" w:eastAsia="宋体" w:cs="宋体"/>
          <w:color w:val="auto"/>
          <w:spacing w:val="-13"/>
          <w:sz w:val="24"/>
          <w:szCs w:val="24"/>
          <w:highlight w:val="none"/>
          <w:u w:val="single" w:color="auto"/>
        </w:rPr>
        <w:t>（项目名称及标段名称）</w:t>
      </w:r>
      <w:r>
        <w:rPr>
          <w:rFonts w:ascii="宋体" w:hAnsi="宋体" w:eastAsia="宋体" w:cs="宋体"/>
          <w:color w:val="auto"/>
          <w:spacing w:val="1"/>
          <w:sz w:val="24"/>
          <w:szCs w:val="24"/>
          <w:highlight w:val="none"/>
          <w:u w:val="single" w:color="auto"/>
        </w:rPr>
        <w:t xml:space="preserve">    </w:t>
      </w:r>
    </w:p>
    <w:p w14:paraId="53662580">
      <w:pPr>
        <w:pStyle w:val="3"/>
        <w:spacing w:line="260" w:lineRule="auto"/>
        <w:rPr>
          <w:color w:val="auto"/>
          <w:highlight w:val="none"/>
        </w:rPr>
      </w:pPr>
    </w:p>
    <w:p w14:paraId="1F850872">
      <w:pPr>
        <w:pStyle w:val="3"/>
        <w:spacing w:line="261" w:lineRule="auto"/>
        <w:rPr>
          <w:color w:val="auto"/>
          <w:highlight w:val="none"/>
        </w:rPr>
      </w:pPr>
    </w:p>
    <w:p w14:paraId="59BF211F">
      <w:pPr>
        <w:pStyle w:val="3"/>
        <w:spacing w:line="261" w:lineRule="auto"/>
        <w:rPr>
          <w:color w:val="auto"/>
          <w:highlight w:val="none"/>
        </w:rPr>
      </w:pPr>
    </w:p>
    <w:p w14:paraId="14A2B4CF">
      <w:pPr>
        <w:pStyle w:val="3"/>
        <w:spacing w:line="261" w:lineRule="auto"/>
        <w:rPr>
          <w:color w:val="auto"/>
          <w:highlight w:val="none"/>
        </w:rPr>
      </w:pPr>
    </w:p>
    <w:p w14:paraId="0DE1DA98">
      <w:pPr>
        <w:pStyle w:val="3"/>
        <w:spacing w:line="261" w:lineRule="auto"/>
        <w:rPr>
          <w:color w:val="auto"/>
          <w:highlight w:val="none"/>
        </w:rPr>
      </w:pPr>
    </w:p>
    <w:p w14:paraId="297405E0">
      <w:pPr>
        <w:spacing w:before="139" w:line="226" w:lineRule="auto"/>
        <w:ind w:left="2918"/>
        <w:rPr>
          <w:rFonts w:ascii="黑体" w:hAnsi="黑体" w:eastAsia="黑体" w:cs="黑体"/>
          <w:color w:val="auto"/>
          <w:sz w:val="43"/>
          <w:szCs w:val="43"/>
          <w:highlight w:val="none"/>
        </w:rPr>
      </w:pPr>
      <w:r>
        <w:rPr>
          <w:rFonts w:ascii="黑体" w:hAnsi="黑体" w:eastAsia="黑体" w:cs="黑体"/>
          <w:color w:val="auto"/>
          <w:spacing w:val="7"/>
          <w:sz w:val="43"/>
          <w:szCs w:val="43"/>
          <w:highlight w:val="none"/>
        </w:rPr>
        <w:t>工程量清单报价表</w:t>
      </w:r>
    </w:p>
    <w:p w14:paraId="0737B775">
      <w:pPr>
        <w:pStyle w:val="3"/>
        <w:spacing w:line="249" w:lineRule="auto"/>
        <w:rPr>
          <w:color w:val="auto"/>
          <w:highlight w:val="none"/>
        </w:rPr>
      </w:pPr>
    </w:p>
    <w:p w14:paraId="0A768CCE">
      <w:pPr>
        <w:pStyle w:val="3"/>
        <w:spacing w:line="249" w:lineRule="auto"/>
        <w:rPr>
          <w:color w:val="auto"/>
          <w:highlight w:val="none"/>
        </w:rPr>
      </w:pPr>
    </w:p>
    <w:p w14:paraId="1532E4FA">
      <w:pPr>
        <w:pStyle w:val="3"/>
        <w:spacing w:line="249" w:lineRule="auto"/>
        <w:rPr>
          <w:color w:val="auto"/>
          <w:highlight w:val="none"/>
        </w:rPr>
      </w:pPr>
    </w:p>
    <w:p w14:paraId="21A97432">
      <w:pPr>
        <w:pStyle w:val="3"/>
        <w:spacing w:line="249" w:lineRule="auto"/>
        <w:rPr>
          <w:color w:val="auto"/>
          <w:highlight w:val="none"/>
        </w:rPr>
      </w:pPr>
    </w:p>
    <w:p w14:paraId="125E26AE">
      <w:pPr>
        <w:pStyle w:val="3"/>
        <w:spacing w:line="249" w:lineRule="auto"/>
        <w:rPr>
          <w:color w:val="auto"/>
          <w:highlight w:val="none"/>
        </w:rPr>
      </w:pPr>
    </w:p>
    <w:p w14:paraId="4BC66AFC">
      <w:pPr>
        <w:pStyle w:val="3"/>
        <w:spacing w:line="249" w:lineRule="auto"/>
        <w:rPr>
          <w:color w:val="auto"/>
          <w:highlight w:val="none"/>
        </w:rPr>
      </w:pPr>
    </w:p>
    <w:p w14:paraId="45F17782">
      <w:pPr>
        <w:pStyle w:val="3"/>
        <w:spacing w:line="249" w:lineRule="auto"/>
        <w:rPr>
          <w:color w:val="auto"/>
          <w:highlight w:val="none"/>
        </w:rPr>
      </w:pPr>
    </w:p>
    <w:p w14:paraId="714AF417">
      <w:pPr>
        <w:pStyle w:val="3"/>
        <w:spacing w:line="249" w:lineRule="auto"/>
        <w:rPr>
          <w:color w:val="auto"/>
          <w:highlight w:val="none"/>
        </w:rPr>
      </w:pPr>
    </w:p>
    <w:p w14:paraId="4AB7A4BA">
      <w:pPr>
        <w:pStyle w:val="3"/>
        <w:spacing w:line="250" w:lineRule="auto"/>
        <w:rPr>
          <w:color w:val="auto"/>
          <w:highlight w:val="none"/>
        </w:rPr>
      </w:pPr>
    </w:p>
    <w:p w14:paraId="63532BD3">
      <w:pPr>
        <w:pStyle w:val="3"/>
        <w:spacing w:line="250" w:lineRule="auto"/>
        <w:rPr>
          <w:color w:val="auto"/>
          <w:highlight w:val="none"/>
        </w:rPr>
      </w:pPr>
    </w:p>
    <w:p w14:paraId="7A1CD189">
      <w:pPr>
        <w:pStyle w:val="3"/>
        <w:spacing w:line="250" w:lineRule="auto"/>
        <w:rPr>
          <w:color w:val="auto"/>
          <w:highlight w:val="none"/>
        </w:rPr>
      </w:pPr>
    </w:p>
    <w:p w14:paraId="13A6288D">
      <w:pPr>
        <w:pStyle w:val="3"/>
        <w:spacing w:line="250" w:lineRule="auto"/>
        <w:rPr>
          <w:color w:val="auto"/>
          <w:highlight w:val="none"/>
        </w:rPr>
      </w:pPr>
    </w:p>
    <w:p w14:paraId="49E92114">
      <w:pPr>
        <w:pStyle w:val="3"/>
        <w:spacing w:line="250" w:lineRule="auto"/>
        <w:rPr>
          <w:color w:val="auto"/>
          <w:highlight w:val="none"/>
        </w:rPr>
      </w:pPr>
    </w:p>
    <w:p w14:paraId="1843D46C">
      <w:pPr>
        <w:pStyle w:val="3"/>
        <w:spacing w:line="250" w:lineRule="auto"/>
        <w:rPr>
          <w:color w:val="auto"/>
          <w:highlight w:val="none"/>
        </w:rPr>
      </w:pPr>
    </w:p>
    <w:p w14:paraId="4DBC6058">
      <w:pPr>
        <w:pStyle w:val="3"/>
        <w:spacing w:line="250" w:lineRule="auto"/>
        <w:rPr>
          <w:color w:val="auto"/>
          <w:highlight w:val="none"/>
        </w:rPr>
      </w:pPr>
    </w:p>
    <w:p w14:paraId="6495CF20">
      <w:pPr>
        <w:pStyle w:val="3"/>
        <w:spacing w:line="250" w:lineRule="auto"/>
        <w:rPr>
          <w:color w:val="auto"/>
          <w:highlight w:val="none"/>
        </w:rPr>
      </w:pPr>
    </w:p>
    <w:p w14:paraId="6F2AD4BD">
      <w:pPr>
        <w:pStyle w:val="3"/>
        <w:spacing w:line="250" w:lineRule="auto"/>
        <w:rPr>
          <w:color w:val="auto"/>
          <w:highlight w:val="none"/>
        </w:rPr>
      </w:pPr>
    </w:p>
    <w:p w14:paraId="23F1746E">
      <w:pPr>
        <w:spacing w:before="78" w:line="389" w:lineRule="auto"/>
        <w:ind w:left="6" w:right="1049" w:firstLine="1"/>
        <w:rPr>
          <w:rFonts w:hint="eastAsia" w:ascii="宋体" w:hAnsi="宋体" w:eastAsia="宋体" w:cs="宋体"/>
          <w:color w:val="auto"/>
          <w:spacing w:val="-6"/>
          <w:sz w:val="24"/>
          <w:szCs w:val="24"/>
          <w:highlight w:val="none"/>
          <w:lang w:eastAsia="zh-CN"/>
        </w:rPr>
      </w:pPr>
      <w:r>
        <w:rPr>
          <w:rFonts w:ascii="宋体" w:hAnsi="宋体" w:eastAsia="宋体" w:cs="宋体"/>
          <w:color w:val="auto"/>
          <w:spacing w:val="-6"/>
          <w:sz w:val="24"/>
          <w:szCs w:val="24"/>
          <w:highlight w:val="none"/>
        </w:rPr>
        <w:t>投</w:t>
      </w:r>
      <w:r>
        <w:rPr>
          <w:rFonts w:ascii="宋体" w:hAnsi="宋体" w:eastAsia="宋体" w:cs="宋体"/>
          <w:color w:val="auto"/>
          <w:spacing w:val="20"/>
          <w:sz w:val="24"/>
          <w:szCs w:val="24"/>
          <w:highlight w:val="none"/>
        </w:rPr>
        <w:t xml:space="preserve">    </w:t>
      </w:r>
      <w:r>
        <w:rPr>
          <w:rFonts w:ascii="宋体" w:hAnsi="宋体" w:eastAsia="宋体" w:cs="宋体"/>
          <w:color w:val="auto"/>
          <w:spacing w:val="-6"/>
          <w:sz w:val="24"/>
          <w:szCs w:val="24"/>
          <w:highlight w:val="none"/>
        </w:rPr>
        <w:t>标</w:t>
      </w:r>
      <w:r>
        <w:rPr>
          <w:rFonts w:ascii="宋体" w:hAnsi="宋体" w:eastAsia="宋体" w:cs="宋体"/>
          <w:color w:val="auto"/>
          <w:spacing w:val="20"/>
          <w:sz w:val="24"/>
          <w:szCs w:val="24"/>
          <w:highlight w:val="none"/>
        </w:rPr>
        <w:t xml:space="preserve">    </w:t>
      </w:r>
      <w:r>
        <w:rPr>
          <w:rFonts w:ascii="宋体" w:hAnsi="宋体" w:eastAsia="宋体" w:cs="宋体"/>
          <w:color w:val="auto"/>
          <w:spacing w:val="-6"/>
          <w:sz w:val="24"/>
          <w:szCs w:val="24"/>
          <w:highlight w:val="none"/>
        </w:rPr>
        <w:t>人</w:t>
      </w:r>
      <w:r>
        <w:rPr>
          <w:rFonts w:ascii="宋体" w:hAnsi="宋体" w:eastAsia="宋体" w:cs="宋体"/>
          <w:color w:val="auto"/>
          <w:spacing w:val="50"/>
          <w:sz w:val="24"/>
          <w:szCs w:val="24"/>
          <w:highlight w:val="none"/>
        </w:rPr>
        <w:t xml:space="preserve"> </w:t>
      </w:r>
      <w:r>
        <w:rPr>
          <w:rFonts w:ascii="宋体" w:hAnsi="宋体" w:eastAsia="宋体" w:cs="宋体"/>
          <w:color w:val="auto"/>
          <w:spacing w:val="-5"/>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b/>
          <w:bCs/>
          <w:color w:val="auto"/>
          <w:spacing w:val="-5"/>
          <w:sz w:val="24"/>
          <w:szCs w:val="24"/>
          <w:highlight w:val="none"/>
          <w:u w:val="single" w:color="auto"/>
        </w:rPr>
        <w:t>（</w:t>
      </w:r>
      <w:r>
        <w:rPr>
          <w:rFonts w:ascii="宋体" w:hAnsi="宋体" w:eastAsia="宋体" w:cs="宋体"/>
          <w:b/>
          <w:bCs/>
          <w:color w:val="auto"/>
          <w:spacing w:val="-6"/>
          <w:sz w:val="24"/>
          <w:szCs w:val="24"/>
          <w:highlight w:val="none"/>
          <w:u w:val="single" w:color="auto"/>
        </w:rPr>
        <w:t>全称</w:t>
      </w:r>
      <w:r>
        <w:rPr>
          <w:rFonts w:ascii="宋体" w:hAnsi="宋体" w:eastAsia="宋体" w:cs="宋体"/>
          <w:b/>
          <w:bCs/>
          <w:color w:val="auto"/>
          <w:spacing w:val="-5"/>
          <w:sz w:val="24"/>
          <w:szCs w:val="24"/>
          <w:highlight w:val="none"/>
          <w:u w:val="single" w:color="auto"/>
        </w:rPr>
        <w:t>）</w:t>
      </w:r>
      <w:r>
        <w:rPr>
          <w:rFonts w:ascii="宋体" w:hAnsi="宋体" w:eastAsia="宋体" w:cs="宋体"/>
          <w:color w:val="auto"/>
          <w:spacing w:val="3"/>
          <w:sz w:val="24"/>
          <w:szCs w:val="24"/>
          <w:highlight w:val="none"/>
          <w:u w:val="single" w:color="auto"/>
        </w:rPr>
        <w:t xml:space="preserve">            </w:t>
      </w:r>
      <w:r>
        <w:rPr>
          <w:rFonts w:ascii="宋体" w:hAnsi="宋体" w:eastAsia="宋体" w:cs="宋体"/>
          <w:color w:val="auto"/>
          <w:spacing w:val="-95"/>
          <w:sz w:val="24"/>
          <w:szCs w:val="24"/>
          <w:highlight w:val="none"/>
        </w:rPr>
        <w:t xml:space="preserve"> </w:t>
      </w:r>
      <w:r>
        <w:rPr>
          <w:rFonts w:ascii="宋体" w:hAnsi="宋体" w:eastAsia="宋体" w:cs="宋体"/>
          <w:color w:val="auto"/>
          <w:spacing w:val="-5"/>
          <w:sz w:val="24"/>
          <w:szCs w:val="24"/>
          <w:highlight w:val="none"/>
        </w:rPr>
        <w:t>（</w:t>
      </w:r>
      <w:r>
        <w:rPr>
          <w:rFonts w:ascii="宋体" w:hAnsi="宋体" w:eastAsia="宋体" w:cs="宋体"/>
          <w:color w:val="auto"/>
          <w:spacing w:val="-6"/>
          <w:sz w:val="24"/>
          <w:szCs w:val="24"/>
          <w:highlight w:val="none"/>
        </w:rPr>
        <w:t>盖单位公章</w:t>
      </w:r>
      <w:r>
        <w:rPr>
          <w:rFonts w:hint="eastAsia" w:ascii="宋体" w:hAnsi="宋体" w:eastAsia="宋体" w:cs="宋体"/>
          <w:color w:val="auto"/>
          <w:spacing w:val="-6"/>
          <w:sz w:val="24"/>
          <w:szCs w:val="24"/>
          <w:highlight w:val="none"/>
          <w:lang w:eastAsia="zh-CN"/>
        </w:rPr>
        <w:t>）</w:t>
      </w:r>
    </w:p>
    <w:p w14:paraId="152AE0CB">
      <w:pPr>
        <w:spacing w:before="78" w:line="389" w:lineRule="auto"/>
        <w:ind w:left="6" w:right="1049" w:firstLine="1"/>
        <w:rPr>
          <w:rFonts w:ascii="宋体" w:hAnsi="宋体" w:eastAsia="宋体" w:cs="宋体"/>
          <w:color w:val="auto"/>
          <w:sz w:val="24"/>
          <w:szCs w:val="24"/>
          <w:highlight w:val="none"/>
        </w:rPr>
      </w:pPr>
      <w:r>
        <w:rPr>
          <w:rFonts w:ascii="宋体" w:hAnsi="宋体" w:eastAsia="宋体" w:cs="宋体"/>
          <w:color w:val="auto"/>
          <w:spacing w:val="-9"/>
          <w:sz w:val="24"/>
          <w:szCs w:val="24"/>
          <w:highlight w:val="none"/>
        </w:rPr>
        <w:t>法</w:t>
      </w:r>
      <w:r>
        <w:rPr>
          <w:rFonts w:ascii="宋体" w:hAnsi="宋体" w:eastAsia="宋体" w:cs="宋体"/>
          <w:color w:val="auto"/>
          <w:spacing w:val="-29"/>
          <w:sz w:val="24"/>
          <w:szCs w:val="24"/>
          <w:highlight w:val="none"/>
        </w:rPr>
        <w:t xml:space="preserve"> </w:t>
      </w:r>
      <w:r>
        <w:rPr>
          <w:rFonts w:ascii="宋体" w:hAnsi="宋体" w:eastAsia="宋体" w:cs="宋体"/>
          <w:color w:val="auto"/>
          <w:spacing w:val="-9"/>
          <w:sz w:val="24"/>
          <w:szCs w:val="24"/>
          <w:highlight w:val="none"/>
        </w:rPr>
        <w:t>定</w:t>
      </w:r>
      <w:r>
        <w:rPr>
          <w:rFonts w:ascii="宋体" w:hAnsi="宋体" w:eastAsia="宋体" w:cs="宋体"/>
          <w:color w:val="auto"/>
          <w:spacing w:val="-35"/>
          <w:sz w:val="24"/>
          <w:szCs w:val="24"/>
          <w:highlight w:val="none"/>
        </w:rPr>
        <w:t xml:space="preserve"> </w:t>
      </w:r>
      <w:r>
        <w:rPr>
          <w:rFonts w:ascii="宋体" w:hAnsi="宋体" w:eastAsia="宋体" w:cs="宋体"/>
          <w:color w:val="auto"/>
          <w:spacing w:val="-9"/>
          <w:sz w:val="24"/>
          <w:szCs w:val="24"/>
          <w:highlight w:val="none"/>
        </w:rPr>
        <w:t>代</w:t>
      </w:r>
      <w:r>
        <w:rPr>
          <w:rFonts w:ascii="宋体" w:hAnsi="宋体" w:eastAsia="宋体" w:cs="宋体"/>
          <w:color w:val="auto"/>
          <w:spacing w:val="-35"/>
          <w:sz w:val="24"/>
          <w:szCs w:val="24"/>
          <w:highlight w:val="none"/>
        </w:rPr>
        <w:t xml:space="preserve"> </w:t>
      </w:r>
      <w:r>
        <w:rPr>
          <w:rFonts w:ascii="宋体" w:hAnsi="宋体" w:eastAsia="宋体" w:cs="宋体"/>
          <w:color w:val="auto"/>
          <w:spacing w:val="-9"/>
          <w:sz w:val="24"/>
          <w:szCs w:val="24"/>
          <w:highlight w:val="none"/>
        </w:rPr>
        <w:t>表</w:t>
      </w:r>
      <w:r>
        <w:rPr>
          <w:rFonts w:ascii="宋体" w:hAnsi="宋体" w:eastAsia="宋体" w:cs="宋体"/>
          <w:color w:val="auto"/>
          <w:spacing w:val="-32"/>
          <w:sz w:val="24"/>
          <w:szCs w:val="24"/>
          <w:highlight w:val="none"/>
        </w:rPr>
        <w:t xml:space="preserve"> </w:t>
      </w:r>
      <w:r>
        <w:rPr>
          <w:rFonts w:ascii="宋体" w:hAnsi="宋体" w:eastAsia="宋体" w:cs="宋体"/>
          <w:color w:val="auto"/>
          <w:spacing w:val="-9"/>
          <w:sz w:val="24"/>
          <w:szCs w:val="24"/>
          <w:highlight w:val="none"/>
        </w:rPr>
        <w:t>人</w:t>
      </w:r>
      <w:r>
        <w:rPr>
          <w:rFonts w:ascii="宋体" w:hAnsi="宋体" w:eastAsia="宋体" w:cs="宋体"/>
          <w:color w:val="auto"/>
          <w:spacing w:val="-31"/>
          <w:sz w:val="24"/>
          <w:szCs w:val="24"/>
          <w:highlight w:val="none"/>
        </w:rPr>
        <w:t xml:space="preserve"> </w:t>
      </w:r>
      <w:r>
        <w:rPr>
          <w:rFonts w:ascii="宋体" w:hAnsi="宋体" w:eastAsia="宋体" w:cs="宋体"/>
          <w:color w:val="auto"/>
          <w:spacing w:val="-9"/>
          <w:sz w:val="24"/>
          <w:szCs w:val="24"/>
          <w:highlight w:val="none"/>
        </w:rPr>
        <w:t>或</w:t>
      </w:r>
    </w:p>
    <w:p w14:paraId="6E508A0E">
      <w:pPr>
        <w:spacing w:before="1" w:line="218" w:lineRule="auto"/>
        <w:ind w:left="4"/>
        <w:rPr>
          <w:rFonts w:ascii="宋体" w:hAnsi="宋体" w:eastAsia="宋体" w:cs="宋体"/>
          <w:color w:val="auto"/>
          <w:sz w:val="24"/>
          <w:szCs w:val="24"/>
          <w:highlight w:val="none"/>
        </w:rPr>
      </w:pPr>
      <w:r>
        <w:rPr>
          <w:rFonts w:ascii="宋体" w:hAnsi="宋体" w:eastAsia="宋体" w:cs="宋体"/>
          <w:color w:val="auto"/>
          <w:spacing w:val="-6"/>
          <w:sz w:val="24"/>
          <w:szCs w:val="24"/>
          <w:highlight w:val="none"/>
        </w:rPr>
        <w:t>委</w:t>
      </w:r>
      <w:r>
        <w:rPr>
          <w:rFonts w:ascii="宋体" w:hAnsi="宋体" w:eastAsia="宋体" w:cs="宋体"/>
          <w:color w:val="auto"/>
          <w:spacing w:val="45"/>
          <w:sz w:val="24"/>
          <w:szCs w:val="24"/>
          <w:highlight w:val="none"/>
        </w:rPr>
        <w:t xml:space="preserve"> </w:t>
      </w:r>
      <w:r>
        <w:rPr>
          <w:rFonts w:ascii="宋体" w:hAnsi="宋体" w:eastAsia="宋体" w:cs="宋体"/>
          <w:color w:val="auto"/>
          <w:spacing w:val="-6"/>
          <w:sz w:val="24"/>
          <w:szCs w:val="24"/>
          <w:highlight w:val="none"/>
        </w:rPr>
        <w:t>托</w:t>
      </w:r>
      <w:r>
        <w:rPr>
          <w:rFonts w:ascii="宋体" w:hAnsi="宋体" w:eastAsia="宋体" w:cs="宋体"/>
          <w:color w:val="auto"/>
          <w:spacing w:val="44"/>
          <w:sz w:val="24"/>
          <w:szCs w:val="24"/>
          <w:highlight w:val="none"/>
        </w:rPr>
        <w:t xml:space="preserve"> </w:t>
      </w:r>
      <w:r>
        <w:rPr>
          <w:rFonts w:ascii="宋体" w:hAnsi="宋体" w:eastAsia="宋体" w:cs="宋体"/>
          <w:color w:val="auto"/>
          <w:spacing w:val="-6"/>
          <w:sz w:val="24"/>
          <w:szCs w:val="24"/>
          <w:highlight w:val="none"/>
        </w:rPr>
        <w:t>代</w:t>
      </w:r>
      <w:r>
        <w:rPr>
          <w:rFonts w:ascii="宋体" w:hAnsi="宋体" w:eastAsia="宋体" w:cs="宋体"/>
          <w:color w:val="auto"/>
          <w:spacing w:val="49"/>
          <w:sz w:val="24"/>
          <w:szCs w:val="24"/>
          <w:highlight w:val="none"/>
        </w:rPr>
        <w:t xml:space="preserve"> </w:t>
      </w:r>
      <w:r>
        <w:rPr>
          <w:rFonts w:ascii="宋体" w:hAnsi="宋体" w:eastAsia="宋体" w:cs="宋体"/>
          <w:color w:val="auto"/>
          <w:spacing w:val="-6"/>
          <w:sz w:val="24"/>
          <w:szCs w:val="24"/>
          <w:highlight w:val="none"/>
        </w:rPr>
        <w:t>理</w:t>
      </w:r>
      <w:r>
        <w:rPr>
          <w:rFonts w:ascii="宋体" w:hAnsi="宋体" w:eastAsia="宋体" w:cs="宋体"/>
          <w:color w:val="auto"/>
          <w:spacing w:val="47"/>
          <w:sz w:val="24"/>
          <w:szCs w:val="24"/>
          <w:highlight w:val="none"/>
        </w:rPr>
        <w:t xml:space="preserve"> </w:t>
      </w:r>
      <w:r>
        <w:rPr>
          <w:rFonts w:ascii="宋体" w:hAnsi="宋体" w:eastAsia="宋体" w:cs="宋体"/>
          <w:color w:val="auto"/>
          <w:spacing w:val="-6"/>
          <w:sz w:val="24"/>
          <w:szCs w:val="24"/>
          <w:highlight w:val="none"/>
        </w:rPr>
        <w:t>人</w:t>
      </w:r>
      <w:r>
        <w:rPr>
          <w:rFonts w:ascii="宋体" w:hAnsi="宋体" w:eastAsia="宋体" w:cs="宋体"/>
          <w:color w:val="auto"/>
          <w:spacing w:val="44"/>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5"/>
          <w:sz w:val="24"/>
          <w:szCs w:val="24"/>
          <w:highlight w:val="none"/>
        </w:rPr>
        <w:t xml:space="preserve"> </w:t>
      </w:r>
      <w:r>
        <w:rPr>
          <w:rFonts w:ascii="宋体" w:hAnsi="宋体" w:eastAsia="宋体" w:cs="宋体"/>
          <w:color w:val="auto"/>
          <w:spacing w:val="-7"/>
          <w:sz w:val="24"/>
          <w:szCs w:val="24"/>
          <w:highlight w:val="none"/>
        </w:rPr>
        <w:t>（</w:t>
      </w:r>
      <w:r>
        <w:rPr>
          <w:rFonts w:ascii="宋体" w:hAnsi="宋体" w:eastAsia="宋体" w:cs="宋体"/>
          <w:color w:val="auto"/>
          <w:spacing w:val="-6"/>
          <w:sz w:val="24"/>
          <w:szCs w:val="24"/>
          <w:highlight w:val="none"/>
        </w:rPr>
        <w:t>签字或盖章）</w:t>
      </w:r>
    </w:p>
    <w:p w14:paraId="09042911">
      <w:pPr>
        <w:pStyle w:val="3"/>
        <w:spacing w:line="329" w:lineRule="auto"/>
        <w:rPr>
          <w:color w:val="auto"/>
          <w:highlight w:val="none"/>
        </w:rPr>
      </w:pPr>
    </w:p>
    <w:p w14:paraId="4E752450">
      <w:pPr>
        <w:pStyle w:val="3"/>
        <w:spacing w:line="329" w:lineRule="auto"/>
        <w:rPr>
          <w:color w:val="auto"/>
          <w:highlight w:val="none"/>
        </w:rPr>
      </w:pPr>
    </w:p>
    <w:p w14:paraId="78049CF2">
      <w:pPr>
        <w:spacing w:before="78" w:line="218" w:lineRule="auto"/>
        <w:ind w:left="4"/>
        <w:rPr>
          <w:rFonts w:ascii="宋体" w:hAnsi="宋体" w:eastAsia="宋体" w:cs="宋体"/>
          <w:color w:val="auto"/>
          <w:sz w:val="24"/>
          <w:szCs w:val="24"/>
          <w:highlight w:val="none"/>
        </w:rPr>
      </w:pPr>
      <w:r>
        <w:rPr>
          <w:rFonts w:ascii="宋体" w:hAnsi="宋体" w:eastAsia="宋体" w:cs="宋体"/>
          <w:color w:val="auto"/>
          <w:spacing w:val="-5"/>
          <w:sz w:val="24"/>
          <w:szCs w:val="24"/>
          <w:highlight w:val="none"/>
        </w:rPr>
        <w:t>造</w:t>
      </w:r>
      <w:r>
        <w:rPr>
          <w:rFonts w:ascii="宋体" w:hAnsi="宋体" w:eastAsia="宋体" w:cs="宋体"/>
          <w:color w:val="auto"/>
          <w:spacing w:val="47"/>
          <w:sz w:val="24"/>
          <w:szCs w:val="24"/>
          <w:highlight w:val="none"/>
        </w:rPr>
        <w:t xml:space="preserve"> </w:t>
      </w:r>
      <w:r>
        <w:rPr>
          <w:rFonts w:ascii="宋体" w:hAnsi="宋体" w:eastAsia="宋体" w:cs="宋体"/>
          <w:color w:val="auto"/>
          <w:spacing w:val="-5"/>
          <w:sz w:val="24"/>
          <w:szCs w:val="24"/>
          <w:highlight w:val="none"/>
        </w:rPr>
        <w:t>价</w:t>
      </w:r>
      <w:r>
        <w:rPr>
          <w:rFonts w:ascii="宋体" w:hAnsi="宋体" w:eastAsia="宋体" w:cs="宋体"/>
          <w:color w:val="auto"/>
          <w:spacing w:val="49"/>
          <w:sz w:val="24"/>
          <w:szCs w:val="24"/>
          <w:highlight w:val="none"/>
        </w:rPr>
        <w:t xml:space="preserve"> </w:t>
      </w:r>
      <w:r>
        <w:rPr>
          <w:rFonts w:ascii="宋体" w:hAnsi="宋体" w:eastAsia="宋体" w:cs="宋体"/>
          <w:color w:val="auto"/>
          <w:spacing w:val="-5"/>
          <w:sz w:val="24"/>
          <w:szCs w:val="24"/>
          <w:highlight w:val="none"/>
        </w:rPr>
        <w:t>工</w:t>
      </w:r>
      <w:r>
        <w:rPr>
          <w:rFonts w:ascii="宋体" w:hAnsi="宋体" w:eastAsia="宋体" w:cs="宋体"/>
          <w:color w:val="auto"/>
          <w:spacing w:val="44"/>
          <w:sz w:val="24"/>
          <w:szCs w:val="24"/>
          <w:highlight w:val="none"/>
        </w:rPr>
        <w:t xml:space="preserve"> </w:t>
      </w:r>
      <w:r>
        <w:rPr>
          <w:rFonts w:ascii="宋体" w:hAnsi="宋体" w:eastAsia="宋体" w:cs="宋体"/>
          <w:color w:val="auto"/>
          <w:spacing w:val="-5"/>
          <w:sz w:val="24"/>
          <w:szCs w:val="24"/>
          <w:highlight w:val="none"/>
        </w:rPr>
        <w:t>程</w:t>
      </w:r>
      <w:r>
        <w:rPr>
          <w:rFonts w:ascii="宋体" w:hAnsi="宋体" w:eastAsia="宋体" w:cs="宋体"/>
          <w:color w:val="auto"/>
          <w:spacing w:val="49"/>
          <w:sz w:val="24"/>
          <w:szCs w:val="24"/>
          <w:highlight w:val="none"/>
        </w:rPr>
        <w:t xml:space="preserve"> </w:t>
      </w:r>
      <w:r>
        <w:rPr>
          <w:rFonts w:ascii="宋体" w:hAnsi="宋体" w:eastAsia="宋体" w:cs="宋体"/>
          <w:color w:val="auto"/>
          <w:spacing w:val="-5"/>
          <w:sz w:val="24"/>
          <w:szCs w:val="24"/>
          <w:highlight w:val="none"/>
        </w:rPr>
        <w:t>师</w:t>
      </w:r>
      <w:r>
        <w:rPr>
          <w:rFonts w:ascii="宋体" w:hAnsi="宋体" w:eastAsia="宋体" w:cs="宋体"/>
          <w:color w:val="auto"/>
          <w:spacing w:val="45"/>
          <w:sz w:val="24"/>
          <w:szCs w:val="24"/>
          <w:highlight w:val="none"/>
        </w:rPr>
        <w:t xml:space="preserve"> </w:t>
      </w:r>
      <w:r>
        <w:rPr>
          <w:rFonts w:ascii="宋体" w:hAnsi="宋体" w:eastAsia="宋体" w:cs="宋体"/>
          <w:color w:val="auto"/>
          <w:spacing w:val="-5"/>
          <w:sz w:val="24"/>
          <w:szCs w:val="24"/>
          <w:highlight w:val="none"/>
        </w:rPr>
        <w:t>：</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95"/>
          <w:sz w:val="24"/>
          <w:szCs w:val="24"/>
          <w:highlight w:val="none"/>
        </w:rPr>
        <w:t xml:space="preserve"> </w:t>
      </w:r>
      <w:r>
        <w:rPr>
          <w:rFonts w:ascii="宋体" w:hAnsi="宋体" w:eastAsia="宋体" w:cs="宋体"/>
          <w:color w:val="auto"/>
          <w:spacing w:val="-5"/>
          <w:sz w:val="24"/>
          <w:szCs w:val="24"/>
          <w:highlight w:val="none"/>
        </w:rPr>
        <w:t>（签字并盖执业专用章）</w:t>
      </w:r>
    </w:p>
    <w:p w14:paraId="151543D6">
      <w:pPr>
        <w:pStyle w:val="3"/>
        <w:spacing w:line="329" w:lineRule="auto"/>
        <w:rPr>
          <w:color w:val="auto"/>
          <w:highlight w:val="none"/>
        </w:rPr>
      </w:pPr>
    </w:p>
    <w:p w14:paraId="22423232">
      <w:pPr>
        <w:pStyle w:val="3"/>
        <w:spacing w:line="329" w:lineRule="auto"/>
        <w:rPr>
          <w:color w:val="auto"/>
          <w:highlight w:val="none"/>
        </w:rPr>
      </w:pPr>
    </w:p>
    <w:p w14:paraId="79422CA8">
      <w:pPr>
        <w:spacing w:before="78" w:line="183" w:lineRule="auto"/>
        <w:rPr>
          <w:rFonts w:hint="default" w:ascii="宋体" w:hAnsi="宋体" w:eastAsia="宋体" w:cs="宋体"/>
          <w:color w:val="auto"/>
          <w:sz w:val="24"/>
          <w:szCs w:val="24"/>
          <w:highlight w:val="none"/>
          <w:u w:val="single"/>
          <w:lang w:val="en-US" w:eastAsia="zh-CN"/>
        </w:rPr>
      </w:pPr>
      <w:r>
        <w:rPr>
          <w:rFonts w:ascii="宋体" w:hAnsi="宋体" w:eastAsia="宋体" w:cs="宋体"/>
          <w:color w:val="auto"/>
          <w:spacing w:val="-15"/>
          <w:sz w:val="24"/>
          <w:szCs w:val="24"/>
          <w:highlight w:val="none"/>
        </w:rPr>
        <w:t>编</w:t>
      </w:r>
      <w:r>
        <w:rPr>
          <w:rFonts w:ascii="宋体" w:hAnsi="宋体" w:eastAsia="宋体" w:cs="宋体"/>
          <w:color w:val="auto"/>
          <w:spacing w:val="4"/>
          <w:sz w:val="24"/>
          <w:szCs w:val="24"/>
          <w:highlight w:val="none"/>
        </w:rPr>
        <w:t xml:space="preserve">   </w:t>
      </w:r>
      <w:r>
        <w:rPr>
          <w:rFonts w:ascii="宋体" w:hAnsi="宋体" w:eastAsia="宋体" w:cs="宋体"/>
          <w:color w:val="auto"/>
          <w:spacing w:val="-15"/>
          <w:sz w:val="24"/>
          <w:szCs w:val="24"/>
          <w:highlight w:val="none"/>
        </w:rPr>
        <w:t>制</w:t>
      </w:r>
      <w:r>
        <w:rPr>
          <w:rFonts w:ascii="宋体" w:hAnsi="宋体" w:eastAsia="宋体" w:cs="宋体"/>
          <w:color w:val="auto"/>
          <w:spacing w:val="11"/>
          <w:sz w:val="24"/>
          <w:szCs w:val="24"/>
          <w:highlight w:val="none"/>
        </w:rPr>
        <w:t xml:space="preserve">  </w:t>
      </w:r>
      <w:r>
        <w:rPr>
          <w:rFonts w:ascii="宋体" w:hAnsi="宋体" w:eastAsia="宋体" w:cs="宋体"/>
          <w:color w:val="auto"/>
          <w:spacing w:val="-15"/>
          <w:sz w:val="24"/>
          <w:szCs w:val="24"/>
          <w:highlight w:val="none"/>
        </w:rPr>
        <w:t>时</w:t>
      </w:r>
      <w:r>
        <w:rPr>
          <w:rFonts w:ascii="宋体" w:hAnsi="宋体" w:eastAsia="宋体" w:cs="宋体"/>
          <w:color w:val="auto"/>
          <w:spacing w:val="14"/>
          <w:sz w:val="24"/>
          <w:szCs w:val="24"/>
          <w:highlight w:val="none"/>
        </w:rPr>
        <w:t xml:space="preserve">  </w:t>
      </w:r>
      <w:r>
        <w:rPr>
          <w:rFonts w:ascii="宋体" w:hAnsi="宋体" w:eastAsia="宋体" w:cs="宋体"/>
          <w:color w:val="auto"/>
          <w:spacing w:val="-15"/>
          <w:sz w:val="24"/>
          <w:szCs w:val="24"/>
          <w:highlight w:val="none"/>
        </w:rPr>
        <w:t>间</w:t>
      </w:r>
      <w:r>
        <w:rPr>
          <w:rFonts w:ascii="宋体" w:hAnsi="宋体" w:eastAsia="宋体" w:cs="宋体"/>
          <w:color w:val="auto"/>
          <w:spacing w:val="46"/>
          <w:sz w:val="24"/>
          <w:szCs w:val="24"/>
          <w:highlight w:val="none"/>
        </w:rPr>
        <w:t xml:space="preserve"> </w:t>
      </w:r>
      <w:r>
        <w:rPr>
          <w:rFonts w:ascii="宋体" w:hAnsi="宋体" w:eastAsia="宋体" w:cs="宋体"/>
          <w:color w:val="auto"/>
          <w:spacing w:val="-15"/>
          <w:sz w:val="24"/>
          <w:szCs w:val="24"/>
          <w:highlight w:val="none"/>
        </w:rPr>
        <w:t>：</w:t>
      </w:r>
      <w:r>
        <w:rPr>
          <w:rFonts w:hint="eastAsia" w:ascii="宋体" w:hAnsi="宋体" w:eastAsia="宋体" w:cs="宋体"/>
          <w:color w:val="auto"/>
          <w:spacing w:val="-15"/>
          <w:sz w:val="24"/>
          <w:szCs w:val="24"/>
          <w:highlight w:val="none"/>
          <w:u w:val="single"/>
          <w:lang w:val="en-US" w:eastAsia="zh-CN"/>
        </w:rPr>
        <w:t xml:space="preserve">                                       </w:t>
      </w:r>
    </w:p>
    <w:p w14:paraId="16698106">
      <w:pPr>
        <w:spacing w:line="237" w:lineRule="auto"/>
        <w:rPr>
          <w:color w:val="auto"/>
          <w:highlight w:val="none"/>
        </w:rPr>
        <w:sectPr>
          <w:pgSz w:w="11905" w:h="16843"/>
          <w:pgMar w:top="1429" w:right="1361" w:bottom="1253" w:left="1621" w:header="0" w:footer="1094" w:gutter="0"/>
          <w:pgNumType w:fmt="decimal"/>
          <w:cols w:space="0" w:num="1"/>
          <w:rtlGutter w:val="0"/>
          <w:docGrid w:linePitch="0" w:charSpace="0"/>
        </w:sectPr>
      </w:pPr>
    </w:p>
    <w:p w14:paraId="72795B50">
      <w:pPr>
        <w:pStyle w:val="3"/>
        <w:spacing w:line="327" w:lineRule="auto"/>
        <w:rPr>
          <w:color w:val="auto"/>
          <w:highlight w:val="none"/>
        </w:rPr>
      </w:pPr>
    </w:p>
    <w:p w14:paraId="405628A6">
      <w:pPr>
        <w:spacing w:before="169" w:line="218" w:lineRule="auto"/>
        <w:ind w:left="2973"/>
        <w:rPr>
          <w:rFonts w:ascii="宋体" w:hAnsi="宋体" w:eastAsia="宋体" w:cs="宋体"/>
          <w:color w:val="auto"/>
          <w:sz w:val="52"/>
          <w:szCs w:val="52"/>
          <w:highlight w:val="none"/>
        </w:rPr>
      </w:pPr>
      <w:r>
        <w:rPr>
          <w:rFonts w:ascii="宋体" w:hAnsi="宋体" w:eastAsia="宋体" w:cs="宋体"/>
          <w:b/>
          <w:bCs/>
          <w:color w:val="auto"/>
          <w:spacing w:val="-26"/>
          <w:sz w:val="52"/>
          <w:szCs w:val="52"/>
          <w:highlight w:val="none"/>
        </w:rPr>
        <w:t>投</w:t>
      </w:r>
      <w:r>
        <w:rPr>
          <w:rFonts w:ascii="宋体" w:hAnsi="宋体" w:eastAsia="宋体" w:cs="宋体"/>
          <w:color w:val="auto"/>
          <w:spacing w:val="26"/>
          <w:sz w:val="52"/>
          <w:szCs w:val="52"/>
          <w:highlight w:val="none"/>
        </w:rPr>
        <w:t xml:space="preserve"> </w:t>
      </w:r>
      <w:r>
        <w:rPr>
          <w:rFonts w:ascii="宋体" w:hAnsi="宋体" w:eastAsia="宋体" w:cs="宋体"/>
          <w:b/>
          <w:bCs/>
          <w:color w:val="auto"/>
          <w:spacing w:val="-26"/>
          <w:sz w:val="52"/>
          <w:szCs w:val="52"/>
          <w:highlight w:val="none"/>
        </w:rPr>
        <w:t>标</w:t>
      </w:r>
      <w:r>
        <w:rPr>
          <w:rFonts w:ascii="宋体" w:hAnsi="宋体" w:eastAsia="宋体" w:cs="宋体"/>
          <w:color w:val="auto"/>
          <w:spacing w:val="36"/>
          <w:sz w:val="52"/>
          <w:szCs w:val="52"/>
          <w:highlight w:val="none"/>
        </w:rPr>
        <w:t xml:space="preserve"> </w:t>
      </w:r>
      <w:r>
        <w:rPr>
          <w:rFonts w:ascii="宋体" w:hAnsi="宋体" w:eastAsia="宋体" w:cs="宋体"/>
          <w:b/>
          <w:bCs/>
          <w:color w:val="auto"/>
          <w:spacing w:val="-26"/>
          <w:sz w:val="52"/>
          <w:szCs w:val="52"/>
          <w:highlight w:val="none"/>
        </w:rPr>
        <w:t>总</w:t>
      </w:r>
      <w:r>
        <w:rPr>
          <w:rFonts w:ascii="宋体" w:hAnsi="宋体" w:eastAsia="宋体" w:cs="宋体"/>
          <w:color w:val="auto"/>
          <w:spacing w:val="24"/>
          <w:sz w:val="52"/>
          <w:szCs w:val="52"/>
          <w:highlight w:val="none"/>
        </w:rPr>
        <w:t xml:space="preserve"> </w:t>
      </w:r>
      <w:r>
        <w:rPr>
          <w:rFonts w:ascii="宋体" w:hAnsi="宋体" w:eastAsia="宋体" w:cs="宋体"/>
          <w:b/>
          <w:bCs/>
          <w:color w:val="auto"/>
          <w:spacing w:val="-26"/>
          <w:sz w:val="52"/>
          <w:szCs w:val="52"/>
          <w:highlight w:val="none"/>
        </w:rPr>
        <w:t>价</w:t>
      </w:r>
    </w:p>
    <w:p w14:paraId="50F650EB">
      <w:pPr>
        <w:pStyle w:val="3"/>
        <w:spacing w:line="344" w:lineRule="auto"/>
        <w:rPr>
          <w:color w:val="auto"/>
          <w:highlight w:val="none"/>
        </w:rPr>
      </w:pPr>
    </w:p>
    <w:p w14:paraId="1CEFE18B">
      <w:pPr>
        <w:pStyle w:val="3"/>
        <w:spacing w:line="345" w:lineRule="auto"/>
        <w:rPr>
          <w:color w:val="auto"/>
          <w:highlight w:val="none"/>
        </w:rPr>
      </w:pPr>
    </w:p>
    <w:p w14:paraId="21DC58BF">
      <w:pPr>
        <w:spacing w:before="78" w:line="220" w:lineRule="auto"/>
        <w:ind w:left="1"/>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工  程  名</w:t>
      </w:r>
      <w:r>
        <w:rPr>
          <w:rFonts w:ascii="宋体" w:hAnsi="宋体" w:eastAsia="宋体" w:cs="宋体"/>
          <w:color w:val="auto"/>
          <w:spacing w:val="4"/>
          <w:sz w:val="24"/>
          <w:szCs w:val="24"/>
          <w:highlight w:val="none"/>
        </w:rPr>
        <w:t xml:space="preserve">  </w:t>
      </w:r>
      <w:r>
        <w:rPr>
          <w:rFonts w:ascii="宋体" w:hAnsi="宋体" w:eastAsia="宋体" w:cs="宋体"/>
          <w:color w:val="auto"/>
          <w:spacing w:val="-1"/>
          <w:sz w:val="24"/>
          <w:szCs w:val="24"/>
          <w:highlight w:val="none"/>
        </w:rPr>
        <w:t>称</w:t>
      </w:r>
      <w:r>
        <w:rPr>
          <w:rFonts w:ascii="宋体" w:hAnsi="宋体" w:eastAsia="宋体" w:cs="宋体"/>
          <w:color w:val="auto"/>
          <w:spacing w:val="-2"/>
          <w:sz w:val="24"/>
          <w:szCs w:val="24"/>
          <w:highlight w:val="none"/>
        </w:rPr>
        <w:t>：</w:t>
      </w:r>
      <w:r>
        <w:rPr>
          <w:rFonts w:ascii="宋体" w:hAnsi="宋体" w:eastAsia="宋体" w:cs="宋体"/>
          <w:color w:val="auto"/>
          <w:spacing w:val="13"/>
          <w:sz w:val="24"/>
          <w:szCs w:val="24"/>
          <w:highlight w:val="none"/>
          <w:u w:val="single" w:color="auto"/>
        </w:rPr>
        <w:t xml:space="preserve">         </w:t>
      </w:r>
      <w:r>
        <w:rPr>
          <w:rFonts w:ascii="宋体" w:hAnsi="宋体" w:eastAsia="宋体" w:cs="宋体"/>
          <w:color w:val="auto"/>
          <w:spacing w:val="-2"/>
          <w:sz w:val="24"/>
          <w:szCs w:val="24"/>
          <w:highlight w:val="none"/>
          <w:u w:val="single" w:color="auto"/>
        </w:rPr>
        <w:t>（</w:t>
      </w:r>
      <w:r>
        <w:rPr>
          <w:rFonts w:ascii="宋体" w:hAnsi="宋体" w:eastAsia="宋体" w:cs="宋体"/>
          <w:color w:val="auto"/>
          <w:spacing w:val="-1"/>
          <w:sz w:val="24"/>
          <w:szCs w:val="24"/>
          <w:highlight w:val="none"/>
          <w:u w:val="single" w:color="auto"/>
        </w:rPr>
        <w:t>项目名称及标段名称）</w:t>
      </w:r>
      <w:r>
        <w:rPr>
          <w:rFonts w:ascii="宋体" w:hAnsi="宋体" w:eastAsia="宋体" w:cs="宋体"/>
          <w:color w:val="auto"/>
          <w:sz w:val="24"/>
          <w:szCs w:val="24"/>
          <w:highlight w:val="none"/>
          <w:u w:val="single" w:color="auto"/>
        </w:rPr>
        <w:t xml:space="preserve">       </w:t>
      </w:r>
    </w:p>
    <w:p w14:paraId="129C3E75">
      <w:pPr>
        <w:pStyle w:val="3"/>
        <w:spacing w:line="256" w:lineRule="auto"/>
        <w:rPr>
          <w:color w:val="auto"/>
          <w:highlight w:val="none"/>
        </w:rPr>
      </w:pPr>
    </w:p>
    <w:p w14:paraId="4D250D2C">
      <w:pPr>
        <w:pStyle w:val="3"/>
        <w:spacing w:line="257" w:lineRule="auto"/>
        <w:rPr>
          <w:color w:val="auto"/>
          <w:highlight w:val="none"/>
        </w:rPr>
      </w:pPr>
    </w:p>
    <w:p w14:paraId="44B149DF">
      <w:pPr>
        <w:spacing w:before="78" w:line="218" w:lineRule="auto"/>
        <w:ind w:left="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投标总价（小写</w:t>
      </w:r>
      <w:r>
        <w:rPr>
          <w:rFonts w:ascii="宋体" w:hAnsi="宋体" w:eastAsia="宋体" w:cs="宋体"/>
          <w:color w:val="auto"/>
          <w:sz w:val="24"/>
          <w:szCs w:val="24"/>
          <w:highlight w:val="none"/>
        </w:rPr>
        <w:t>）：</w:t>
      </w:r>
      <w:r>
        <w:rPr>
          <w:rFonts w:ascii="宋体" w:hAnsi="宋体" w:eastAsia="宋体" w:cs="宋体"/>
          <w:color w:val="auto"/>
          <w:sz w:val="24"/>
          <w:szCs w:val="24"/>
          <w:highlight w:val="none"/>
          <w:u w:val="single" w:color="auto"/>
        </w:rPr>
        <w:t xml:space="preserve">                                 </w:t>
      </w:r>
    </w:p>
    <w:p w14:paraId="1CF916EC">
      <w:pPr>
        <w:pStyle w:val="3"/>
        <w:spacing w:line="258" w:lineRule="auto"/>
        <w:rPr>
          <w:color w:val="auto"/>
          <w:highlight w:val="none"/>
        </w:rPr>
      </w:pPr>
    </w:p>
    <w:p w14:paraId="0536065F">
      <w:pPr>
        <w:pStyle w:val="3"/>
        <w:spacing w:line="258" w:lineRule="auto"/>
        <w:rPr>
          <w:color w:val="auto"/>
          <w:highlight w:val="none"/>
        </w:rPr>
      </w:pPr>
    </w:p>
    <w:p w14:paraId="463EC9E0">
      <w:pPr>
        <w:spacing w:before="78" w:line="220" w:lineRule="auto"/>
        <w:ind w:left="965"/>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（大写</w:t>
      </w:r>
      <w:r>
        <w:rPr>
          <w:rFonts w:ascii="宋体" w:hAnsi="宋体" w:eastAsia="宋体" w:cs="宋体"/>
          <w:color w:val="auto"/>
          <w:spacing w:val="-3"/>
          <w:sz w:val="24"/>
          <w:szCs w:val="24"/>
          <w:highlight w:val="none"/>
        </w:rPr>
        <w:t>）：</w:t>
      </w:r>
      <w:r>
        <w:rPr>
          <w:rFonts w:ascii="宋体" w:hAnsi="宋体" w:eastAsia="宋体" w:cs="宋体"/>
          <w:color w:val="auto"/>
          <w:sz w:val="24"/>
          <w:szCs w:val="24"/>
          <w:highlight w:val="none"/>
          <w:u w:val="single" w:color="auto"/>
        </w:rPr>
        <w:t xml:space="preserve">                                 </w:t>
      </w:r>
    </w:p>
    <w:p w14:paraId="4281F644">
      <w:pPr>
        <w:pStyle w:val="3"/>
        <w:spacing w:line="257" w:lineRule="auto"/>
        <w:rPr>
          <w:color w:val="auto"/>
          <w:highlight w:val="none"/>
        </w:rPr>
      </w:pPr>
    </w:p>
    <w:p w14:paraId="24ECFC65">
      <w:pPr>
        <w:pStyle w:val="3"/>
        <w:spacing w:line="258" w:lineRule="auto"/>
        <w:rPr>
          <w:color w:val="auto"/>
          <w:highlight w:val="none"/>
        </w:rPr>
      </w:pPr>
    </w:p>
    <w:p w14:paraId="5D6B082A">
      <w:pPr>
        <w:spacing w:before="78" w:line="219" w:lineRule="auto"/>
        <w:ind w:left="1"/>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投    标</w:t>
      </w:r>
      <w:r>
        <w:rPr>
          <w:rFonts w:ascii="宋体" w:hAnsi="宋体" w:eastAsia="宋体" w:cs="宋体"/>
          <w:color w:val="auto"/>
          <w:spacing w:val="2"/>
          <w:sz w:val="24"/>
          <w:szCs w:val="24"/>
          <w:highlight w:val="none"/>
        </w:rPr>
        <w:t xml:space="preserve">    </w:t>
      </w:r>
      <w:r>
        <w:rPr>
          <w:rFonts w:ascii="宋体" w:hAnsi="宋体" w:eastAsia="宋体" w:cs="宋体"/>
          <w:color w:val="auto"/>
          <w:spacing w:val="-2"/>
          <w:sz w:val="24"/>
          <w:szCs w:val="24"/>
          <w:highlight w:val="none"/>
        </w:rPr>
        <w:t>人：</w:t>
      </w:r>
      <w:r>
        <w:rPr>
          <w:rFonts w:ascii="宋体" w:hAnsi="宋体" w:eastAsia="宋体" w:cs="宋体"/>
          <w:color w:val="auto"/>
          <w:spacing w:val="12"/>
          <w:sz w:val="24"/>
          <w:szCs w:val="24"/>
          <w:highlight w:val="none"/>
          <w:u w:val="single" w:color="auto"/>
        </w:rPr>
        <w:t xml:space="preserve">          </w:t>
      </w:r>
      <w:r>
        <w:rPr>
          <w:rFonts w:ascii="宋体" w:hAnsi="宋体" w:eastAsia="宋体" w:cs="宋体"/>
          <w:color w:val="auto"/>
          <w:spacing w:val="-2"/>
          <w:sz w:val="24"/>
          <w:szCs w:val="24"/>
          <w:highlight w:val="none"/>
          <w:u w:val="single" w:color="auto"/>
        </w:rPr>
        <w:t>（全称）</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2"/>
          <w:sz w:val="24"/>
          <w:szCs w:val="24"/>
          <w:highlight w:val="none"/>
        </w:rPr>
        <w:t>（盖单位公章）</w:t>
      </w:r>
    </w:p>
    <w:p w14:paraId="411CA08E">
      <w:pPr>
        <w:pStyle w:val="3"/>
        <w:spacing w:line="257" w:lineRule="auto"/>
        <w:rPr>
          <w:color w:val="auto"/>
          <w:highlight w:val="none"/>
        </w:rPr>
      </w:pPr>
    </w:p>
    <w:p w14:paraId="5306E7F2">
      <w:pPr>
        <w:pStyle w:val="3"/>
        <w:spacing w:line="257" w:lineRule="auto"/>
        <w:rPr>
          <w:color w:val="auto"/>
          <w:highlight w:val="none"/>
        </w:rPr>
      </w:pPr>
    </w:p>
    <w:p w14:paraId="4A4C3C1E">
      <w:pPr>
        <w:spacing w:before="78" w:line="219" w:lineRule="auto"/>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4"/>
          <w:sz w:val="24"/>
          <w:szCs w:val="24"/>
          <w:highlight w:val="none"/>
        </w:rPr>
        <w:t>（</w:t>
      </w:r>
      <w:r>
        <w:rPr>
          <w:rFonts w:ascii="宋体" w:hAnsi="宋体" w:eastAsia="宋体" w:cs="宋体"/>
          <w:color w:val="auto"/>
          <w:spacing w:val="-2"/>
          <w:sz w:val="24"/>
          <w:szCs w:val="24"/>
          <w:highlight w:val="none"/>
        </w:rPr>
        <w:t>签字或盖章）</w:t>
      </w:r>
    </w:p>
    <w:p w14:paraId="7C866A60">
      <w:pPr>
        <w:pStyle w:val="3"/>
        <w:spacing w:line="257" w:lineRule="auto"/>
        <w:rPr>
          <w:color w:val="auto"/>
          <w:highlight w:val="none"/>
        </w:rPr>
      </w:pPr>
    </w:p>
    <w:p w14:paraId="4ABCA83A">
      <w:pPr>
        <w:pStyle w:val="3"/>
        <w:spacing w:line="257" w:lineRule="auto"/>
        <w:rPr>
          <w:color w:val="auto"/>
          <w:highlight w:val="none"/>
        </w:rPr>
      </w:pPr>
    </w:p>
    <w:p w14:paraId="5D3AE8E5">
      <w:pPr>
        <w:spacing w:before="78" w:line="220" w:lineRule="auto"/>
        <w:rPr>
          <w:rFonts w:ascii="宋体" w:hAnsi="宋体" w:eastAsia="宋体" w:cs="宋体"/>
          <w:color w:val="auto"/>
          <w:sz w:val="24"/>
          <w:szCs w:val="24"/>
          <w:highlight w:val="none"/>
        </w:rPr>
      </w:pPr>
      <w:r>
        <w:rPr>
          <w:rFonts w:ascii="宋体" w:hAnsi="宋体" w:eastAsia="宋体" w:cs="宋体"/>
          <w:color w:val="auto"/>
          <w:spacing w:val="-8"/>
          <w:sz w:val="24"/>
          <w:szCs w:val="24"/>
          <w:highlight w:val="none"/>
        </w:rPr>
        <w:t>编</w:t>
      </w:r>
      <w:r>
        <w:rPr>
          <w:rFonts w:ascii="宋体" w:hAnsi="宋体" w:eastAsia="宋体" w:cs="宋体"/>
          <w:color w:val="auto"/>
          <w:spacing w:val="5"/>
          <w:sz w:val="24"/>
          <w:szCs w:val="24"/>
          <w:highlight w:val="none"/>
        </w:rPr>
        <w:t xml:space="preserve">  </w:t>
      </w:r>
      <w:r>
        <w:rPr>
          <w:rFonts w:ascii="宋体" w:hAnsi="宋体" w:eastAsia="宋体" w:cs="宋体"/>
          <w:color w:val="auto"/>
          <w:spacing w:val="-8"/>
          <w:sz w:val="24"/>
          <w:szCs w:val="24"/>
          <w:highlight w:val="none"/>
        </w:rPr>
        <w:t>制</w:t>
      </w:r>
      <w:r>
        <w:rPr>
          <w:rFonts w:ascii="宋体" w:hAnsi="宋体" w:eastAsia="宋体" w:cs="宋体"/>
          <w:color w:val="auto"/>
          <w:spacing w:val="10"/>
          <w:sz w:val="24"/>
          <w:szCs w:val="24"/>
          <w:highlight w:val="none"/>
        </w:rPr>
        <w:t xml:space="preserve">  </w:t>
      </w:r>
      <w:r>
        <w:rPr>
          <w:rFonts w:ascii="宋体" w:hAnsi="宋体" w:eastAsia="宋体" w:cs="宋体"/>
          <w:color w:val="auto"/>
          <w:spacing w:val="-8"/>
          <w:sz w:val="24"/>
          <w:szCs w:val="24"/>
          <w:highlight w:val="none"/>
        </w:rPr>
        <w:t>时</w:t>
      </w:r>
      <w:r>
        <w:rPr>
          <w:rFonts w:ascii="宋体" w:hAnsi="宋体" w:eastAsia="宋体" w:cs="宋体"/>
          <w:color w:val="auto"/>
          <w:spacing w:val="14"/>
          <w:sz w:val="24"/>
          <w:szCs w:val="24"/>
          <w:highlight w:val="none"/>
        </w:rPr>
        <w:t xml:space="preserve">  </w:t>
      </w:r>
      <w:r>
        <w:rPr>
          <w:rFonts w:ascii="宋体" w:hAnsi="宋体" w:eastAsia="宋体" w:cs="宋体"/>
          <w:color w:val="auto"/>
          <w:spacing w:val="-8"/>
          <w:sz w:val="24"/>
          <w:szCs w:val="24"/>
          <w:highlight w:val="none"/>
        </w:rPr>
        <w:t>间：</w:t>
      </w:r>
      <w:r>
        <w:rPr>
          <w:rFonts w:ascii="宋体" w:hAnsi="宋体" w:eastAsia="宋体" w:cs="宋体"/>
          <w:color w:val="auto"/>
          <w:spacing w:val="-8"/>
          <w:sz w:val="24"/>
          <w:szCs w:val="24"/>
          <w:highlight w:val="none"/>
          <w:u w:val="single" w:color="auto"/>
        </w:rPr>
        <w:t xml:space="preserve">                                  </w:t>
      </w:r>
    </w:p>
    <w:p w14:paraId="28B2C012">
      <w:pPr>
        <w:spacing w:line="220"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25AED6A9">
      <w:pPr>
        <w:spacing w:before="48" w:line="218"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造价工程师注册证书</w:t>
      </w:r>
    </w:p>
    <w:p w14:paraId="359A86EE">
      <w:pPr>
        <w:spacing w:line="218"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746B71F">
      <w:pPr>
        <w:spacing w:before="55" w:line="219" w:lineRule="auto"/>
        <w:ind w:left="3023"/>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工程量清单计价汇总表</w:t>
      </w:r>
    </w:p>
    <w:p w14:paraId="6BC367D0">
      <w:pPr>
        <w:pStyle w:val="3"/>
        <w:spacing w:line="269" w:lineRule="auto"/>
        <w:rPr>
          <w:color w:val="auto"/>
          <w:highlight w:val="none"/>
        </w:rPr>
      </w:pPr>
    </w:p>
    <w:p w14:paraId="618B339B">
      <w:pPr>
        <w:pStyle w:val="3"/>
        <w:spacing w:line="269" w:lineRule="auto"/>
        <w:rPr>
          <w:color w:val="auto"/>
          <w:highlight w:val="none"/>
        </w:rPr>
      </w:pPr>
    </w:p>
    <w:p w14:paraId="3542CBD8">
      <w:pPr>
        <w:spacing w:before="78" w:line="220" w:lineRule="auto"/>
        <w:ind w:left="3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页</w:t>
      </w:r>
    </w:p>
    <w:p w14:paraId="5BEC3125">
      <w:pPr>
        <w:spacing w:line="146" w:lineRule="exact"/>
        <w:rPr>
          <w:color w:val="auto"/>
          <w:highlight w:val="none"/>
        </w:rPr>
      </w:pPr>
    </w:p>
    <w:tbl>
      <w:tblPr>
        <w:tblStyle w:val="32"/>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574"/>
        <w:gridCol w:w="4710"/>
        <w:gridCol w:w="2528"/>
      </w:tblGrid>
      <w:tr w14:paraId="474E4BC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8" w:hRule="atLeast"/>
        </w:trPr>
        <w:tc>
          <w:tcPr>
            <w:tcW w:w="1574" w:type="dxa"/>
            <w:tcBorders>
              <w:top w:val="single" w:color="000000" w:sz="6" w:space="0"/>
              <w:left w:val="single" w:color="000000" w:sz="6" w:space="0"/>
            </w:tcBorders>
            <w:vAlign w:val="top"/>
          </w:tcPr>
          <w:p w14:paraId="00E68D6B">
            <w:pPr>
              <w:pStyle w:val="33"/>
              <w:spacing w:before="143" w:line="221" w:lineRule="auto"/>
              <w:ind w:left="550"/>
              <w:rPr>
                <w:color w:val="auto"/>
                <w:sz w:val="24"/>
                <w:szCs w:val="24"/>
                <w:highlight w:val="none"/>
              </w:rPr>
            </w:pPr>
            <w:r>
              <w:rPr>
                <w:color w:val="auto"/>
                <w:spacing w:val="-3"/>
                <w:sz w:val="24"/>
                <w:szCs w:val="24"/>
                <w:highlight w:val="none"/>
              </w:rPr>
              <w:t>序号</w:t>
            </w:r>
          </w:p>
        </w:tc>
        <w:tc>
          <w:tcPr>
            <w:tcW w:w="4710" w:type="dxa"/>
            <w:tcBorders>
              <w:top w:val="single" w:color="000000" w:sz="6" w:space="0"/>
            </w:tcBorders>
            <w:vAlign w:val="top"/>
          </w:tcPr>
          <w:p w14:paraId="30FBBC63">
            <w:pPr>
              <w:pStyle w:val="33"/>
              <w:spacing w:before="143" w:line="220" w:lineRule="auto"/>
              <w:ind w:left="1644"/>
              <w:rPr>
                <w:color w:val="auto"/>
                <w:sz w:val="24"/>
                <w:szCs w:val="24"/>
                <w:highlight w:val="none"/>
              </w:rPr>
            </w:pPr>
            <w:r>
              <w:rPr>
                <w:color w:val="auto"/>
                <w:spacing w:val="-2"/>
                <w:sz w:val="24"/>
                <w:szCs w:val="24"/>
                <w:highlight w:val="none"/>
              </w:rPr>
              <w:t>工程项目名称</w:t>
            </w:r>
          </w:p>
        </w:tc>
        <w:tc>
          <w:tcPr>
            <w:tcW w:w="2528" w:type="dxa"/>
            <w:tcBorders>
              <w:top w:val="single" w:color="000000" w:sz="6" w:space="0"/>
              <w:right w:val="single" w:color="000000" w:sz="6" w:space="0"/>
            </w:tcBorders>
            <w:vAlign w:val="top"/>
          </w:tcPr>
          <w:p w14:paraId="0EEFE642">
            <w:pPr>
              <w:pStyle w:val="33"/>
              <w:spacing w:before="143" w:line="220" w:lineRule="auto"/>
              <w:ind w:left="670"/>
              <w:rPr>
                <w:color w:val="auto"/>
                <w:sz w:val="24"/>
                <w:szCs w:val="24"/>
                <w:highlight w:val="none"/>
              </w:rPr>
            </w:pPr>
            <w:r>
              <w:rPr>
                <w:color w:val="auto"/>
                <w:spacing w:val="-5"/>
                <w:sz w:val="24"/>
                <w:szCs w:val="24"/>
                <w:highlight w:val="none"/>
              </w:rPr>
              <w:t>金额（元）</w:t>
            </w:r>
          </w:p>
        </w:tc>
      </w:tr>
      <w:tr w14:paraId="3232A3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vAlign w:val="top"/>
          </w:tcPr>
          <w:p w14:paraId="0E97511D">
            <w:pPr>
              <w:rPr>
                <w:rFonts w:ascii="Arial"/>
                <w:color w:val="auto"/>
                <w:sz w:val="21"/>
                <w:highlight w:val="none"/>
              </w:rPr>
            </w:pPr>
          </w:p>
        </w:tc>
        <w:tc>
          <w:tcPr>
            <w:tcW w:w="4710" w:type="dxa"/>
            <w:vAlign w:val="top"/>
          </w:tcPr>
          <w:p w14:paraId="18691AC7">
            <w:pPr>
              <w:rPr>
                <w:rFonts w:ascii="Arial"/>
                <w:color w:val="auto"/>
                <w:sz w:val="21"/>
                <w:highlight w:val="none"/>
              </w:rPr>
            </w:pPr>
          </w:p>
        </w:tc>
        <w:tc>
          <w:tcPr>
            <w:tcW w:w="2528" w:type="dxa"/>
            <w:tcBorders>
              <w:right w:val="single" w:color="000000" w:sz="6" w:space="0"/>
            </w:tcBorders>
            <w:vAlign w:val="top"/>
          </w:tcPr>
          <w:p w14:paraId="29724C4F">
            <w:pPr>
              <w:rPr>
                <w:rFonts w:ascii="Arial"/>
                <w:color w:val="auto"/>
                <w:sz w:val="21"/>
                <w:highlight w:val="none"/>
              </w:rPr>
            </w:pPr>
          </w:p>
        </w:tc>
      </w:tr>
      <w:tr w14:paraId="4F2F49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vAlign w:val="top"/>
          </w:tcPr>
          <w:p w14:paraId="5FBD403F">
            <w:pPr>
              <w:rPr>
                <w:rFonts w:ascii="Arial"/>
                <w:color w:val="auto"/>
                <w:sz w:val="21"/>
                <w:highlight w:val="none"/>
              </w:rPr>
            </w:pPr>
          </w:p>
        </w:tc>
        <w:tc>
          <w:tcPr>
            <w:tcW w:w="4710" w:type="dxa"/>
            <w:vAlign w:val="top"/>
          </w:tcPr>
          <w:p w14:paraId="537A655C">
            <w:pPr>
              <w:rPr>
                <w:rFonts w:ascii="Arial"/>
                <w:color w:val="auto"/>
                <w:sz w:val="21"/>
                <w:highlight w:val="none"/>
              </w:rPr>
            </w:pPr>
          </w:p>
        </w:tc>
        <w:tc>
          <w:tcPr>
            <w:tcW w:w="2528" w:type="dxa"/>
            <w:tcBorders>
              <w:right w:val="single" w:color="000000" w:sz="6" w:space="0"/>
            </w:tcBorders>
            <w:vAlign w:val="top"/>
          </w:tcPr>
          <w:p w14:paraId="317468B1">
            <w:pPr>
              <w:rPr>
                <w:rFonts w:ascii="Arial"/>
                <w:color w:val="auto"/>
                <w:sz w:val="21"/>
                <w:highlight w:val="none"/>
              </w:rPr>
            </w:pPr>
          </w:p>
        </w:tc>
      </w:tr>
      <w:tr w14:paraId="2267B6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vAlign w:val="top"/>
          </w:tcPr>
          <w:p w14:paraId="659965C4">
            <w:pPr>
              <w:rPr>
                <w:rFonts w:ascii="Arial"/>
                <w:color w:val="auto"/>
                <w:sz w:val="21"/>
                <w:highlight w:val="none"/>
              </w:rPr>
            </w:pPr>
          </w:p>
        </w:tc>
        <w:tc>
          <w:tcPr>
            <w:tcW w:w="4710" w:type="dxa"/>
            <w:vAlign w:val="top"/>
          </w:tcPr>
          <w:p w14:paraId="53D47F7B">
            <w:pPr>
              <w:rPr>
                <w:rFonts w:ascii="Arial"/>
                <w:color w:val="auto"/>
                <w:sz w:val="21"/>
                <w:highlight w:val="none"/>
              </w:rPr>
            </w:pPr>
          </w:p>
        </w:tc>
        <w:tc>
          <w:tcPr>
            <w:tcW w:w="2528" w:type="dxa"/>
            <w:tcBorders>
              <w:right w:val="single" w:color="000000" w:sz="6" w:space="0"/>
            </w:tcBorders>
            <w:vAlign w:val="top"/>
          </w:tcPr>
          <w:p w14:paraId="78C15D5F">
            <w:pPr>
              <w:rPr>
                <w:rFonts w:ascii="Arial"/>
                <w:color w:val="auto"/>
                <w:sz w:val="21"/>
                <w:highlight w:val="none"/>
              </w:rPr>
            </w:pPr>
          </w:p>
        </w:tc>
      </w:tr>
      <w:tr w14:paraId="75EEB90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vAlign w:val="top"/>
          </w:tcPr>
          <w:p w14:paraId="0E9E4BEB">
            <w:pPr>
              <w:rPr>
                <w:rFonts w:ascii="Arial"/>
                <w:color w:val="auto"/>
                <w:sz w:val="21"/>
                <w:highlight w:val="none"/>
              </w:rPr>
            </w:pPr>
          </w:p>
        </w:tc>
        <w:tc>
          <w:tcPr>
            <w:tcW w:w="4710" w:type="dxa"/>
            <w:vAlign w:val="top"/>
          </w:tcPr>
          <w:p w14:paraId="5F841918">
            <w:pPr>
              <w:rPr>
                <w:rFonts w:ascii="Arial"/>
                <w:color w:val="auto"/>
                <w:sz w:val="21"/>
                <w:highlight w:val="none"/>
              </w:rPr>
            </w:pPr>
          </w:p>
        </w:tc>
        <w:tc>
          <w:tcPr>
            <w:tcW w:w="2528" w:type="dxa"/>
            <w:tcBorders>
              <w:right w:val="single" w:color="000000" w:sz="6" w:space="0"/>
            </w:tcBorders>
            <w:vAlign w:val="top"/>
          </w:tcPr>
          <w:p w14:paraId="2C37B3A1">
            <w:pPr>
              <w:rPr>
                <w:rFonts w:ascii="Arial"/>
                <w:color w:val="auto"/>
                <w:sz w:val="21"/>
                <w:highlight w:val="none"/>
              </w:rPr>
            </w:pPr>
          </w:p>
        </w:tc>
      </w:tr>
      <w:tr w14:paraId="7BFC2FC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vAlign w:val="top"/>
          </w:tcPr>
          <w:p w14:paraId="0D0A2727">
            <w:pPr>
              <w:rPr>
                <w:rFonts w:ascii="Arial"/>
                <w:color w:val="auto"/>
                <w:sz w:val="21"/>
                <w:highlight w:val="none"/>
              </w:rPr>
            </w:pPr>
          </w:p>
        </w:tc>
        <w:tc>
          <w:tcPr>
            <w:tcW w:w="4710" w:type="dxa"/>
            <w:vAlign w:val="top"/>
          </w:tcPr>
          <w:p w14:paraId="0C23C975">
            <w:pPr>
              <w:rPr>
                <w:rFonts w:ascii="Arial"/>
                <w:color w:val="auto"/>
                <w:sz w:val="21"/>
                <w:highlight w:val="none"/>
              </w:rPr>
            </w:pPr>
          </w:p>
        </w:tc>
        <w:tc>
          <w:tcPr>
            <w:tcW w:w="2528" w:type="dxa"/>
            <w:tcBorders>
              <w:right w:val="single" w:color="000000" w:sz="6" w:space="0"/>
            </w:tcBorders>
            <w:vAlign w:val="top"/>
          </w:tcPr>
          <w:p w14:paraId="555D396D">
            <w:pPr>
              <w:rPr>
                <w:rFonts w:ascii="Arial"/>
                <w:color w:val="auto"/>
                <w:sz w:val="21"/>
                <w:highlight w:val="none"/>
              </w:rPr>
            </w:pPr>
          </w:p>
        </w:tc>
      </w:tr>
      <w:tr w14:paraId="599FC3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vAlign w:val="top"/>
          </w:tcPr>
          <w:p w14:paraId="5681F64A">
            <w:pPr>
              <w:rPr>
                <w:rFonts w:ascii="Arial"/>
                <w:color w:val="auto"/>
                <w:sz w:val="21"/>
                <w:highlight w:val="none"/>
              </w:rPr>
            </w:pPr>
          </w:p>
        </w:tc>
        <w:tc>
          <w:tcPr>
            <w:tcW w:w="4710" w:type="dxa"/>
            <w:vAlign w:val="top"/>
          </w:tcPr>
          <w:p w14:paraId="78F5B136">
            <w:pPr>
              <w:rPr>
                <w:rFonts w:ascii="Arial"/>
                <w:color w:val="auto"/>
                <w:sz w:val="21"/>
                <w:highlight w:val="none"/>
              </w:rPr>
            </w:pPr>
          </w:p>
        </w:tc>
        <w:tc>
          <w:tcPr>
            <w:tcW w:w="2528" w:type="dxa"/>
            <w:tcBorders>
              <w:right w:val="single" w:color="000000" w:sz="6" w:space="0"/>
            </w:tcBorders>
            <w:vAlign w:val="top"/>
          </w:tcPr>
          <w:p w14:paraId="6CB12EB4">
            <w:pPr>
              <w:rPr>
                <w:rFonts w:ascii="Arial"/>
                <w:color w:val="auto"/>
                <w:sz w:val="21"/>
                <w:highlight w:val="none"/>
              </w:rPr>
            </w:pPr>
          </w:p>
        </w:tc>
      </w:tr>
      <w:tr w14:paraId="5462009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vAlign w:val="top"/>
          </w:tcPr>
          <w:p w14:paraId="5FDFE69A">
            <w:pPr>
              <w:rPr>
                <w:rFonts w:ascii="Arial"/>
                <w:color w:val="auto"/>
                <w:sz w:val="21"/>
                <w:highlight w:val="none"/>
              </w:rPr>
            </w:pPr>
          </w:p>
        </w:tc>
        <w:tc>
          <w:tcPr>
            <w:tcW w:w="4710" w:type="dxa"/>
            <w:vAlign w:val="top"/>
          </w:tcPr>
          <w:p w14:paraId="34B14109">
            <w:pPr>
              <w:rPr>
                <w:rFonts w:ascii="Arial"/>
                <w:color w:val="auto"/>
                <w:sz w:val="21"/>
                <w:highlight w:val="none"/>
              </w:rPr>
            </w:pPr>
          </w:p>
        </w:tc>
        <w:tc>
          <w:tcPr>
            <w:tcW w:w="2528" w:type="dxa"/>
            <w:tcBorders>
              <w:right w:val="single" w:color="000000" w:sz="6" w:space="0"/>
            </w:tcBorders>
            <w:vAlign w:val="top"/>
          </w:tcPr>
          <w:p w14:paraId="0906F8A0">
            <w:pPr>
              <w:rPr>
                <w:rFonts w:ascii="Arial"/>
                <w:color w:val="auto"/>
                <w:sz w:val="21"/>
                <w:highlight w:val="none"/>
              </w:rPr>
            </w:pPr>
          </w:p>
        </w:tc>
      </w:tr>
      <w:tr w14:paraId="6B65A7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vAlign w:val="top"/>
          </w:tcPr>
          <w:p w14:paraId="62731651">
            <w:pPr>
              <w:rPr>
                <w:rFonts w:ascii="Arial"/>
                <w:color w:val="auto"/>
                <w:sz w:val="21"/>
                <w:highlight w:val="none"/>
              </w:rPr>
            </w:pPr>
          </w:p>
        </w:tc>
        <w:tc>
          <w:tcPr>
            <w:tcW w:w="4710" w:type="dxa"/>
            <w:vAlign w:val="top"/>
          </w:tcPr>
          <w:p w14:paraId="6ACDA99D">
            <w:pPr>
              <w:rPr>
                <w:rFonts w:ascii="Arial"/>
                <w:color w:val="auto"/>
                <w:sz w:val="21"/>
                <w:highlight w:val="none"/>
              </w:rPr>
            </w:pPr>
          </w:p>
        </w:tc>
        <w:tc>
          <w:tcPr>
            <w:tcW w:w="2528" w:type="dxa"/>
            <w:tcBorders>
              <w:right w:val="single" w:color="000000" w:sz="6" w:space="0"/>
            </w:tcBorders>
            <w:vAlign w:val="top"/>
          </w:tcPr>
          <w:p w14:paraId="5859656F">
            <w:pPr>
              <w:rPr>
                <w:rFonts w:ascii="Arial"/>
                <w:color w:val="auto"/>
                <w:sz w:val="21"/>
                <w:highlight w:val="none"/>
              </w:rPr>
            </w:pPr>
          </w:p>
        </w:tc>
      </w:tr>
      <w:tr w14:paraId="6D2ABC2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2" w:hRule="atLeast"/>
        </w:trPr>
        <w:tc>
          <w:tcPr>
            <w:tcW w:w="1574" w:type="dxa"/>
            <w:tcBorders>
              <w:left w:val="single" w:color="000000" w:sz="6" w:space="0"/>
            </w:tcBorders>
            <w:vAlign w:val="top"/>
          </w:tcPr>
          <w:p w14:paraId="5C9EC258">
            <w:pPr>
              <w:rPr>
                <w:rFonts w:ascii="Arial"/>
                <w:color w:val="auto"/>
                <w:sz w:val="21"/>
                <w:highlight w:val="none"/>
              </w:rPr>
            </w:pPr>
          </w:p>
        </w:tc>
        <w:tc>
          <w:tcPr>
            <w:tcW w:w="4710" w:type="dxa"/>
            <w:vAlign w:val="top"/>
          </w:tcPr>
          <w:p w14:paraId="49492256">
            <w:pPr>
              <w:rPr>
                <w:rFonts w:ascii="Arial"/>
                <w:color w:val="auto"/>
                <w:sz w:val="21"/>
                <w:highlight w:val="none"/>
              </w:rPr>
            </w:pPr>
          </w:p>
        </w:tc>
        <w:tc>
          <w:tcPr>
            <w:tcW w:w="2528" w:type="dxa"/>
            <w:tcBorders>
              <w:right w:val="single" w:color="000000" w:sz="6" w:space="0"/>
            </w:tcBorders>
            <w:vAlign w:val="top"/>
          </w:tcPr>
          <w:p w14:paraId="18D91272">
            <w:pPr>
              <w:rPr>
                <w:rFonts w:ascii="Arial"/>
                <w:color w:val="auto"/>
                <w:sz w:val="21"/>
                <w:highlight w:val="none"/>
              </w:rPr>
            </w:pPr>
          </w:p>
        </w:tc>
      </w:tr>
      <w:tr w14:paraId="1773D73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4" w:hRule="atLeast"/>
        </w:trPr>
        <w:tc>
          <w:tcPr>
            <w:tcW w:w="1574" w:type="dxa"/>
            <w:tcBorders>
              <w:left w:val="single" w:color="000000" w:sz="6" w:space="0"/>
            </w:tcBorders>
            <w:vAlign w:val="top"/>
          </w:tcPr>
          <w:p w14:paraId="01D56C5F">
            <w:pPr>
              <w:rPr>
                <w:rFonts w:ascii="Arial"/>
                <w:color w:val="auto"/>
                <w:sz w:val="21"/>
                <w:highlight w:val="none"/>
              </w:rPr>
            </w:pPr>
          </w:p>
        </w:tc>
        <w:tc>
          <w:tcPr>
            <w:tcW w:w="4710" w:type="dxa"/>
            <w:vAlign w:val="top"/>
          </w:tcPr>
          <w:p w14:paraId="5221539B">
            <w:pPr>
              <w:rPr>
                <w:rFonts w:ascii="Arial"/>
                <w:color w:val="auto"/>
                <w:sz w:val="21"/>
                <w:highlight w:val="none"/>
              </w:rPr>
            </w:pPr>
          </w:p>
        </w:tc>
        <w:tc>
          <w:tcPr>
            <w:tcW w:w="2528" w:type="dxa"/>
            <w:tcBorders>
              <w:right w:val="single" w:color="000000" w:sz="6" w:space="0"/>
            </w:tcBorders>
            <w:vAlign w:val="top"/>
          </w:tcPr>
          <w:p w14:paraId="4E19AA57">
            <w:pPr>
              <w:rPr>
                <w:rFonts w:ascii="Arial"/>
                <w:color w:val="auto"/>
                <w:sz w:val="21"/>
                <w:highlight w:val="none"/>
              </w:rPr>
            </w:pPr>
          </w:p>
        </w:tc>
      </w:tr>
      <w:tr w14:paraId="3CA9C1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38" w:hRule="atLeast"/>
        </w:trPr>
        <w:tc>
          <w:tcPr>
            <w:tcW w:w="1574" w:type="dxa"/>
            <w:tcBorders>
              <w:left w:val="single" w:color="000000" w:sz="6" w:space="0"/>
              <w:bottom w:val="single" w:color="000000" w:sz="6" w:space="0"/>
            </w:tcBorders>
            <w:vAlign w:val="top"/>
          </w:tcPr>
          <w:p w14:paraId="3030F170">
            <w:pPr>
              <w:rPr>
                <w:rFonts w:ascii="Arial"/>
                <w:color w:val="auto"/>
                <w:sz w:val="21"/>
                <w:highlight w:val="none"/>
              </w:rPr>
            </w:pPr>
          </w:p>
        </w:tc>
        <w:tc>
          <w:tcPr>
            <w:tcW w:w="4710" w:type="dxa"/>
            <w:tcBorders>
              <w:bottom w:val="single" w:color="000000" w:sz="6" w:space="0"/>
            </w:tcBorders>
            <w:vAlign w:val="top"/>
          </w:tcPr>
          <w:p w14:paraId="0818FEAB">
            <w:pPr>
              <w:pStyle w:val="33"/>
              <w:spacing w:before="152" w:line="221" w:lineRule="auto"/>
              <w:ind w:left="7"/>
              <w:rPr>
                <w:color w:val="auto"/>
                <w:sz w:val="24"/>
                <w:szCs w:val="24"/>
                <w:highlight w:val="none"/>
              </w:rPr>
            </w:pPr>
            <w:r>
              <w:rPr>
                <w:color w:val="auto"/>
                <w:spacing w:val="-3"/>
                <w:sz w:val="24"/>
                <w:szCs w:val="24"/>
                <w:highlight w:val="none"/>
              </w:rPr>
              <w:t>合计</w:t>
            </w:r>
          </w:p>
        </w:tc>
        <w:tc>
          <w:tcPr>
            <w:tcW w:w="2528" w:type="dxa"/>
            <w:tcBorders>
              <w:bottom w:val="single" w:color="000000" w:sz="6" w:space="0"/>
              <w:right w:val="single" w:color="000000" w:sz="6" w:space="0"/>
            </w:tcBorders>
            <w:vAlign w:val="top"/>
          </w:tcPr>
          <w:p w14:paraId="34B2FAD9">
            <w:pPr>
              <w:rPr>
                <w:rFonts w:ascii="Arial"/>
                <w:color w:val="auto"/>
                <w:sz w:val="21"/>
                <w:highlight w:val="none"/>
              </w:rPr>
            </w:pPr>
          </w:p>
        </w:tc>
      </w:tr>
    </w:tbl>
    <w:p w14:paraId="08CD4313">
      <w:pPr>
        <w:spacing w:before="36" w:line="218" w:lineRule="auto"/>
        <w:ind w:left="3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注：不允许在工程量清单计价汇总表中增加优惠一</w:t>
      </w:r>
      <w:r>
        <w:rPr>
          <w:rFonts w:ascii="宋体" w:hAnsi="宋体" w:eastAsia="宋体" w:cs="宋体"/>
          <w:color w:val="auto"/>
          <w:spacing w:val="-2"/>
          <w:sz w:val="24"/>
          <w:szCs w:val="24"/>
          <w:highlight w:val="none"/>
        </w:rPr>
        <w:t>栏，应在单价中优惠。</w:t>
      </w:r>
    </w:p>
    <w:p w14:paraId="12946722">
      <w:pPr>
        <w:pStyle w:val="3"/>
        <w:spacing w:line="249" w:lineRule="auto"/>
        <w:rPr>
          <w:color w:val="auto"/>
          <w:highlight w:val="none"/>
        </w:rPr>
      </w:pPr>
    </w:p>
    <w:p w14:paraId="61B73834">
      <w:pPr>
        <w:pStyle w:val="3"/>
        <w:spacing w:line="250" w:lineRule="auto"/>
        <w:rPr>
          <w:color w:val="auto"/>
          <w:highlight w:val="none"/>
        </w:rPr>
      </w:pPr>
    </w:p>
    <w:p w14:paraId="2CC8B4B4">
      <w:pPr>
        <w:pStyle w:val="3"/>
        <w:spacing w:line="250" w:lineRule="auto"/>
        <w:rPr>
          <w:color w:val="auto"/>
          <w:highlight w:val="none"/>
        </w:rPr>
      </w:pPr>
    </w:p>
    <w:p w14:paraId="25C22F45">
      <w:pPr>
        <w:pStyle w:val="3"/>
        <w:spacing w:line="250" w:lineRule="auto"/>
        <w:rPr>
          <w:color w:val="auto"/>
          <w:highlight w:val="none"/>
        </w:rPr>
      </w:pPr>
    </w:p>
    <w:p w14:paraId="2A7C0EFB">
      <w:pPr>
        <w:pStyle w:val="3"/>
        <w:spacing w:line="250" w:lineRule="auto"/>
        <w:rPr>
          <w:color w:val="auto"/>
          <w:highlight w:val="none"/>
        </w:rPr>
      </w:pPr>
    </w:p>
    <w:p w14:paraId="3A7ED8A9">
      <w:pPr>
        <w:pStyle w:val="3"/>
        <w:spacing w:line="250" w:lineRule="auto"/>
        <w:rPr>
          <w:color w:val="auto"/>
          <w:highlight w:val="none"/>
        </w:rPr>
      </w:pPr>
    </w:p>
    <w:p w14:paraId="1AA69B5B">
      <w:pPr>
        <w:pStyle w:val="3"/>
        <w:spacing w:line="250" w:lineRule="auto"/>
        <w:rPr>
          <w:color w:val="auto"/>
          <w:highlight w:val="none"/>
        </w:rPr>
      </w:pPr>
    </w:p>
    <w:p w14:paraId="7B202EF2">
      <w:pPr>
        <w:spacing w:before="78" w:line="219" w:lineRule="auto"/>
        <w:ind w:left="1959"/>
        <w:rPr>
          <w:rFonts w:ascii="宋体" w:hAnsi="宋体" w:eastAsia="宋体" w:cs="宋体"/>
          <w:color w:val="auto"/>
          <w:sz w:val="24"/>
          <w:szCs w:val="24"/>
          <w:highlight w:val="none"/>
        </w:rPr>
      </w:pPr>
      <w:r>
        <w:rPr>
          <w:rFonts w:ascii="宋体" w:hAnsi="宋体" w:eastAsia="宋体" w:cs="宋体"/>
          <w:color w:val="auto"/>
          <w:spacing w:val="2"/>
          <w:sz w:val="24"/>
          <w:szCs w:val="24"/>
          <w:highlight w:val="none"/>
        </w:rPr>
        <w:t>法定代表人或委托代理人</w:t>
      </w:r>
      <w:r>
        <w:rPr>
          <w:rFonts w:ascii="宋体" w:hAnsi="宋体" w:eastAsia="宋体" w:cs="宋体"/>
          <w:color w:val="auto"/>
          <w:spacing w:val="-14"/>
          <w:sz w:val="24"/>
          <w:szCs w:val="24"/>
          <w:highlight w:val="none"/>
        </w:rPr>
        <w:t>：</w:t>
      </w:r>
      <w:r>
        <w:rPr>
          <w:rFonts w:ascii="宋体" w:hAnsi="宋体" w:eastAsia="宋体" w:cs="宋体"/>
          <w:color w:val="auto"/>
          <w:sz w:val="24"/>
          <w:szCs w:val="24"/>
          <w:highlight w:val="none"/>
          <w:u w:val="single" w:color="auto"/>
        </w:rPr>
        <w:t xml:space="preserve">     </w:t>
      </w:r>
      <w:r>
        <w:rPr>
          <w:rFonts w:ascii="宋体" w:hAnsi="宋体" w:eastAsia="宋体" w:cs="宋体"/>
          <w:color w:val="auto"/>
          <w:spacing w:val="-14"/>
          <w:sz w:val="24"/>
          <w:szCs w:val="24"/>
          <w:highlight w:val="none"/>
          <w:u w:val="single" w:color="auto"/>
        </w:rPr>
        <w:t>（</w:t>
      </w:r>
      <w:r>
        <w:rPr>
          <w:rFonts w:ascii="宋体" w:hAnsi="宋体" w:eastAsia="宋体" w:cs="宋体"/>
          <w:color w:val="auto"/>
          <w:spacing w:val="2"/>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3653D76A">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3F1117EA">
      <w:pPr>
        <w:pStyle w:val="3"/>
        <w:spacing w:line="262" w:lineRule="auto"/>
        <w:rPr>
          <w:color w:val="auto"/>
          <w:highlight w:val="none"/>
        </w:rPr>
      </w:pPr>
    </w:p>
    <w:p w14:paraId="718D62DE">
      <w:pPr>
        <w:spacing w:before="91" w:line="219" w:lineRule="auto"/>
        <w:ind w:left="4797"/>
        <w:rPr>
          <w:rFonts w:ascii="宋体" w:hAnsi="宋体" w:eastAsia="宋体" w:cs="宋体"/>
          <w:color w:val="auto"/>
          <w:sz w:val="28"/>
          <w:szCs w:val="28"/>
          <w:highlight w:val="none"/>
        </w:rPr>
      </w:pPr>
      <w:r>
        <w:rPr>
          <w:rFonts w:ascii="宋体" w:hAnsi="宋体" w:eastAsia="宋体" w:cs="宋体"/>
          <w:b/>
          <w:bCs/>
          <w:color w:val="auto"/>
          <w:spacing w:val="-3"/>
          <w:sz w:val="28"/>
          <w:szCs w:val="28"/>
          <w:highlight w:val="none"/>
        </w:rPr>
        <w:t>建筑工程分类分项工程量清单计价表</w:t>
      </w:r>
    </w:p>
    <w:p w14:paraId="67469010">
      <w:pPr>
        <w:spacing w:before="205" w:line="212" w:lineRule="auto"/>
        <w:ind w:left="6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        第  页共  页</w:t>
      </w:r>
    </w:p>
    <w:tbl>
      <w:tblPr>
        <w:tblStyle w:val="32"/>
        <w:tblW w:w="1404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1"/>
        <w:gridCol w:w="2407"/>
        <w:gridCol w:w="2831"/>
        <w:gridCol w:w="851"/>
        <w:gridCol w:w="990"/>
        <w:gridCol w:w="993"/>
        <w:gridCol w:w="1132"/>
        <w:gridCol w:w="1273"/>
        <w:gridCol w:w="971"/>
      </w:tblGrid>
      <w:tr w14:paraId="719489A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 w:hRule="atLeast"/>
        </w:trPr>
        <w:tc>
          <w:tcPr>
            <w:tcW w:w="760" w:type="dxa"/>
            <w:tcBorders>
              <w:top w:val="single" w:color="000000" w:sz="6" w:space="0"/>
              <w:left w:val="single" w:color="000000" w:sz="6" w:space="0"/>
            </w:tcBorders>
            <w:vAlign w:val="top"/>
          </w:tcPr>
          <w:p w14:paraId="683077F3">
            <w:pPr>
              <w:pStyle w:val="33"/>
              <w:spacing w:before="268" w:line="221" w:lineRule="auto"/>
              <w:ind w:left="142"/>
              <w:rPr>
                <w:color w:val="auto"/>
                <w:sz w:val="24"/>
                <w:szCs w:val="24"/>
                <w:highlight w:val="none"/>
              </w:rPr>
            </w:pPr>
            <w:r>
              <w:rPr>
                <w:color w:val="auto"/>
                <w:spacing w:val="-3"/>
                <w:sz w:val="24"/>
                <w:szCs w:val="24"/>
                <w:highlight w:val="none"/>
              </w:rPr>
              <w:t>序号</w:t>
            </w:r>
          </w:p>
        </w:tc>
        <w:tc>
          <w:tcPr>
            <w:tcW w:w="1841" w:type="dxa"/>
            <w:tcBorders>
              <w:top w:val="single" w:color="000000" w:sz="6" w:space="0"/>
            </w:tcBorders>
            <w:vAlign w:val="top"/>
          </w:tcPr>
          <w:p w14:paraId="45B4713A">
            <w:pPr>
              <w:pStyle w:val="33"/>
              <w:spacing w:before="267" w:line="220" w:lineRule="auto"/>
              <w:ind w:left="448"/>
              <w:rPr>
                <w:color w:val="auto"/>
                <w:sz w:val="24"/>
                <w:szCs w:val="24"/>
                <w:highlight w:val="none"/>
              </w:rPr>
            </w:pPr>
            <w:r>
              <w:rPr>
                <w:color w:val="auto"/>
                <w:spacing w:val="-3"/>
                <w:sz w:val="24"/>
                <w:szCs w:val="24"/>
                <w:highlight w:val="none"/>
              </w:rPr>
              <w:t>项目编码</w:t>
            </w:r>
          </w:p>
        </w:tc>
        <w:tc>
          <w:tcPr>
            <w:tcW w:w="2407" w:type="dxa"/>
            <w:tcBorders>
              <w:top w:val="single" w:color="000000" w:sz="6" w:space="0"/>
            </w:tcBorders>
            <w:vAlign w:val="top"/>
          </w:tcPr>
          <w:p w14:paraId="24500F07">
            <w:pPr>
              <w:pStyle w:val="33"/>
              <w:spacing w:before="268" w:line="220" w:lineRule="auto"/>
              <w:ind w:left="731"/>
              <w:rPr>
                <w:color w:val="auto"/>
                <w:sz w:val="24"/>
                <w:szCs w:val="24"/>
                <w:highlight w:val="none"/>
              </w:rPr>
            </w:pPr>
            <w:r>
              <w:rPr>
                <w:color w:val="auto"/>
                <w:spacing w:val="-3"/>
                <w:sz w:val="24"/>
                <w:szCs w:val="24"/>
                <w:highlight w:val="none"/>
              </w:rPr>
              <w:t>项目名称</w:t>
            </w:r>
          </w:p>
        </w:tc>
        <w:tc>
          <w:tcPr>
            <w:tcW w:w="2831" w:type="dxa"/>
            <w:tcBorders>
              <w:top w:val="single" w:color="000000" w:sz="6" w:space="0"/>
            </w:tcBorders>
            <w:vAlign w:val="top"/>
          </w:tcPr>
          <w:p w14:paraId="337020F0">
            <w:pPr>
              <w:pStyle w:val="33"/>
              <w:spacing w:before="114" w:line="229" w:lineRule="auto"/>
              <w:ind w:left="943" w:right="931" w:firstLine="3"/>
              <w:rPr>
                <w:color w:val="auto"/>
                <w:sz w:val="24"/>
                <w:szCs w:val="24"/>
                <w:highlight w:val="none"/>
              </w:rPr>
            </w:pPr>
            <w:r>
              <w:rPr>
                <w:color w:val="auto"/>
                <w:spacing w:val="-4"/>
                <w:sz w:val="24"/>
                <w:szCs w:val="24"/>
                <w:highlight w:val="none"/>
              </w:rPr>
              <w:t>项目主要</w:t>
            </w:r>
            <w:r>
              <w:rPr>
                <w:color w:val="auto"/>
                <w:spacing w:val="1"/>
                <w:sz w:val="24"/>
                <w:szCs w:val="24"/>
                <w:highlight w:val="none"/>
              </w:rPr>
              <w:t xml:space="preserve"> </w:t>
            </w:r>
            <w:r>
              <w:rPr>
                <w:color w:val="auto"/>
                <w:spacing w:val="-11"/>
                <w:sz w:val="24"/>
                <w:szCs w:val="24"/>
                <w:highlight w:val="none"/>
              </w:rPr>
              <w:t>特</w:t>
            </w:r>
            <w:r>
              <w:rPr>
                <w:color w:val="auto"/>
                <w:spacing w:val="3"/>
                <w:sz w:val="24"/>
                <w:szCs w:val="24"/>
                <w:highlight w:val="none"/>
              </w:rPr>
              <w:t xml:space="preserve">    </w:t>
            </w:r>
            <w:r>
              <w:rPr>
                <w:color w:val="auto"/>
                <w:spacing w:val="-11"/>
                <w:sz w:val="24"/>
                <w:szCs w:val="24"/>
                <w:highlight w:val="none"/>
              </w:rPr>
              <w:t>征</w:t>
            </w:r>
          </w:p>
        </w:tc>
        <w:tc>
          <w:tcPr>
            <w:tcW w:w="851" w:type="dxa"/>
            <w:tcBorders>
              <w:top w:val="single" w:color="000000" w:sz="6" w:space="0"/>
            </w:tcBorders>
            <w:vAlign w:val="top"/>
          </w:tcPr>
          <w:p w14:paraId="7D7B4CCD">
            <w:pPr>
              <w:pStyle w:val="33"/>
              <w:spacing w:before="115" w:line="229" w:lineRule="auto"/>
              <w:ind w:left="196" w:right="179"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990" w:type="dxa"/>
            <w:tcBorders>
              <w:top w:val="single" w:color="000000" w:sz="6" w:space="0"/>
            </w:tcBorders>
            <w:vAlign w:val="top"/>
          </w:tcPr>
          <w:p w14:paraId="74615284">
            <w:pPr>
              <w:pStyle w:val="33"/>
              <w:spacing w:before="114" w:line="229" w:lineRule="auto"/>
              <w:ind w:left="265" w:right="250"/>
              <w:rPr>
                <w:color w:val="auto"/>
                <w:sz w:val="24"/>
                <w:szCs w:val="24"/>
                <w:highlight w:val="none"/>
              </w:rPr>
            </w:pPr>
            <w:r>
              <w:rPr>
                <w:color w:val="auto"/>
                <w:spacing w:val="-7"/>
                <w:sz w:val="24"/>
                <w:szCs w:val="24"/>
                <w:highlight w:val="none"/>
              </w:rPr>
              <w:t>工程</w:t>
            </w:r>
            <w:r>
              <w:rPr>
                <w:color w:val="auto"/>
                <w:sz w:val="24"/>
                <w:szCs w:val="24"/>
                <w:highlight w:val="none"/>
              </w:rPr>
              <w:t xml:space="preserve"> </w:t>
            </w:r>
            <w:r>
              <w:rPr>
                <w:color w:val="auto"/>
                <w:spacing w:val="-6"/>
                <w:sz w:val="24"/>
                <w:szCs w:val="24"/>
                <w:highlight w:val="none"/>
              </w:rPr>
              <w:t>数量</w:t>
            </w:r>
          </w:p>
        </w:tc>
        <w:tc>
          <w:tcPr>
            <w:tcW w:w="993" w:type="dxa"/>
            <w:tcBorders>
              <w:top w:val="single" w:color="000000" w:sz="6" w:space="0"/>
            </w:tcBorders>
            <w:vAlign w:val="top"/>
          </w:tcPr>
          <w:p w14:paraId="06562F8D">
            <w:pPr>
              <w:pStyle w:val="33"/>
              <w:spacing w:before="115" w:line="229" w:lineRule="auto"/>
              <w:ind w:left="153" w:right="145" w:firstLine="115"/>
              <w:rPr>
                <w:color w:val="auto"/>
                <w:sz w:val="24"/>
                <w:szCs w:val="24"/>
                <w:highlight w:val="none"/>
              </w:rPr>
            </w:pPr>
            <w:r>
              <w:rPr>
                <w:color w:val="auto"/>
                <w:spacing w:val="-6"/>
                <w:sz w:val="24"/>
                <w:szCs w:val="24"/>
                <w:highlight w:val="none"/>
              </w:rPr>
              <w:t>单价</w:t>
            </w:r>
            <w:r>
              <w:rPr>
                <w:color w:val="auto"/>
                <w:sz w:val="24"/>
                <w:szCs w:val="24"/>
                <w:highlight w:val="none"/>
              </w:rPr>
              <w:t xml:space="preserve">  </w:t>
            </w:r>
            <w:r>
              <w:rPr>
                <w:color w:val="auto"/>
                <w:spacing w:val="-11"/>
                <w:sz w:val="24"/>
                <w:szCs w:val="24"/>
                <w:highlight w:val="none"/>
              </w:rPr>
              <w:t>（元）</w:t>
            </w:r>
          </w:p>
        </w:tc>
        <w:tc>
          <w:tcPr>
            <w:tcW w:w="1132" w:type="dxa"/>
            <w:tcBorders>
              <w:top w:val="single" w:color="000000" w:sz="6" w:space="0"/>
            </w:tcBorders>
            <w:vAlign w:val="top"/>
          </w:tcPr>
          <w:p w14:paraId="1DDB6C6A">
            <w:pPr>
              <w:pStyle w:val="33"/>
              <w:spacing w:before="115" w:line="229" w:lineRule="auto"/>
              <w:ind w:left="224" w:right="214" w:firstLine="114"/>
              <w:rPr>
                <w:color w:val="auto"/>
                <w:sz w:val="24"/>
                <w:szCs w:val="24"/>
                <w:highlight w:val="none"/>
              </w:rPr>
            </w:pPr>
            <w:r>
              <w:rPr>
                <w:color w:val="auto"/>
                <w:spacing w:val="-6"/>
                <w:sz w:val="24"/>
                <w:szCs w:val="24"/>
                <w:highlight w:val="none"/>
              </w:rPr>
              <w:t>合价</w:t>
            </w:r>
            <w:r>
              <w:rPr>
                <w:color w:val="auto"/>
                <w:sz w:val="24"/>
                <w:szCs w:val="24"/>
                <w:highlight w:val="none"/>
              </w:rPr>
              <w:t xml:space="preserve">  </w:t>
            </w:r>
            <w:r>
              <w:rPr>
                <w:color w:val="auto"/>
                <w:spacing w:val="-11"/>
                <w:sz w:val="24"/>
                <w:szCs w:val="24"/>
                <w:highlight w:val="none"/>
              </w:rPr>
              <w:t>（元）</w:t>
            </w:r>
          </w:p>
        </w:tc>
        <w:tc>
          <w:tcPr>
            <w:tcW w:w="1273" w:type="dxa"/>
            <w:tcBorders>
              <w:top w:val="single" w:color="000000" w:sz="6" w:space="0"/>
            </w:tcBorders>
            <w:vAlign w:val="top"/>
          </w:tcPr>
          <w:p w14:paraId="16F9258D">
            <w:pPr>
              <w:pStyle w:val="33"/>
              <w:spacing w:before="114" w:line="229" w:lineRule="auto"/>
              <w:ind w:left="172" w:right="146"/>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971" w:type="dxa"/>
            <w:tcBorders>
              <w:top w:val="single" w:color="000000" w:sz="6" w:space="0"/>
              <w:right w:val="single" w:color="000000" w:sz="6" w:space="0"/>
            </w:tcBorders>
            <w:vAlign w:val="top"/>
          </w:tcPr>
          <w:p w14:paraId="4978A364">
            <w:pPr>
              <w:pStyle w:val="33"/>
              <w:spacing w:before="268" w:line="221" w:lineRule="auto"/>
              <w:ind w:left="256"/>
              <w:rPr>
                <w:color w:val="auto"/>
                <w:sz w:val="24"/>
                <w:szCs w:val="24"/>
                <w:highlight w:val="none"/>
              </w:rPr>
            </w:pPr>
            <w:r>
              <w:rPr>
                <w:color w:val="auto"/>
                <w:spacing w:val="-4"/>
                <w:sz w:val="24"/>
                <w:szCs w:val="24"/>
                <w:highlight w:val="none"/>
              </w:rPr>
              <w:t>备注</w:t>
            </w:r>
          </w:p>
        </w:tc>
      </w:tr>
      <w:tr w14:paraId="08F7B03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361251EF">
            <w:pPr>
              <w:rPr>
                <w:rFonts w:ascii="Arial"/>
                <w:color w:val="auto"/>
                <w:sz w:val="21"/>
                <w:highlight w:val="none"/>
              </w:rPr>
            </w:pPr>
          </w:p>
        </w:tc>
        <w:tc>
          <w:tcPr>
            <w:tcW w:w="1841" w:type="dxa"/>
            <w:vAlign w:val="top"/>
          </w:tcPr>
          <w:p w14:paraId="1AA2086D">
            <w:pPr>
              <w:rPr>
                <w:rFonts w:ascii="Arial"/>
                <w:color w:val="auto"/>
                <w:sz w:val="21"/>
                <w:highlight w:val="none"/>
              </w:rPr>
            </w:pPr>
          </w:p>
        </w:tc>
        <w:tc>
          <w:tcPr>
            <w:tcW w:w="2407" w:type="dxa"/>
            <w:vAlign w:val="top"/>
          </w:tcPr>
          <w:p w14:paraId="6BBDB3C5">
            <w:pPr>
              <w:rPr>
                <w:rFonts w:ascii="Arial"/>
                <w:color w:val="auto"/>
                <w:sz w:val="21"/>
                <w:highlight w:val="none"/>
              </w:rPr>
            </w:pPr>
          </w:p>
        </w:tc>
        <w:tc>
          <w:tcPr>
            <w:tcW w:w="2831" w:type="dxa"/>
            <w:vAlign w:val="top"/>
          </w:tcPr>
          <w:p w14:paraId="626806AC">
            <w:pPr>
              <w:rPr>
                <w:rFonts w:ascii="Arial"/>
                <w:color w:val="auto"/>
                <w:sz w:val="21"/>
                <w:highlight w:val="none"/>
              </w:rPr>
            </w:pPr>
          </w:p>
        </w:tc>
        <w:tc>
          <w:tcPr>
            <w:tcW w:w="851" w:type="dxa"/>
            <w:vAlign w:val="top"/>
          </w:tcPr>
          <w:p w14:paraId="37174C86">
            <w:pPr>
              <w:rPr>
                <w:rFonts w:ascii="Arial"/>
                <w:color w:val="auto"/>
                <w:sz w:val="21"/>
                <w:highlight w:val="none"/>
              </w:rPr>
            </w:pPr>
          </w:p>
        </w:tc>
        <w:tc>
          <w:tcPr>
            <w:tcW w:w="990" w:type="dxa"/>
            <w:vAlign w:val="top"/>
          </w:tcPr>
          <w:p w14:paraId="5283F8DA">
            <w:pPr>
              <w:rPr>
                <w:rFonts w:ascii="Arial"/>
                <w:color w:val="auto"/>
                <w:sz w:val="21"/>
                <w:highlight w:val="none"/>
              </w:rPr>
            </w:pPr>
          </w:p>
        </w:tc>
        <w:tc>
          <w:tcPr>
            <w:tcW w:w="993" w:type="dxa"/>
            <w:vAlign w:val="top"/>
          </w:tcPr>
          <w:p w14:paraId="0E9F6046">
            <w:pPr>
              <w:rPr>
                <w:rFonts w:ascii="Arial"/>
                <w:color w:val="auto"/>
                <w:sz w:val="21"/>
                <w:highlight w:val="none"/>
              </w:rPr>
            </w:pPr>
          </w:p>
        </w:tc>
        <w:tc>
          <w:tcPr>
            <w:tcW w:w="1132" w:type="dxa"/>
            <w:vAlign w:val="top"/>
          </w:tcPr>
          <w:p w14:paraId="133E1CF0">
            <w:pPr>
              <w:rPr>
                <w:rFonts w:ascii="Arial"/>
                <w:color w:val="auto"/>
                <w:sz w:val="21"/>
                <w:highlight w:val="none"/>
              </w:rPr>
            </w:pPr>
          </w:p>
        </w:tc>
        <w:tc>
          <w:tcPr>
            <w:tcW w:w="1273" w:type="dxa"/>
            <w:vAlign w:val="top"/>
          </w:tcPr>
          <w:p w14:paraId="6F42F4BD">
            <w:pPr>
              <w:rPr>
                <w:rFonts w:ascii="Arial"/>
                <w:color w:val="auto"/>
                <w:sz w:val="21"/>
                <w:highlight w:val="none"/>
              </w:rPr>
            </w:pPr>
          </w:p>
        </w:tc>
        <w:tc>
          <w:tcPr>
            <w:tcW w:w="971" w:type="dxa"/>
            <w:tcBorders>
              <w:right w:val="single" w:color="000000" w:sz="6" w:space="0"/>
            </w:tcBorders>
            <w:vAlign w:val="top"/>
          </w:tcPr>
          <w:p w14:paraId="5674C21E">
            <w:pPr>
              <w:rPr>
                <w:rFonts w:ascii="Arial"/>
                <w:color w:val="auto"/>
                <w:sz w:val="21"/>
                <w:highlight w:val="none"/>
              </w:rPr>
            </w:pPr>
          </w:p>
        </w:tc>
      </w:tr>
      <w:tr w14:paraId="4DD1B95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760" w:type="dxa"/>
            <w:tcBorders>
              <w:left w:val="single" w:color="000000" w:sz="6" w:space="0"/>
            </w:tcBorders>
            <w:vAlign w:val="top"/>
          </w:tcPr>
          <w:p w14:paraId="148AC1CA">
            <w:pPr>
              <w:rPr>
                <w:rFonts w:ascii="Arial"/>
                <w:color w:val="auto"/>
                <w:sz w:val="21"/>
                <w:highlight w:val="none"/>
              </w:rPr>
            </w:pPr>
          </w:p>
        </w:tc>
        <w:tc>
          <w:tcPr>
            <w:tcW w:w="1841" w:type="dxa"/>
            <w:vAlign w:val="top"/>
          </w:tcPr>
          <w:p w14:paraId="6541C6C0">
            <w:pPr>
              <w:rPr>
                <w:rFonts w:ascii="Arial"/>
                <w:color w:val="auto"/>
                <w:sz w:val="21"/>
                <w:highlight w:val="none"/>
              </w:rPr>
            </w:pPr>
          </w:p>
        </w:tc>
        <w:tc>
          <w:tcPr>
            <w:tcW w:w="2407" w:type="dxa"/>
            <w:vAlign w:val="top"/>
          </w:tcPr>
          <w:p w14:paraId="12E71C28">
            <w:pPr>
              <w:rPr>
                <w:rFonts w:ascii="Arial"/>
                <w:color w:val="auto"/>
                <w:sz w:val="21"/>
                <w:highlight w:val="none"/>
              </w:rPr>
            </w:pPr>
          </w:p>
        </w:tc>
        <w:tc>
          <w:tcPr>
            <w:tcW w:w="2831" w:type="dxa"/>
            <w:vAlign w:val="top"/>
          </w:tcPr>
          <w:p w14:paraId="3315781B">
            <w:pPr>
              <w:rPr>
                <w:rFonts w:ascii="Arial"/>
                <w:color w:val="auto"/>
                <w:sz w:val="21"/>
                <w:highlight w:val="none"/>
              </w:rPr>
            </w:pPr>
          </w:p>
        </w:tc>
        <w:tc>
          <w:tcPr>
            <w:tcW w:w="851" w:type="dxa"/>
            <w:vAlign w:val="top"/>
          </w:tcPr>
          <w:p w14:paraId="52E60641">
            <w:pPr>
              <w:rPr>
                <w:rFonts w:ascii="Arial"/>
                <w:color w:val="auto"/>
                <w:sz w:val="21"/>
                <w:highlight w:val="none"/>
              </w:rPr>
            </w:pPr>
          </w:p>
        </w:tc>
        <w:tc>
          <w:tcPr>
            <w:tcW w:w="990" w:type="dxa"/>
            <w:vAlign w:val="top"/>
          </w:tcPr>
          <w:p w14:paraId="1B8DF173">
            <w:pPr>
              <w:rPr>
                <w:rFonts w:ascii="Arial"/>
                <w:color w:val="auto"/>
                <w:sz w:val="21"/>
                <w:highlight w:val="none"/>
              </w:rPr>
            </w:pPr>
          </w:p>
        </w:tc>
        <w:tc>
          <w:tcPr>
            <w:tcW w:w="993" w:type="dxa"/>
            <w:vAlign w:val="top"/>
          </w:tcPr>
          <w:p w14:paraId="290AF6CC">
            <w:pPr>
              <w:rPr>
                <w:rFonts w:ascii="Arial"/>
                <w:color w:val="auto"/>
                <w:sz w:val="21"/>
                <w:highlight w:val="none"/>
              </w:rPr>
            </w:pPr>
          </w:p>
        </w:tc>
        <w:tc>
          <w:tcPr>
            <w:tcW w:w="1132" w:type="dxa"/>
            <w:vAlign w:val="top"/>
          </w:tcPr>
          <w:p w14:paraId="5183BC84">
            <w:pPr>
              <w:rPr>
                <w:rFonts w:ascii="Arial"/>
                <w:color w:val="auto"/>
                <w:sz w:val="21"/>
                <w:highlight w:val="none"/>
              </w:rPr>
            </w:pPr>
          </w:p>
        </w:tc>
        <w:tc>
          <w:tcPr>
            <w:tcW w:w="1273" w:type="dxa"/>
            <w:vAlign w:val="top"/>
          </w:tcPr>
          <w:p w14:paraId="3EC66E38">
            <w:pPr>
              <w:rPr>
                <w:rFonts w:ascii="Arial"/>
                <w:color w:val="auto"/>
                <w:sz w:val="21"/>
                <w:highlight w:val="none"/>
              </w:rPr>
            </w:pPr>
          </w:p>
        </w:tc>
        <w:tc>
          <w:tcPr>
            <w:tcW w:w="971" w:type="dxa"/>
            <w:tcBorders>
              <w:right w:val="single" w:color="000000" w:sz="6" w:space="0"/>
            </w:tcBorders>
            <w:vAlign w:val="top"/>
          </w:tcPr>
          <w:p w14:paraId="606171D3">
            <w:pPr>
              <w:rPr>
                <w:rFonts w:ascii="Arial"/>
                <w:color w:val="auto"/>
                <w:sz w:val="21"/>
                <w:highlight w:val="none"/>
              </w:rPr>
            </w:pPr>
          </w:p>
        </w:tc>
      </w:tr>
      <w:tr w14:paraId="46DFD3E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42E29C5">
            <w:pPr>
              <w:rPr>
                <w:rFonts w:ascii="Arial"/>
                <w:color w:val="auto"/>
                <w:sz w:val="21"/>
                <w:highlight w:val="none"/>
              </w:rPr>
            </w:pPr>
          </w:p>
        </w:tc>
        <w:tc>
          <w:tcPr>
            <w:tcW w:w="1841" w:type="dxa"/>
            <w:vAlign w:val="top"/>
          </w:tcPr>
          <w:p w14:paraId="744B105E">
            <w:pPr>
              <w:rPr>
                <w:rFonts w:ascii="Arial"/>
                <w:color w:val="auto"/>
                <w:sz w:val="21"/>
                <w:highlight w:val="none"/>
              </w:rPr>
            </w:pPr>
          </w:p>
        </w:tc>
        <w:tc>
          <w:tcPr>
            <w:tcW w:w="2407" w:type="dxa"/>
            <w:vAlign w:val="top"/>
          </w:tcPr>
          <w:p w14:paraId="2059200B">
            <w:pPr>
              <w:rPr>
                <w:rFonts w:ascii="Arial"/>
                <w:color w:val="auto"/>
                <w:sz w:val="21"/>
                <w:highlight w:val="none"/>
              </w:rPr>
            </w:pPr>
          </w:p>
        </w:tc>
        <w:tc>
          <w:tcPr>
            <w:tcW w:w="2831" w:type="dxa"/>
            <w:vAlign w:val="top"/>
          </w:tcPr>
          <w:p w14:paraId="01E9A04A">
            <w:pPr>
              <w:rPr>
                <w:rFonts w:ascii="Arial"/>
                <w:color w:val="auto"/>
                <w:sz w:val="21"/>
                <w:highlight w:val="none"/>
              </w:rPr>
            </w:pPr>
          </w:p>
        </w:tc>
        <w:tc>
          <w:tcPr>
            <w:tcW w:w="851" w:type="dxa"/>
            <w:vAlign w:val="top"/>
          </w:tcPr>
          <w:p w14:paraId="470DF964">
            <w:pPr>
              <w:rPr>
                <w:rFonts w:ascii="Arial"/>
                <w:color w:val="auto"/>
                <w:sz w:val="21"/>
                <w:highlight w:val="none"/>
              </w:rPr>
            </w:pPr>
          </w:p>
        </w:tc>
        <w:tc>
          <w:tcPr>
            <w:tcW w:w="990" w:type="dxa"/>
            <w:vAlign w:val="top"/>
          </w:tcPr>
          <w:p w14:paraId="0C000FD4">
            <w:pPr>
              <w:rPr>
                <w:rFonts w:ascii="Arial"/>
                <w:color w:val="auto"/>
                <w:sz w:val="21"/>
                <w:highlight w:val="none"/>
              </w:rPr>
            </w:pPr>
          </w:p>
        </w:tc>
        <w:tc>
          <w:tcPr>
            <w:tcW w:w="993" w:type="dxa"/>
            <w:vAlign w:val="top"/>
          </w:tcPr>
          <w:p w14:paraId="4E36F589">
            <w:pPr>
              <w:rPr>
                <w:rFonts w:ascii="Arial"/>
                <w:color w:val="auto"/>
                <w:sz w:val="21"/>
                <w:highlight w:val="none"/>
              </w:rPr>
            </w:pPr>
          </w:p>
        </w:tc>
        <w:tc>
          <w:tcPr>
            <w:tcW w:w="1132" w:type="dxa"/>
            <w:vAlign w:val="top"/>
          </w:tcPr>
          <w:p w14:paraId="2D553433">
            <w:pPr>
              <w:rPr>
                <w:rFonts w:ascii="Arial"/>
                <w:color w:val="auto"/>
                <w:sz w:val="21"/>
                <w:highlight w:val="none"/>
              </w:rPr>
            </w:pPr>
          </w:p>
        </w:tc>
        <w:tc>
          <w:tcPr>
            <w:tcW w:w="1273" w:type="dxa"/>
            <w:vAlign w:val="top"/>
          </w:tcPr>
          <w:p w14:paraId="6177384A">
            <w:pPr>
              <w:rPr>
                <w:rFonts w:ascii="Arial"/>
                <w:color w:val="auto"/>
                <w:sz w:val="21"/>
                <w:highlight w:val="none"/>
              </w:rPr>
            </w:pPr>
          </w:p>
        </w:tc>
        <w:tc>
          <w:tcPr>
            <w:tcW w:w="971" w:type="dxa"/>
            <w:tcBorders>
              <w:right w:val="single" w:color="000000" w:sz="6" w:space="0"/>
            </w:tcBorders>
            <w:vAlign w:val="top"/>
          </w:tcPr>
          <w:p w14:paraId="78FC35E2">
            <w:pPr>
              <w:rPr>
                <w:rFonts w:ascii="Arial"/>
                <w:color w:val="auto"/>
                <w:sz w:val="21"/>
                <w:highlight w:val="none"/>
              </w:rPr>
            </w:pPr>
          </w:p>
        </w:tc>
      </w:tr>
      <w:tr w14:paraId="378B0B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7ED6D75F">
            <w:pPr>
              <w:rPr>
                <w:rFonts w:ascii="Arial"/>
                <w:color w:val="auto"/>
                <w:sz w:val="21"/>
                <w:highlight w:val="none"/>
              </w:rPr>
            </w:pPr>
          </w:p>
        </w:tc>
        <w:tc>
          <w:tcPr>
            <w:tcW w:w="1841" w:type="dxa"/>
            <w:vAlign w:val="top"/>
          </w:tcPr>
          <w:p w14:paraId="4B1B424A">
            <w:pPr>
              <w:rPr>
                <w:rFonts w:ascii="Arial"/>
                <w:color w:val="auto"/>
                <w:sz w:val="21"/>
                <w:highlight w:val="none"/>
              </w:rPr>
            </w:pPr>
          </w:p>
        </w:tc>
        <w:tc>
          <w:tcPr>
            <w:tcW w:w="2407" w:type="dxa"/>
            <w:vAlign w:val="top"/>
          </w:tcPr>
          <w:p w14:paraId="1117283F">
            <w:pPr>
              <w:rPr>
                <w:rFonts w:ascii="Arial"/>
                <w:color w:val="auto"/>
                <w:sz w:val="21"/>
                <w:highlight w:val="none"/>
              </w:rPr>
            </w:pPr>
          </w:p>
        </w:tc>
        <w:tc>
          <w:tcPr>
            <w:tcW w:w="2831" w:type="dxa"/>
            <w:vAlign w:val="top"/>
          </w:tcPr>
          <w:p w14:paraId="1BCE18B7">
            <w:pPr>
              <w:rPr>
                <w:rFonts w:ascii="Arial"/>
                <w:color w:val="auto"/>
                <w:sz w:val="21"/>
                <w:highlight w:val="none"/>
              </w:rPr>
            </w:pPr>
          </w:p>
        </w:tc>
        <w:tc>
          <w:tcPr>
            <w:tcW w:w="851" w:type="dxa"/>
            <w:vAlign w:val="top"/>
          </w:tcPr>
          <w:p w14:paraId="5D8ED1CA">
            <w:pPr>
              <w:rPr>
                <w:rFonts w:ascii="Arial"/>
                <w:color w:val="auto"/>
                <w:sz w:val="21"/>
                <w:highlight w:val="none"/>
              </w:rPr>
            </w:pPr>
          </w:p>
        </w:tc>
        <w:tc>
          <w:tcPr>
            <w:tcW w:w="990" w:type="dxa"/>
            <w:vAlign w:val="top"/>
          </w:tcPr>
          <w:p w14:paraId="6A41F795">
            <w:pPr>
              <w:rPr>
                <w:rFonts w:ascii="Arial"/>
                <w:color w:val="auto"/>
                <w:sz w:val="21"/>
                <w:highlight w:val="none"/>
              </w:rPr>
            </w:pPr>
          </w:p>
        </w:tc>
        <w:tc>
          <w:tcPr>
            <w:tcW w:w="993" w:type="dxa"/>
            <w:vAlign w:val="top"/>
          </w:tcPr>
          <w:p w14:paraId="14BB7C02">
            <w:pPr>
              <w:rPr>
                <w:rFonts w:ascii="Arial"/>
                <w:color w:val="auto"/>
                <w:sz w:val="21"/>
                <w:highlight w:val="none"/>
              </w:rPr>
            </w:pPr>
          </w:p>
        </w:tc>
        <w:tc>
          <w:tcPr>
            <w:tcW w:w="1132" w:type="dxa"/>
            <w:vAlign w:val="top"/>
          </w:tcPr>
          <w:p w14:paraId="6DECEA87">
            <w:pPr>
              <w:rPr>
                <w:rFonts w:ascii="Arial"/>
                <w:color w:val="auto"/>
                <w:sz w:val="21"/>
                <w:highlight w:val="none"/>
              </w:rPr>
            </w:pPr>
          </w:p>
        </w:tc>
        <w:tc>
          <w:tcPr>
            <w:tcW w:w="1273" w:type="dxa"/>
            <w:vAlign w:val="top"/>
          </w:tcPr>
          <w:p w14:paraId="605B0224">
            <w:pPr>
              <w:rPr>
                <w:rFonts w:ascii="Arial"/>
                <w:color w:val="auto"/>
                <w:sz w:val="21"/>
                <w:highlight w:val="none"/>
              </w:rPr>
            </w:pPr>
          </w:p>
        </w:tc>
        <w:tc>
          <w:tcPr>
            <w:tcW w:w="971" w:type="dxa"/>
            <w:tcBorders>
              <w:right w:val="single" w:color="000000" w:sz="6" w:space="0"/>
            </w:tcBorders>
            <w:vAlign w:val="top"/>
          </w:tcPr>
          <w:p w14:paraId="45EB61F4">
            <w:pPr>
              <w:rPr>
                <w:rFonts w:ascii="Arial"/>
                <w:color w:val="auto"/>
                <w:sz w:val="21"/>
                <w:highlight w:val="none"/>
              </w:rPr>
            </w:pPr>
          </w:p>
        </w:tc>
      </w:tr>
      <w:tr w14:paraId="5D86910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332E2E34">
            <w:pPr>
              <w:rPr>
                <w:rFonts w:ascii="Arial"/>
                <w:color w:val="auto"/>
                <w:sz w:val="21"/>
                <w:highlight w:val="none"/>
              </w:rPr>
            </w:pPr>
          </w:p>
        </w:tc>
        <w:tc>
          <w:tcPr>
            <w:tcW w:w="1841" w:type="dxa"/>
            <w:vAlign w:val="top"/>
          </w:tcPr>
          <w:p w14:paraId="1EBFA6D4">
            <w:pPr>
              <w:rPr>
                <w:rFonts w:ascii="Arial"/>
                <w:color w:val="auto"/>
                <w:sz w:val="21"/>
                <w:highlight w:val="none"/>
              </w:rPr>
            </w:pPr>
          </w:p>
        </w:tc>
        <w:tc>
          <w:tcPr>
            <w:tcW w:w="2407" w:type="dxa"/>
            <w:vAlign w:val="top"/>
          </w:tcPr>
          <w:p w14:paraId="73D62233">
            <w:pPr>
              <w:rPr>
                <w:rFonts w:ascii="Arial"/>
                <w:color w:val="auto"/>
                <w:sz w:val="21"/>
                <w:highlight w:val="none"/>
              </w:rPr>
            </w:pPr>
          </w:p>
        </w:tc>
        <w:tc>
          <w:tcPr>
            <w:tcW w:w="2831" w:type="dxa"/>
            <w:vAlign w:val="top"/>
          </w:tcPr>
          <w:p w14:paraId="3AF8A2E5">
            <w:pPr>
              <w:rPr>
                <w:rFonts w:ascii="Arial"/>
                <w:color w:val="auto"/>
                <w:sz w:val="21"/>
                <w:highlight w:val="none"/>
              </w:rPr>
            </w:pPr>
          </w:p>
        </w:tc>
        <w:tc>
          <w:tcPr>
            <w:tcW w:w="851" w:type="dxa"/>
            <w:vAlign w:val="top"/>
          </w:tcPr>
          <w:p w14:paraId="381B2B19">
            <w:pPr>
              <w:rPr>
                <w:rFonts w:ascii="Arial"/>
                <w:color w:val="auto"/>
                <w:sz w:val="21"/>
                <w:highlight w:val="none"/>
              </w:rPr>
            </w:pPr>
          </w:p>
        </w:tc>
        <w:tc>
          <w:tcPr>
            <w:tcW w:w="990" w:type="dxa"/>
            <w:vAlign w:val="top"/>
          </w:tcPr>
          <w:p w14:paraId="3EBC145C">
            <w:pPr>
              <w:rPr>
                <w:rFonts w:ascii="Arial"/>
                <w:color w:val="auto"/>
                <w:sz w:val="21"/>
                <w:highlight w:val="none"/>
              </w:rPr>
            </w:pPr>
          </w:p>
        </w:tc>
        <w:tc>
          <w:tcPr>
            <w:tcW w:w="993" w:type="dxa"/>
            <w:vAlign w:val="top"/>
          </w:tcPr>
          <w:p w14:paraId="18B3D699">
            <w:pPr>
              <w:rPr>
                <w:rFonts w:ascii="Arial"/>
                <w:color w:val="auto"/>
                <w:sz w:val="21"/>
                <w:highlight w:val="none"/>
              </w:rPr>
            </w:pPr>
          </w:p>
        </w:tc>
        <w:tc>
          <w:tcPr>
            <w:tcW w:w="1132" w:type="dxa"/>
            <w:vAlign w:val="top"/>
          </w:tcPr>
          <w:p w14:paraId="0864B01C">
            <w:pPr>
              <w:rPr>
                <w:rFonts w:ascii="Arial"/>
                <w:color w:val="auto"/>
                <w:sz w:val="21"/>
                <w:highlight w:val="none"/>
              </w:rPr>
            </w:pPr>
          </w:p>
        </w:tc>
        <w:tc>
          <w:tcPr>
            <w:tcW w:w="1273" w:type="dxa"/>
            <w:vAlign w:val="top"/>
          </w:tcPr>
          <w:p w14:paraId="47E4C55E">
            <w:pPr>
              <w:rPr>
                <w:rFonts w:ascii="Arial"/>
                <w:color w:val="auto"/>
                <w:sz w:val="21"/>
                <w:highlight w:val="none"/>
              </w:rPr>
            </w:pPr>
          </w:p>
        </w:tc>
        <w:tc>
          <w:tcPr>
            <w:tcW w:w="971" w:type="dxa"/>
            <w:tcBorders>
              <w:right w:val="single" w:color="000000" w:sz="6" w:space="0"/>
            </w:tcBorders>
            <w:vAlign w:val="top"/>
          </w:tcPr>
          <w:p w14:paraId="714115FC">
            <w:pPr>
              <w:rPr>
                <w:rFonts w:ascii="Arial"/>
                <w:color w:val="auto"/>
                <w:sz w:val="21"/>
                <w:highlight w:val="none"/>
              </w:rPr>
            </w:pPr>
          </w:p>
        </w:tc>
      </w:tr>
      <w:tr w14:paraId="2B7583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7DCD44E3">
            <w:pPr>
              <w:rPr>
                <w:rFonts w:ascii="Arial"/>
                <w:color w:val="auto"/>
                <w:sz w:val="21"/>
                <w:highlight w:val="none"/>
              </w:rPr>
            </w:pPr>
          </w:p>
        </w:tc>
        <w:tc>
          <w:tcPr>
            <w:tcW w:w="1841" w:type="dxa"/>
            <w:vAlign w:val="top"/>
          </w:tcPr>
          <w:p w14:paraId="753DC25C">
            <w:pPr>
              <w:rPr>
                <w:rFonts w:ascii="Arial"/>
                <w:color w:val="auto"/>
                <w:sz w:val="21"/>
                <w:highlight w:val="none"/>
              </w:rPr>
            </w:pPr>
          </w:p>
        </w:tc>
        <w:tc>
          <w:tcPr>
            <w:tcW w:w="2407" w:type="dxa"/>
            <w:vAlign w:val="top"/>
          </w:tcPr>
          <w:p w14:paraId="4A7F23DE">
            <w:pPr>
              <w:rPr>
                <w:rFonts w:ascii="Arial"/>
                <w:color w:val="auto"/>
                <w:sz w:val="21"/>
                <w:highlight w:val="none"/>
              </w:rPr>
            </w:pPr>
          </w:p>
        </w:tc>
        <w:tc>
          <w:tcPr>
            <w:tcW w:w="2831" w:type="dxa"/>
            <w:vAlign w:val="top"/>
          </w:tcPr>
          <w:p w14:paraId="0DFBFE71">
            <w:pPr>
              <w:rPr>
                <w:rFonts w:ascii="Arial"/>
                <w:color w:val="auto"/>
                <w:sz w:val="21"/>
                <w:highlight w:val="none"/>
              </w:rPr>
            </w:pPr>
          </w:p>
        </w:tc>
        <w:tc>
          <w:tcPr>
            <w:tcW w:w="851" w:type="dxa"/>
            <w:vAlign w:val="top"/>
          </w:tcPr>
          <w:p w14:paraId="1E935EB2">
            <w:pPr>
              <w:rPr>
                <w:rFonts w:ascii="Arial"/>
                <w:color w:val="auto"/>
                <w:sz w:val="21"/>
                <w:highlight w:val="none"/>
              </w:rPr>
            </w:pPr>
          </w:p>
        </w:tc>
        <w:tc>
          <w:tcPr>
            <w:tcW w:w="990" w:type="dxa"/>
            <w:vAlign w:val="top"/>
          </w:tcPr>
          <w:p w14:paraId="57E165F6">
            <w:pPr>
              <w:rPr>
                <w:rFonts w:ascii="Arial"/>
                <w:color w:val="auto"/>
                <w:sz w:val="21"/>
                <w:highlight w:val="none"/>
              </w:rPr>
            </w:pPr>
          </w:p>
        </w:tc>
        <w:tc>
          <w:tcPr>
            <w:tcW w:w="993" w:type="dxa"/>
            <w:vAlign w:val="top"/>
          </w:tcPr>
          <w:p w14:paraId="74B79C8F">
            <w:pPr>
              <w:rPr>
                <w:rFonts w:ascii="Arial"/>
                <w:color w:val="auto"/>
                <w:sz w:val="21"/>
                <w:highlight w:val="none"/>
              </w:rPr>
            </w:pPr>
          </w:p>
        </w:tc>
        <w:tc>
          <w:tcPr>
            <w:tcW w:w="1132" w:type="dxa"/>
            <w:vAlign w:val="top"/>
          </w:tcPr>
          <w:p w14:paraId="375D9DE8">
            <w:pPr>
              <w:rPr>
                <w:rFonts w:ascii="Arial"/>
                <w:color w:val="auto"/>
                <w:sz w:val="21"/>
                <w:highlight w:val="none"/>
              </w:rPr>
            </w:pPr>
          </w:p>
        </w:tc>
        <w:tc>
          <w:tcPr>
            <w:tcW w:w="1273" w:type="dxa"/>
            <w:vAlign w:val="top"/>
          </w:tcPr>
          <w:p w14:paraId="6201DE03">
            <w:pPr>
              <w:rPr>
                <w:rFonts w:ascii="Arial"/>
                <w:color w:val="auto"/>
                <w:sz w:val="21"/>
                <w:highlight w:val="none"/>
              </w:rPr>
            </w:pPr>
          </w:p>
        </w:tc>
        <w:tc>
          <w:tcPr>
            <w:tcW w:w="971" w:type="dxa"/>
            <w:tcBorders>
              <w:right w:val="single" w:color="000000" w:sz="6" w:space="0"/>
            </w:tcBorders>
            <w:vAlign w:val="top"/>
          </w:tcPr>
          <w:p w14:paraId="1F3C024A">
            <w:pPr>
              <w:rPr>
                <w:rFonts w:ascii="Arial"/>
                <w:color w:val="auto"/>
                <w:sz w:val="21"/>
                <w:highlight w:val="none"/>
              </w:rPr>
            </w:pPr>
          </w:p>
        </w:tc>
      </w:tr>
      <w:tr w14:paraId="200CB7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7C9F8A4D">
            <w:pPr>
              <w:rPr>
                <w:rFonts w:ascii="Arial"/>
                <w:color w:val="auto"/>
                <w:sz w:val="21"/>
                <w:highlight w:val="none"/>
              </w:rPr>
            </w:pPr>
          </w:p>
        </w:tc>
        <w:tc>
          <w:tcPr>
            <w:tcW w:w="1841" w:type="dxa"/>
            <w:vAlign w:val="top"/>
          </w:tcPr>
          <w:p w14:paraId="2F90E47F">
            <w:pPr>
              <w:rPr>
                <w:rFonts w:ascii="Arial"/>
                <w:color w:val="auto"/>
                <w:sz w:val="21"/>
                <w:highlight w:val="none"/>
              </w:rPr>
            </w:pPr>
          </w:p>
        </w:tc>
        <w:tc>
          <w:tcPr>
            <w:tcW w:w="2407" w:type="dxa"/>
            <w:vAlign w:val="top"/>
          </w:tcPr>
          <w:p w14:paraId="06716056">
            <w:pPr>
              <w:rPr>
                <w:rFonts w:ascii="Arial"/>
                <w:color w:val="auto"/>
                <w:sz w:val="21"/>
                <w:highlight w:val="none"/>
              </w:rPr>
            </w:pPr>
          </w:p>
        </w:tc>
        <w:tc>
          <w:tcPr>
            <w:tcW w:w="2831" w:type="dxa"/>
            <w:vAlign w:val="top"/>
          </w:tcPr>
          <w:p w14:paraId="47419518">
            <w:pPr>
              <w:rPr>
                <w:rFonts w:ascii="Arial"/>
                <w:color w:val="auto"/>
                <w:sz w:val="21"/>
                <w:highlight w:val="none"/>
              </w:rPr>
            </w:pPr>
          </w:p>
        </w:tc>
        <w:tc>
          <w:tcPr>
            <w:tcW w:w="851" w:type="dxa"/>
            <w:vAlign w:val="top"/>
          </w:tcPr>
          <w:p w14:paraId="0A66D790">
            <w:pPr>
              <w:rPr>
                <w:rFonts w:ascii="Arial"/>
                <w:color w:val="auto"/>
                <w:sz w:val="21"/>
                <w:highlight w:val="none"/>
              </w:rPr>
            </w:pPr>
          </w:p>
        </w:tc>
        <w:tc>
          <w:tcPr>
            <w:tcW w:w="990" w:type="dxa"/>
            <w:vAlign w:val="top"/>
          </w:tcPr>
          <w:p w14:paraId="3F7C25D8">
            <w:pPr>
              <w:rPr>
                <w:rFonts w:ascii="Arial"/>
                <w:color w:val="auto"/>
                <w:sz w:val="21"/>
                <w:highlight w:val="none"/>
              </w:rPr>
            </w:pPr>
          </w:p>
        </w:tc>
        <w:tc>
          <w:tcPr>
            <w:tcW w:w="993" w:type="dxa"/>
            <w:vAlign w:val="top"/>
          </w:tcPr>
          <w:p w14:paraId="58BDE2C6">
            <w:pPr>
              <w:rPr>
                <w:rFonts w:ascii="Arial"/>
                <w:color w:val="auto"/>
                <w:sz w:val="21"/>
                <w:highlight w:val="none"/>
              </w:rPr>
            </w:pPr>
          </w:p>
        </w:tc>
        <w:tc>
          <w:tcPr>
            <w:tcW w:w="1132" w:type="dxa"/>
            <w:vAlign w:val="top"/>
          </w:tcPr>
          <w:p w14:paraId="1F534C8C">
            <w:pPr>
              <w:rPr>
                <w:rFonts w:ascii="Arial"/>
                <w:color w:val="auto"/>
                <w:sz w:val="21"/>
                <w:highlight w:val="none"/>
              </w:rPr>
            </w:pPr>
          </w:p>
        </w:tc>
        <w:tc>
          <w:tcPr>
            <w:tcW w:w="1273" w:type="dxa"/>
            <w:vAlign w:val="top"/>
          </w:tcPr>
          <w:p w14:paraId="2C52C54D">
            <w:pPr>
              <w:rPr>
                <w:rFonts w:ascii="Arial"/>
                <w:color w:val="auto"/>
                <w:sz w:val="21"/>
                <w:highlight w:val="none"/>
              </w:rPr>
            </w:pPr>
          </w:p>
        </w:tc>
        <w:tc>
          <w:tcPr>
            <w:tcW w:w="971" w:type="dxa"/>
            <w:tcBorders>
              <w:right w:val="single" w:color="000000" w:sz="6" w:space="0"/>
            </w:tcBorders>
            <w:vAlign w:val="top"/>
          </w:tcPr>
          <w:p w14:paraId="65BFAF63">
            <w:pPr>
              <w:rPr>
                <w:rFonts w:ascii="Arial"/>
                <w:color w:val="auto"/>
                <w:sz w:val="21"/>
                <w:highlight w:val="none"/>
              </w:rPr>
            </w:pPr>
          </w:p>
        </w:tc>
      </w:tr>
      <w:tr w14:paraId="34273E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60D4F86F">
            <w:pPr>
              <w:rPr>
                <w:rFonts w:ascii="Arial"/>
                <w:color w:val="auto"/>
                <w:sz w:val="21"/>
                <w:highlight w:val="none"/>
              </w:rPr>
            </w:pPr>
          </w:p>
        </w:tc>
        <w:tc>
          <w:tcPr>
            <w:tcW w:w="1841" w:type="dxa"/>
            <w:vAlign w:val="top"/>
          </w:tcPr>
          <w:p w14:paraId="2E82AE45">
            <w:pPr>
              <w:rPr>
                <w:rFonts w:ascii="Arial"/>
                <w:color w:val="auto"/>
                <w:sz w:val="21"/>
                <w:highlight w:val="none"/>
              </w:rPr>
            </w:pPr>
          </w:p>
        </w:tc>
        <w:tc>
          <w:tcPr>
            <w:tcW w:w="2407" w:type="dxa"/>
            <w:vAlign w:val="top"/>
          </w:tcPr>
          <w:p w14:paraId="6BCAB4C8">
            <w:pPr>
              <w:rPr>
                <w:rFonts w:ascii="Arial"/>
                <w:color w:val="auto"/>
                <w:sz w:val="21"/>
                <w:highlight w:val="none"/>
              </w:rPr>
            </w:pPr>
          </w:p>
        </w:tc>
        <w:tc>
          <w:tcPr>
            <w:tcW w:w="2831" w:type="dxa"/>
            <w:vAlign w:val="top"/>
          </w:tcPr>
          <w:p w14:paraId="47AAFD31">
            <w:pPr>
              <w:rPr>
                <w:rFonts w:ascii="Arial"/>
                <w:color w:val="auto"/>
                <w:sz w:val="21"/>
                <w:highlight w:val="none"/>
              </w:rPr>
            </w:pPr>
          </w:p>
        </w:tc>
        <w:tc>
          <w:tcPr>
            <w:tcW w:w="851" w:type="dxa"/>
            <w:vAlign w:val="top"/>
          </w:tcPr>
          <w:p w14:paraId="159A6460">
            <w:pPr>
              <w:rPr>
                <w:rFonts w:ascii="Arial"/>
                <w:color w:val="auto"/>
                <w:sz w:val="21"/>
                <w:highlight w:val="none"/>
              </w:rPr>
            </w:pPr>
          </w:p>
        </w:tc>
        <w:tc>
          <w:tcPr>
            <w:tcW w:w="990" w:type="dxa"/>
            <w:vAlign w:val="top"/>
          </w:tcPr>
          <w:p w14:paraId="315775F7">
            <w:pPr>
              <w:rPr>
                <w:rFonts w:ascii="Arial"/>
                <w:color w:val="auto"/>
                <w:sz w:val="21"/>
                <w:highlight w:val="none"/>
              </w:rPr>
            </w:pPr>
          </w:p>
        </w:tc>
        <w:tc>
          <w:tcPr>
            <w:tcW w:w="993" w:type="dxa"/>
            <w:vAlign w:val="top"/>
          </w:tcPr>
          <w:p w14:paraId="4AA5F474">
            <w:pPr>
              <w:rPr>
                <w:rFonts w:ascii="Arial"/>
                <w:color w:val="auto"/>
                <w:sz w:val="21"/>
                <w:highlight w:val="none"/>
              </w:rPr>
            </w:pPr>
          </w:p>
        </w:tc>
        <w:tc>
          <w:tcPr>
            <w:tcW w:w="1132" w:type="dxa"/>
            <w:vAlign w:val="top"/>
          </w:tcPr>
          <w:p w14:paraId="1BB7B368">
            <w:pPr>
              <w:rPr>
                <w:rFonts w:ascii="Arial"/>
                <w:color w:val="auto"/>
                <w:sz w:val="21"/>
                <w:highlight w:val="none"/>
              </w:rPr>
            </w:pPr>
          </w:p>
        </w:tc>
        <w:tc>
          <w:tcPr>
            <w:tcW w:w="1273" w:type="dxa"/>
            <w:vAlign w:val="top"/>
          </w:tcPr>
          <w:p w14:paraId="5F7ECE86">
            <w:pPr>
              <w:rPr>
                <w:rFonts w:ascii="Arial"/>
                <w:color w:val="auto"/>
                <w:sz w:val="21"/>
                <w:highlight w:val="none"/>
              </w:rPr>
            </w:pPr>
          </w:p>
        </w:tc>
        <w:tc>
          <w:tcPr>
            <w:tcW w:w="971" w:type="dxa"/>
            <w:tcBorders>
              <w:right w:val="single" w:color="000000" w:sz="6" w:space="0"/>
            </w:tcBorders>
            <w:vAlign w:val="top"/>
          </w:tcPr>
          <w:p w14:paraId="73F6209F">
            <w:pPr>
              <w:rPr>
                <w:rFonts w:ascii="Arial"/>
                <w:color w:val="auto"/>
                <w:sz w:val="21"/>
                <w:highlight w:val="none"/>
              </w:rPr>
            </w:pPr>
          </w:p>
        </w:tc>
      </w:tr>
      <w:tr w14:paraId="094406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4E437DD9">
            <w:pPr>
              <w:rPr>
                <w:rFonts w:ascii="Arial"/>
                <w:color w:val="auto"/>
                <w:sz w:val="21"/>
                <w:highlight w:val="none"/>
              </w:rPr>
            </w:pPr>
          </w:p>
        </w:tc>
        <w:tc>
          <w:tcPr>
            <w:tcW w:w="1841" w:type="dxa"/>
            <w:vAlign w:val="top"/>
          </w:tcPr>
          <w:p w14:paraId="377933C3">
            <w:pPr>
              <w:rPr>
                <w:rFonts w:ascii="Arial"/>
                <w:color w:val="auto"/>
                <w:sz w:val="21"/>
                <w:highlight w:val="none"/>
              </w:rPr>
            </w:pPr>
          </w:p>
        </w:tc>
        <w:tc>
          <w:tcPr>
            <w:tcW w:w="2407" w:type="dxa"/>
            <w:vAlign w:val="top"/>
          </w:tcPr>
          <w:p w14:paraId="0D63C687">
            <w:pPr>
              <w:rPr>
                <w:rFonts w:ascii="Arial"/>
                <w:color w:val="auto"/>
                <w:sz w:val="21"/>
                <w:highlight w:val="none"/>
              </w:rPr>
            </w:pPr>
          </w:p>
        </w:tc>
        <w:tc>
          <w:tcPr>
            <w:tcW w:w="2831" w:type="dxa"/>
            <w:vAlign w:val="top"/>
          </w:tcPr>
          <w:p w14:paraId="2399F816">
            <w:pPr>
              <w:rPr>
                <w:rFonts w:ascii="Arial"/>
                <w:color w:val="auto"/>
                <w:sz w:val="21"/>
                <w:highlight w:val="none"/>
              </w:rPr>
            </w:pPr>
          </w:p>
        </w:tc>
        <w:tc>
          <w:tcPr>
            <w:tcW w:w="851" w:type="dxa"/>
            <w:vAlign w:val="top"/>
          </w:tcPr>
          <w:p w14:paraId="1FFD4F4D">
            <w:pPr>
              <w:rPr>
                <w:rFonts w:ascii="Arial"/>
                <w:color w:val="auto"/>
                <w:sz w:val="21"/>
                <w:highlight w:val="none"/>
              </w:rPr>
            </w:pPr>
          </w:p>
        </w:tc>
        <w:tc>
          <w:tcPr>
            <w:tcW w:w="990" w:type="dxa"/>
            <w:vAlign w:val="top"/>
          </w:tcPr>
          <w:p w14:paraId="7E3813C5">
            <w:pPr>
              <w:rPr>
                <w:rFonts w:ascii="Arial"/>
                <w:color w:val="auto"/>
                <w:sz w:val="21"/>
                <w:highlight w:val="none"/>
              </w:rPr>
            </w:pPr>
          </w:p>
        </w:tc>
        <w:tc>
          <w:tcPr>
            <w:tcW w:w="993" w:type="dxa"/>
            <w:vAlign w:val="top"/>
          </w:tcPr>
          <w:p w14:paraId="304E2146">
            <w:pPr>
              <w:rPr>
                <w:rFonts w:ascii="Arial"/>
                <w:color w:val="auto"/>
                <w:sz w:val="21"/>
                <w:highlight w:val="none"/>
              </w:rPr>
            </w:pPr>
          </w:p>
        </w:tc>
        <w:tc>
          <w:tcPr>
            <w:tcW w:w="1132" w:type="dxa"/>
            <w:vAlign w:val="top"/>
          </w:tcPr>
          <w:p w14:paraId="4535DCDD">
            <w:pPr>
              <w:rPr>
                <w:rFonts w:ascii="Arial"/>
                <w:color w:val="auto"/>
                <w:sz w:val="21"/>
                <w:highlight w:val="none"/>
              </w:rPr>
            </w:pPr>
          </w:p>
        </w:tc>
        <w:tc>
          <w:tcPr>
            <w:tcW w:w="1273" w:type="dxa"/>
            <w:vAlign w:val="top"/>
          </w:tcPr>
          <w:p w14:paraId="4849A1D1">
            <w:pPr>
              <w:rPr>
                <w:rFonts w:ascii="Arial"/>
                <w:color w:val="auto"/>
                <w:sz w:val="21"/>
                <w:highlight w:val="none"/>
              </w:rPr>
            </w:pPr>
          </w:p>
        </w:tc>
        <w:tc>
          <w:tcPr>
            <w:tcW w:w="971" w:type="dxa"/>
            <w:tcBorders>
              <w:right w:val="single" w:color="000000" w:sz="6" w:space="0"/>
            </w:tcBorders>
            <w:vAlign w:val="top"/>
          </w:tcPr>
          <w:p w14:paraId="5F992443">
            <w:pPr>
              <w:rPr>
                <w:rFonts w:ascii="Arial"/>
                <w:color w:val="auto"/>
                <w:sz w:val="21"/>
                <w:highlight w:val="none"/>
              </w:rPr>
            </w:pPr>
          </w:p>
        </w:tc>
      </w:tr>
      <w:tr w14:paraId="4813798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2E207E2E">
            <w:pPr>
              <w:rPr>
                <w:rFonts w:ascii="Arial"/>
                <w:color w:val="auto"/>
                <w:sz w:val="21"/>
                <w:highlight w:val="none"/>
              </w:rPr>
            </w:pPr>
          </w:p>
        </w:tc>
        <w:tc>
          <w:tcPr>
            <w:tcW w:w="1841" w:type="dxa"/>
            <w:vAlign w:val="top"/>
          </w:tcPr>
          <w:p w14:paraId="4C9F7267">
            <w:pPr>
              <w:rPr>
                <w:rFonts w:ascii="Arial"/>
                <w:color w:val="auto"/>
                <w:sz w:val="21"/>
                <w:highlight w:val="none"/>
              </w:rPr>
            </w:pPr>
          </w:p>
        </w:tc>
        <w:tc>
          <w:tcPr>
            <w:tcW w:w="2407" w:type="dxa"/>
            <w:vAlign w:val="top"/>
          </w:tcPr>
          <w:p w14:paraId="41BA8A0F">
            <w:pPr>
              <w:rPr>
                <w:rFonts w:ascii="Arial"/>
                <w:color w:val="auto"/>
                <w:sz w:val="21"/>
                <w:highlight w:val="none"/>
              </w:rPr>
            </w:pPr>
          </w:p>
        </w:tc>
        <w:tc>
          <w:tcPr>
            <w:tcW w:w="2831" w:type="dxa"/>
            <w:vAlign w:val="top"/>
          </w:tcPr>
          <w:p w14:paraId="201903ED">
            <w:pPr>
              <w:rPr>
                <w:rFonts w:ascii="Arial"/>
                <w:color w:val="auto"/>
                <w:sz w:val="21"/>
                <w:highlight w:val="none"/>
              </w:rPr>
            </w:pPr>
          </w:p>
        </w:tc>
        <w:tc>
          <w:tcPr>
            <w:tcW w:w="851" w:type="dxa"/>
            <w:vAlign w:val="top"/>
          </w:tcPr>
          <w:p w14:paraId="30A852E1">
            <w:pPr>
              <w:rPr>
                <w:rFonts w:ascii="Arial"/>
                <w:color w:val="auto"/>
                <w:sz w:val="21"/>
                <w:highlight w:val="none"/>
              </w:rPr>
            </w:pPr>
          </w:p>
        </w:tc>
        <w:tc>
          <w:tcPr>
            <w:tcW w:w="990" w:type="dxa"/>
            <w:vAlign w:val="top"/>
          </w:tcPr>
          <w:p w14:paraId="6B20CC17">
            <w:pPr>
              <w:rPr>
                <w:rFonts w:ascii="Arial"/>
                <w:color w:val="auto"/>
                <w:sz w:val="21"/>
                <w:highlight w:val="none"/>
              </w:rPr>
            </w:pPr>
          </w:p>
        </w:tc>
        <w:tc>
          <w:tcPr>
            <w:tcW w:w="993" w:type="dxa"/>
            <w:vAlign w:val="top"/>
          </w:tcPr>
          <w:p w14:paraId="3B9BE81A">
            <w:pPr>
              <w:rPr>
                <w:rFonts w:ascii="Arial"/>
                <w:color w:val="auto"/>
                <w:sz w:val="21"/>
                <w:highlight w:val="none"/>
              </w:rPr>
            </w:pPr>
          </w:p>
        </w:tc>
        <w:tc>
          <w:tcPr>
            <w:tcW w:w="1132" w:type="dxa"/>
            <w:vAlign w:val="top"/>
          </w:tcPr>
          <w:p w14:paraId="036DCFE1">
            <w:pPr>
              <w:rPr>
                <w:rFonts w:ascii="Arial"/>
                <w:color w:val="auto"/>
                <w:sz w:val="21"/>
                <w:highlight w:val="none"/>
              </w:rPr>
            </w:pPr>
          </w:p>
        </w:tc>
        <w:tc>
          <w:tcPr>
            <w:tcW w:w="1273" w:type="dxa"/>
            <w:vAlign w:val="top"/>
          </w:tcPr>
          <w:p w14:paraId="727360C2">
            <w:pPr>
              <w:rPr>
                <w:rFonts w:ascii="Arial"/>
                <w:color w:val="auto"/>
                <w:sz w:val="21"/>
                <w:highlight w:val="none"/>
              </w:rPr>
            </w:pPr>
          </w:p>
        </w:tc>
        <w:tc>
          <w:tcPr>
            <w:tcW w:w="971" w:type="dxa"/>
            <w:tcBorders>
              <w:right w:val="single" w:color="000000" w:sz="6" w:space="0"/>
            </w:tcBorders>
            <w:vAlign w:val="top"/>
          </w:tcPr>
          <w:p w14:paraId="316612CA">
            <w:pPr>
              <w:rPr>
                <w:rFonts w:ascii="Arial"/>
                <w:color w:val="auto"/>
                <w:sz w:val="21"/>
                <w:highlight w:val="none"/>
              </w:rPr>
            </w:pPr>
          </w:p>
        </w:tc>
      </w:tr>
      <w:tr w14:paraId="6F3D84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760" w:type="dxa"/>
            <w:tcBorders>
              <w:left w:val="single" w:color="000000" w:sz="6" w:space="0"/>
              <w:bottom w:val="single" w:color="000000" w:sz="6" w:space="0"/>
            </w:tcBorders>
            <w:vAlign w:val="top"/>
          </w:tcPr>
          <w:p w14:paraId="2BE402EC">
            <w:pPr>
              <w:rPr>
                <w:rFonts w:ascii="Arial"/>
                <w:color w:val="auto"/>
                <w:sz w:val="21"/>
                <w:highlight w:val="none"/>
              </w:rPr>
            </w:pPr>
          </w:p>
        </w:tc>
        <w:tc>
          <w:tcPr>
            <w:tcW w:w="1841" w:type="dxa"/>
            <w:tcBorders>
              <w:bottom w:val="single" w:color="000000" w:sz="6" w:space="0"/>
            </w:tcBorders>
            <w:vAlign w:val="top"/>
          </w:tcPr>
          <w:p w14:paraId="426DDDDD">
            <w:pPr>
              <w:rPr>
                <w:rFonts w:ascii="Arial"/>
                <w:color w:val="auto"/>
                <w:sz w:val="21"/>
                <w:highlight w:val="none"/>
              </w:rPr>
            </w:pPr>
          </w:p>
        </w:tc>
        <w:tc>
          <w:tcPr>
            <w:tcW w:w="2407" w:type="dxa"/>
            <w:tcBorders>
              <w:bottom w:val="single" w:color="000000" w:sz="6" w:space="0"/>
            </w:tcBorders>
            <w:vAlign w:val="top"/>
          </w:tcPr>
          <w:p w14:paraId="63D67E07">
            <w:pPr>
              <w:pStyle w:val="33"/>
              <w:spacing w:before="174" w:line="221" w:lineRule="auto"/>
              <w:ind w:left="848"/>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2831" w:type="dxa"/>
            <w:tcBorders>
              <w:bottom w:val="single" w:color="000000" w:sz="6" w:space="0"/>
            </w:tcBorders>
            <w:vAlign w:val="top"/>
          </w:tcPr>
          <w:p w14:paraId="3E13D0A3">
            <w:pPr>
              <w:rPr>
                <w:rFonts w:ascii="Arial"/>
                <w:color w:val="auto"/>
                <w:sz w:val="21"/>
                <w:highlight w:val="none"/>
              </w:rPr>
            </w:pPr>
          </w:p>
        </w:tc>
        <w:tc>
          <w:tcPr>
            <w:tcW w:w="851" w:type="dxa"/>
            <w:tcBorders>
              <w:bottom w:val="single" w:color="000000" w:sz="6" w:space="0"/>
            </w:tcBorders>
            <w:vAlign w:val="top"/>
          </w:tcPr>
          <w:p w14:paraId="40A46C0B">
            <w:pPr>
              <w:rPr>
                <w:rFonts w:ascii="Arial"/>
                <w:color w:val="auto"/>
                <w:sz w:val="21"/>
                <w:highlight w:val="none"/>
              </w:rPr>
            </w:pPr>
          </w:p>
        </w:tc>
        <w:tc>
          <w:tcPr>
            <w:tcW w:w="990" w:type="dxa"/>
            <w:tcBorders>
              <w:bottom w:val="single" w:color="000000" w:sz="6" w:space="0"/>
            </w:tcBorders>
            <w:vAlign w:val="top"/>
          </w:tcPr>
          <w:p w14:paraId="481E6077">
            <w:pPr>
              <w:rPr>
                <w:rFonts w:ascii="Arial"/>
                <w:color w:val="auto"/>
                <w:sz w:val="21"/>
                <w:highlight w:val="none"/>
              </w:rPr>
            </w:pPr>
          </w:p>
        </w:tc>
        <w:tc>
          <w:tcPr>
            <w:tcW w:w="993" w:type="dxa"/>
            <w:tcBorders>
              <w:bottom w:val="single" w:color="000000" w:sz="6" w:space="0"/>
            </w:tcBorders>
            <w:vAlign w:val="top"/>
          </w:tcPr>
          <w:p w14:paraId="5EDE0318">
            <w:pPr>
              <w:rPr>
                <w:rFonts w:ascii="Arial"/>
                <w:color w:val="auto"/>
                <w:sz w:val="21"/>
                <w:highlight w:val="none"/>
              </w:rPr>
            </w:pPr>
          </w:p>
        </w:tc>
        <w:tc>
          <w:tcPr>
            <w:tcW w:w="1132" w:type="dxa"/>
            <w:tcBorders>
              <w:bottom w:val="single" w:color="000000" w:sz="6" w:space="0"/>
            </w:tcBorders>
            <w:vAlign w:val="top"/>
          </w:tcPr>
          <w:p w14:paraId="21EAB172">
            <w:pPr>
              <w:rPr>
                <w:rFonts w:ascii="Arial"/>
                <w:color w:val="auto"/>
                <w:sz w:val="21"/>
                <w:highlight w:val="none"/>
              </w:rPr>
            </w:pPr>
          </w:p>
        </w:tc>
        <w:tc>
          <w:tcPr>
            <w:tcW w:w="1273" w:type="dxa"/>
            <w:tcBorders>
              <w:bottom w:val="single" w:color="000000" w:sz="6" w:space="0"/>
            </w:tcBorders>
            <w:vAlign w:val="top"/>
          </w:tcPr>
          <w:p w14:paraId="5865280B">
            <w:pPr>
              <w:rPr>
                <w:rFonts w:ascii="Arial"/>
                <w:color w:val="auto"/>
                <w:sz w:val="21"/>
                <w:highlight w:val="none"/>
              </w:rPr>
            </w:pPr>
          </w:p>
        </w:tc>
        <w:tc>
          <w:tcPr>
            <w:tcW w:w="971" w:type="dxa"/>
            <w:tcBorders>
              <w:bottom w:val="single" w:color="000000" w:sz="6" w:space="0"/>
              <w:right w:val="single" w:color="000000" w:sz="6" w:space="0"/>
            </w:tcBorders>
            <w:vAlign w:val="top"/>
          </w:tcPr>
          <w:p w14:paraId="083C737E">
            <w:pPr>
              <w:rPr>
                <w:rFonts w:ascii="Arial"/>
                <w:color w:val="auto"/>
                <w:sz w:val="21"/>
                <w:highlight w:val="none"/>
              </w:rPr>
            </w:pPr>
          </w:p>
        </w:tc>
      </w:tr>
    </w:tbl>
    <w:p w14:paraId="080937FF">
      <w:pPr>
        <w:spacing w:before="311" w:line="219" w:lineRule="auto"/>
        <w:ind w:left="6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法定代表人或委托代理人</w:t>
      </w:r>
      <w:r>
        <w:rPr>
          <w:rFonts w:ascii="宋体" w:hAnsi="宋体" w:eastAsia="宋体" w:cs="宋体"/>
          <w:color w:val="auto"/>
          <w:spacing w:val="-11"/>
          <w:sz w:val="24"/>
          <w:szCs w:val="24"/>
          <w:highlight w:val="none"/>
        </w:rPr>
        <w:t>：</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1"/>
          <w:sz w:val="24"/>
          <w:szCs w:val="24"/>
          <w:highlight w:val="none"/>
          <w:u w:val="single" w:color="auto"/>
        </w:rPr>
        <w:t>（</w:t>
      </w:r>
      <w:r>
        <w:rPr>
          <w:rFonts w:ascii="宋体" w:hAnsi="宋体" w:eastAsia="宋体" w:cs="宋体"/>
          <w:color w:val="auto"/>
          <w:spacing w:val="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5462A010">
      <w:pPr>
        <w:spacing w:line="219" w:lineRule="auto"/>
        <w:rPr>
          <w:rFonts w:ascii="宋体" w:hAnsi="宋体" w:eastAsia="宋体" w:cs="宋体"/>
          <w:color w:val="auto"/>
          <w:sz w:val="24"/>
          <w:szCs w:val="24"/>
          <w:highlight w:val="none"/>
        </w:rPr>
        <w:sectPr>
          <w:footerReference r:id="rId15" w:type="default"/>
          <w:pgSz w:w="16843" w:h="11905" w:orient="landscape"/>
          <w:pgMar w:top="1621" w:right="1429" w:bottom="1361" w:left="1253" w:header="0" w:footer="1094" w:gutter="0"/>
          <w:pgNumType w:fmt="decimal"/>
          <w:cols w:space="0" w:num="1"/>
          <w:rtlGutter w:val="0"/>
          <w:docGrid w:linePitch="0" w:charSpace="0"/>
        </w:sectPr>
      </w:pPr>
    </w:p>
    <w:p w14:paraId="1D796CD4">
      <w:pPr>
        <w:pStyle w:val="3"/>
        <w:spacing w:line="262" w:lineRule="auto"/>
        <w:rPr>
          <w:color w:val="auto"/>
          <w:highlight w:val="none"/>
        </w:rPr>
      </w:pPr>
    </w:p>
    <w:p w14:paraId="0EC13E14">
      <w:pPr>
        <w:spacing w:before="91" w:line="219" w:lineRule="auto"/>
        <w:ind w:left="4049"/>
        <w:rPr>
          <w:rFonts w:ascii="宋体" w:hAnsi="宋体" w:eastAsia="宋体" w:cs="宋体"/>
          <w:color w:val="auto"/>
          <w:sz w:val="28"/>
          <w:szCs w:val="28"/>
          <w:highlight w:val="none"/>
        </w:rPr>
      </w:pPr>
      <w:r>
        <w:rPr>
          <w:rFonts w:ascii="宋体" w:hAnsi="宋体" w:eastAsia="宋体" w:cs="宋体"/>
          <w:b/>
          <w:bCs/>
          <w:color w:val="auto"/>
          <w:spacing w:val="-3"/>
          <w:sz w:val="28"/>
          <w:szCs w:val="28"/>
          <w:highlight w:val="none"/>
        </w:rPr>
        <w:t>机电设备及安装工程分类分项工程量清单计价表</w:t>
      </w:r>
    </w:p>
    <w:p w14:paraId="364D78AF">
      <w:pPr>
        <w:spacing w:before="205" w:line="212" w:lineRule="auto"/>
        <w:ind w:left="2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        第  页共  页</w:t>
      </w:r>
    </w:p>
    <w:tbl>
      <w:tblPr>
        <w:tblStyle w:val="32"/>
        <w:tblW w:w="1396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1556"/>
        <w:gridCol w:w="2126"/>
        <w:gridCol w:w="1980"/>
        <w:gridCol w:w="851"/>
        <w:gridCol w:w="849"/>
        <w:gridCol w:w="1134"/>
        <w:gridCol w:w="990"/>
        <w:gridCol w:w="992"/>
        <w:gridCol w:w="849"/>
        <w:gridCol w:w="1131"/>
        <w:gridCol w:w="789"/>
      </w:tblGrid>
      <w:tr w14:paraId="797C6FD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722" w:type="dxa"/>
            <w:vMerge w:val="restart"/>
            <w:tcBorders>
              <w:top w:val="single" w:color="000000" w:sz="6" w:space="0"/>
              <w:left w:val="single" w:color="000000" w:sz="6" w:space="0"/>
              <w:bottom w:val="nil"/>
            </w:tcBorders>
            <w:vAlign w:val="top"/>
          </w:tcPr>
          <w:p w14:paraId="11348703">
            <w:pPr>
              <w:spacing w:line="303" w:lineRule="auto"/>
              <w:rPr>
                <w:rFonts w:ascii="Arial"/>
                <w:color w:val="auto"/>
                <w:sz w:val="21"/>
                <w:highlight w:val="none"/>
              </w:rPr>
            </w:pPr>
          </w:p>
          <w:p w14:paraId="0E666544">
            <w:pPr>
              <w:pStyle w:val="33"/>
              <w:spacing w:before="78" w:line="221" w:lineRule="auto"/>
              <w:ind w:left="120"/>
              <w:rPr>
                <w:color w:val="auto"/>
                <w:sz w:val="24"/>
                <w:szCs w:val="24"/>
                <w:highlight w:val="none"/>
              </w:rPr>
            </w:pPr>
            <w:r>
              <w:rPr>
                <w:color w:val="auto"/>
                <w:spacing w:val="-3"/>
                <w:sz w:val="24"/>
                <w:szCs w:val="24"/>
                <w:highlight w:val="none"/>
              </w:rPr>
              <w:t>序号</w:t>
            </w:r>
          </w:p>
        </w:tc>
        <w:tc>
          <w:tcPr>
            <w:tcW w:w="1556" w:type="dxa"/>
            <w:vMerge w:val="restart"/>
            <w:tcBorders>
              <w:top w:val="single" w:color="000000" w:sz="6" w:space="0"/>
              <w:bottom w:val="nil"/>
            </w:tcBorders>
            <w:vAlign w:val="top"/>
          </w:tcPr>
          <w:p w14:paraId="4AA7A0AD">
            <w:pPr>
              <w:spacing w:line="303" w:lineRule="auto"/>
              <w:rPr>
                <w:rFonts w:ascii="Arial"/>
                <w:color w:val="auto"/>
                <w:sz w:val="21"/>
                <w:highlight w:val="none"/>
              </w:rPr>
            </w:pPr>
          </w:p>
          <w:p w14:paraId="387B77F8">
            <w:pPr>
              <w:pStyle w:val="33"/>
              <w:spacing w:before="78" w:line="220" w:lineRule="auto"/>
              <w:ind w:left="301"/>
              <w:rPr>
                <w:color w:val="auto"/>
                <w:sz w:val="24"/>
                <w:szCs w:val="24"/>
                <w:highlight w:val="none"/>
              </w:rPr>
            </w:pPr>
            <w:r>
              <w:rPr>
                <w:color w:val="auto"/>
                <w:spacing w:val="-3"/>
                <w:sz w:val="24"/>
                <w:szCs w:val="24"/>
                <w:highlight w:val="none"/>
              </w:rPr>
              <w:t>项目编码</w:t>
            </w:r>
          </w:p>
        </w:tc>
        <w:tc>
          <w:tcPr>
            <w:tcW w:w="2126" w:type="dxa"/>
            <w:vMerge w:val="restart"/>
            <w:tcBorders>
              <w:top w:val="single" w:color="000000" w:sz="6" w:space="0"/>
              <w:bottom w:val="nil"/>
            </w:tcBorders>
            <w:vAlign w:val="top"/>
          </w:tcPr>
          <w:p w14:paraId="27664242">
            <w:pPr>
              <w:spacing w:line="304" w:lineRule="auto"/>
              <w:rPr>
                <w:rFonts w:ascii="Arial"/>
                <w:color w:val="auto"/>
                <w:sz w:val="21"/>
                <w:highlight w:val="none"/>
              </w:rPr>
            </w:pPr>
          </w:p>
          <w:p w14:paraId="6A1D18D2">
            <w:pPr>
              <w:pStyle w:val="33"/>
              <w:spacing w:before="78" w:line="220" w:lineRule="auto"/>
              <w:ind w:left="588"/>
              <w:rPr>
                <w:color w:val="auto"/>
                <w:sz w:val="24"/>
                <w:szCs w:val="24"/>
                <w:highlight w:val="none"/>
              </w:rPr>
            </w:pPr>
            <w:r>
              <w:rPr>
                <w:color w:val="auto"/>
                <w:spacing w:val="-3"/>
                <w:sz w:val="24"/>
                <w:szCs w:val="24"/>
                <w:highlight w:val="none"/>
              </w:rPr>
              <w:t>项目名称</w:t>
            </w:r>
          </w:p>
        </w:tc>
        <w:tc>
          <w:tcPr>
            <w:tcW w:w="1980" w:type="dxa"/>
            <w:vMerge w:val="restart"/>
            <w:tcBorders>
              <w:top w:val="single" w:color="000000" w:sz="6" w:space="0"/>
              <w:bottom w:val="nil"/>
            </w:tcBorders>
            <w:vAlign w:val="top"/>
          </w:tcPr>
          <w:p w14:paraId="180D6D83">
            <w:pPr>
              <w:pStyle w:val="33"/>
              <w:spacing w:before="226" w:line="230" w:lineRule="auto"/>
              <w:ind w:left="515" w:right="509" w:firstLine="3"/>
              <w:rPr>
                <w:color w:val="auto"/>
                <w:sz w:val="24"/>
                <w:szCs w:val="24"/>
                <w:highlight w:val="none"/>
              </w:rPr>
            </w:pPr>
            <w:r>
              <w:rPr>
                <w:color w:val="auto"/>
                <w:spacing w:val="-4"/>
                <w:sz w:val="24"/>
                <w:szCs w:val="24"/>
                <w:highlight w:val="none"/>
              </w:rPr>
              <w:t>项目主要</w:t>
            </w:r>
            <w:r>
              <w:rPr>
                <w:color w:val="auto"/>
                <w:spacing w:val="1"/>
                <w:sz w:val="24"/>
                <w:szCs w:val="24"/>
                <w:highlight w:val="none"/>
              </w:rPr>
              <w:t xml:space="preserve"> </w:t>
            </w:r>
            <w:r>
              <w:rPr>
                <w:color w:val="auto"/>
                <w:spacing w:val="-11"/>
                <w:sz w:val="24"/>
                <w:szCs w:val="24"/>
                <w:highlight w:val="none"/>
              </w:rPr>
              <w:t>特</w:t>
            </w:r>
            <w:r>
              <w:rPr>
                <w:color w:val="auto"/>
                <w:spacing w:val="3"/>
                <w:sz w:val="24"/>
                <w:szCs w:val="24"/>
                <w:highlight w:val="none"/>
              </w:rPr>
              <w:t xml:space="preserve">    </w:t>
            </w:r>
            <w:r>
              <w:rPr>
                <w:color w:val="auto"/>
                <w:spacing w:val="-11"/>
                <w:sz w:val="24"/>
                <w:szCs w:val="24"/>
                <w:highlight w:val="none"/>
              </w:rPr>
              <w:t>征</w:t>
            </w:r>
          </w:p>
        </w:tc>
        <w:tc>
          <w:tcPr>
            <w:tcW w:w="851" w:type="dxa"/>
            <w:vMerge w:val="restart"/>
            <w:tcBorders>
              <w:top w:val="single" w:color="000000" w:sz="6" w:space="0"/>
              <w:bottom w:val="nil"/>
            </w:tcBorders>
            <w:vAlign w:val="top"/>
          </w:tcPr>
          <w:p w14:paraId="4507074D">
            <w:pPr>
              <w:pStyle w:val="33"/>
              <w:spacing w:before="227" w:line="230" w:lineRule="auto"/>
              <w:ind w:left="192" w:right="184"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849" w:type="dxa"/>
            <w:vMerge w:val="restart"/>
            <w:tcBorders>
              <w:top w:val="single" w:color="000000" w:sz="6" w:space="0"/>
              <w:bottom w:val="nil"/>
            </w:tcBorders>
            <w:vAlign w:val="top"/>
          </w:tcPr>
          <w:p w14:paraId="382E6D29">
            <w:pPr>
              <w:pStyle w:val="33"/>
              <w:spacing w:before="226" w:line="230" w:lineRule="auto"/>
              <w:ind w:left="194" w:right="181"/>
              <w:rPr>
                <w:color w:val="auto"/>
                <w:sz w:val="24"/>
                <w:szCs w:val="24"/>
                <w:highlight w:val="none"/>
              </w:rPr>
            </w:pPr>
            <w:r>
              <w:rPr>
                <w:color w:val="auto"/>
                <w:spacing w:val="-7"/>
                <w:sz w:val="24"/>
                <w:szCs w:val="24"/>
                <w:highlight w:val="none"/>
              </w:rPr>
              <w:t>工程</w:t>
            </w:r>
            <w:r>
              <w:rPr>
                <w:color w:val="auto"/>
                <w:sz w:val="24"/>
                <w:szCs w:val="24"/>
                <w:highlight w:val="none"/>
              </w:rPr>
              <w:t xml:space="preserve"> </w:t>
            </w:r>
            <w:r>
              <w:rPr>
                <w:color w:val="auto"/>
                <w:spacing w:val="-6"/>
                <w:sz w:val="24"/>
                <w:szCs w:val="24"/>
                <w:highlight w:val="none"/>
              </w:rPr>
              <w:t>数量</w:t>
            </w:r>
          </w:p>
        </w:tc>
        <w:tc>
          <w:tcPr>
            <w:tcW w:w="2124" w:type="dxa"/>
            <w:gridSpan w:val="2"/>
            <w:tcBorders>
              <w:top w:val="single" w:color="000000" w:sz="6" w:space="0"/>
            </w:tcBorders>
            <w:vAlign w:val="top"/>
          </w:tcPr>
          <w:p w14:paraId="36D152BB">
            <w:pPr>
              <w:pStyle w:val="33"/>
              <w:spacing w:before="131" w:line="218" w:lineRule="auto"/>
              <w:ind w:left="473"/>
              <w:rPr>
                <w:color w:val="auto"/>
                <w:sz w:val="24"/>
                <w:szCs w:val="24"/>
                <w:highlight w:val="none"/>
              </w:rPr>
            </w:pPr>
            <w:r>
              <w:rPr>
                <w:color w:val="auto"/>
                <w:spacing w:val="-5"/>
                <w:sz w:val="24"/>
                <w:szCs w:val="24"/>
                <w:highlight w:val="none"/>
              </w:rPr>
              <w:t>单价（元）</w:t>
            </w:r>
          </w:p>
        </w:tc>
        <w:tc>
          <w:tcPr>
            <w:tcW w:w="1841" w:type="dxa"/>
            <w:gridSpan w:val="2"/>
            <w:tcBorders>
              <w:top w:val="single" w:color="000000" w:sz="6" w:space="0"/>
            </w:tcBorders>
            <w:vAlign w:val="top"/>
          </w:tcPr>
          <w:p w14:paraId="21700629">
            <w:pPr>
              <w:pStyle w:val="33"/>
              <w:spacing w:before="131" w:line="218" w:lineRule="auto"/>
              <w:ind w:left="333"/>
              <w:rPr>
                <w:color w:val="auto"/>
                <w:sz w:val="24"/>
                <w:szCs w:val="24"/>
                <w:highlight w:val="none"/>
              </w:rPr>
            </w:pPr>
            <w:r>
              <w:rPr>
                <w:color w:val="auto"/>
                <w:spacing w:val="-5"/>
                <w:sz w:val="24"/>
                <w:szCs w:val="24"/>
                <w:highlight w:val="none"/>
              </w:rPr>
              <w:t>合价（元）</w:t>
            </w:r>
          </w:p>
        </w:tc>
        <w:tc>
          <w:tcPr>
            <w:tcW w:w="1131" w:type="dxa"/>
            <w:vMerge w:val="restart"/>
            <w:tcBorders>
              <w:top w:val="single" w:color="000000" w:sz="6" w:space="0"/>
              <w:bottom w:val="nil"/>
            </w:tcBorders>
            <w:vAlign w:val="top"/>
          </w:tcPr>
          <w:p w14:paraId="2CA36C25">
            <w:pPr>
              <w:pStyle w:val="33"/>
              <w:spacing w:before="226" w:line="230" w:lineRule="auto"/>
              <w:ind w:left="101" w:right="76"/>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789" w:type="dxa"/>
            <w:vMerge w:val="restart"/>
            <w:tcBorders>
              <w:top w:val="single" w:color="000000" w:sz="6" w:space="0"/>
              <w:bottom w:val="nil"/>
              <w:right w:val="single" w:color="000000" w:sz="6" w:space="0"/>
            </w:tcBorders>
            <w:vAlign w:val="top"/>
          </w:tcPr>
          <w:p w14:paraId="21DA8E46">
            <w:pPr>
              <w:spacing w:line="303" w:lineRule="auto"/>
              <w:rPr>
                <w:rFonts w:ascii="Arial"/>
                <w:color w:val="auto"/>
                <w:sz w:val="21"/>
                <w:highlight w:val="none"/>
              </w:rPr>
            </w:pPr>
          </w:p>
          <w:p w14:paraId="20CA82A2">
            <w:pPr>
              <w:pStyle w:val="33"/>
              <w:spacing w:before="78" w:line="221" w:lineRule="auto"/>
              <w:ind w:left="163"/>
              <w:rPr>
                <w:color w:val="auto"/>
                <w:sz w:val="24"/>
                <w:szCs w:val="24"/>
                <w:highlight w:val="none"/>
              </w:rPr>
            </w:pPr>
            <w:r>
              <w:rPr>
                <w:color w:val="auto"/>
                <w:spacing w:val="-4"/>
                <w:sz w:val="24"/>
                <w:szCs w:val="24"/>
                <w:highlight w:val="none"/>
              </w:rPr>
              <w:t>备注</w:t>
            </w:r>
          </w:p>
        </w:tc>
      </w:tr>
      <w:tr w14:paraId="53746F1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722" w:type="dxa"/>
            <w:vMerge w:val="continue"/>
            <w:tcBorders>
              <w:top w:val="nil"/>
              <w:left w:val="single" w:color="000000" w:sz="6" w:space="0"/>
            </w:tcBorders>
            <w:vAlign w:val="top"/>
          </w:tcPr>
          <w:p w14:paraId="021E676B">
            <w:pPr>
              <w:rPr>
                <w:rFonts w:ascii="Arial"/>
                <w:color w:val="auto"/>
                <w:sz w:val="21"/>
                <w:highlight w:val="none"/>
              </w:rPr>
            </w:pPr>
          </w:p>
        </w:tc>
        <w:tc>
          <w:tcPr>
            <w:tcW w:w="1556" w:type="dxa"/>
            <w:vMerge w:val="continue"/>
            <w:tcBorders>
              <w:top w:val="nil"/>
            </w:tcBorders>
            <w:vAlign w:val="top"/>
          </w:tcPr>
          <w:p w14:paraId="684F97B0">
            <w:pPr>
              <w:rPr>
                <w:rFonts w:ascii="Arial"/>
                <w:color w:val="auto"/>
                <w:sz w:val="21"/>
                <w:highlight w:val="none"/>
              </w:rPr>
            </w:pPr>
          </w:p>
        </w:tc>
        <w:tc>
          <w:tcPr>
            <w:tcW w:w="2126" w:type="dxa"/>
            <w:vMerge w:val="continue"/>
            <w:tcBorders>
              <w:top w:val="nil"/>
            </w:tcBorders>
            <w:vAlign w:val="top"/>
          </w:tcPr>
          <w:p w14:paraId="6BAA14A5">
            <w:pPr>
              <w:rPr>
                <w:rFonts w:ascii="Arial"/>
                <w:color w:val="auto"/>
                <w:sz w:val="21"/>
                <w:highlight w:val="none"/>
              </w:rPr>
            </w:pPr>
          </w:p>
        </w:tc>
        <w:tc>
          <w:tcPr>
            <w:tcW w:w="1980" w:type="dxa"/>
            <w:vMerge w:val="continue"/>
            <w:tcBorders>
              <w:top w:val="nil"/>
            </w:tcBorders>
            <w:vAlign w:val="top"/>
          </w:tcPr>
          <w:p w14:paraId="02075490">
            <w:pPr>
              <w:rPr>
                <w:rFonts w:ascii="Arial"/>
                <w:color w:val="auto"/>
                <w:sz w:val="21"/>
                <w:highlight w:val="none"/>
              </w:rPr>
            </w:pPr>
          </w:p>
        </w:tc>
        <w:tc>
          <w:tcPr>
            <w:tcW w:w="851" w:type="dxa"/>
            <w:vMerge w:val="continue"/>
            <w:tcBorders>
              <w:top w:val="nil"/>
            </w:tcBorders>
            <w:vAlign w:val="top"/>
          </w:tcPr>
          <w:p w14:paraId="562072B0">
            <w:pPr>
              <w:rPr>
                <w:rFonts w:ascii="Arial"/>
                <w:color w:val="auto"/>
                <w:sz w:val="21"/>
                <w:highlight w:val="none"/>
              </w:rPr>
            </w:pPr>
          </w:p>
        </w:tc>
        <w:tc>
          <w:tcPr>
            <w:tcW w:w="849" w:type="dxa"/>
            <w:vMerge w:val="continue"/>
            <w:tcBorders>
              <w:top w:val="nil"/>
            </w:tcBorders>
            <w:vAlign w:val="top"/>
          </w:tcPr>
          <w:p w14:paraId="049B6E09">
            <w:pPr>
              <w:rPr>
                <w:rFonts w:ascii="Arial"/>
                <w:color w:val="auto"/>
                <w:sz w:val="21"/>
                <w:highlight w:val="none"/>
              </w:rPr>
            </w:pPr>
          </w:p>
        </w:tc>
        <w:tc>
          <w:tcPr>
            <w:tcW w:w="1134" w:type="dxa"/>
            <w:vAlign w:val="top"/>
          </w:tcPr>
          <w:p w14:paraId="6C938E07">
            <w:pPr>
              <w:pStyle w:val="33"/>
              <w:spacing w:before="128" w:line="220" w:lineRule="auto"/>
              <w:ind w:left="218"/>
              <w:rPr>
                <w:color w:val="auto"/>
                <w:sz w:val="24"/>
                <w:szCs w:val="24"/>
                <w:highlight w:val="none"/>
              </w:rPr>
            </w:pPr>
            <w:r>
              <w:rPr>
                <w:color w:val="auto"/>
                <w:spacing w:val="-3"/>
                <w:sz w:val="24"/>
                <w:szCs w:val="24"/>
                <w:highlight w:val="none"/>
              </w:rPr>
              <w:t>设备费</w:t>
            </w:r>
          </w:p>
        </w:tc>
        <w:tc>
          <w:tcPr>
            <w:tcW w:w="990" w:type="dxa"/>
            <w:vAlign w:val="top"/>
          </w:tcPr>
          <w:p w14:paraId="45318411">
            <w:pPr>
              <w:pStyle w:val="33"/>
              <w:spacing w:before="128" w:line="220" w:lineRule="auto"/>
              <w:ind w:left="146"/>
              <w:rPr>
                <w:color w:val="auto"/>
                <w:sz w:val="24"/>
                <w:szCs w:val="24"/>
                <w:highlight w:val="none"/>
              </w:rPr>
            </w:pPr>
            <w:r>
              <w:rPr>
                <w:color w:val="auto"/>
                <w:spacing w:val="-4"/>
                <w:sz w:val="24"/>
                <w:szCs w:val="24"/>
                <w:highlight w:val="none"/>
              </w:rPr>
              <w:t>安装费</w:t>
            </w:r>
          </w:p>
        </w:tc>
        <w:tc>
          <w:tcPr>
            <w:tcW w:w="992" w:type="dxa"/>
            <w:vAlign w:val="top"/>
          </w:tcPr>
          <w:p w14:paraId="69CA8AA8">
            <w:pPr>
              <w:pStyle w:val="33"/>
              <w:spacing w:before="128" w:line="220" w:lineRule="auto"/>
              <w:ind w:left="151"/>
              <w:rPr>
                <w:color w:val="auto"/>
                <w:sz w:val="24"/>
                <w:szCs w:val="24"/>
                <w:highlight w:val="none"/>
              </w:rPr>
            </w:pPr>
            <w:r>
              <w:rPr>
                <w:color w:val="auto"/>
                <w:spacing w:val="-3"/>
                <w:sz w:val="24"/>
                <w:szCs w:val="24"/>
                <w:highlight w:val="none"/>
              </w:rPr>
              <w:t>设备费</w:t>
            </w:r>
          </w:p>
        </w:tc>
        <w:tc>
          <w:tcPr>
            <w:tcW w:w="849" w:type="dxa"/>
            <w:vAlign w:val="top"/>
          </w:tcPr>
          <w:p w14:paraId="39997935">
            <w:pPr>
              <w:pStyle w:val="33"/>
              <w:spacing w:before="128" w:line="220" w:lineRule="auto"/>
              <w:ind w:left="81"/>
              <w:rPr>
                <w:color w:val="auto"/>
                <w:sz w:val="24"/>
                <w:szCs w:val="24"/>
                <w:highlight w:val="none"/>
              </w:rPr>
            </w:pPr>
            <w:r>
              <w:rPr>
                <w:color w:val="auto"/>
                <w:spacing w:val="-4"/>
                <w:sz w:val="24"/>
                <w:szCs w:val="24"/>
                <w:highlight w:val="none"/>
              </w:rPr>
              <w:t>安装费</w:t>
            </w:r>
          </w:p>
        </w:tc>
        <w:tc>
          <w:tcPr>
            <w:tcW w:w="1131" w:type="dxa"/>
            <w:vMerge w:val="continue"/>
            <w:tcBorders>
              <w:top w:val="nil"/>
            </w:tcBorders>
            <w:vAlign w:val="top"/>
          </w:tcPr>
          <w:p w14:paraId="1CB4D6E0">
            <w:pPr>
              <w:rPr>
                <w:rFonts w:ascii="Arial"/>
                <w:color w:val="auto"/>
                <w:sz w:val="21"/>
                <w:highlight w:val="none"/>
              </w:rPr>
            </w:pPr>
          </w:p>
        </w:tc>
        <w:tc>
          <w:tcPr>
            <w:tcW w:w="789" w:type="dxa"/>
            <w:vMerge w:val="continue"/>
            <w:tcBorders>
              <w:top w:val="nil"/>
              <w:right w:val="single" w:color="000000" w:sz="6" w:space="0"/>
            </w:tcBorders>
            <w:vAlign w:val="top"/>
          </w:tcPr>
          <w:p w14:paraId="7E320463">
            <w:pPr>
              <w:rPr>
                <w:rFonts w:ascii="Arial"/>
                <w:color w:val="auto"/>
                <w:sz w:val="21"/>
                <w:highlight w:val="none"/>
              </w:rPr>
            </w:pPr>
          </w:p>
        </w:tc>
      </w:tr>
      <w:tr w14:paraId="19328F9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722" w:type="dxa"/>
            <w:tcBorders>
              <w:left w:val="single" w:color="000000" w:sz="6" w:space="0"/>
            </w:tcBorders>
            <w:vAlign w:val="top"/>
          </w:tcPr>
          <w:p w14:paraId="6C98A9DE">
            <w:pPr>
              <w:rPr>
                <w:rFonts w:ascii="Arial"/>
                <w:color w:val="auto"/>
                <w:sz w:val="21"/>
                <w:highlight w:val="none"/>
              </w:rPr>
            </w:pPr>
          </w:p>
        </w:tc>
        <w:tc>
          <w:tcPr>
            <w:tcW w:w="1556" w:type="dxa"/>
            <w:vAlign w:val="top"/>
          </w:tcPr>
          <w:p w14:paraId="0DAF760A">
            <w:pPr>
              <w:rPr>
                <w:rFonts w:ascii="Arial"/>
                <w:color w:val="auto"/>
                <w:sz w:val="21"/>
                <w:highlight w:val="none"/>
              </w:rPr>
            </w:pPr>
          </w:p>
        </w:tc>
        <w:tc>
          <w:tcPr>
            <w:tcW w:w="2126" w:type="dxa"/>
            <w:vAlign w:val="top"/>
          </w:tcPr>
          <w:p w14:paraId="448D1579">
            <w:pPr>
              <w:rPr>
                <w:rFonts w:ascii="Arial"/>
                <w:color w:val="auto"/>
                <w:sz w:val="21"/>
                <w:highlight w:val="none"/>
              </w:rPr>
            </w:pPr>
          </w:p>
        </w:tc>
        <w:tc>
          <w:tcPr>
            <w:tcW w:w="1980" w:type="dxa"/>
            <w:vAlign w:val="top"/>
          </w:tcPr>
          <w:p w14:paraId="73E69DA2">
            <w:pPr>
              <w:rPr>
                <w:rFonts w:ascii="Arial"/>
                <w:color w:val="auto"/>
                <w:sz w:val="21"/>
                <w:highlight w:val="none"/>
              </w:rPr>
            </w:pPr>
          </w:p>
        </w:tc>
        <w:tc>
          <w:tcPr>
            <w:tcW w:w="851" w:type="dxa"/>
            <w:vAlign w:val="top"/>
          </w:tcPr>
          <w:p w14:paraId="19431093">
            <w:pPr>
              <w:rPr>
                <w:rFonts w:ascii="Arial"/>
                <w:color w:val="auto"/>
                <w:sz w:val="21"/>
                <w:highlight w:val="none"/>
              </w:rPr>
            </w:pPr>
          </w:p>
        </w:tc>
        <w:tc>
          <w:tcPr>
            <w:tcW w:w="849" w:type="dxa"/>
            <w:vAlign w:val="top"/>
          </w:tcPr>
          <w:p w14:paraId="0BB64A6F">
            <w:pPr>
              <w:rPr>
                <w:rFonts w:ascii="Arial"/>
                <w:color w:val="auto"/>
                <w:sz w:val="21"/>
                <w:highlight w:val="none"/>
              </w:rPr>
            </w:pPr>
          </w:p>
        </w:tc>
        <w:tc>
          <w:tcPr>
            <w:tcW w:w="1134" w:type="dxa"/>
            <w:vAlign w:val="top"/>
          </w:tcPr>
          <w:p w14:paraId="570B9AEB">
            <w:pPr>
              <w:rPr>
                <w:rFonts w:ascii="Arial"/>
                <w:color w:val="auto"/>
                <w:sz w:val="21"/>
                <w:highlight w:val="none"/>
              </w:rPr>
            </w:pPr>
          </w:p>
        </w:tc>
        <w:tc>
          <w:tcPr>
            <w:tcW w:w="990" w:type="dxa"/>
            <w:vAlign w:val="top"/>
          </w:tcPr>
          <w:p w14:paraId="03860DAF">
            <w:pPr>
              <w:rPr>
                <w:rFonts w:ascii="Arial"/>
                <w:color w:val="auto"/>
                <w:sz w:val="21"/>
                <w:highlight w:val="none"/>
              </w:rPr>
            </w:pPr>
          </w:p>
        </w:tc>
        <w:tc>
          <w:tcPr>
            <w:tcW w:w="992" w:type="dxa"/>
            <w:vAlign w:val="top"/>
          </w:tcPr>
          <w:p w14:paraId="67912907">
            <w:pPr>
              <w:rPr>
                <w:rFonts w:ascii="Arial"/>
                <w:color w:val="auto"/>
                <w:sz w:val="21"/>
                <w:highlight w:val="none"/>
              </w:rPr>
            </w:pPr>
          </w:p>
        </w:tc>
        <w:tc>
          <w:tcPr>
            <w:tcW w:w="849" w:type="dxa"/>
            <w:vAlign w:val="top"/>
          </w:tcPr>
          <w:p w14:paraId="3CB19D1E">
            <w:pPr>
              <w:rPr>
                <w:rFonts w:ascii="Arial"/>
                <w:color w:val="auto"/>
                <w:sz w:val="21"/>
                <w:highlight w:val="none"/>
              </w:rPr>
            </w:pPr>
          </w:p>
        </w:tc>
        <w:tc>
          <w:tcPr>
            <w:tcW w:w="1131" w:type="dxa"/>
            <w:vAlign w:val="top"/>
          </w:tcPr>
          <w:p w14:paraId="56800DDE">
            <w:pPr>
              <w:rPr>
                <w:rFonts w:ascii="Arial"/>
                <w:color w:val="auto"/>
                <w:sz w:val="21"/>
                <w:highlight w:val="none"/>
              </w:rPr>
            </w:pPr>
          </w:p>
        </w:tc>
        <w:tc>
          <w:tcPr>
            <w:tcW w:w="789" w:type="dxa"/>
            <w:tcBorders>
              <w:right w:val="single" w:color="000000" w:sz="6" w:space="0"/>
            </w:tcBorders>
            <w:vAlign w:val="top"/>
          </w:tcPr>
          <w:p w14:paraId="7F19F922">
            <w:pPr>
              <w:rPr>
                <w:rFonts w:ascii="Arial"/>
                <w:color w:val="auto"/>
                <w:sz w:val="21"/>
                <w:highlight w:val="none"/>
              </w:rPr>
            </w:pPr>
          </w:p>
        </w:tc>
      </w:tr>
      <w:tr w14:paraId="5839C0E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0FF6D654">
            <w:pPr>
              <w:rPr>
                <w:rFonts w:ascii="Arial"/>
                <w:color w:val="auto"/>
                <w:sz w:val="21"/>
                <w:highlight w:val="none"/>
              </w:rPr>
            </w:pPr>
          </w:p>
        </w:tc>
        <w:tc>
          <w:tcPr>
            <w:tcW w:w="1556" w:type="dxa"/>
            <w:vAlign w:val="top"/>
          </w:tcPr>
          <w:p w14:paraId="5AA7DCAD">
            <w:pPr>
              <w:rPr>
                <w:rFonts w:ascii="Arial"/>
                <w:color w:val="auto"/>
                <w:sz w:val="21"/>
                <w:highlight w:val="none"/>
              </w:rPr>
            </w:pPr>
          </w:p>
        </w:tc>
        <w:tc>
          <w:tcPr>
            <w:tcW w:w="2126" w:type="dxa"/>
            <w:vAlign w:val="top"/>
          </w:tcPr>
          <w:p w14:paraId="235B035D">
            <w:pPr>
              <w:rPr>
                <w:rFonts w:ascii="Arial"/>
                <w:color w:val="auto"/>
                <w:sz w:val="21"/>
                <w:highlight w:val="none"/>
              </w:rPr>
            </w:pPr>
          </w:p>
        </w:tc>
        <w:tc>
          <w:tcPr>
            <w:tcW w:w="1980" w:type="dxa"/>
            <w:vAlign w:val="top"/>
          </w:tcPr>
          <w:p w14:paraId="0832B40A">
            <w:pPr>
              <w:rPr>
                <w:rFonts w:ascii="Arial"/>
                <w:color w:val="auto"/>
                <w:sz w:val="21"/>
                <w:highlight w:val="none"/>
              </w:rPr>
            </w:pPr>
          </w:p>
        </w:tc>
        <w:tc>
          <w:tcPr>
            <w:tcW w:w="851" w:type="dxa"/>
            <w:vAlign w:val="top"/>
          </w:tcPr>
          <w:p w14:paraId="4E370337">
            <w:pPr>
              <w:rPr>
                <w:rFonts w:ascii="Arial"/>
                <w:color w:val="auto"/>
                <w:sz w:val="21"/>
                <w:highlight w:val="none"/>
              </w:rPr>
            </w:pPr>
          </w:p>
        </w:tc>
        <w:tc>
          <w:tcPr>
            <w:tcW w:w="849" w:type="dxa"/>
            <w:vAlign w:val="top"/>
          </w:tcPr>
          <w:p w14:paraId="1D6B637B">
            <w:pPr>
              <w:rPr>
                <w:rFonts w:ascii="Arial"/>
                <w:color w:val="auto"/>
                <w:sz w:val="21"/>
                <w:highlight w:val="none"/>
              </w:rPr>
            </w:pPr>
          </w:p>
        </w:tc>
        <w:tc>
          <w:tcPr>
            <w:tcW w:w="1134" w:type="dxa"/>
            <w:vAlign w:val="top"/>
          </w:tcPr>
          <w:p w14:paraId="4818344A">
            <w:pPr>
              <w:rPr>
                <w:rFonts w:ascii="Arial"/>
                <w:color w:val="auto"/>
                <w:sz w:val="21"/>
                <w:highlight w:val="none"/>
              </w:rPr>
            </w:pPr>
          </w:p>
        </w:tc>
        <w:tc>
          <w:tcPr>
            <w:tcW w:w="990" w:type="dxa"/>
            <w:vAlign w:val="top"/>
          </w:tcPr>
          <w:p w14:paraId="4DEFAFF6">
            <w:pPr>
              <w:rPr>
                <w:rFonts w:ascii="Arial"/>
                <w:color w:val="auto"/>
                <w:sz w:val="21"/>
                <w:highlight w:val="none"/>
              </w:rPr>
            </w:pPr>
          </w:p>
        </w:tc>
        <w:tc>
          <w:tcPr>
            <w:tcW w:w="992" w:type="dxa"/>
            <w:vAlign w:val="top"/>
          </w:tcPr>
          <w:p w14:paraId="527AD45D">
            <w:pPr>
              <w:rPr>
                <w:rFonts w:ascii="Arial"/>
                <w:color w:val="auto"/>
                <w:sz w:val="21"/>
                <w:highlight w:val="none"/>
              </w:rPr>
            </w:pPr>
          </w:p>
        </w:tc>
        <w:tc>
          <w:tcPr>
            <w:tcW w:w="849" w:type="dxa"/>
            <w:vAlign w:val="top"/>
          </w:tcPr>
          <w:p w14:paraId="5B703F4F">
            <w:pPr>
              <w:rPr>
                <w:rFonts w:ascii="Arial"/>
                <w:color w:val="auto"/>
                <w:sz w:val="21"/>
                <w:highlight w:val="none"/>
              </w:rPr>
            </w:pPr>
          </w:p>
        </w:tc>
        <w:tc>
          <w:tcPr>
            <w:tcW w:w="1131" w:type="dxa"/>
            <w:vAlign w:val="top"/>
          </w:tcPr>
          <w:p w14:paraId="1E91BBB7">
            <w:pPr>
              <w:rPr>
                <w:rFonts w:ascii="Arial"/>
                <w:color w:val="auto"/>
                <w:sz w:val="21"/>
                <w:highlight w:val="none"/>
              </w:rPr>
            </w:pPr>
          </w:p>
        </w:tc>
        <w:tc>
          <w:tcPr>
            <w:tcW w:w="789" w:type="dxa"/>
            <w:tcBorders>
              <w:right w:val="single" w:color="000000" w:sz="6" w:space="0"/>
            </w:tcBorders>
            <w:vAlign w:val="top"/>
          </w:tcPr>
          <w:p w14:paraId="72D34361">
            <w:pPr>
              <w:rPr>
                <w:rFonts w:ascii="Arial"/>
                <w:color w:val="auto"/>
                <w:sz w:val="21"/>
                <w:highlight w:val="none"/>
              </w:rPr>
            </w:pPr>
          </w:p>
        </w:tc>
      </w:tr>
      <w:tr w14:paraId="3971F95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19881FFB">
            <w:pPr>
              <w:rPr>
                <w:rFonts w:ascii="Arial"/>
                <w:color w:val="auto"/>
                <w:sz w:val="21"/>
                <w:highlight w:val="none"/>
              </w:rPr>
            </w:pPr>
          </w:p>
        </w:tc>
        <w:tc>
          <w:tcPr>
            <w:tcW w:w="1556" w:type="dxa"/>
            <w:vAlign w:val="top"/>
          </w:tcPr>
          <w:p w14:paraId="092D7059">
            <w:pPr>
              <w:rPr>
                <w:rFonts w:ascii="Arial"/>
                <w:color w:val="auto"/>
                <w:sz w:val="21"/>
                <w:highlight w:val="none"/>
              </w:rPr>
            </w:pPr>
          </w:p>
        </w:tc>
        <w:tc>
          <w:tcPr>
            <w:tcW w:w="2126" w:type="dxa"/>
            <w:vAlign w:val="top"/>
          </w:tcPr>
          <w:p w14:paraId="44ED2767">
            <w:pPr>
              <w:rPr>
                <w:rFonts w:ascii="Arial"/>
                <w:color w:val="auto"/>
                <w:sz w:val="21"/>
                <w:highlight w:val="none"/>
              </w:rPr>
            </w:pPr>
          </w:p>
        </w:tc>
        <w:tc>
          <w:tcPr>
            <w:tcW w:w="1980" w:type="dxa"/>
            <w:vAlign w:val="top"/>
          </w:tcPr>
          <w:p w14:paraId="016FEC22">
            <w:pPr>
              <w:rPr>
                <w:rFonts w:ascii="Arial"/>
                <w:color w:val="auto"/>
                <w:sz w:val="21"/>
                <w:highlight w:val="none"/>
              </w:rPr>
            </w:pPr>
          </w:p>
        </w:tc>
        <w:tc>
          <w:tcPr>
            <w:tcW w:w="851" w:type="dxa"/>
            <w:vAlign w:val="top"/>
          </w:tcPr>
          <w:p w14:paraId="46AC688A">
            <w:pPr>
              <w:rPr>
                <w:rFonts w:ascii="Arial"/>
                <w:color w:val="auto"/>
                <w:sz w:val="21"/>
                <w:highlight w:val="none"/>
              </w:rPr>
            </w:pPr>
          </w:p>
        </w:tc>
        <w:tc>
          <w:tcPr>
            <w:tcW w:w="849" w:type="dxa"/>
            <w:vAlign w:val="top"/>
          </w:tcPr>
          <w:p w14:paraId="02D9CD8B">
            <w:pPr>
              <w:rPr>
                <w:rFonts w:ascii="Arial"/>
                <w:color w:val="auto"/>
                <w:sz w:val="21"/>
                <w:highlight w:val="none"/>
              </w:rPr>
            </w:pPr>
          </w:p>
        </w:tc>
        <w:tc>
          <w:tcPr>
            <w:tcW w:w="1134" w:type="dxa"/>
            <w:vAlign w:val="top"/>
          </w:tcPr>
          <w:p w14:paraId="11DC215C">
            <w:pPr>
              <w:rPr>
                <w:rFonts w:ascii="Arial"/>
                <w:color w:val="auto"/>
                <w:sz w:val="21"/>
                <w:highlight w:val="none"/>
              </w:rPr>
            </w:pPr>
          </w:p>
        </w:tc>
        <w:tc>
          <w:tcPr>
            <w:tcW w:w="990" w:type="dxa"/>
            <w:vAlign w:val="top"/>
          </w:tcPr>
          <w:p w14:paraId="2D22263A">
            <w:pPr>
              <w:rPr>
                <w:rFonts w:ascii="Arial"/>
                <w:color w:val="auto"/>
                <w:sz w:val="21"/>
                <w:highlight w:val="none"/>
              </w:rPr>
            </w:pPr>
          </w:p>
        </w:tc>
        <w:tc>
          <w:tcPr>
            <w:tcW w:w="992" w:type="dxa"/>
            <w:vAlign w:val="top"/>
          </w:tcPr>
          <w:p w14:paraId="1B11A22B">
            <w:pPr>
              <w:rPr>
                <w:rFonts w:ascii="Arial"/>
                <w:color w:val="auto"/>
                <w:sz w:val="21"/>
                <w:highlight w:val="none"/>
              </w:rPr>
            </w:pPr>
          </w:p>
        </w:tc>
        <w:tc>
          <w:tcPr>
            <w:tcW w:w="849" w:type="dxa"/>
            <w:vAlign w:val="top"/>
          </w:tcPr>
          <w:p w14:paraId="45BB11E9">
            <w:pPr>
              <w:rPr>
                <w:rFonts w:ascii="Arial"/>
                <w:color w:val="auto"/>
                <w:sz w:val="21"/>
                <w:highlight w:val="none"/>
              </w:rPr>
            </w:pPr>
          </w:p>
        </w:tc>
        <w:tc>
          <w:tcPr>
            <w:tcW w:w="1131" w:type="dxa"/>
            <w:vAlign w:val="top"/>
          </w:tcPr>
          <w:p w14:paraId="1C6EA363">
            <w:pPr>
              <w:rPr>
                <w:rFonts w:ascii="Arial"/>
                <w:color w:val="auto"/>
                <w:sz w:val="21"/>
                <w:highlight w:val="none"/>
              </w:rPr>
            </w:pPr>
          </w:p>
        </w:tc>
        <w:tc>
          <w:tcPr>
            <w:tcW w:w="789" w:type="dxa"/>
            <w:tcBorders>
              <w:right w:val="single" w:color="000000" w:sz="6" w:space="0"/>
            </w:tcBorders>
            <w:vAlign w:val="top"/>
          </w:tcPr>
          <w:p w14:paraId="69EF38A0">
            <w:pPr>
              <w:rPr>
                <w:rFonts w:ascii="Arial"/>
                <w:color w:val="auto"/>
                <w:sz w:val="21"/>
                <w:highlight w:val="none"/>
              </w:rPr>
            </w:pPr>
          </w:p>
        </w:tc>
      </w:tr>
      <w:tr w14:paraId="67B29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2A42B6CF">
            <w:pPr>
              <w:rPr>
                <w:rFonts w:ascii="Arial"/>
                <w:color w:val="auto"/>
                <w:sz w:val="21"/>
                <w:highlight w:val="none"/>
              </w:rPr>
            </w:pPr>
          </w:p>
        </w:tc>
        <w:tc>
          <w:tcPr>
            <w:tcW w:w="1556" w:type="dxa"/>
            <w:vAlign w:val="top"/>
          </w:tcPr>
          <w:p w14:paraId="5E167F37">
            <w:pPr>
              <w:rPr>
                <w:rFonts w:ascii="Arial"/>
                <w:color w:val="auto"/>
                <w:sz w:val="21"/>
                <w:highlight w:val="none"/>
              </w:rPr>
            </w:pPr>
          </w:p>
        </w:tc>
        <w:tc>
          <w:tcPr>
            <w:tcW w:w="2126" w:type="dxa"/>
            <w:vAlign w:val="top"/>
          </w:tcPr>
          <w:p w14:paraId="27786883">
            <w:pPr>
              <w:rPr>
                <w:rFonts w:ascii="Arial"/>
                <w:color w:val="auto"/>
                <w:sz w:val="21"/>
                <w:highlight w:val="none"/>
              </w:rPr>
            </w:pPr>
          </w:p>
        </w:tc>
        <w:tc>
          <w:tcPr>
            <w:tcW w:w="1980" w:type="dxa"/>
            <w:vAlign w:val="top"/>
          </w:tcPr>
          <w:p w14:paraId="785BD7D9">
            <w:pPr>
              <w:rPr>
                <w:rFonts w:ascii="Arial"/>
                <w:color w:val="auto"/>
                <w:sz w:val="21"/>
                <w:highlight w:val="none"/>
              </w:rPr>
            </w:pPr>
          </w:p>
        </w:tc>
        <w:tc>
          <w:tcPr>
            <w:tcW w:w="851" w:type="dxa"/>
            <w:vAlign w:val="top"/>
          </w:tcPr>
          <w:p w14:paraId="6B0EF129">
            <w:pPr>
              <w:rPr>
                <w:rFonts w:ascii="Arial"/>
                <w:color w:val="auto"/>
                <w:sz w:val="21"/>
                <w:highlight w:val="none"/>
              </w:rPr>
            </w:pPr>
          </w:p>
        </w:tc>
        <w:tc>
          <w:tcPr>
            <w:tcW w:w="849" w:type="dxa"/>
            <w:vAlign w:val="top"/>
          </w:tcPr>
          <w:p w14:paraId="5D257EDE">
            <w:pPr>
              <w:rPr>
                <w:rFonts w:ascii="Arial"/>
                <w:color w:val="auto"/>
                <w:sz w:val="21"/>
                <w:highlight w:val="none"/>
              </w:rPr>
            </w:pPr>
          </w:p>
        </w:tc>
        <w:tc>
          <w:tcPr>
            <w:tcW w:w="1134" w:type="dxa"/>
            <w:vAlign w:val="top"/>
          </w:tcPr>
          <w:p w14:paraId="58267F71">
            <w:pPr>
              <w:rPr>
                <w:rFonts w:ascii="Arial"/>
                <w:color w:val="auto"/>
                <w:sz w:val="21"/>
                <w:highlight w:val="none"/>
              </w:rPr>
            </w:pPr>
          </w:p>
        </w:tc>
        <w:tc>
          <w:tcPr>
            <w:tcW w:w="990" w:type="dxa"/>
            <w:vAlign w:val="top"/>
          </w:tcPr>
          <w:p w14:paraId="1C9EAD99">
            <w:pPr>
              <w:rPr>
                <w:rFonts w:ascii="Arial"/>
                <w:color w:val="auto"/>
                <w:sz w:val="21"/>
                <w:highlight w:val="none"/>
              </w:rPr>
            </w:pPr>
          </w:p>
        </w:tc>
        <w:tc>
          <w:tcPr>
            <w:tcW w:w="992" w:type="dxa"/>
            <w:vAlign w:val="top"/>
          </w:tcPr>
          <w:p w14:paraId="16389275">
            <w:pPr>
              <w:rPr>
                <w:rFonts w:ascii="Arial"/>
                <w:color w:val="auto"/>
                <w:sz w:val="21"/>
                <w:highlight w:val="none"/>
              </w:rPr>
            </w:pPr>
          </w:p>
        </w:tc>
        <w:tc>
          <w:tcPr>
            <w:tcW w:w="849" w:type="dxa"/>
            <w:vAlign w:val="top"/>
          </w:tcPr>
          <w:p w14:paraId="62E03DE4">
            <w:pPr>
              <w:rPr>
                <w:rFonts w:ascii="Arial"/>
                <w:color w:val="auto"/>
                <w:sz w:val="21"/>
                <w:highlight w:val="none"/>
              </w:rPr>
            </w:pPr>
          </w:p>
        </w:tc>
        <w:tc>
          <w:tcPr>
            <w:tcW w:w="1131" w:type="dxa"/>
            <w:vAlign w:val="top"/>
          </w:tcPr>
          <w:p w14:paraId="1BC54820">
            <w:pPr>
              <w:rPr>
                <w:rFonts w:ascii="Arial"/>
                <w:color w:val="auto"/>
                <w:sz w:val="21"/>
                <w:highlight w:val="none"/>
              </w:rPr>
            </w:pPr>
          </w:p>
        </w:tc>
        <w:tc>
          <w:tcPr>
            <w:tcW w:w="789" w:type="dxa"/>
            <w:tcBorders>
              <w:right w:val="single" w:color="000000" w:sz="6" w:space="0"/>
            </w:tcBorders>
            <w:vAlign w:val="top"/>
          </w:tcPr>
          <w:p w14:paraId="48C1DECA">
            <w:pPr>
              <w:rPr>
                <w:rFonts w:ascii="Arial"/>
                <w:color w:val="auto"/>
                <w:sz w:val="21"/>
                <w:highlight w:val="none"/>
              </w:rPr>
            </w:pPr>
          </w:p>
        </w:tc>
      </w:tr>
      <w:tr w14:paraId="257DBB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722" w:type="dxa"/>
            <w:tcBorders>
              <w:left w:val="single" w:color="000000" w:sz="6" w:space="0"/>
            </w:tcBorders>
            <w:vAlign w:val="top"/>
          </w:tcPr>
          <w:p w14:paraId="006F54DB">
            <w:pPr>
              <w:rPr>
                <w:rFonts w:ascii="Arial"/>
                <w:color w:val="auto"/>
                <w:sz w:val="21"/>
                <w:highlight w:val="none"/>
              </w:rPr>
            </w:pPr>
          </w:p>
        </w:tc>
        <w:tc>
          <w:tcPr>
            <w:tcW w:w="1556" w:type="dxa"/>
            <w:vAlign w:val="top"/>
          </w:tcPr>
          <w:p w14:paraId="51F8FD9E">
            <w:pPr>
              <w:rPr>
                <w:rFonts w:ascii="Arial"/>
                <w:color w:val="auto"/>
                <w:sz w:val="21"/>
                <w:highlight w:val="none"/>
              </w:rPr>
            </w:pPr>
          </w:p>
        </w:tc>
        <w:tc>
          <w:tcPr>
            <w:tcW w:w="2126" w:type="dxa"/>
            <w:vAlign w:val="top"/>
          </w:tcPr>
          <w:p w14:paraId="11BA7122">
            <w:pPr>
              <w:rPr>
                <w:rFonts w:ascii="Arial"/>
                <w:color w:val="auto"/>
                <w:sz w:val="21"/>
                <w:highlight w:val="none"/>
              </w:rPr>
            </w:pPr>
          </w:p>
        </w:tc>
        <w:tc>
          <w:tcPr>
            <w:tcW w:w="1980" w:type="dxa"/>
            <w:vAlign w:val="top"/>
          </w:tcPr>
          <w:p w14:paraId="1250CCCB">
            <w:pPr>
              <w:rPr>
                <w:rFonts w:ascii="Arial"/>
                <w:color w:val="auto"/>
                <w:sz w:val="21"/>
                <w:highlight w:val="none"/>
              </w:rPr>
            </w:pPr>
          </w:p>
        </w:tc>
        <w:tc>
          <w:tcPr>
            <w:tcW w:w="851" w:type="dxa"/>
            <w:vAlign w:val="top"/>
          </w:tcPr>
          <w:p w14:paraId="6896AD86">
            <w:pPr>
              <w:rPr>
                <w:rFonts w:ascii="Arial"/>
                <w:color w:val="auto"/>
                <w:sz w:val="21"/>
                <w:highlight w:val="none"/>
              </w:rPr>
            </w:pPr>
          </w:p>
        </w:tc>
        <w:tc>
          <w:tcPr>
            <w:tcW w:w="849" w:type="dxa"/>
            <w:vAlign w:val="top"/>
          </w:tcPr>
          <w:p w14:paraId="251DC028">
            <w:pPr>
              <w:rPr>
                <w:rFonts w:ascii="Arial"/>
                <w:color w:val="auto"/>
                <w:sz w:val="21"/>
                <w:highlight w:val="none"/>
              </w:rPr>
            </w:pPr>
          </w:p>
        </w:tc>
        <w:tc>
          <w:tcPr>
            <w:tcW w:w="1134" w:type="dxa"/>
            <w:vAlign w:val="top"/>
          </w:tcPr>
          <w:p w14:paraId="06F7F2C7">
            <w:pPr>
              <w:rPr>
                <w:rFonts w:ascii="Arial"/>
                <w:color w:val="auto"/>
                <w:sz w:val="21"/>
                <w:highlight w:val="none"/>
              </w:rPr>
            </w:pPr>
          </w:p>
        </w:tc>
        <w:tc>
          <w:tcPr>
            <w:tcW w:w="990" w:type="dxa"/>
            <w:vAlign w:val="top"/>
          </w:tcPr>
          <w:p w14:paraId="4F81AC90">
            <w:pPr>
              <w:rPr>
                <w:rFonts w:ascii="Arial"/>
                <w:color w:val="auto"/>
                <w:sz w:val="21"/>
                <w:highlight w:val="none"/>
              </w:rPr>
            </w:pPr>
          </w:p>
        </w:tc>
        <w:tc>
          <w:tcPr>
            <w:tcW w:w="992" w:type="dxa"/>
            <w:vAlign w:val="top"/>
          </w:tcPr>
          <w:p w14:paraId="2BF5AFC8">
            <w:pPr>
              <w:rPr>
                <w:rFonts w:ascii="Arial"/>
                <w:color w:val="auto"/>
                <w:sz w:val="21"/>
                <w:highlight w:val="none"/>
              </w:rPr>
            </w:pPr>
          </w:p>
        </w:tc>
        <w:tc>
          <w:tcPr>
            <w:tcW w:w="849" w:type="dxa"/>
            <w:vAlign w:val="top"/>
          </w:tcPr>
          <w:p w14:paraId="04D9C39A">
            <w:pPr>
              <w:rPr>
                <w:rFonts w:ascii="Arial"/>
                <w:color w:val="auto"/>
                <w:sz w:val="21"/>
                <w:highlight w:val="none"/>
              </w:rPr>
            </w:pPr>
          </w:p>
        </w:tc>
        <w:tc>
          <w:tcPr>
            <w:tcW w:w="1131" w:type="dxa"/>
            <w:vAlign w:val="top"/>
          </w:tcPr>
          <w:p w14:paraId="7853A744">
            <w:pPr>
              <w:rPr>
                <w:rFonts w:ascii="Arial"/>
                <w:color w:val="auto"/>
                <w:sz w:val="21"/>
                <w:highlight w:val="none"/>
              </w:rPr>
            </w:pPr>
          </w:p>
        </w:tc>
        <w:tc>
          <w:tcPr>
            <w:tcW w:w="789" w:type="dxa"/>
            <w:tcBorders>
              <w:right w:val="single" w:color="000000" w:sz="6" w:space="0"/>
            </w:tcBorders>
            <w:vAlign w:val="top"/>
          </w:tcPr>
          <w:p w14:paraId="64621AE6">
            <w:pPr>
              <w:rPr>
                <w:rFonts w:ascii="Arial"/>
                <w:color w:val="auto"/>
                <w:sz w:val="21"/>
                <w:highlight w:val="none"/>
              </w:rPr>
            </w:pPr>
          </w:p>
        </w:tc>
      </w:tr>
      <w:tr w14:paraId="609DE3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07B95A45">
            <w:pPr>
              <w:rPr>
                <w:rFonts w:ascii="Arial"/>
                <w:color w:val="auto"/>
                <w:sz w:val="21"/>
                <w:highlight w:val="none"/>
              </w:rPr>
            </w:pPr>
          </w:p>
        </w:tc>
        <w:tc>
          <w:tcPr>
            <w:tcW w:w="1556" w:type="dxa"/>
            <w:vAlign w:val="top"/>
          </w:tcPr>
          <w:p w14:paraId="75B7B0B0">
            <w:pPr>
              <w:rPr>
                <w:rFonts w:ascii="Arial"/>
                <w:color w:val="auto"/>
                <w:sz w:val="21"/>
                <w:highlight w:val="none"/>
              </w:rPr>
            </w:pPr>
          </w:p>
        </w:tc>
        <w:tc>
          <w:tcPr>
            <w:tcW w:w="2126" w:type="dxa"/>
            <w:vAlign w:val="top"/>
          </w:tcPr>
          <w:p w14:paraId="334A7D85">
            <w:pPr>
              <w:rPr>
                <w:rFonts w:ascii="Arial"/>
                <w:color w:val="auto"/>
                <w:sz w:val="21"/>
                <w:highlight w:val="none"/>
              </w:rPr>
            </w:pPr>
          </w:p>
        </w:tc>
        <w:tc>
          <w:tcPr>
            <w:tcW w:w="1980" w:type="dxa"/>
            <w:vAlign w:val="top"/>
          </w:tcPr>
          <w:p w14:paraId="6A383A8B">
            <w:pPr>
              <w:rPr>
                <w:rFonts w:ascii="Arial"/>
                <w:color w:val="auto"/>
                <w:sz w:val="21"/>
                <w:highlight w:val="none"/>
              </w:rPr>
            </w:pPr>
          </w:p>
        </w:tc>
        <w:tc>
          <w:tcPr>
            <w:tcW w:w="851" w:type="dxa"/>
            <w:vAlign w:val="top"/>
          </w:tcPr>
          <w:p w14:paraId="5A1F7DF5">
            <w:pPr>
              <w:rPr>
                <w:rFonts w:ascii="Arial"/>
                <w:color w:val="auto"/>
                <w:sz w:val="21"/>
                <w:highlight w:val="none"/>
              </w:rPr>
            </w:pPr>
          </w:p>
        </w:tc>
        <w:tc>
          <w:tcPr>
            <w:tcW w:w="849" w:type="dxa"/>
            <w:vAlign w:val="top"/>
          </w:tcPr>
          <w:p w14:paraId="561D1DD5">
            <w:pPr>
              <w:rPr>
                <w:rFonts w:ascii="Arial"/>
                <w:color w:val="auto"/>
                <w:sz w:val="21"/>
                <w:highlight w:val="none"/>
              </w:rPr>
            </w:pPr>
          </w:p>
        </w:tc>
        <w:tc>
          <w:tcPr>
            <w:tcW w:w="1134" w:type="dxa"/>
            <w:vAlign w:val="top"/>
          </w:tcPr>
          <w:p w14:paraId="38DF2870">
            <w:pPr>
              <w:rPr>
                <w:rFonts w:ascii="Arial"/>
                <w:color w:val="auto"/>
                <w:sz w:val="21"/>
                <w:highlight w:val="none"/>
              </w:rPr>
            </w:pPr>
          </w:p>
        </w:tc>
        <w:tc>
          <w:tcPr>
            <w:tcW w:w="990" w:type="dxa"/>
            <w:vAlign w:val="top"/>
          </w:tcPr>
          <w:p w14:paraId="25A6C8B8">
            <w:pPr>
              <w:rPr>
                <w:rFonts w:ascii="Arial"/>
                <w:color w:val="auto"/>
                <w:sz w:val="21"/>
                <w:highlight w:val="none"/>
              </w:rPr>
            </w:pPr>
          </w:p>
        </w:tc>
        <w:tc>
          <w:tcPr>
            <w:tcW w:w="992" w:type="dxa"/>
            <w:vAlign w:val="top"/>
          </w:tcPr>
          <w:p w14:paraId="7D04C8FB">
            <w:pPr>
              <w:rPr>
                <w:rFonts w:ascii="Arial"/>
                <w:color w:val="auto"/>
                <w:sz w:val="21"/>
                <w:highlight w:val="none"/>
              </w:rPr>
            </w:pPr>
          </w:p>
        </w:tc>
        <w:tc>
          <w:tcPr>
            <w:tcW w:w="849" w:type="dxa"/>
            <w:vAlign w:val="top"/>
          </w:tcPr>
          <w:p w14:paraId="74E59DB7">
            <w:pPr>
              <w:rPr>
                <w:rFonts w:ascii="Arial"/>
                <w:color w:val="auto"/>
                <w:sz w:val="21"/>
                <w:highlight w:val="none"/>
              </w:rPr>
            </w:pPr>
          </w:p>
        </w:tc>
        <w:tc>
          <w:tcPr>
            <w:tcW w:w="1131" w:type="dxa"/>
            <w:vAlign w:val="top"/>
          </w:tcPr>
          <w:p w14:paraId="4AD6BD70">
            <w:pPr>
              <w:rPr>
                <w:rFonts w:ascii="Arial"/>
                <w:color w:val="auto"/>
                <w:sz w:val="21"/>
                <w:highlight w:val="none"/>
              </w:rPr>
            </w:pPr>
          </w:p>
        </w:tc>
        <w:tc>
          <w:tcPr>
            <w:tcW w:w="789" w:type="dxa"/>
            <w:tcBorders>
              <w:right w:val="single" w:color="000000" w:sz="6" w:space="0"/>
            </w:tcBorders>
            <w:vAlign w:val="top"/>
          </w:tcPr>
          <w:p w14:paraId="118A3CFC">
            <w:pPr>
              <w:rPr>
                <w:rFonts w:ascii="Arial"/>
                <w:color w:val="auto"/>
                <w:sz w:val="21"/>
                <w:highlight w:val="none"/>
              </w:rPr>
            </w:pPr>
          </w:p>
        </w:tc>
      </w:tr>
      <w:tr w14:paraId="2F26F5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63F315EF">
            <w:pPr>
              <w:rPr>
                <w:rFonts w:ascii="Arial"/>
                <w:color w:val="auto"/>
                <w:sz w:val="21"/>
                <w:highlight w:val="none"/>
              </w:rPr>
            </w:pPr>
          </w:p>
        </w:tc>
        <w:tc>
          <w:tcPr>
            <w:tcW w:w="1556" w:type="dxa"/>
            <w:vAlign w:val="top"/>
          </w:tcPr>
          <w:p w14:paraId="31DFE9DE">
            <w:pPr>
              <w:rPr>
                <w:rFonts w:ascii="Arial"/>
                <w:color w:val="auto"/>
                <w:sz w:val="21"/>
                <w:highlight w:val="none"/>
              </w:rPr>
            </w:pPr>
          </w:p>
        </w:tc>
        <w:tc>
          <w:tcPr>
            <w:tcW w:w="2126" w:type="dxa"/>
            <w:vAlign w:val="top"/>
          </w:tcPr>
          <w:p w14:paraId="45C015ED">
            <w:pPr>
              <w:rPr>
                <w:rFonts w:ascii="Arial"/>
                <w:color w:val="auto"/>
                <w:sz w:val="21"/>
                <w:highlight w:val="none"/>
              </w:rPr>
            </w:pPr>
          </w:p>
        </w:tc>
        <w:tc>
          <w:tcPr>
            <w:tcW w:w="1980" w:type="dxa"/>
            <w:vAlign w:val="top"/>
          </w:tcPr>
          <w:p w14:paraId="44BCB66B">
            <w:pPr>
              <w:rPr>
                <w:rFonts w:ascii="Arial"/>
                <w:color w:val="auto"/>
                <w:sz w:val="21"/>
                <w:highlight w:val="none"/>
              </w:rPr>
            </w:pPr>
          </w:p>
        </w:tc>
        <w:tc>
          <w:tcPr>
            <w:tcW w:w="851" w:type="dxa"/>
            <w:vAlign w:val="top"/>
          </w:tcPr>
          <w:p w14:paraId="477DFA61">
            <w:pPr>
              <w:rPr>
                <w:rFonts w:ascii="Arial"/>
                <w:color w:val="auto"/>
                <w:sz w:val="21"/>
                <w:highlight w:val="none"/>
              </w:rPr>
            </w:pPr>
          </w:p>
        </w:tc>
        <w:tc>
          <w:tcPr>
            <w:tcW w:w="849" w:type="dxa"/>
            <w:vAlign w:val="top"/>
          </w:tcPr>
          <w:p w14:paraId="374638EC">
            <w:pPr>
              <w:rPr>
                <w:rFonts w:ascii="Arial"/>
                <w:color w:val="auto"/>
                <w:sz w:val="21"/>
                <w:highlight w:val="none"/>
              </w:rPr>
            </w:pPr>
          </w:p>
        </w:tc>
        <w:tc>
          <w:tcPr>
            <w:tcW w:w="1134" w:type="dxa"/>
            <w:vAlign w:val="top"/>
          </w:tcPr>
          <w:p w14:paraId="14DD0001">
            <w:pPr>
              <w:rPr>
                <w:rFonts w:ascii="Arial"/>
                <w:color w:val="auto"/>
                <w:sz w:val="21"/>
                <w:highlight w:val="none"/>
              </w:rPr>
            </w:pPr>
          </w:p>
        </w:tc>
        <w:tc>
          <w:tcPr>
            <w:tcW w:w="990" w:type="dxa"/>
            <w:vAlign w:val="top"/>
          </w:tcPr>
          <w:p w14:paraId="6C14B3A1">
            <w:pPr>
              <w:rPr>
                <w:rFonts w:ascii="Arial"/>
                <w:color w:val="auto"/>
                <w:sz w:val="21"/>
                <w:highlight w:val="none"/>
              </w:rPr>
            </w:pPr>
          </w:p>
        </w:tc>
        <w:tc>
          <w:tcPr>
            <w:tcW w:w="992" w:type="dxa"/>
            <w:vAlign w:val="top"/>
          </w:tcPr>
          <w:p w14:paraId="48295EFA">
            <w:pPr>
              <w:rPr>
                <w:rFonts w:ascii="Arial"/>
                <w:color w:val="auto"/>
                <w:sz w:val="21"/>
                <w:highlight w:val="none"/>
              </w:rPr>
            </w:pPr>
          </w:p>
        </w:tc>
        <w:tc>
          <w:tcPr>
            <w:tcW w:w="849" w:type="dxa"/>
            <w:vAlign w:val="top"/>
          </w:tcPr>
          <w:p w14:paraId="4EBDB0B4">
            <w:pPr>
              <w:rPr>
                <w:rFonts w:ascii="Arial"/>
                <w:color w:val="auto"/>
                <w:sz w:val="21"/>
                <w:highlight w:val="none"/>
              </w:rPr>
            </w:pPr>
          </w:p>
        </w:tc>
        <w:tc>
          <w:tcPr>
            <w:tcW w:w="1131" w:type="dxa"/>
            <w:vAlign w:val="top"/>
          </w:tcPr>
          <w:p w14:paraId="3F0A7D4B">
            <w:pPr>
              <w:rPr>
                <w:rFonts w:ascii="Arial"/>
                <w:color w:val="auto"/>
                <w:sz w:val="21"/>
                <w:highlight w:val="none"/>
              </w:rPr>
            </w:pPr>
          </w:p>
        </w:tc>
        <w:tc>
          <w:tcPr>
            <w:tcW w:w="789" w:type="dxa"/>
            <w:tcBorders>
              <w:right w:val="single" w:color="000000" w:sz="6" w:space="0"/>
            </w:tcBorders>
            <w:vAlign w:val="top"/>
          </w:tcPr>
          <w:p w14:paraId="79DF8D8B">
            <w:pPr>
              <w:rPr>
                <w:rFonts w:ascii="Arial"/>
                <w:color w:val="auto"/>
                <w:sz w:val="21"/>
                <w:highlight w:val="none"/>
              </w:rPr>
            </w:pPr>
          </w:p>
        </w:tc>
      </w:tr>
      <w:tr w14:paraId="70A8304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0AF97662">
            <w:pPr>
              <w:rPr>
                <w:rFonts w:ascii="Arial"/>
                <w:color w:val="auto"/>
                <w:sz w:val="21"/>
                <w:highlight w:val="none"/>
              </w:rPr>
            </w:pPr>
          </w:p>
        </w:tc>
        <w:tc>
          <w:tcPr>
            <w:tcW w:w="1556" w:type="dxa"/>
            <w:vAlign w:val="top"/>
          </w:tcPr>
          <w:p w14:paraId="4BD52FEF">
            <w:pPr>
              <w:rPr>
                <w:rFonts w:ascii="Arial"/>
                <w:color w:val="auto"/>
                <w:sz w:val="21"/>
                <w:highlight w:val="none"/>
              </w:rPr>
            </w:pPr>
          </w:p>
        </w:tc>
        <w:tc>
          <w:tcPr>
            <w:tcW w:w="2126" w:type="dxa"/>
            <w:vAlign w:val="top"/>
          </w:tcPr>
          <w:p w14:paraId="31AFE239">
            <w:pPr>
              <w:rPr>
                <w:rFonts w:ascii="Arial"/>
                <w:color w:val="auto"/>
                <w:sz w:val="21"/>
                <w:highlight w:val="none"/>
              </w:rPr>
            </w:pPr>
          </w:p>
        </w:tc>
        <w:tc>
          <w:tcPr>
            <w:tcW w:w="1980" w:type="dxa"/>
            <w:vAlign w:val="top"/>
          </w:tcPr>
          <w:p w14:paraId="1BC9B276">
            <w:pPr>
              <w:rPr>
                <w:rFonts w:ascii="Arial"/>
                <w:color w:val="auto"/>
                <w:sz w:val="21"/>
                <w:highlight w:val="none"/>
              </w:rPr>
            </w:pPr>
          </w:p>
        </w:tc>
        <w:tc>
          <w:tcPr>
            <w:tcW w:w="851" w:type="dxa"/>
            <w:vAlign w:val="top"/>
          </w:tcPr>
          <w:p w14:paraId="78BBDAD1">
            <w:pPr>
              <w:rPr>
                <w:rFonts w:ascii="Arial"/>
                <w:color w:val="auto"/>
                <w:sz w:val="21"/>
                <w:highlight w:val="none"/>
              </w:rPr>
            </w:pPr>
          </w:p>
        </w:tc>
        <w:tc>
          <w:tcPr>
            <w:tcW w:w="849" w:type="dxa"/>
            <w:vAlign w:val="top"/>
          </w:tcPr>
          <w:p w14:paraId="7DC8A05D">
            <w:pPr>
              <w:rPr>
                <w:rFonts w:ascii="Arial"/>
                <w:color w:val="auto"/>
                <w:sz w:val="21"/>
                <w:highlight w:val="none"/>
              </w:rPr>
            </w:pPr>
          </w:p>
        </w:tc>
        <w:tc>
          <w:tcPr>
            <w:tcW w:w="1134" w:type="dxa"/>
            <w:vAlign w:val="top"/>
          </w:tcPr>
          <w:p w14:paraId="14A3B64C">
            <w:pPr>
              <w:rPr>
                <w:rFonts w:ascii="Arial"/>
                <w:color w:val="auto"/>
                <w:sz w:val="21"/>
                <w:highlight w:val="none"/>
              </w:rPr>
            </w:pPr>
          </w:p>
        </w:tc>
        <w:tc>
          <w:tcPr>
            <w:tcW w:w="990" w:type="dxa"/>
            <w:vAlign w:val="top"/>
          </w:tcPr>
          <w:p w14:paraId="34C8AAD0">
            <w:pPr>
              <w:rPr>
                <w:rFonts w:ascii="Arial"/>
                <w:color w:val="auto"/>
                <w:sz w:val="21"/>
                <w:highlight w:val="none"/>
              </w:rPr>
            </w:pPr>
          </w:p>
        </w:tc>
        <w:tc>
          <w:tcPr>
            <w:tcW w:w="992" w:type="dxa"/>
            <w:vAlign w:val="top"/>
          </w:tcPr>
          <w:p w14:paraId="77F3A4C8">
            <w:pPr>
              <w:rPr>
                <w:rFonts w:ascii="Arial"/>
                <w:color w:val="auto"/>
                <w:sz w:val="21"/>
                <w:highlight w:val="none"/>
              </w:rPr>
            </w:pPr>
          </w:p>
        </w:tc>
        <w:tc>
          <w:tcPr>
            <w:tcW w:w="849" w:type="dxa"/>
            <w:vAlign w:val="top"/>
          </w:tcPr>
          <w:p w14:paraId="58E0377F">
            <w:pPr>
              <w:rPr>
                <w:rFonts w:ascii="Arial"/>
                <w:color w:val="auto"/>
                <w:sz w:val="21"/>
                <w:highlight w:val="none"/>
              </w:rPr>
            </w:pPr>
          </w:p>
        </w:tc>
        <w:tc>
          <w:tcPr>
            <w:tcW w:w="1131" w:type="dxa"/>
            <w:vAlign w:val="top"/>
          </w:tcPr>
          <w:p w14:paraId="2B184154">
            <w:pPr>
              <w:rPr>
                <w:rFonts w:ascii="Arial"/>
                <w:color w:val="auto"/>
                <w:sz w:val="21"/>
                <w:highlight w:val="none"/>
              </w:rPr>
            </w:pPr>
          </w:p>
        </w:tc>
        <w:tc>
          <w:tcPr>
            <w:tcW w:w="789" w:type="dxa"/>
            <w:tcBorders>
              <w:right w:val="single" w:color="000000" w:sz="6" w:space="0"/>
            </w:tcBorders>
            <w:vAlign w:val="top"/>
          </w:tcPr>
          <w:p w14:paraId="0A7A55A7">
            <w:pPr>
              <w:rPr>
                <w:rFonts w:ascii="Arial"/>
                <w:color w:val="auto"/>
                <w:sz w:val="21"/>
                <w:highlight w:val="none"/>
              </w:rPr>
            </w:pPr>
          </w:p>
        </w:tc>
      </w:tr>
      <w:tr w14:paraId="00834B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722" w:type="dxa"/>
            <w:tcBorders>
              <w:left w:val="single" w:color="000000" w:sz="6" w:space="0"/>
            </w:tcBorders>
            <w:vAlign w:val="top"/>
          </w:tcPr>
          <w:p w14:paraId="33C8788D">
            <w:pPr>
              <w:rPr>
                <w:rFonts w:ascii="Arial"/>
                <w:color w:val="auto"/>
                <w:sz w:val="21"/>
                <w:highlight w:val="none"/>
              </w:rPr>
            </w:pPr>
          </w:p>
        </w:tc>
        <w:tc>
          <w:tcPr>
            <w:tcW w:w="1556" w:type="dxa"/>
            <w:vAlign w:val="top"/>
          </w:tcPr>
          <w:p w14:paraId="629159B1">
            <w:pPr>
              <w:rPr>
                <w:rFonts w:ascii="Arial"/>
                <w:color w:val="auto"/>
                <w:sz w:val="21"/>
                <w:highlight w:val="none"/>
              </w:rPr>
            </w:pPr>
          </w:p>
        </w:tc>
        <w:tc>
          <w:tcPr>
            <w:tcW w:w="2126" w:type="dxa"/>
            <w:vAlign w:val="top"/>
          </w:tcPr>
          <w:p w14:paraId="09BF2E97">
            <w:pPr>
              <w:rPr>
                <w:rFonts w:ascii="Arial"/>
                <w:color w:val="auto"/>
                <w:sz w:val="21"/>
                <w:highlight w:val="none"/>
              </w:rPr>
            </w:pPr>
          </w:p>
        </w:tc>
        <w:tc>
          <w:tcPr>
            <w:tcW w:w="1980" w:type="dxa"/>
            <w:vAlign w:val="top"/>
          </w:tcPr>
          <w:p w14:paraId="6D77AED0">
            <w:pPr>
              <w:rPr>
                <w:rFonts w:ascii="Arial"/>
                <w:color w:val="auto"/>
                <w:sz w:val="21"/>
                <w:highlight w:val="none"/>
              </w:rPr>
            </w:pPr>
          </w:p>
        </w:tc>
        <w:tc>
          <w:tcPr>
            <w:tcW w:w="851" w:type="dxa"/>
            <w:vAlign w:val="top"/>
          </w:tcPr>
          <w:p w14:paraId="537586F7">
            <w:pPr>
              <w:rPr>
                <w:rFonts w:ascii="Arial"/>
                <w:color w:val="auto"/>
                <w:sz w:val="21"/>
                <w:highlight w:val="none"/>
              </w:rPr>
            </w:pPr>
          </w:p>
        </w:tc>
        <w:tc>
          <w:tcPr>
            <w:tcW w:w="849" w:type="dxa"/>
            <w:vAlign w:val="top"/>
          </w:tcPr>
          <w:p w14:paraId="672C3C55">
            <w:pPr>
              <w:rPr>
                <w:rFonts w:ascii="Arial"/>
                <w:color w:val="auto"/>
                <w:sz w:val="21"/>
                <w:highlight w:val="none"/>
              </w:rPr>
            </w:pPr>
          </w:p>
        </w:tc>
        <w:tc>
          <w:tcPr>
            <w:tcW w:w="1134" w:type="dxa"/>
            <w:vAlign w:val="top"/>
          </w:tcPr>
          <w:p w14:paraId="55C86B1B">
            <w:pPr>
              <w:rPr>
                <w:rFonts w:ascii="Arial"/>
                <w:color w:val="auto"/>
                <w:sz w:val="21"/>
                <w:highlight w:val="none"/>
              </w:rPr>
            </w:pPr>
          </w:p>
        </w:tc>
        <w:tc>
          <w:tcPr>
            <w:tcW w:w="990" w:type="dxa"/>
            <w:vAlign w:val="top"/>
          </w:tcPr>
          <w:p w14:paraId="7B7D08AC">
            <w:pPr>
              <w:rPr>
                <w:rFonts w:ascii="Arial"/>
                <w:color w:val="auto"/>
                <w:sz w:val="21"/>
                <w:highlight w:val="none"/>
              </w:rPr>
            </w:pPr>
          </w:p>
        </w:tc>
        <w:tc>
          <w:tcPr>
            <w:tcW w:w="992" w:type="dxa"/>
            <w:vAlign w:val="top"/>
          </w:tcPr>
          <w:p w14:paraId="264FA561">
            <w:pPr>
              <w:rPr>
                <w:rFonts w:ascii="Arial"/>
                <w:color w:val="auto"/>
                <w:sz w:val="21"/>
                <w:highlight w:val="none"/>
              </w:rPr>
            </w:pPr>
          </w:p>
        </w:tc>
        <w:tc>
          <w:tcPr>
            <w:tcW w:w="849" w:type="dxa"/>
            <w:vAlign w:val="top"/>
          </w:tcPr>
          <w:p w14:paraId="5AD5C6B9">
            <w:pPr>
              <w:rPr>
                <w:rFonts w:ascii="Arial"/>
                <w:color w:val="auto"/>
                <w:sz w:val="21"/>
                <w:highlight w:val="none"/>
              </w:rPr>
            </w:pPr>
          </w:p>
        </w:tc>
        <w:tc>
          <w:tcPr>
            <w:tcW w:w="1131" w:type="dxa"/>
            <w:vAlign w:val="top"/>
          </w:tcPr>
          <w:p w14:paraId="06ACFC9E">
            <w:pPr>
              <w:rPr>
                <w:rFonts w:ascii="Arial"/>
                <w:color w:val="auto"/>
                <w:sz w:val="21"/>
                <w:highlight w:val="none"/>
              </w:rPr>
            </w:pPr>
          </w:p>
        </w:tc>
        <w:tc>
          <w:tcPr>
            <w:tcW w:w="789" w:type="dxa"/>
            <w:tcBorders>
              <w:right w:val="single" w:color="000000" w:sz="6" w:space="0"/>
            </w:tcBorders>
            <w:vAlign w:val="top"/>
          </w:tcPr>
          <w:p w14:paraId="45EB658A">
            <w:pPr>
              <w:rPr>
                <w:rFonts w:ascii="Arial"/>
                <w:color w:val="auto"/>
                <w:sz w:val="21"/>
                <w:highlight w:val="none"/>
              </w:rPr>
            </w:pPr>
          </w:p>
        </w:tc>
      </w:tr>
      <w:tr w14:paraId="728466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2982EE1A">
            <w:pPr>
              <w:rPr>
                <w:rFonts w:ascii="Arial"/>
                <w:color w:val="auto"/>
                <w:sz w:val="21"/>
                <w:highlight w:val="none"/>
              </w:rPr>
            </w:pPr>
          </w:p>
        </w:tc>
        <w:tc>
          <w:tcPr>
            <w:tcW w:w="1556" w:type="dxa"/>
            <w:vAlign w:val="top"/>
          </w:tcPr>
          <w:p w14:paraId="1690D6EB">
            <w:pPr>
              <w:rPr>
                <w:rFonts w:ascii="Arial"/>
                <w:color w:val="auto"/>
                <w:sz w:val="21"/>
                <w:highlight w:val="none"/>
              </w:rPr>
            </w:pPr>
          </w:p>
        </w:tc>
        <w:tc>
          <w:tcPr>
            <w:tcW w:w="2126" w:type="dxa"/>
            <w:vAlign w:val="top"/>
          </w:tcPr>
          <w:p w14:paraId="6069714A">
            <w:pPr>
              <w:rPr>
                <w:rFonts w:ascii="Arial"/>
                <w:color w:val="auto"/>
                <w:sz w:val="21"/>
                <w:highlight w:val="none"/>
              </w:rPr>
            </w:pPr>
          </w:p>
        </w:tc>
        <w:tc>
          <w:tcPr>
            <w:tcW w:w="1980" w:type="dxa"/>
            <w:vAlign w:val="top"/>
          </w:tcPr>
          <w:p w14:paraId="3637769E">
            <w:pPr>
              <w:rPr>
                <w:rFonts w:ascii="Arial"/>
                <w:color w:val="auto"/>
                <w:sz w:val="21"/>
                <w:highlight w:val="none"/>
              </w:rPr>
            </w:pPr>
          </w:p>
        </w:tc>
        <w:tc>
          <w:tcPr>
            <w:tcW w:w="851" w:type="dxa"/>
            <w:vAlign w:val="top"/>
          </w:tcPr>
          <w:p w14:paraId="030A7675">
            <w:pPr>
              <w:rPr>
                <w:rFonts w:ascii="Arial"/>
                <w:color w:val="auto"/>
                <w:sz w:val="21"/>
                <w:highlight w:val="none"/>
              </w:rPr>
            </w:pPr>
          </w:p>
        </w:tc>
        <w:tc>
          <w:tcPr>
            <w:tcW w:w="849" w:type="dxa"/>
            <w:vAlign w:val="top"/>
          </w:tcPr>
          <w:p w14:paraId="505603FF">
            <w:pPr>
              <w:rPr>
                <w:rFonts w:ascii="Arial"/>
                <w:color w:val="auto"/>
                <w:sz w:val="21"/>
                <w:highlight w:val="none"/>
              </w:rPr>
            </w:pPr>
          </w:p>
        </w:tc>
        <w:tc>
          <w:tcPr>
            <w:tcW w:w="1134" w:type="dxa"/>
            <w:vAlign w:val="top"/>
          </w:tcPr>
          <w:p w14:paraId="189E2CBD">
            <w:pPr>
              <w:rPr>
                <w:rFonts w:ascii="Arial"/>
                <w:color w:val="auto"/>
                <w:sz w:val="21"/>
                <w:highlight w:val="none"/>
              </w:rPr>
            </w:pPr>
          </w:p>
        </w:tc>
        <w:tc>
          <w:tcPr>
            <w:tcW w:w="990" w:type="dxa"/>
            <w:vAlign w:val="top"/>
          </w:tcPr>
          <w:p w14:paraId="6349B272">
            <w:pPr>
              <w:rPr>
                <w:rFonts w:ascii="Arial"/>
                <w:color w:val="auto"/>
                <w:sz w:val="21"/>
                <w:highlight w:val="none"/>
              </w:rPr>
            </w:pPr>
          </w:p>
        </w:tc>
        <w:tc>
          <w:tcPr>
            <w:tcW w:w="992" w:type="dxa"/>
            <w:vAlign w:val="top"/>
          </w:tcPr>
          <w:p w14:paraId="2561A547">
            <w:pPr>
              <w:rPr>
                <w:rFonts w:ascii="Arial"/>
                <w:color w:val="auto"/>
                <w:sz w:val="21"/>
                <w:highlight w:val="none"/>
              </w:rPr>
            </w:pPr>
          </w:p>
        </w:tc>
        <w:tc>
          <w:tcPr>
            <w:tcW w:w="849" w:type="dxa"/>
            <w:vAlign w:val="top"/>
          </w:tcPr>
          <w:p w14:paraId="6774A220">
            <w:pPr>
              <w:rPr>
                <w:rFonts w:ascii="Arial"/>
                <w:color w:val="auto"/>
                <w:sz w:val="21"/>
                <w:highlight w:val="none"/>
              </w:rPr>
            </w:pPr>
          </w:p>
        </w:tc>
        <w:tc>
          <w:tcPr>
            <w:tcW w:w="1131" w:type="dxa"/>
            <w:vAlign w:val="top"/>
          </w:tcPr>
          <w:p w14:paraId="1F44211B">
            <w:pPr>
              <w:rPr>
                <w:rFonts w:ascii="Arial"/>
                <w:color w:val="auto"/>
                <w:sz w:val="21"/>
                <w:highlight w:val="none"/>
              </w:rPr>
            </w:pPr>
          </w:p>
        </w:tc>
        <w:tc>
          <w:tcPr>
            <w:tcW w:w="789" w:type="dxa"/>
            <w:tcBorders>
              <w:right w:val="single" w:color="000000" w:sz="6" w:space="0"/>
            </w:tcBorders>
            <w:vAlign w:val="top"/>
          </w:tcPr>
          <w:p w14:paraId="239FF6EE">
            <w:pPr>
              <w:rPr>
                <w:rFonts w:ascii="Arial"/>
                <w:color w:val="auto"/>
                <w:sz w:val="21"/>
                <w:highlight w:val="none"/>
              </w:rPr>
            </w:pPr>
          </w:p>
        </w:tc>
      </w:tr>
      <w:tr w14:paraId="223CE2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22" w:type="dxa"/>
            <w:tcBorders>
              <w:left w:val="single" w:color="000000" w:sz="6" w:space="0"/>
              <w:bottom w:val="single" w:color="000000" w:sz="6" w:space="0"/>
            </w:tcBorders>
            <w:vAlign w:val="top"/>
          </w:tcPr>
          <w:p w14:paraId="642DCA65">
            <w:pPr>
              <w:rPr>
                <w:rFonts w:ascii="Arial"/>
                <w:color w:val="auto"/>
                <w:sz w:val="21"/>
                <w:highlight w:val="none"/>
              </w:rPr>
            </w:pPr>
          </w:p>
        </w:tc>
        <w:tc>
          <w:tcPr>
            <w:tcW w:w="1556" w:type="dxa"/>
            <w:tcBorders>
              <w:bottom w:val="single" w:color="000000" w:sz="6" w:space="0"/>
            </w:tcBorders>
            <w:vAlign w:val="top"/>
          </w:tcPr>
          <w:p w14:paraId="18B8AEC0">
            <w:pPr>
              <w:rPr>
                <w:rFonts w:ascii="Arial"/>
                <w:color w:val="auto"/>
                <w:sz w:val="21"/>
                <w:highlight w:val="none"/>
              </w:rPr>
            </w:pPr>
          </w:p>
        </w:tc>
        <w:tc>
          <w:tcPr>
            <w:tcW w:w="2126" w:type="dxa"/>
            <w:tcBorders>
              <w:bottom w:val="single" w:color="000000" w:sz="6" w:space="0"/>
            </w:tcBorders>
            <w:vAlign w:val="top"/>
          </w:tcPr>
          <w:p w14:paraId="09703B0F">
            <w:pPr>
              <w:pStyle w:val="33"/>
              <w:spacing w:before="162" w:line="221" w:lineRule="auto"/>
              <w:ind w:left="705"/>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1980" w:type="dxa"/>
            <w:tcBorders>
              <w:bottom w:val="single" w:color="000000" w:sz="6" w:space="0"/>
            </w:tcBorders>
            <w:vAlign w:val="top"/>
          </w:tcPr>
          <w:p w14:paraId="76C6EBFE">
            <w:pPr>
              <w:rPr>
                <w:rFonts w:ascii="Arial"/>
                <w:color w:val="auto"/>
                <w:sz w:val="21"/>
                <w:highlight w:val="none"/>
              </w:rPr>
            </w:pPr>
          </w:p>
        </w:tc>
        <w:tc>
          <w:tcPr>
            <w:tcW w:w="851" w:type="dxa"/>
            <w:tcBorders>
              <w:bottom w:val="single" w:color="000000" w:sz="6" w:space="0"/>
            </w:tcBorders>
            <w:vAlign w:val="top"/>
          </w:tcPr>
          <w:p w14:paraId="2337D25D">
            <w:pPr>
              <w:rPr>
                <w:rFonts w:ascii="Arial"/>
                <w:color w:val="auto"/>
                <w:sz w:val="21"/>
                <w:highlight w:val="none"/>
              </w:rPr>
            </w:pPr>
          </w:p>
        </w:tc>
        <w:tc>
          <w:tcPr>
            <w:tcW w:w="849" w:type="dxa"/>
            <w:tcBorders>
              <w:bottom w:val="single" w:color="000000" w:sz="6" w:space="0"/>
            </w:tcBorders>
            <w:vAlign w:val="top"/>
          </w:tcPr>
          <w:p w14:paraId="799F0C10">
            <w:pPr>
              <w:rPr>
                <w:rFonts w:ascii="Arial"/>
                <w:color w:val="auto"/>
                <w:sz w:val="21"/>
                <w:highlight w:val="none"/>
              </w:rPr>
            </w:pPr>
          </w:p>
        </w:tc>
        <w:tc>
          <w:tcPr>
            <w:tcW w:w="1134" w:type="dxa"/>
            <w:tcBorders>
              <w:bottom w:val="single" w:color="000000" w:sz="6" w:space="0"/>
            </w:tcBorders>
            <w:vAlign w:val="top"/>
          </w:tcPr>
          <w:p w14:paraId="7C782580">
            <w:pPr>
              <w:rPr>
                <w:rFonts w:ascii="Arial"/>
                <w:color w:val="auto"/>
                <w:sz w:val="21"/>
                <w:highlight w:val="none"/>
              </w:rPr>
            </w:pPr>
          </w:p>
        </w:tc>
        <w:tc>
          <w:tcPr>
            <w:tcW w:w="990" w:type="dxa"/>
            <w:tcBorders>
              <w:bottom w:val="single" w:color="000000" w:sz="6" w:space="0"/>
            </w:tcBorders>
            <w:vAlign w:val="top"/>
          </w:tcPr>
          <w:p w14:paraId="0E7E43E9">
            <w:pPr>
              <w:rPr>
                <w:rFonts w:ascii="Arial"/>
                <w:color w:val="auto"/>
                <w:sz w:val="21"/>
                <w:highlight w:val="none"/>
              </w:rPr>
            </w:pPr>
          </w:p>
        </w:tc>
        <w:tc>
          <w:tcPr>
            <w:tcW w:w="992" w:type="dxa"/>
            <w:tcBorders>
              <w:bottom w:val="single" w:color="000000" w:sz="6" w:space="0"/>
            </w:tcBorders>
            <w:vAlign w:val="top"/>
          </w:tcPr>
          <w:p w14:paraId="6CBBD321">
            <w:pPr>
              <w:rPr>
                <w:rFonts w:ascii="Arial"/>
                <w:color w:val="auto"/>
                <w:sz w:val="21"/>
                <w:highlight w:val="none"/>
              </w:rPr>
            </w:pPr>
          </w:p>
        </w:tc>
        <w:tc>
          <w:tcPr>
            <w:tcW w:w="849" w:type="dxa"/>
            <w:tcBorders>
              <w:bottom w:val="single" w:color="000000" w:sz="6" w:space="0"/>
            </w:tcBorders>
            <w:vAlign w:val="top"/>
          </w:tcPr>
          <w:p w14:paraId="53073123">
            <w:pPr>
              <w:rPr>
                <w:rFonts w:ascii="Arial"/>
                <w:color w:val="auto"/>
                <w:sz w:val="21"/>
                <w:highlight w:val="none"/>
              </w:rPr>
            </w:pPr>
          </w:p>
        </w:tc>
        <w:tc>
          <w:tcPr>
            <w:tcW w:w="1131" w:type="dxa"/>
            <w:tcBorders>
              <w:bottom w:val="single" w:color="000000" w:sz="6" w:space="0"/>
            </w:tcBorders>
            <w:vAlign w:val="top"/>
          </w:tcPr>
          <w:p w14:paraId="6FC57972">
            <w:pPr>
              <w:rPr>
                <w:rFonts w:ascii="Arial"/>
                <w:color w:val="auto"/>
                <w:sz w:val="21"/>
                <w:highlight w:val="none"/>
              </w:rPr>
            </w:pPr>
          </w:p>
        </w:tc>
        <w:tc>
          <w:tcPr>
            <w:tcW w:w="789" w:type="dxa"/>
            <w:tcBorders>
              <w:bottom w:val="single" w:color="000000" w:sz="6" w:space="0"/>
              <w:right w:val="single" w:color="000000" w:sz="6" w:space="0"/>
            </w:tcBorders>
            <w:vAlign w:val="top"/>
          </w:tcPr>
          <w:p w14:paraId="364F1D5B">
            <w:pPr>
              <w:rPr>
                <w:rFonts w:ascii="Arial"/>
                <w:color w:val="auto"/>
                <w:sz w:val="21"/>
                <w:highlight w:val="none"/>
              </w:rPr>
            </w:pPr>
          </w:p>
        </w:tc>
      </w:tr>
    </w:tbl>
    <w:p w14:paraId="32734261">
      <w:pPr>
        <w:spacing w:before="311" w:line="219" w:lineRule="auto"/>
        <w:ind w:left="2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法定代表人或委托代理人</w:t>
      </w:r>
      <w:r>
        <w:rPr>
          <w:rFonts w:ascii="宋体" w:hAnsi="宋体" w:eastAsia="宋体" w:cs="宋体"/>
          <w:color w:val="auto"/>
          <w:spacing w:val="-11"/>
          <w:sz w:val="24"/>
          <w:szCs w:val="24"/>
          <w:highlight w:val="none"/>
        </w:rPr>
        <w:t>：</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1"/>
          <w:sz w:val="24"/>
          <w:szCs w:val="24"/>
          <w:highlight w:val="none"/>
          <w:u w:val="single" w:color="auto"/>
        </w:rPr>
        <w:t>（</w:t>
      </w:r>
      <w:r>
        <w:rPr>
          <w:rFonts w:ascii="宋体" w:hAnsi="宋体" w:eastAsia="宋体" w:cs="宋体"/>
          <w:color w:val="auto"/>
          <w:spacing w:val="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2CAEF6DE">
      <w:pPr>
        <w:spacing w:line="219" w:lineRule="auto"/>
        <w:rPr>
          <w:rFonts w:ascii="宋体" w:hAnsi="宋体" w:eastAsia="宋体" w:cs="宋体"/>
          <w:color w:val="auto"/>
          <w:sz w:val="24"/>
          <w:szCs w:val="24"/>
          <w:highlight w:val="none"/>
        </w:rPr>
        <w:sectPr>
          <w:pgSz w:w="16843" w:h="11905" w:orient="landscape"/>
          <w:pgMar w:top="1621" w:right="1429" w:bottom="1361" w:left="1253" w:header="0" w:footer="1094" w:gutter="0"/>
          <w:pgNumType w:fmt="decimal"/>
          <w:cols w:space="0" w:num="1"/>
          <w:rtlGutter w:val="0"/>
          <w:docGrid w:linePitch="0" w:charSpace="0"/>
        </w:sectPr>
      </w:pPr>
    </w:p>
    <w:p w14:paraId="39905872">
      <w:pPr>
        <w:pStyle w:val="3"/>
        <w:spacing w:line="262" w:lineRule="auto"/>
        <w:rPr>
          <w:color w:val="auto"/>
          <w:highlight w:val="none"/>
        </w:rPr>
      </w:pPr>
    </w:p>
    <w:p w14:paraId="672DBC95">
      <w:pPr>
        <w:spacing w:before="91" w:line="219" w:lineRule="auto"/>
        <w:ind w:left="3771"/>
        <w:rPr>
          <w:rFonts w:ascii="宋体" w:hAnsi="宋体" w:eastAsia="宋体" w:cs="宋体"/>
          <w:color w:val="auto"/>
          <w:sz w:val="28"/>
          <w:szCs w:val="28"/>
          <w:highlight w:val="none"/>
        </w:rPr>
      </w:pPr>
      <w:r>
        <w:rPr>
          <w:rFonts w:ascii="宋体" w:hAnsi="宋体" w:eastAsia="宋体" w:cs="宋体"/>
          <w:b/>
          <w:bCs/>
          <w:color w:val="auto"/>
          <w:spacing w:val="-3"/>
          <w:sz w:val="28"/>
          <w:szCs w:val="28"/>
          <w:highlight w:val="none"/>
        </w:rPr>
        <w:t>金属结构设备及安装工程分类分项工程量清单计价表</w:t>
      </w:r>
    </w:p>
    <w:p w14:paraId="632EA737">
      <w:pPr>
        <w:spacing w:before="205" w:line="212" w:lineRule="auto"/>
        <w:ind w:left="25"/>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        第  页共  页</w:t>
      </w:r>
    </w:p>
    <w:tbl>
      <w:tblPr>
        <w:tblStyle w:val="32"/>
        <w:tblW w:w="1396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22"/>
        <w:gridCol w:w="1556"/>
        <w:gridCol w:w="2126"/>
        <w:gridCol w:w="1980"/>
        <w:gridCol w:w="851"/>
        <w:gridCol w:w="849"/>
        <w:gridCol w:w="1134"/>
        <w:gridCol w:w="990"/>
        <w:gridCol w:w="992"/>
        <w:gridCol w:w="849"/>
        <w:gridCol w:w="1131"/>
        <w:gridCol w:w="789"/>
      </w:tblGrid>
      <w:tr w14:paraId="1801A65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2" w:hRule="atLeast"/>
        </w:trPr>
        <w:tc>
          <w:tcPr>
            <w:tcW w:w="722" w:type="dxa"/>
            <w:vMerge w:val="restart"/>
            <w:tcBorders>
              <w:top w:val="single" w:color="000000" w:sz="6" w:space="0"/>
              <w:left w:val="single" w:color="000000" w:sz="6" w:space="0"/>
              <w:bottom w:val="nil"/>
            </w:tcBorders>
            <w:vAlign w:val="top"/>
          </w:tcPr>
          <w:p w14:paraId="21FD1E7D">
            <w:pPr>
              <w:spacing w:line="303" w:lineRule="auto"/>
              <w:rPr>
                <w:rFonts w:ascii="Arial"/>
                <w:color w:val="auto"/>
                <w:sz w:val="21"/>
                <w:highlight w:val="none"/>
              </w:rPr>
            </w:pPr>
          </w:p>
          <w:p w14:paraId="55D6F76B">
            <w:pPr>
              <w:pStyle w:val="33"/>
              <w:spacing w:before="78" w:line="221" w:lineRule="auto"/>
              <w:ind w:left="120"/>
              <w:rPr>
                <w:color w:val="auto"/>
                <w:sz w:val="24"/>
                <w:szCs w:val="24"/>
                <w:highlight w:val="none"/>
              </w:rPr>
            </w:pPr>
            <w:r>
              <w:rPr>
                <w:color w:val="auto"/>
                <w:spacing w:val="-3"/>
                <w:sz w:val="24"/>
                <w:szCs w:val="24"/>
                <w:highlight w:val="none"/>
              </w:rPr>
              <w:t>序号</w:t>
            </w:r>
          </w:p>
        </w:tc>
        <w:tc>
          <w:tcPr>
            <w:tcW w:w="1556" w:type="dxa"/>
            <w:vMerge w:val="restart"/>
            <w:tcBorders>
              <w:top w:val="single" w:color="000000" w:sz="6" w:space="0"/>
              <w:bottom w:val="nil"/>
            </w:tcBorders>
            <w:vAlign w:val="top"/>
          </w:tcPr>
          <w:p w14:paraId="5F754A13">
            <w:pPr>
              <w:spacing w:line="303" w:lineRule="auto"/>
              <w:rPr>
                <w:rFonts w:ascii="Arial"/>
                <w:color w:val="auto"/>
                <w:sz w:val="21"/>
                <w:highlight w:val="none"/>
              </w:rPr>
            </w:pPr>
          </w:p>
          <w:p w14:paraId="531E1403">
            <w:pPr>
              <w:pStyle w:val="33"/>
              <w:spacing w:before="78" w:line="220" w:lineRule="auto"/>
              <w:ind w:left="301"/>
              <w:rPr>
                <w:color w:val="auto"/>
                <w:sz w:val="24"/>
                <w:szCs w:val="24"/>
                <w:highlight w:val="none"/>
              </w:rPr>
            </w:pPr>
            <w:r>
              <w:rPr>
                <w:color w:val="auto"/>
                <w:spacing w:val="-3"/>
                <w:sz w:val="24"/>
                <w:szCs w:val="24"/>
                <w:highlight w:val="none"/>
              </w:rPr>
              <w:t>项目编码</w:t>
            </w:r>
          </w:p>
        </w:tc>
        <w:tc>
          <w:tcPr>
            <w:tcW w:w="2126" w:type="dxa"/>
            <w:vMerge w:val="restart"/>
            <w:tcBorders>
              <w:top w:val="single" w:color="000000" w:sz="6" w:space="0"/>
              <w:bottom w:val="nil"/>
            </w:tcBorders>
            <w:vAlign w:val="top"/>
          </w:tcPr>
          <w:p w14:paraId="0539E462">
            <w:pPr>
              <w:spacing w:line="304" w:lineRule="auto"/>
              <w:rPr>
                <w:rFonts w:ascii="Arial"/>
                <w:color w:val="auto"/>
                <w:sz w:val="21"/>
                <w:highlight w:val="none"/>
              </w:rPr>
            </w:pPr>
          </w:p>
          <w:p w14:paraId="0AA0D3C0">
            <w:pPr>
              <w:pStyle w:val="33"/>
              <w:spacing w:before="78" w:line="220" w:lineRule="auto"/>
              <w:ind w:left="588"/>
              <w:rPr>
                <w:color w:val="auto"/>
                <w:sz w:val="24"/>
                <w:szCs w:val="24"/>
                <w:highlight w:val="none"/>
              </w:rPr>
            </w:pPr>
            <w:r>
              <w:rPr>
                <w:color w:val="auto"/>
                <w:spacing w:val="-3"/>
                <w:sz w:val="24"/>
                <w:szCs w:val="24"/>
                <w:highlight w:val="none"/>
              </w:rPr>
              <w:t>项目名称</w:t>
            </w:r>
          </w:p>
        </w:tc>
        <w:tc>
          <w:tcPr>
            <w:tcW w:w="1980" w:type="dxa"/>
            <w:vMerge w:val="restart"/>
            <w:tcBorders>
              <w:top w:val="single" w:color="000000" w:sz="6" w:space="0"/>
              <w:bottom w:val="nil"/>
            </w:tcBorders>
            <w:vAlign w:val="top"/>
          </w:tcPr>
          <w:p w14:paraId="47AD02AF">
            <w:pPr>
              <w:pStyle w:val="33"/>
              <w:spacing w:before="226" w:line="230" w:lineRule="auto"/>
              <w:ind w:left="515" w:right="509" w:firstLine="3"/>
              <w:rPr>
                <w:color w:val="auto"/>
                <w:sz w:val="24"/>
                <w:szCs w:val="24"/>
                <w:highlight w:val="none"/>
              </w:rPr>
            </w:pPr>
            <w:r>
              <w:rPr>
                <w:color w:val="auto"/>
                <w:spacing w:val="-4"/>
                <w:sz w:val="24"/>
                <w:szCs w:val="24"/>
                <w:highlight w:val="none"/>
              </w:rPr>
              <w:t>项目主要</w:t>
            </w:r>
            <w:r>
              <w:rPr>
                <w:color w:val="auto"/>
                <w:spacing w:val="1"/>
                <w:sz w:val="24"/>
                <w:szCs w:val="24"/>
                <w:highlight w:val="none"/>
              </w:rPr>
              <w:t xml:space="preserve"> </w:t>
            </w:r>
            <w:r>
              <w:rPr>
                <w:color w:val="auto"/>
                <w:spacing w:val="-11"/>
                <w:sz w:val="24"/>
                <w:szCs w:val="24"/>
                <w:highlight w:val="none"/>
              </w:rPr>
              <w:t>特</w:t>
            </w:r>
            <w:r>
              <w:rPr>
                <w:color w:val="auto"/>
                <w:spacing w:val="3"/>
                <w:sz w:val="24"/>
                <w:szCs w:val="24"/>
                <w:highlight w:val="none"/>
              </w:rPr>
              <w:t xml:space="preserve">    </w:t>
            </w:r>
            <w:r>
              <w:rPr>
                <w:color w:val="auto"/>
                <w:spacing w:val="-11"/>
                <w:sz w:val="24"/>
                <w:szCs w:val="24"/>
                <w:highlight w:val="none"/>
              </w:rPr>
              <w:t>征</w:t>
            </w:r>
          </w:p>
        </w:tc>
        <w:tc>
          <w:tcPr>
            <w:tcW w:w="851" w:type="dxa"/>
            <w:vMerge w:val="restart"/>
            <w:tcBorders>
              <w:top w:val="single" w:color="000000" w:sz="6" w:space="0"/>
              <w:bottom w:val="nil"/>
            </w:tcBorders>
            <w:vAlign w:val="top"/>
          </w:tcPr>
          <w:p w14:paraId="1577160C">
            <w:pPr>
              <w:pStyle w:val="33"/>
              <w:spacing w:before="227" w:line="230" w:lineRule="auto"/>
              <w:ind w:left="192" w:right="184"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849" w:type="dxa"/>
            <w:vMerge w:val="restart"/>
            <w:tcBorders>
              <w:top w:val="single" w:color="000000" w:sz="6" w:space="0"/>
              <w:bottom w:val="nil"/>
            </w:tcBorders>
            <w:vAlign w:val="top"/>
          </w:tcPr>
          <w:p w14:paraId="631D5C4C">
            <w:pPr>
              <w:pStyle w:val="33"/>
              <w:spacing w:before="226" w:line="230" w:lineRule="auto"/>
              <w:ind w:left="194" w:right="181"/>
              <w:rPr>
                <w:color w:val="auto"/>
                <w:sz w:val="24"/>
                <w:szCs w:val="24"/>
                <w:highlight w:val="none"/>
              </w:rPr>
            </w:pPr>
            <w:r>
              <w:rPr>
                <w:color w:val="auto"/>
                <w:spacing w:val="-7"/>
                <w:sz w:val="24"/>
                <w:szCs w:val="24"/>
                <w:highlight w:val="none"/>
              </w:rPr>
              <w:t>工程</w:t>
            </w:r>
            <w:r>
              <w:rPr>
                <w:color w:val="auto"/>
                <w:sz w:val="24"/>
                <w:szCs w:val="24"/>
                <w:highlight w:val="none"/>
              </w:rPr>
              <w:t xml:space="preserve"> </w:t>
            </w:r>
            <w:r>
              <w:rPr>
                <w:color w:val="auto"/>
                <w:spacing w:val="-6"/>
                <w:sz w:val="24"/>
                <w:szCs w:val="24"/>
                <w:highlight w:val="none"/>
              </w:rPr>
              <w:t>数量</w:t>
            </w:r>
          </w:p>
        </w:tc>
        <w:tc>
          <w:tcPr>
            <w:tcW w:w="2124" w:type="dxa"/>
            <w:gridSpan w:val="2"/>
            <w:tcBorders>
              <w:top w:val="single" w:color="000000" w:sz="6" w:space="0"/>
            </w:tcBorders>
            <w:vAlign w:val="top"/>
          </w:tcPr>
          <w:p w14:paraId="2F561AF8">
            <w:pPr>
              <w:pStyle w:val="33"/>
              <w:spacing w:before="131" w:line="218" w:lineRule="auto"/>
              <w:ind w:left="473"/>
              <w:rPr>
                <w:color w:val="auto"/>
                <w:sz w:val="24"/>
                <w:szCs w:val="24"/>
                <w:highlight w:val="none"/>
              </w:rPr>
            </w:pPr>
            <w:r>
              <w:rPr>
                <w:color w:val="auto"/>
                <w:spacing w:val="-5"/>
                <w:sz w:val="24"/>
                <w:szCs w:val="24"/>
                <w:highlight w:val="none"/>
              </w:rPr>
              <w:t>单价（元）</w:t>
            </w:r>
          </w:p>
        </w:tc>
        <w:tc>
          <w:tcPr>
            <w:tcW w:w="1841" w:type="dxa"/>
            <w:gridSpan w:val="2"/>
            <w:tcBorders>
              <w:top w:val="single" w:color="000000" w:sz="6" w:space="0"/>
            </w:tcBorders>
            <w:vAlign w:val="top"/>
          </w:tcPr>
          <w:p w14:paraId="4E959503">
            <w:pPr>
              <w:pStyle w:val="33"/>
              <w:spacing w:before="131" w:line="218" w:lineRule="auto"/>
              <w:ind w:left="333"/>
              <w:rPr>
                <w:color w:val="auto"/>
                <w:sz w:val="24"/>
                <w:szCs w:val="24"/>
                <w:highlight w:val="none"/>
              </w:rPr>
            </w:pPr>
            <w:r>
              <w:rPr>
                <w:color w:val="auto"/>
                <w:spacing w:val="-5"/>
                <w:sz w:val="24"/>
                <w:szCs w:val="24"/>
                <w:highlight w:val="none"/>
              </w:rPr>
              <w:t>合价（元）</w:t>
            </w:r>
          </w:p>
        </w:tc>
        <w:tc>
          <w:tcPr>
            <w:tcW w:w="1131" w:type="dxa"/>
            <w:vMerge w:val="restart"/>
            <w:tcBorders>
              <w:top w:val="single" w:color="000000" w:sz="6" w:space="0"/>
              <w:bottom w:val="nil"/>
            </w:tcBorders>
            <w:vAlign w:val="top"/>
          </w:tcPr>
          <w:p w14:paraId="5572A85D">
            <w:pPr>
              <w:pStyle w:val="33"/>
              <w:spacing w:before="226" w:line="230" w:lineRule="auto"/>
              <w:ind w:left="101" w:right="76"/>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789" w:type="dxa"/>
            <w:vMerge w:val="restart"/>
            <w:tcBorders>
              <w:top w:val="single" w:color="000000" w:sz="6" w:space="0"/>
              <w:bottom w:val="nil"/>
              <w:right w:val="single" w:color="000000" w:sz="6" w:space="0"/>
            </w:tcBorders>
            <w:vAlign w:val="top"/>
          </w:tcPr>
          <w:p w14:paraId="62FE4E2E">
            <w:pPr>
              <w:spacing w:line="303" w:lineRule="auto"/>
              <w:rPr>
                <w:rFonts w:ascii="Arial"/>
                <w:color w:val="auto"/>
                <w:sz w:val="21"/>
                <w:highlight w:val="none"/>
              </w:rPr>
            </w:pPr>
          </w:p>
          <w:p w14:paraId="0D557819">
            <w:pPr>
              <w:pStyle w:val="33"/>
              <w:spacing w:before="78" w:line="221" w:lineRule="auto"/>
              <w:ind w:left="163"/>
              <w:rPr>
                <w:color w:val="auto"/>
                <w:sz w:val="24"/>
                <w:szCs w:val="24"/>
                <w:highlight w:val="none"/>
              </w:rPr>
            </w:pPr>
            <w:r>
              <w:rPr>
                <w:color w:val="auto"/>
                <w:spacing w:val="-4"/>
                <w:sz w:val="24"/>
                <w:szCs w:val="24"/>
                <w:highlight w:val="none"/>
              </w:rPr>
              <w:t>备注</w:t>
            </w:r>
          </w:p>
        </w:tc>
      </w:tr>
      <w:tr w14:paraId="6C1B70D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98" w:hRule="atLeast"/>
        </w:trPr>
        <w:tc>
          <w:tcPr>
            <w:tcW w:w="722" w:type="dxa"/>
            <w:vMerge w:val="continue"/>
            <w:tcBorders>
              <w:top w:val="nil"/>
              <w:left w:val="single" w:color="000000" w:sz="6" w:space="0"/>
            </w:tcBorders>
            <w:vAlign w:val="top"/>
          </w:tcPr>
          <w:p w14:paraId="1E6C756C">
            <w:pPr>
              <w:rPr>
                <w:rFonts w:ascii="Arial"/>
                <w:color w:val="auto"/>
                <w:sz w:val="21"/>
                <w:highlight w:val="none"/>
              </w:rPr>
            </w:pPr>
          </w:p>
        </w:tc>
        <w:tc>
          <w:tcPr>
            <w:tcW w:w="1556" w:type="dxa"/>
            <w:vMerge w:val="continue"/>
            <w:tcBorders>
              <w:top w:val="nil"/>
            </w:tcBorders>
            <w:vAlign w:val="top"/>
          </w:tcPr>
          <w:p w14:paraId="6413DDDA">
            <w:pPr>
              <w:rPr>
                <w:rFonts w:ascii="Arial"/>
                <w:color w:val="auto"/>
                <w:sz w:val="21"/>
                <w:highlight w:val="none"/>
              </w:rPr>
            </w:pPr>
          </w:p>
        </w:tc>
        <w:tc>
          <w:tcPr>
            <w:tcW w:w="2126" w:type="dxa"/>
            <w:vMerge w:val="continue"/>
            <w:tcBorders>
              <w:top w:val="nil"/>
            </w:tcBorders>
            <w:vAlign w:val="top"/>
          </w:tcPr>
          <w:p w14:paraId="04FCE3FF">
            <w:pPr>
              <w:rPr>
                <w:rFonts w:ascii="Arial"/>
                <w:color w:val="auto"/>
                <w:sz w:val="21"/>
                <w:highlight w:val="none"/>
              </w:rPr>
            </w:pPr>
          </w:p>
        </w:tc>
        <w:tc>
          <w:tcPr>
            <w:tcW w:w="1980" w:type="dxa"/>
            <w:vMerge w:val="continue"/>
            <w:tcBorders>
              <w:top w:val="nil"/>
            </w:tcBorders>
            <w:vAlign w:val="top"/>
          </w:tcPr>
          <w:p w14:paraId="6BE0A44A">
            <w:pPr>
              <w:rPr>
                <w:rFonts w:ascii="Arial"/>
                <w:color w:val="auto"/>
                <w:sz w:val="21"/>
                <w:highlight w:val="none"/>
              </w:rPr>
            </w:pPr>
          </w:p>
        </w:tc>
        <w:tc>
          <w:tcPr>
            <w:tcW w:w="851" w:type="dxa"/>
            <w:vMerge w:val="continue"/>
            <w:tcBorders>
              <w:top w:val="nil"/>
            </w:tcBorders>
            <w:vAlign w:val="top"/>
          </w:tcPr>
          <w:p w14:paraId="6ED2256F">
            <w:pPr>
              <w:rPr>
                <w:rFonts w:ascii="Arial"/>
                <w:color w:val="auto"/>
                <w:sz w:val="21"/>
                <w:highlight w:val="none"/>
              </w:rPr>
            </w:pPr>
          </w:p>
        </w:tc>
        <w:tc>
          <w:tcPr>
            <w:tcW w:w="849" w:type="dxa"/>
            <w:vMerge w:val="continue"/>
            <w:tcBorders>
              <w:top w:val="nil"/>
            </w:tcBorders>
            <w:vAlign w:val="top"/>
          </w:tcPr>
          <w:p w14:paraId="66B5D47E">
            <w:pPr>
              <w:rPr>
                <w:rFonts w:ascii="Arial"/>
                <w:color w:val="auto"/>
                <w:sz w:val="21"/>
                <w:highlight w:val="none"/>
              </w:rPr>
            </w:pPr>
          </w:p>
        </w:tc>
        <w:tc>
          <w:tcPr>
            <w:tcW w:w="1134" w:type="dxa"/>
            <w:vAlign w:val="top"/>
          </w:tcPr>
          <w:p w14:paraId="69071A87">
            <w:pPr>
              <w:pStyle w:val="33"/>
              <w:spacing w:before="128" w:line="220" w:lineRule="auto"/>
              <w:ind w:left="218"/>
              <w:rPr>
                <w:color w:val="auto"/>
                <w:sz w:val="24"/>
                <w:szCs w:val="24"/>
                <w:highlight w:val="none"/>
              </w:rPr>
            </w:pPr>
            <w:r>
              <w:rPr>
                <w:color w:val="auto"/>
                <w:spacing w:val="-3"/>
                <w:sz w:val="24"/>
                <w:szCs w:val="24"/>
                <w:highlight w:val="none"/>
              </w:rPr>
              <w:t>设备费</w:t>
            </w:r>
          </w:p>
        </w:tc>
        <w:tc>
          <w:tcPr>
            <w:tcW w:w="990" w:type="dxa"/>
            <w:vAlign w:val="top"/>
          </w:tcPr>
          <w:p w14:paraId="2BD9D2E9">
            <w:pPr>
              <w:pStyle w:val="33"/>
              <w:spacing w:before="128" w:line="220" w:lineRule="auto"/>
              <w:ind w:left="146"/>
              <w:rPr>
                <w:color w:val="auto"/>
                <w:sz w:val="24"/>
                <w:szCs w:val="24"/>
                <w:highlight w:val="none"/>
              </w:rPr>
            </w:pPr>
            <w:r>
              <w:rPr>
                <w:color w:val="auto"/>
                <w:spacing w:val="-4"/>
                <w:sz w:val="24"/>
                <w:szCs w:val="24"/>
                <w:highlight w:val="none"/>
              </w:rPr>
              <w:t>安装费</w:t>
            </w:r>
          </w:p>
        </w:tc>
        <w:tc>
          <w:tcPr>
            <w:tcW w:w="992" w:type="dxa"/>
            <w:vAlign w:val="top"/>
          </w:tcPr>
          <w:p w14:paraId="04053D54">
            <w:pPr>
              <w:pStyle w:val="33"/>
              <w:spacing w:before="128" w:line="220" w:lineRule="auto"/>
              <w:ind w:left="151"/>
              <w:rPr>
                <w:color w:val="auto"/>
                <w:sz w:val="24"/>
                <w:szCs w:val="24"/>
                <w:highlight w:val="none"/>
              </w:rPr>
            </w:pPr>
            <w:r>
              <w:rPr>
                <w:color w:val="auto"/>
                <w:spacing w:val="-3"/>
                <w:sz w:val="24"/>
                <w:szCs w:val="24"/>
                <w:highlight w:val="none"/>
              </w:rPr>
              <w:t>设备费</w:t>
            </w:r>
          </w:p>
        </w:tc>
        <w:tc>
          <w:tcPr>
            <w:tcW w:w="849" w:type="dxa"/>
            <w:vAlign w:val="top"/>
          </w:tcPr>
          <w:p w14:paraId="5C7A6543">
            <w:pPr>
              <w:pStyle w:val="33"/>
              <w:spacing w:before="128" w:line="220" w:lineRule="auto"/>
              <w:ind w:left="81"/>
              <w:rPr>
                <w:color w:val="auto"/>
                <w:sz w:val="24"/>
                <w:szCs w:val="24"/>
                <w:highlight w:val="none"/>
              </w:rPr>
            </w:pPr>
            <w:r>
              <w:rPr>
                <w:color w:val="auto"/>
                <w:spacing w:val="-4"/>
                <w:sz w:val="24"/>
                <w:szCs w:val="24"/>
                <w:highlight w:val="none"/>
              </w:rPr>
              <w:t>安装费</w:t>
            </w:r>
          </w:p>
        </w:tc>
        <w:tc>
          <w:tcPr>
            <w:tcW w:w="1131" w:type="dxa"/>
            <w:vMerge w:val="continue"/>
            <w:tcBorders>
              <w:top w:val="nil"/>
            </w:tcBorders>
            <w:vAlign w:val="top"/>
          </w:tcPr>
          <w:p w14:paraId="3E3FA1AF">
            <w:pPr>
              <w:rPr>
                <w:rFonts w:ascii="Arial"/>
                <w:color w:val="auto"/>
                <w:sz w:val="21"/>
                <w:highlight w:val="none"/>
              </w:rPr>
            </w:pPr>
          </w:p>
        </w:tc>
        <w:tc>
          <w:tcPr>
            <w:tcW w:w="789" w:type="dxa"/>
            <w:vMerge w:val="continue"/>
            <w:tcBorders>
              <w:top w:val="nil"/>
              <w:right w:val="single" w:color="000000" w:sz="6" w:space="0"/>
            </w:tcBorders>
            <w:vAlign w:val="top"/>
          </w:tcPr>
          <w:p w14:paraId="2EA81C54">
            <w:pPr>
              <w:rPr>
                <w:rFonts w:ascii="Arial"/>
                <w:color w:val="auto"/>
                <w:sz w:val="21"/>
                <w:highlight w:val="none"/>
              </w:rPr>
            </w:pPr>
          </w:p>
        </w:tc>
      </w:tr>
      <w:tr w14:paraId="4234516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722" w:type="dxa"/>
            <w:tcBorders>
              <w:left w:val="single" w:color="000000" w:sz="6" w:space="0"/>
            </w:tcBorders>
            <w:vAlign w:val="top"/>
          </w:tcPr>
          <w:p w14:paraId="6510A2B6">
            <w:pPr>
              <w:rPr>
                <w:rFonts w:ascii="Arial"/>
                <w:color w:val="auto"/>
                <w:sz w:val="21"/>
                <w:highlight w:val="none"/>
              </w:rPr>
            </w:pPr>
          </w:p>
        </w:tc>
        <w:tc>
          <w:tcPr>
            <w:tcW w:w="1556" w:type="dxa"/>
            <w:vAlign w:val="top"/>
          </w:tcPr>
          <w:p w14:paraId="7B2B9969">
            <w:pPr>
              <w:rPr>
                <w:rFonts w:ascii="Arial"/>
                <w:color w:val="auto"/>
                <w:sz w:val="21"/>
                <w:highlight w:val="none"/>
              </w:rPr>
            </w:pPr>
          </w:p>
        </w:tc>
        <w:tc>
          <w:tcPr>
            <w:tcW w:w="2126" w:type="dxa"/>
            <w:vAlign w:val="top"/>
          </w:tcPr>
          <w:p w14:paraId="25C9BFA5">
            <w:pPr>
              <w:rPr>
                <w:rFonts w:ascii="Arial"/>
                <w:color w:val="auto"/>
                <w:sz w:val="21"/>
                <w:highlight w:val="none"/>
              </w:rPr>
            </w:pPr>
          </w:p>
        </w:tc>
        <w:tc>
          <w:tcPr>
            <w:tcW w:w="1980" w:type="dxa"/>
            <w:vAlign w:val="top"/>
          </w:tcPr>
          <w:p w14:paraId="7A9E4E16">
            <w:pPr>
              <w:rPr>
                <w:rFonts w:ascii="Arial"/>
                <w:color w:val="auto"/>
                <w:sz w:val="21"/>
                <w:highlight w:val="none"/>
              </w:rPr>
            </w:pPr>
          </w:p>
        </w:tc>
        <w:tc>
          <w:tcPr>
            <w:tcW w:w="851" w:type="dxa"/>
            <w:vAlign w:val="top"/>
          </w:tcPr>
          <w:p w14:paraId="30486848">
            <w:pPr>
              <w:rPr>
                <w:rFonts w:ascii="Arial"/>
                <w:color w:val="auto"/>
                <w:sz w:val="21"/>
                <w:highlight w:val="none"/>
              </w:rPr>
            </w:pPr>
          </w:p>
        </w:tc>
        <w:tc>
          <w:tcPr>
            <w:tcW w:w="849" w:type="dxa"/>
            <w:vAlign w:val="top"/>
          </w:tcPr>
          <w:p w14:paraId="2C6E467E">
            <w:pPr>
              <w:rPr>
                <w:rFonts w:ascii="Arial"/>
                <w:color w:val="auto"/>
                <w:sz w:val="21"/>
                <w:highlight w:val="none"/>
              </w:rPr>
            </w:pPr>
          </w:p>
        </w:tc>
        <w:tc>
          <w:tcPr>
            <w:tcW w:w="1134" w:type="dxa"/>
            <w:vAlign w:val="top"/>
          </w:tcPr>
          <w:p w14:paraId="659D5733">
            <w:pPr>
              <w:rPr>
                <w:rFonts w:ascii="Arial"/>
                <w:color w:val="auto"/>
                <w:sz w:val="21"/>
                <w:highlight w:val="none"/>
              </w:rPr>
            </w:pPr>
          </w:p>
        </w:tc>
        <w:tc>
          <w:tcPr>
            <w:tcW w:w="990" w:type="dxa"/>
            <w:vAlign w:val="top"/>
          </w:tcPr>
          <w:p w14:paraId="69403437">
            <w:pPr>
              <w:rPr>
                <w:rFonts w:ascii="Arial"/>
                <w:color w:val="auto"/>
                <w:sz w:val="21"/>
                <w:highlight w:val="none"/>
              </w:rPr>
            </w:pPr>
          </w:p>
        </w:tc>
        <w:tc>
          <w:tcPr>
            <w:tcW w:w="992" w:type="dxa"/>
            <w:vAlign w:val="top"/>
          </w:tcPr>
          <w:p w14:paraId="58BBF5A2">
            <w:pPr>
              <w:rPr>
                <w:rFonts w:ascii="Arial"/>
                <w:color w:val="auto"/>
                <w:sz w:val="21"/>
                <w:highlight w:val="none"/>
              </w:rPr>
            </w:pPr>
          </w:p>
        </w:tc>
        <w:tc>
          <w:tcPr>
            <w:tcW w:w="849" w:type="dxa"/>
            <w:vAlign w:val="top"/>
          </w:tcPr>
          <w:p w14:paraId="7AFA719C">
            <w:pPr>
              <w:rPr>
                <w:rFonts w:ascii="Arial"/>
                <w:color w:val="auto"/>
                <w:sz w:val="21"/>
                <w:highlight w:val="none"/>
              </w:rPr>
            </w:pPr>
          </w:p>
        </w:tc>
        <w:tc>
          <w:tcPr>
            <w:tcW w:w="1131" w:type="dxa"/>
            <w:vAlign w:val="top"/>
          </w:tcPr>
          <w:p w14:paraId="58BC7A67">
            <w:pPr>
              <w:rPr>
                <w:rFonts w:ascii="Arial"/>
                <w:color w:val="auto"/>
                <w:sz w:val="21"/>
                <w:highlight w:val="none"/>
              </w:rPr>
            </w:pPr>
          </w:p>
        </w:tc>
        <w:tc>
          <w:tcPr>
            <w:tcW w:w="789" w:type="dxa"/>
            <w:tcBorders>
              <w:right w:val="single" w:color="000000" w:sz="6" w:space="0"/>
            </w:tcBorders>
            <w:vAlign w:val="top"/>
          </w:tcPr>
          <w:p w14:paraId="5889E900">
            <w:pPr>
              <w:rPr>
                <w:rFonts w:ascii="Arial"/>
                <w:color w:val="auto"/>
                <w:sz w:val="21"/>
                <w:highlight w:val="none"/>
              </w:rPr>
            </w:pPr>
          </w:p>
        </w:tc>
      </w:tr>
      <w:tr w14:paraId="0D55E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2E247D47">
            <w:pPr>
              <w:rPr>
                <w:rFonts w:ascii="Arial"/>
                <w:color w:val="auto"/>
                <w:sz w:val="21"/>
                <w:highlight w:val="none"/>
              </w:rPr>
            </w:pPr>
          </w:p>
        </w:tc>
        <w:tc>
          <w:tcPr>
            <w:tcW w:w="1556" w:type="dxa"/>
            <w:vAlign w:val="top"/>
          </w:tcPr>
          <w:p w14:paraId="28999BEC">
            <w:pPr>
              <w:rPr>
                <w:rFonts w:ascii="Arial"/>
                <w:color w:val="auto"/>
                <w:sz w:val="21"/>
                <w:highlight w:val="none"/>
              </w:rPr>
            </w:pPr>
          </w:p>
        </w:tc>
        <w:tc>
          <w:tcPr>
            <w:tcW w:w="2126" w:type="dxa"/>
            <w:vAlign w:val="top"/>
          </w:tcPr>
          <w:p w14:paraId="50E93369">
            <w:pPr>
              <w:rPr>
                <w:rFonts w:ascii="Arial"/>
                <w:color w:val="auto"/>
                <w:sz w:val="21"/>
                <w:highlight w:val="none"/>
              </w:rPr>
            </w:pPr>
          </w:p>
        </w:tc>
        <w:tc>
          <w:tcPr>
            <w:tcW w:w="1980" w:type="dxa"/>
            <w:vAlign w:val="top"/>
          </w:tcPr>
          <w:p w14:paraId="76E842F2">
            <w:pPr>
              <w:rPr>
                <w:rFonts w:ascii="Arial"/>
                <w:color w:val="auto"/>
                <w:sz w:val="21"/>
                <w:highlight w:val="none"/>
              </w:rPr>
            </w:pPr>
          </w:p>
        </w:tc>
        <w:tc>
          <w:tcPr>
            <w:tcW w:w="851" w:type="dxa"/>
            <w:vAlign w:val="top"/>
          </w:tcPr>
          <w:p w14:paraId="0F214C79">
            <w:pPr>
              <w:rPr>
                <w:rFonts w:ascii="Arial"/>
                <w:color w:val="auto"/>
                <w:sz w:val="21"/>
                <w:highlight w:val="none"/>
              </w:rPr>
            </w:pPr>
          </w:p>
        </w:tc>
        <w:tc>
          <w:tcPr>
            <w:tcW w:w="849" w:type="dxa"/>
            <w:vAlign w:val="top"/>
          </w:tcPr>
          <w:p w14:paraId="36967810">
            <w:pPr>
              <w:rPr>
                <w:rFonts w:ascii="Arial"/>
                <w:color w:val="auto"/>
                <w:sz w:val="21"/>
                <w:highlight w:val="none"/>
              </w:rPr>
            </w:pPr>
          </w:p>
        </w:tc>
        <w:tc>
          <w:tcPr>
            <w:tcW w:w="1134" w:type="dxa"/>
            <w:vAlign w:val="top"/>
          </w:tcPr>
          <w:p w14:paraId="54B6C1EC">
            <w:pPr>
              <w:rPr>
                <w:rFonts w:ascii="Arial"/>
                <w:color w:val="auto"/>
                <w:sz w:val="21"/>
                <w:highlight w:val="none"/>
              </w:rPr>
            </w:pPr>
          </w:p>
        </w:tc>
        <w:tc>
          <w:tcPr>
            <w:tcW w:w="990" w:type="dxa"/>
            <w:vAlign w:val="top"/>
          </w:tcPr>
          <w:p w14:paraId="321A743A">
            <w:pPr>
              <w:rPr>
                <w:rFonts w:ascii="Arial"/>
                <w:color w:val="auto"/>
                <w:sz w:val="21"/>
                <w:highlight w:val="none"/>
              </w:rPr>
            </w:pPr>
          </w:p>
        </w:tc>
        <w:tc>
          <w:tcPr>
            <w:tcW w:w="992" w:type="dxa"/>
            <w:vAlign w:val="top"/>
          </w:tcPr>
          <w:p w14:paraId="4AB3D174">
            <w:pPr>
              <w:rPr>
                <w:rFonts w:ascii="Arial"/>
                <w:color w:val="auto"/>
                <w:sz w:val="21"/>
                <w:highlight w:val="none"/>
              </w:rPr>
            </w:pPr>
          </w:p>
        </w:tc>
        <w:tc>
          <w:tcPr>
            <w:tcW w:w="849" w:type="dxa"/>
            <w:vAlign w:val="top"/>
          </w:tcPr>
          <w:p w14:paraId="675709CE">
            <w:pPr>
              <w:rPr>
                <w:rFonts w:ascii="Arial"/>
                <w:color w:val="auto"/>
                <w:sz w:val="21"/>
                <w:highlight w:val="none"/>
              </w:rPr>
            </w:pPr>
          </w:p>
        </w:tc>
        <w:tc>
          <w:tcPr>
            <w:tcW w:w="1131" w:type="dxa"/>
            <w:vAlign w:val="top"/>
          </w:tcPr>
          <w:p w14:paraId="4EE304A5">
            <w:pPr>
              <w:rPr>
                <w:rFonts w:ascii="Arial"/>
                <w:color w:val="auto"/>
                <w:sz w:val="21"/>
                <w:highlight w:val="none"/>
              </w:rPr>
            </w:pPr>
          </w:p>
        </w:tc>
        <w:tc>
          <w:tcPr>
            <w:tcW w:w="789" w:type="dxa"/>
            <w:tcBorders>
              <w:right w:val="single" w:color="000000" w:sz="6" w:space="0"/>
            </w:tcBorders>
            <w:vAlign w:val="top"/>
          </w:tcPr>
          <w:p w14:paraId="5128BF74">
            <w:pPr>
              <w:rPr>
                <w:rFonts w:ascii="Arial"/>
                <w:color w:val="auto"/>
                <w:sz w:val="21"/>
                <w:highlight w:val="none"/>
              </w:rPr>
            </w:pPr>
          </w:p>
        </w:tc>
      </w:tr>
      <w:tr w14:paraId="09E125A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63BB129C">
            <w:pPr>
              <w:rPr>
                <w:rFonts w:ascii="Arial"/>
                <w:color w:val="auto"/>
                <w:sz w:val="21"/>
                <w:highlight w:val="none"/>
              </w:rPr>
            </w:pPr>
          </w:p>
        </w:tc>
        <w:tc>
          <w:tcPr>
            <w:tcW w:w="1556" w:type="dxa"/>
            <w:vAlign w:val="top"/>
          </w:tcPr>
          <w:p w14:paraId="1D5FA1F9">
            <w:pPr>
              <w:rPr>
                <w:rFonts w:ascii="Arial"/>
                <w:color w:val="auto"/>
                <w:sz w:val="21"/>
                <w:highlight w:val="none"/>
              </w:rPr>
            </w:pPr>
          </w:p>
        </w:tc>
        <w:tc>
          <w:tcPr>
            <w:tcW w:w="2126" w:type="dxa"/>
            <w:vAlign w:val="top"/>
          </w:tcPr>
          <w:p w14:paraId="5CAB97A0">
            <w:pPr>
              <w:rPr>
                <w:rFonts w:ascii="Arial"/>
                <w:color w:val="auto"/>
                <w:sz w:val="21"/>
                <w:highlight w:val="none"/>
              </w:rPr>
            </w:pPr>
          </w:p>
        </w:tc>
        <w:tc>
          <w:tcPr>
            <w:tcW w:w="1980" w:type="dxa"/>
            <w:vAlign w:val="top"/>
          </w:tcPr>
          <w:p w14:paraId="2BE4FE6B">
            <w:pPr>
              <w:rPr>
                <w:rFonts w:ascii="Arial"/>
                <w:color w:val="auto"/>
                <w:sz w:val="21"/>
                <w:highlight w:val="none"/>
              </w:rPr>
            </w:pPr>
          </w:p>
        </w:tc>
        <w:tc>
          <w:tcPr>
            <w:tcW w:w="851" w:type="dxa"/>
            <w:vAlign w:val="top"/>
          </w:tcPr>
          <w:p w14:paraId="78623DCE">
            <w:pPr>
              <w:rPr>
                <w:rFonts w:ascii="Arial"/>
                <w:color w:val="auto"/>
                <w:sz w:val="21"/>
                <w:highlight w:val="none"/>
              </w:rPr>
            </w:pPr>
          </w:p>
        </w:tc>
        <w:tc>
          <w:tcPr>
            <w:tcW w:w="849" w:type="dxa"/>
            <w:vAlign w:val="top"/>
          </w:tcPr>
          <w:p w14:paraId="2152833C">
            <w:pPr>
              <w:rPr>
                <w:rFonts w:ascii="Arial"/>
                <w:color w:val="auto"/>
                <w:sz w:val="21"/>
                <w:highlight w:val="none"/>
              </w:rPr>
            </w:pPr>
          </w:p>
        </w:tc>
        <w:tc>
          <w:tcPr>
            <w:tcW w:w="1134" w:type="dxa"/>
            <w:vAlign w:val="top"/>
          </w:tcPr>
          <w:p w14:paraId="1E05F706">
            <w:pPr>
              <w:rPr>
                <w:rFonts w:ascii="Arial"/>
                <w:color w:val="auto"/>
                <w:sz w:val="21"/>
                <w:highlight w:val="none"/>
              </w:rPr>
            </w:pPr>
          </w:p>
        </w:tc>
        <w:tc>
          <w:tcPr>
            <w:tcW w:w="990" w:type="dxa"/>
            <w:vAlign w:val="top"/>
          </w:tcPr>
          <w:p w14:paraId="594FA4D7">
            <w:pPr>
              <w:rPr>
                <w:rFonts w:ascii="Arial"/>
                <w:color w:val="auto"/>
                <w:sz w:val="21"/>
                <w:highlight w:val="none"/>
              </w:rPr>
            </w:pPr>
          </w:p>
        </w:tc>
        <w:tc>
          <w:tcPr>
            <w:tcW w:w="992" w:type="dxa"/>
            <w:vAlign w:val="top"/>
          </w:tcPr>
          <w:p w14:paraId="19602419">
            <w:pPr>
              <w:rPr>
                <w:rFonts w:ascii="Arial"/>
                <w:color w:val="auto"/>
                <w:sz w:val="21"/>
                <w:highlight w:val="none"/>
              </w:rPr>
            </w:pPr>
          </w:p>
        </w:tc>
        <w:tc>
          <w:tcPr>
            <w:tcW w:w="849" w:type="dxa"/>
            <w:vAlign w:val="top"/>
          </w:tcPr>
          <w:p w14:paraId="1BCC2B71">
            <w:pPr>
              <w:rPr>
                <w:rFonts w:ascii="Arial"/>
                <w:color w:val="auto"/>
                <w:sz w:val="21"/>
                <w:highlight w:val="none"/>
              </w:rPr>
            </w:pPr>
          </w:p>
        </w:tc>
        <w:tc>
          <w:tcPr>
            <w:tcW w:w="1131" w:type="dxa"/>
            <w:vAlign w:val="top"/>
          </w:tcPr>
          <w:p w14:paraId="37478076">
            <w:pPr>
              <w:rPr>
                <w:rFonts w:ascii="Arial"/>
                <w:color w:val="auto"/>
                <w:sz w:val="21"/>
                <w:highlight w:val="none"/>
              </w:rPr>
            </w:pPr>
          </w:p>
        </w:tc>
        <w:tc>
          <w:tcPr>
            <w:tcW w:w="789" w:type="dxa"/>
            <w:tcBorders>
              <w:right w:val="single" w:color="000000" w:sz="6" w:space="0"/>
            </w:tcBorders>
            <w:vAlign w:val="top"/>
          </w:tcPr>
          <w:p w14:paraId="598E2A28">
            <w:pPr>
              <w:rPr>
                <w:rFonts w:ascii="Arial"/>
                <w:color w:val="auto"/>
                <w:sz w:val="21"/>
                <w:highlight w:val="none"/>
              </w:rPr>
            </w:pPr>
          </w:p>
        </w:tc>
      </w:tr>
      <w:tr w14:paraId="3F4C34E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325BCDB0">
            <w:pPr>
              <w:rPr>
                <w:rFonts w:ascii="Arial"/>
                <w:color w:val="auto"/>
                <w:sz w:val="21"/>
                <w:highlight w:val="none"/>
              </w:rPr>
            </w:pPr>
          </w:p>
        </w:tc>
        <w:tc>
          <w:tcPr>
            <w:tcW w:w="1556" w:type="dxa"/>
            <w:vAlign w:val="top"/>
          </w:tcPr>
          <w:p w14:paraId="5AF7DB94">
            <w:pPr>
              <w:rPr>
                <w:rFonts w:ascii="Arial"/>
                <w:color w:val="auto"/>
                <w:sz w:val="21"/>
                <w:highlight w:val="none"/>
              </w:rPr>
            </w:pPr>
          </w:p>
        </w:tc>
        <w:tc>
          <w:tcPr>
            <w:tcW w:w="2126" w:type="dxa"/>
            <w:vAlign w:val="top"/>
          </w:tcPr>
          <w:p w14:paraId="618BB736">
            <w:pPr>
              <w:rPr>
                <w:rFonts w:ascii="Arial"/>
                <w:color w:val="auto"/>
                <w:sz w:val="21"/>
                <w:highlight w:val="none"/>
              </w:rPr>
            </w:pPr>
          </w:p>
        </w:tc>
        <w:tc>
          <w:tcPr>
            <w:tcW w:w="1980" w:type="dxa"/>
            <w:vAlign w:val="top"/>
          </w:tcPr>
          <w:p w14:paraId="42BEE545">
            <w:pPr>
              <w:rPr>
                <w:rFonts w:ascii="Arial"/>
                <w:color w:val="auto"/>
                <w:sz w:val="21"/>
                <w:highlight w:val="none"/>
              </w:rPr>
            </w:pPr>
          </w:p>
        </w:tc>
        <w:tc>
          <w:tcPr>
            <w:tcW w:w="851" w:type="dxa"/>
            <w:vAlign w:val="top"/>
          </w:tcPr>
          <w:p w14:paraId="7C5B2720">
            <w:pPr>
              <w:rPr>
                <w:rFonts w:ascii="Arial"/>
                <w:color w:val="auto"/>
                <w:sz w:val="21"/>
                <w:highlight w:val="none"/>
              </w:rPr>
            </w:pPr>
          </w:p>
        </w:tc>
        <w:tc>
          <w:tcPr>
            <w:tcW w:w="849" w:type="dxa"/>
            <w:vAlign w:val="top"/>
          </w:tcPr>
          <w:p w14:paraId="3DDCE43D">
            <w:pPr>
              <w:rPr>
                <w:rFonts w:ascii="Arial"/>
                <w:color w:val="auto"/>
                <w:sz w:val="21"/>
                <w:highlight w:val="none"/>
              </w:rPr>
            </w:pPr>
          </w:p>
        </w:tc>
        <w:tc>
          <w:tcPr>
            <w:tcW w:w="1134" w:type="dxa"/>
            <w:vAlign w:val="top"/>
          </w:tcPr>
          <w:p w14:paraId="3AEAC045">
            <w:pPr>
              <w:rPr>
                <w:rFonts w:ascii="Arial"/>
                <w:color w:val="auto"/>
                <w:sz w:val="21"/>
                <w:highlight w:val="none"/>
              </w:rPr>
            </w:pPr>
          </w:p>
        </w:tc>
        <w:tc>
          <w:tcPr>
            <w:tcW w:w="990" w:type="dxa"/>
            <w:vAlign w:val="top"/>
          </w:tcPr>
          <w:p w14:paraId="3F024849">
            <w:pPr>
              <w:rPr>
                <w:rFonts w:ascii="Arial"/>
                <w:color w:val="auto"/>
                <w:sz w:val="21"/>
                <w:highlight w:val="none"/>
              </w:rPr>
            </w:pPr>
          </w:p>
        </w:tc>
        <w:tc>
          <w:tcPr>
            <w:tcW w:w="992" w:type="dxa"/>
            <w:vAlign w:val="top"/>
          </w:tcPr>
          <w:p w14:paraId="5E2C270F">
            <w:pPr>
              <w:rPr>
                <w:rFonts w:ascii="Arial"/>
                <w:color w:val="auto"/>
                <w:sz w:val="21"/>
                <w:highlight w:val="none"/>
              </w:rPr>
            </w:pPr>
          </w:p>
        </w:tc>
        <w:tc>
          <w:tcPr>
            <w:tcW w:w="849" w:type="dxa"/>
            <w:vAlign w:val="top"/>
          </w:tcPr>
          <w:p w14:paraId="57DC2CDF">
            <w:pPr>
              <w:rPr>
                <w:rFonts w:ascii="Arial"/>
                <w:color w:val="auto"/>
                <w:sz w:val="21"/>
                <w:highlight w:val="none"/>
              </w:rPr>
            </w:pPr>
          </w:p>
        </w:tc>
        <w:tc>
          <w:tcPr>
            <w:tcW w:w="1131" w:type="dxa"/>
            <w:vAlign w:val="top"/>
          </w:tcPr>
          <w:p w14:paraId="070628E6">
            <w:pPr>
              <w:rPr>
                <w:rFonts w:ascii="Arial"/>
                <w:color w:val="auto"/>
                <w:sz w:val="21"/>
                <w:highlight w:val="none"/>
              </w:rPr>
            </w:pPr>
          </w:p>
        </w:tc>
        <w:tc>
          <w:tcPr>
            <w:tcW w:w="789" w:type="dxa"/>
            <w:tcBorders>
              <w:right w:val="single" w:color="000000" w:sz="6" w:space="0"/>
            </w:tcBorders>
            <w:vAlign w:val="top"/>
          </w:tcPr>
          <w:p w14:paraId="4DF94DF9">
            <w:pPr>
              <w:rPr>
                <w:rFonts w:ascii="Arial"/>
                <w:color w:val="auto"/>
                <w:sz w:val="21"/>
                <w:highlight w:val="none"/>
              </w:rPr>
            </w:pPr>
          </w:p>
        </w:tc>
      </w:tr>
      <w:tr w14:paraId="1B2D28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722" w:type="dxa"/>
            <w:tcBorders>
              <w:left w:val="single" w:color="000000" w:sz="6" w:space="0"/>
            </w:tcBorders>
            <w:vAlign w:val="top"/>
          </w:tcPr>
          <w:p w14:paraId="291E0201">
            <w:pPr>
              <w:rPr>
                <w:rFonts w:ascii="Arial"/>
                <w:color w:val="auto"/>
                <w:sz w:val="21"/>
                <w:highlight w:val="none"/>
              </w:rPr>
            </w:pPr>
          </w:p>
        </w:tc>
        <w:tc>
          <w:tcPr>
            <w:tcW w:w="1556" w:type="dxa"/>
            <w:vAlign w:val="top"/>
          </w:tcPr>
          <w:p w14:paraId="129E12D6">
            <w:pPr>
              <w:rPr>
                <w:rFonts w:ascii="Arial"/>
                <w:color w:val="auto"/>
                <w:sz w:val="21"/>
                <w:highlight w:val="none"/>
              </w:rPr>
            </w:pPr>
          </w:p>
        </w:tc>
        <w:tc>
          <w:tcPr>
            <w:tcW w:w="2126" w:type="dxa"/>
            <w:vAlign w:val="top"/>
          </w:tcPr>
          <w:p w14:paraId="797C1C57">
            <w:pPr>
              <w:rPr>
                <w:rFonts w:ascii="Arial"/>
                <w:color w:val="auto"/>
                <w:sz w:val="21"/>
                <w:highlight w:val="none"/>
              </w:rPr>
            </w:pPr>
          </w:p>
        </w:tc>
        <w:tc>
          <w:tcPr>
            <w:tcW w:w="1980" w:type="dxa"/>
            <w:vAlign w:val="top"/>
          </w:tcPr>
          <w:p w14:paraId="29C09DE8">
            <w:pPr>
              <w:rPr>
                <w:rFonts w:ascii="Arial"/>
                <w:color w:val="auto"/>
                <w:sz w:val="21"/>
                <w:highlight w:val="none"/>
              </w:rPr>
            </w:pPr>
          </w:p>
        </w:tc>
        <w:tc>
          <w:tcPr>
            <w:tcW w:w="851" w:type="dxa"/>
            <w:vAlign w:val="top"/>
          </w:tcPr>
          <w:p w14:paraId="1295B964">
            <w:pPr>
              <w:rPr>
                <w:rFonts w:ascii="Arial"/>
                <w:color w:val="auto"/>
                <w:sz w:val="21"/>
                <w:highlight w:val="none"/>
              </w:rPr>
            </w:pPr>
          </w:p>
        </w:tc>
        <w:tc>
          <w:tcPr>
            <w:tcW w:w="849" w:type="dxa"/>
            <w:vAlign w:val="top"/>
          </w:tcPr>
          <w:p w14:paraId="04A7CDF7">
            <w:pPr>
              <w:rPr>
                <w:rFonts w:ascii="Arial"/>
                <w:color w:val="auto"/>
                <w:sz w:val="21"/>
                <w:highlight w:val="none"/>
              </w:rPr>
            </w:pPr>
          </w:p>
        </w:tc>
        <w:tc>
          <w:tcPr>
            <w:tcW w:w="1134" w:type="dxa"/>
            <w:vAlign w:val="top"/>
          </w:tcPr>
          <w:p w14:paraId="04DD1056">
            <w:pPr>
              <w:rPr>
                <w:rFonts w:ascii="Arial"/>
                <w:color w:val="auto"/>
                <w:sz w:val="21"/>
                <w:highlight w:val="none"/>
              </w:rPr>
            </w:pPr>
          </w:p>
        </w:tc>
        <w:tc>
          <w:tcPr>
            <w:tcW w:w="990" w:type="dxa"/>
            <w:vAlign w:val="top"/>
          </w:tcPr>
          <w:p w14:paraId="7B11FB69">
            <w:pPr>
              <w:rPr>
                <w:rFonts w:ascii="Arial"/>
                <w:color w:val="auto"/>
                <w:sz w:val="21"/>
                <w:highlight w:val="none"/>
              </w:rPr>
            </w:pPr>
          </w:p>
        </w:tc>
        <w:tc>
          <w:tcPr>
            <w:tcW w:w="992" w:type="dxa"/>
            <w:vAlign w:val="top"/>
          </w:tcPr>
          <w:p w14:paraId="7F530499">
            <w:pPr>
              <w:rPr>
                <w:rFonts w:ascii="Arial"/>
                <w:color w:val="auto"/>
                <w:sz w:val="21"/>
                <w:highlight w:val="none"/>
              </w:rPr>
            </w:pPr>
          </w:p>
        </w:tc>
        <w:tc>
          <w:tcPr>
            <w:tcW w:w="849" w:type="dxa"/>
            <w:vAlign w:val="top"/>
          </w:tcPr>
          <w:p w14:paraId="67692834">
            <w:pPr>
              <w:rPr>
                <w:rFonts w:ascii="Arial"/>
                <w:color w:val="auto"/>
                <w:sz w:val="21"/>
                <w:highlight w:val="none"/>
              </w:rPr>
            </w:pPr>
          </w:p>
        </w:tc>
        <w:tc>
          <w:tcPr>
            <w:tcW w:w="1131" w:type="dxa"/>
            <w:vAlign w:val="top"/>
          </w:tcPr>
          <w:p w14:paraId="604DC14F">
            <w:pPr>
              <w:rPr>
                <w:rFonts w:ascii="Arial"/>
                <w:color w:val="auto"/>
                <w:sz w:val="21"/>
                <w:highlight w:val="none"/>
              </w:rPr>
            </w:pPr>
          </w:p>
        </w:tc>
        <w:tc>
          <w:tcPr>
            <w:tcW w:w="789" w:type="dxa"/>
            <w:tcBorders>
              <w:right w:val="single" w:color="000000" w:sz="6" w:space="0"/>
            </w:tcBorders>
            <w:vAlign w:val="top"/>
          </w:tcPr>
          <w:p w14:paraId="3ABBDC29">
            <w:pPr>
              <w:rPr>
                <w:rFonts w:ascii="Arial"/>
                <w:color w:val="auto"/>
                <w:sz w:val="21"/>
                <w:highlight w:val="none"/>
              </w:rPr>
            </w:pPr>
          </w:p>
        </w:tc>
      </w:tr>
      <w:tr w14:paraId="6BBB0DC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0374071E">
            <w:pPr>
              <w:rPr>
                <w:rFonts w:ascii="Arial"/>
                <w:color w:val="auto"/>
                <w:sz w:val="21"/>
                <w:highlight w:val="none"/>
              </w:rPr>
            </w:pPr>
          </w:p>
        </w:tc>
        <w:tc>
          <w:tcPr>
            <w:tcW w:w="1556" w:type="dxa"/>
            <w:vAlign w:val="top"/>
          </w:tcPr>
          <w:p w14:paraId="23EC86DF">
            <w:pPr>
              <w:rPr>
                <w:rFonts w:ascii="Arial"/>
                <w:color w:val="auto"/>
                <w:sz w:val="21"/>
                <w:highlight w:val="none"/>
              </w:rPr>
            </w:pPr>
          </w:p>
        </w:tc>
        <w:tc>
          <w:tcPr>
            <w:tcW w:w="2126" w:type="dxa"/>
            <w:vAlign w:val="top"/>
          </w:tcPr>
          <w:p w14:paraId="0E5C085C">
            <w:pPr>
              <w:rPr>
                <w:rFonts w:ascii="Arial"/>
                <w:color w:val="auto"/>
                <w:sz w:val="21"/>
                <w:highlight w:val="none"/>
              </w:rPr>
            </w:pPr>
          </w:p>
        </w:tc>
        <w:tc>
          <w:tcPr>
            <w:tcW w:w="1980" w:type="dxa"/>
            <w:vAlign w:val="top"/>
          </w:tcPr>
          <w:p w14:paraId="74D80DB9">
            <w:pPr>
              <w:rPr>
                <w:rFonts w:ascii="Arial"/>
                <w:color w:val="auto"/>
                <w:sz w:val="21"/>
                <w:highlight w:val="none"/>
              </w:rPr>
            </w:pPr>
          </w:p>
        </w:tc>
        <w:tc>
          <w:tcPr>
            <w:tcW w:w="851" w:type="dxa"/>
            <w:vAlign w:val="top"/>
          </w:tcPr>
          <w:p w14:paraId="00ABED7E">
            <w:pPr>
              <w:rPr>
                <w:rFonts w:ascii="Arial"/>
                <w:color w:val="auto"/>
                <w:sz w:val="21"/>
                <w:highlight w:val="none"/>
              </w:rPr>
            </w:pPr>
          </w:p>
        </w:tc>
        <w:tc>
          <w:tcPr>
            <w:tcW w:w="849" w:type="dxa"/>
            <w:vAlign w:val="top"/>
          </w:tcPr>
          <w:p w14:paraId="2C490EBB">
            <w:pPr>
              <w:rPr>
                <w:rFonts w:ascii="Arial"/>
                <w:color w:val="auto"/>
                <w:sz w:val="21"/>
                <w:highlight w:val="none"/>
              </w:rPr>
            </w:pPr>
          </w:p>
        </w:tc>
        <w:tc>
          <w:tcPr>
            <w:tcW w:w="1134" w:type="dxa"/>
            <w:vAlign w:val="top"/>
          </w:tcPr>
          <w:p w14:paraId="2C4AD216">
            <w:pPr>
              <w:rPr>
                <w:rFonts w:ascii="Arial"/>
                <w:color w:val="auto"/>
                <w:sz w:val="21"/>
                <w:highlight w:val="none"/>
              </w:rPr>
            </w:pPr>
          </w:p>
        </w:tc>
        <w:tc>
          <w:tcPr>
            <w:tcW w:w="990" w:type="dxa"/>
            <w:vAlign w:val="top"/>
          </w:tcPr>
          <w:p w14:paraId="153BACE6">
            <w:pPr>
              <w:rPr>
                <w:rFonts w:ascii="Arial"/>
                <w:color w:val="auto"/>
                <w:sz w:val="21"/>
                <w:highlight w:val="none"/>
              </w:rPr>
            </w:pPr>
          </w:p>
        </w:tc>
        <w:tc>
          <w:tcPr>
            <w:tcW w:w="992" w:type="dxa"/>
            <w:vAlign w:val="top"/>
          </w:tcPr>
          <w:p w14:paraId="0CF812BB">
            <w:pPr>
              <w:rPr>
                <w:rFonts w:ascii="Arial"/>
                <w:color w:val="auto"/>
                <w:sz w:val="21"/>
                <w:highlight w:val="none"/>
              </w:rPr>
            </w:pPr>
          </w:p>
        </w:tc>
        <w:tc>
          <w:tcPr>
            <w:tcW w:w="849" w:type="dxa"/>
            <w:vAlign w:val="top"/>
          </w:tcPr>
          <w:p w14:paraId="729D8023">
            <w:pPr>
              <w:rPr>
                <w:rFonts w:ascii="Arial"/>
                <w:color w:val="auto"/>
                <w:sz w:val="21"/>
                <w:highlight w:val="none"/>
              </w:rPr>
            </w:pPr>
          </w:p>
        </w:tc>
        <w:tc>
          <w:tcPr>
            <w:tcW w:w="1131" w:type="dxa"/>
            <w:vAlign w:val="top"/>
          </w:tcPr>
          <w:p w14:paraId="4FFDC5C1">
            <w:pPr>
              <w:rPr>
                <w:rFonts w:ascii="Arial"/>
                <w:color w:val="auto"/>
                <w:sz w:val="21"/>
                <w:highlight w:val="none"/>
              </w:rPr>
            </w:pPr>
          </w:p>
        </w:tc>
        <w:tc>
          <w:tcPr>
            <w:tcW w:w="789" w:type="dxa"/>
            <w:tcBorders>
              <w:right w:val="single" w:color="000000" w:sz="6" w:space="0"/>
            </w:tcBorders>
            <w:vAlign w:val="top"/>
          </w:tcPr>
          <w:p w14:paraId="45EA5F94">
            <w:pPr>
              <w:rPr>
                <w:rFonts w:ascii="Arial"/>
                <w:color w:val="auto"/>
                <w:sz w:val="21"/>
                <w:highlight w:val="none"/>
              </w:rPr>
            </w:pPr>
          </w:p>
        </w:tc>
      </w:tr>
      <w:tr w14:paraId="3FC3D9C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5413816D">
            <w:pPr>
              <w:rPr>
                <w:rFonts w:ascii="Arial"/>
                <w:color w:val="auto"/>
                <w:sz w:val="21"/>
                <w:highlight w:val="none"/>
              </w:rPr>
            </w:pPr>
          </w:p>
        </w:tc>
        <w:tc>
          <w:tcPr>
            <w:tcW w:w="1556" w:type="dxa"/>
            <w:vAlign w:val="top"/>
          </w:tcPr>
          <w:p w14:paraId="6BF5D290">
            <w:pPr>
              <w:rPr>
                <w:rFonts w:ascii="Arial"/>
                <w:color w:val="auto"/>
                <w:sz w:val="21"/>
                <w:highlight w:val="none"/>
              </w:rPr>
            </w:pPr>
          </w:p>
        </w:tc>
        <w:tc>
          <w:tcPr>
            <w:tcW w:w="2126" w:type="dxa"/>
            <w:vAlign w:val="top"/>
          </w:tcPr>
          <w:p w14:paraId="28EC51B3">
            <w:pPr>
              <w:rPr>
                <w:rFonts w:ascii="Arial"/>
                <w:color w:val="auto"/>
                <w:sz w:val="21"/>
                <w:highlight w:val="none"/>
              </w:rPr>
            </w:pPr>
          </w:p>
        </w:tc>
        <w:tc>
          <w:tcPr>
            <w:tcW w:w="1980" w:type="dxa"/>
            <w:vAlign w:val="top"/>
          </w:tcPr>
          <w:p w14:paraId="62079D7D">
            <w:pPr>
              <w:rPr>
                <w:rFonts w:ascii="Arial"/>
                <w:color w:val="auto"/>
                <w:sz w:val="21"/>
                <w:highlight w:val="none"/>
              </w:rPr>
            </w:pPr>
          </w:p>
        </w:tc>
        <w:tc>
          <w:tcPr>
            <w:tcW w:w="851" w:type="dxa"/>
            <w:vAlign w:val="top"/>
          </w:tcPr>
          <w:p w14:paraId="789D850E">
            <w:pPr>
              <w:rPr>
                <w:rFonts w:ascii="Arial"/>
                <w:color w:val="auto"/>
                <w:sz w:val="21"/>
                <w:highlight w:val="none"/>
              </w:rPr>
            </w:pPr>
          </w:p>
        </w:tc>
        <w:tc>
          <w:tcPr>
            <w:tcW w:w="849" w:type="dxa"/>
            <w:vAlign w:val="top"/>
          </w:tcPr>
          <w:p w14:paraId="25838038">
            <w:pPr>
              <w:rPr>
                <w:rFonts w:ascii="Arial"/>
                <w:color w:val="auto"/>
                <w:sz w:val="21"/>
                <w:highlight w:val="none"/>
              </w:rPr>
            </w:pPr>
          </w:p>
        </w:tc>
        <w:tc>
          <w:tcPr>
            <w:tcW w:w="1134" w:type="dxa"/>
            <w:vAlign w:val="top"/>
          </w:tcPr>
          <w:p w14:paraId="0539EA4D">
            <w:pPr>
              <w:rPr>
                <w:rFonts w:ascii="Arial"/>
                <w:color w:val="auto"/>
                <w:sz w:val="21"/>
                <w:highlight w:val="none"/>
              </w:rPr>
            </w:pPr>
          </w:p>
        </w:tc>
        <w:tc>
          <w:tcPr>
            <w:tcW w:w="990" w:type="dxa"/>
            <w:vAlign w:val="top"/>
          </w:tcPr>
          <w:p w14:paraId="73B75883">
            <w:pPr>
              <w:rPr>
                <w:rFonts w:ascii="Arial"/>
                <w:color w:val="auto"/>
                <w:sz w:val="21"/>
                <w:highlight w:val="none"/>
              </w:rPr>
            </w:pPr>
          </w:p>
        </w:tc>
        <w:tc>
          <w:tcPr>
            <w:tcW w:w="992" w:type="dxa"/>
            <w:vAlign w:val="top"/>
          </w:tcPr>
          <w:p w14:paraId="61B15C08">
            <w:pPr>
              <w:rPr>
                <w:rFonts w:ascii="Arial"/>
                <w:color w:val="auto"/>
                <w:sz w:val="21"/>
                <w:highlight w:val="none"/>
              </w:rPr>
            </w:pPr>
          </w:p>
        </w:tc>
        <w:tc>
          <w:tcPr>
            <w:tcW w:w="849" w:type="dxa"/>
            <w:vAlign w:val="top"/>
          </w:tcPr>
          <w:p w14:paraId="1E3DC191">
            <w:pPr>
              <w:rPr>
                <w:rFonts w:ascii="Arial"/>
                <w:color w:val="auto"/>
                <w:sz w:val="21"/>
                <w:highlight w:val="none"/>
              </w:rPr>
            </w:pPr>
          </w:p>
        </w:tc>
        <w:tc>
          <w:tcPr>
            <w:tcW w:w="1131" w:type="dxa"/>
            <w:vAlign w:val="top"/>
          </w:tcPr>
          <w:p w14:paraId="6D7D07E3">
            <w:pPr>
              <w:rPr>
                <w:rFonts w:ascii="Arial"/>
                <w:color w:val="auto"/>
                <w:sz w:val="21"/>
                <w:highlight w:val="none"/>
              </w:rPr>
            </w:pPr>
          </w:p>
        </w:tc>
        <w:tc>
          <w:tcPr>
            <w:tcW w:w="789" w:type="dxa"/>
            <w:tcBorders>
              <w:right w:val="single" w:color="000000" w:sz="6" w:space="0"/>
            </w:tcBorders>
            <w:vAlign w:val="top"/>
          </w:tcPr>
          <w:p w14:paraId="3D6F346F">
            <w:pPr>
              <w:rPr>
                <w:rFonts w:ascii="Arial"/>
                <w:color w:val="auto"/>
                <w:sz w:val="21"/>
                <w:highlight w:val="none"/>
              </w:rPr>
            </w:pPr>
          </w:p>
        </w:tc>
      </w:tr>
      <w:tr w14:paraId="6C542C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4" w:hRule="atLeast"/>
        </w:trPr>
        <w:tc>
          <w:tcPr>
            <w:tcW w:w="722" w:type="dxa"/>
            <w:tcBorders>
              <w:left w:val="single" w:color="000000" w:sz="6" w:space="0"/>
            </w:tcBorders>
            <w:vAlign w:val="top"/>
          </w:tcPr>
          <w:p w14:paraId="76A6630B">
            <w:pPr>
              <w:rPr>
                <w:rFonts w:ascii="Arial"/>
                <w:color w:val="auto"/>
                <w:sz w:val="21"/>
                <w:highlight w:val="none"/>
              </w:rPr>
            </w:pPr>
          </w:p>
        </w:tc>
        <w:tc>
          <w:tcPr>
            <w:tcW w:w="1556" w:type="dxa"/>
            <w:vAlign w:val="top"/>
          </w:tcPr>
          <w:p w14:paraId="5DCE0A80">
            <w:pPr>
              <w:rPr>
                <w:rFonts w:ascii="Arial"/>
                <w:color w:val="auto"/>
                <w:sz w:val="21"/>
                <w:highlight w:val="none"/>
              </w:rPr>
            </w:pPr>
          </w:p>
        </w:tc>
        <w:tc>
          <w:tcPr>
            <w:tcW w:w="2126" w:type="dxa"/>
            <w:vAlign w:val="top"/>
          </w:tcPr>
          <w:p w14:paraId="2BD4AF5A">
            <w:pPr>
              <w:rPr>
                <w:rFonts w:ascii="Arial"/>
                <w:color w:val="auto"/>
                <w:sz w:val="21"/>
                <w:highlight w:val="none"/>
              </w:rPr>
            </w:pPr>
          </w:p>
        </w:tc>
        <w:tc>
          <w:tcPr>
            <w:tcW w:w="1980" w:type="dxa"/>
            <w:vAlign w:val="top"/>
          </w:tcPr>
          <w:p w14:paraId="1E894124">
            <w:pPr>
              <w:rPr>
                <w:rFonts w:ascii="Arial"/>
                <w:color w:val="auto"/>
                <w:sz w:val="21"/>
                <w:highlight w:val="none"/>
              </w:rPr>
            </w:pPr>
          </w:p>
        </w:tc>
        <w:tc>
          <w:tcPr>
            <w:tcW w:w="851" w:type="dxa"/>
            <w:vAlign w:val="top"/>
          </w:tcPr>
          <w:p w14:paraId="4EFA073D">
            <w:pPr>
              <w:rPr>
                <w:rFonts w:ascii="Arial"/>
                <w:color w:val="auto"/>
                <w:sz w:val="21"/>
                <w:highlight w:val="none"/>
              </w:rPr>
            </w:pPr>
          </w:p>
        </w:tc>
        <w:tc>
          <w:tcPr>
            <w:tcW w:w="849" w:type="dxa"/>
            <w:vAlign w:val="top"/>
          </w:tcPr>
          <w:p w14:paraId="08D70ADD">
            <w:pPr>
              <w:rPr>
                <w:rFonts w:ascii="Arial"/>
                <w:color w:val="auto"/>
                <w:sz w:val="21"/>
                <w:highlight w:val="none"/>
              </w:rPr>
            </w:pPr>
          </w:p>
        </w:tc>
        <w:tc>
          <w:tcPr>
            <w:tcW w:w="1134" w:type="dxa"/>
            <w:vAlign w:val="top"/>
          </w:tcPr>
          <w:p w14:paraId="469F9D56">
            <w:pPr>
              <w:rPr>
                <w:rFonts w:ascii="Arial"/>
                <w:color w:val="auto"/>
                <w:sz w:val="21"/>
                <w:highlight w:val="none"/>
              </w:rPr>
            </w:pPr>
          </w:p>
        </w:tc>
        <w:tc>
          <w:tcPr>
            <w:tcW w:w="990" w:type="dxa"/>
            <w:vAlign w:val="top"/>
          </w:tcPr>
          <w:p w14:paraId="3CB35F92">
            <w:pPr>
              <w:rPr>
                <w:rFonts w:ascii="Arial"/>
                <w:color w:val="auto"/>
                <w:sz w:val="21"/>
                <w:highlight w:val="none"/>
              </w:rPr>
            </w:pPr>
          </w:p>
        </w:tc>
        <w:tc>
          <w:tcPr>
            <w:tcW w:w="992" w:type="dxa"/>
            <w:vAlign w:val="top"/>
          </w:tcPr>
          <w:p w14:paraId="2C4D0AD5">
            <w:pPr>
              <w:rPr>
                <w:rFonts w:ascii="Arial"/>
                <w:color w:val="auto"/>
                <w:sz w:val="21"/>
                <w:highlight w:val="none"/>
              </w:rPr>
            </w:pPr>
          </w:p>
        </w:tc>
        <w:tc>
          <w:tcPr>
            <w:tcW w:w="849" w:type="dxa"/>
            <w:vAlign w:val="top"/>
          </w:tcPr>
          <w:p w14:paraId="4CE59698">
            <w:pPr>
              <w:rPr>
                <w:rFonts w:ascii="Arial"/>
                <w:color w:val="auto"/>
                <w:sz w:val="21"/>
                <w:highlight w:val="none"/>
              </w:rPr>
            </w:pPr>
          </w:p>
        </w:tc>
        <w:tc>
          <w:tcPr>
            <w:tcW w:w="1131" w:type="dxa"/>
            <w:vAlign w:val="top"/>
          </w:tcPr>
          <w:p w14:paraId="735F6B08">
            <w:pPr>
              <w:rPr>
                <w:rFonts w:ascii="Arial"/>
                <w:color w:val="auto"/>
                <w:sz w:val="21"/>
                <w:highlight w:val="none"/>
              </w:rPr>
            </w:pPr>
          </w:p>
        </w:tc>
        <w:tc>
          <w:tcPr>
            <w:tcW w:w="789" w:type="dxa"/>
            <w:tcBorders>
              <w:right w:val="single" w:color="000000" w:sz="6" w:space="0"/>
            </w:tcBorders>
            <w:vAlign w:val="top"/>
          </w:tcPr>
          <w:p w14:paraId="0CB95719">
            <w:pPr>
              <w:rPr>
                <w:rFonts w:ascii="Arial"/>
                <w:color w:val="auto"/>
                <w:sz w:val="21"/>
                <w:highlight w:val="none"/>
              </w:rPr>
            </w:pPr>
          </w:p>
        </w:tc>
      </w:tr>
      <w:tr w14:paraId="0AF883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1" w:hRule="atLeast"/>
        </w:trPr>
        <w:tc>
          <w:tcPr>
            <w:tcW w:w="722" w:type="dxa"/>
            <w:tcBorders>
              <w:left w:val="single" w:color="000000" w:sz="6" w:space="0"/>
            </w:tcBorders>
            <w:vAlign w:val="top"/>
          </w:tcPr>
          <w:p w14:paraId="3A039517">
            <w:pPr>
              <w:rPr>
                <w:rFonts w:ascii="Arial"/>
                <w:color w:val="auto"/>
                <w:sz w:val="21"/>
                <w:highlight w:val="none"/>
              </w:rPr>
            </w:pPr>
          </w:p>
        </w:tc>
        <w:tc>
          <w:tcPr>
            <w:tcW w:w="1556" w:type="dxa"/>
            <w:vAlign w:val="top"/>
          </w:tcPr>
          <w:p w14:paraId="55FE297C">
            <w:pPr>
              <w:rPr>
                <w:rFonts w:ascii="Arial"/>
                <w:color w:val="auto"/>
                <w:sz w:val="21"/>
                <w:highlight w:val="none"/>
              </w:rPr>
            </w:pPr>
          </w:p>
        </w:tc>
        <w:tc>
          <w:tcPr>
            <w:tcW w:w="2126" w:type="dxa"/>
            <w:vAlign w:val="top"/>
          </w:tcPr>
          <w:p w14:paraId="123A9DF4">
            <w:pPr>
              <w:rPr>
                <w:rFonts w:ascii="Arial"/>
                <w:color w:val="auto"/>
                <w:sz w:val="21"/>
                <w:highlight w:val="none"/>
              </w:rPr>
            </w:pPr>
          </w:p>
        </w:tc>
        <w:tc>
          <w:tcPr>
            <w:tcW w:w="1980" w:type="dxa"/>
            <w:vAlign w:val="top"/>
          </w:tcPr>
          <w:p w14:paraId="39BA741C">
            <w:pPr>
              <w:rPr>
                <w:rFonts w:ascii="Arial"/>
                <w:color w:val="auto"/>
                <w:sz w:val="21"/>
                <w:highlight w:val="none"/>
              </w:rPr>
            </w:pPr>
          </w:p>
        </w:tc>
        <w:tc>
          <w:tcPr>
            <w:tcW w:w="851" w:type="dxa"/>
            <w:vAlign w:val="top"/>
          </w:tcPr>
          <w:p w14:paraId="0910A032">
            <w:pPr>
              <w:rPr>
                <w:rFonts w:ascii="Arial"/>
                <w:color w:val="auto"/>
                <w:sz w:val="21"/>
                <w:highlight w:val="none"/>
              </w:rPr>
            </w:pPr>
          </w:p>
        </w:tc>
        <w:tc>
          <w:tcPr>
            <w:tcW w:w="849" w:type="dxa"/>
            <w:vAlign w:val="top"/>
          </w:tcPr>
          <w:p w14:paraId="570614C3">
            <w:pPr>
              <w:rPr>
                <w:rFonts w:ascii="Arial"/>
                <w:color w:val="auto"/>
                <w:sz w:val="21"/>
                <w:highlight w:val="none"/>
              </w:rPr>
            </w:pPr>
          </w:p>
        </w:tc>
        <w:tc>
          <w:tcPr>
            <w:tcW w:w="1134" w:type="dxa"/>
            <w:vAlign w:val="top"/>
          </w:tcPr>
          <w:p w14:paraId="4A4B36E2">
            <w:pPr>
              <w:rPr>
                <w:rFonts w:ascii="Arial"/>
                <w:color w:val="auto"/>
                <w:sz w:val="21"/>
                <w:highlight w:val="none"/>
              </w:rPr>
            </w:pPr>
          </w:p>
        </w:tc>
        <w:tc>
          <w:tcPr>
            <w:tcW w:w="990" w:type="dxa"/>
            <w:vAlign w:val="top"/>
          </w:tcPr>
          <w:p w14:paraId="5AA185CC">
            <w:pPr>
              <w:rPr>
                <w:rFonts w:ascii="Arial"/>
                <w:color w:val="auto"/>
                <w:sz w:val="21"/>
                <w:highlight w:val="none"/>
              </w:rPr>
            </w:pPr>
          </w:p>
        </w:tc>
        <w:tc>
          <w:tcPr>
            <w:tcW w:w="992" w:type="dxa"/>
            <w:vAlign w:val="top"/>
          </w:tcPr>
          <w:p w14:paraId="3F9228CA">
            <w:pPr>
              <w:rPr>
                <w:rFonts w:ascii="Arial"/>
                <w:color w:val="auto"/>
                <w:sz w:val="21"/>
                <w:highlight w:val="none"/>
              </w:rPr>
            </w:pPr>
          </w:p>
        </w:tc>
        <w:tc>
          <w:tcPr>
            <w:tcW w:w="849" w:type="dxa"/>
            <w:vAlign w:val="top"/>
          </w:tcPr>
          <w:p w14:paraId="3C70C78B">
            <w:pPr>
              <w:rPr>
                <w:rFonts w:ascii="Arial"/>
                <w:color w:val="auto"/>
                <w:sz w:val="21"/>
                <w:highlight w:val="none"/>
              </w:rPr>
            </w:pPr>
          </w:p>
        </w:tc>
        <w:tc>
          <w:tcPr>
            <w:tcW w:w="1131" w:type="dxa"/>
            <w:vAlign w:val="top"/>
          </w:tcPr>
          <w:p w14:paraId="1DED8225">
            <w:pPr>
              <w:rPr>
                <w:rFonts w:ascii="Arial"/>
                <w:color w:val="auto"/>
                <w:sz w:val="21"/>
                <w:highlight w:val="none"/>
              </w:rPr>
            </w:pPr>
          </w:p>
        </w:tc>
        <w:tc>
          <w:tcPr>
            <w:tcW w:w="789" w:type="dxa"/>
            <w:tcBorders>
              <w:right w:val="single" w:color="000000" w:sz="6" w:space="0"/>
            </w:tcBorders>
            <w:vAlign w:val="top"/>
          </w:tcPr>
          <w:p w14:paraId="51BC5D05">
            <w:pPr>
              <w:rPr>
                <w:rFonts w:ascii="Arial"/>
                <w:color w:val="auto"/>
                <w:sz w:val="21"/>
                <w:highlight w:val="none"/>
              </w:rPr>
            </w:pPr>
          </w:p>
        </w:tc>
      </w:tr>
      <w:tr w14:paraId="410C89A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722" w:type="dxa"/>
            <w:tcBorders>
              <w:left w:val="single" w:color="000000" w:sz="6" w:space="0"/>
            </w:tcBorders>
            <w:vAlign w:val="top"/>
          </w:tcPr>
          <w:p w14:paraId="4F172074">
            <w:pPr>
              <w:rPr>
                <w:rFonts w:ascii="Arial"/>
                <w:color w:val="auto"/>
                <w:sz w:val="21"/>
                <w:highlight w:val="none"/>
              </w:rPr>
            </w:pPr>
          </w:p>
        </w:tc>
        <w:tc>
          <w:tcPr>
            <w:tcW w:w="1556" w:type="dxa"/>
            <w:vAlign w:val="top"/>
          </w:tcPr>
          <w:p w14:paraId="312DF265">
            <w:pPr>
              <w:rPr>
                <w:rFonts w:ascii="Arial"/>
                <w:color w:val="auto"/>
                <w:sz w:val="21"/>
                <w:highlight w:val="none"/>
              </w:rPr>
            </w:pPr>
          </w:p>
        </w:tc>
        <w:tc>
          <w:tcPr>
            <w:tcW w:w="2126" w:type="dxa"/>
            <w:vAlign w:val="top"/>
          </w:tcPr>
          <w:p w14:paraId="2125EBA3">
            <w:pPr>
              <w:rPr>
                <w:rFonts w:ascii="Arial"/>
                <w:color w:val="auto"/>
                <w:sz w:val="21"/>
                <w:highlight w:val="none"/>
              </w:rPr>
            </w:pPr>
          </w:p>
        </w:tc>
        <w:tc>
          <w:tcPr>
            <w:tcW w:w="1980" w:type="dxa"/>
            <w:vAlign w:val="top"/>
          </w:tcPr>
          <w:p w14:paraId="2F0C0A62">
            <w:pPr>
              <w:rPr>
                <w:rFonts w:ascii="Arial"/>
                <w:color w:val="auto"/>
                <w:sz w:val="21"/>
                <w:highlight w:val="none"/>
              </w:rPr>
            </w:pPr>
          </w:p>
        </w:tc>
        <w:tc>
          <w:tcPr>
            <w:tcW w:w="851" w:type="dxa"/>
            <w:vAlign w:val="top"/>
          </w:tcPr>
          <w:p w14:paraId="044C2DE0">
            <w:pPr>
              <w:rPr>
                <w:rFonts w:ascii="Arial"/>
                <w:color w:val="auto"/>
                <w:sz w:val="21"/>
                <w:highlight w:val="none"/>
              </w:rPr>
            </w:pPr>
          </w:p>
        </w:tc>
        <w:tc>
          <w:tcPr>
            <w:tcW w:w="849" w:type="dxa"/>
            <w:vAlign w:val="top"/>
          </w:tcPr>
          <w:p w14:paraId="3EF0D6F8">
            <w:pPr>
              <w:rPr>
                <w:rFonts w:ascii="Arial"/>
                <w:color w:val="auto"/>
                <w:sz w:val="21"/>
                <w:highlight w:val="none"/>
              </w:rPr>
            </w:pPr>
          </w:p>
        </w:tc>
        <w:tc>
          <w:tcPr>
            <w:tcW w:w="1134" w:type="dxa"/>
            <w:vAlign w:val="top"/>
          </w:tcPr>
          <w:p w14:paraId="260DFB36">
            <w:pPr>
              <w:rPr>
                <w:rFonts w:ascii="Arial"/>
                <w:color w:val="auto"/>
                <w:sz w:val="21"/>
                <w:highlight w:val="none"/>
              </w:rPr>
            </w:pPr>
          </w:p>
        </w:tc>
        <w:tc>
          <w:tcPr>
            <w:tcW w:w="990" w:type="dxa"/>
            <w:vAlign w:val="top"/>
          </w:tcPr>
          <w:p w14:paraId="30C3A350">
            <w:pPr>
              <w:rPr>
                <w:rFonts w:ascii="Arial"/>
                <w:color w:val="auto"/>
                <w:sz w:val="21"/>
                <w:highlight w:val="none"/>
              </w:rPr>
            </w:pPr>
          </w:p>
        </w:tc>
        <w:tc>
          <w:tcPr>
            <w:tcW w:w="992" w:type="dxa"/>
            <w:vAlign w:val="top"/>
          </w:tcPr>
          <w:p w14:paraId="3E1C45B7">
            <w:pPr>
              <w:rPr>
                <w:rFonts w:ascii="Arial"/>
                <w:color w:val="auto"/>
                <w:sz w:val="21"/>
                <w:highlight w:val="none"/>
              </w:rPr>
            </w:pPr>
          </w:p>
        </w:tc>
        <w:tc>
          <w:tcPr>
            <w:tcW w:w="849" w:type="dxa"/>
            <w:vAlign w:val="top"/>
          </w:tcPr>
          <w:p w14:paraId="7FF08C14">
            <w:pPr>
              <w:rPr>
                <w:rFonts w:ascii="Arial"/>
                <w:color w:val="auto"/>
                <w:sz w:val="21"/>
                <w:highlight w:val="none"/>
              </w:rPr>
            </w:pPr>
          </w:p>
        </w:tc>
        <w:tc>
          <w:tcPr>
            <w:tcW w:w="1131" w:type="dxa"/>
            <w:vAlign w:val="top"/>
          </w:tcPr>
          <w:p w14:paraId="4AF6EF10">
            <w:pPr>
              <w:rPr>
                <w:rFonts w:ascii="Arial"/>
                <w:color w:val="auto"/>
                <w:sz w:val="21"/>
                <w:highlight w:val="none"/>
              </w:rPr>
            </w:pPr>
          </w:p>
        </w:tc>
        <w:tc>
          <w:tcPr>
            <w:tcW w:w="789" w:type="dxa"/>
            <w:tcBorders>
              <w:right w:val="single" w:color="000000" w:sz="6" w:space="0"/>
            </w:tcBorders>
            <w:vAlign w:val="top"/>
          </w:tcPr>
          <w:p w14:paraId="7A2E0A87">
            <w:pPr>
              <w:rPr>
                <w:rFonts w:ascii="Arial"/>
                <w:color w:val="auto"/>
                <w:sz w:val="21"/>
                <w:highlight w:val="none"/>
              </w:rPr>
            </w:pPr>
          </w:p>
        </w:tc>
      </w:tr>
      <w:tr w14:paraId="5A93E90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58" w:hRule="atLeast"/>
        </w:trPr>
        <w:tc>
          <w:tcPr>
            <w:tcW w:w="722" w:type="dxa"/>
            <w:tcBorders>
              <w:left w:val="single" w:color="000000" w:sz="6" w:space="0"/>
              <w:bottom w:val="single" w:color="000000" w:sz="6" w:space="0"/>
            </w:tcBorders>
            <w:vAlign w:val="top"/>
          </w:tcPr>
          <w:p w14:paraId="04B5EE80">
            <w:pPr>
              <w:rPr>
                <w:rFonts w:ascii="Arial"/>
                <w:color w:val="auto"/>
                <w:sz w:val="21"/>
                <w:highlight w:val="none"/>
              </w:rPr>
            </w:pPr>
          </w:p>
        </w:tc>
        <w:tc>
          <w:tcPr>
            <w:tcW w:w="1556" w:type="dxa"/>
            <w:tcBorders>
              <w:bottom w:val="single" w:color="000000" w:sz="6" w:space="0"/>
            </w:tcBorders>
            <w:vAlign w:val="top"/>
          </w:tcPr>
          <w:p w14:paraId="0B60D055">
            <w:pPr>
              <w:rPr>
                <w:rFonts w:ascii="Arial"/>
                <w:color w:val="auto"/>
                <w:sz w:val="21"/>
                <w:highlight w:val="none"/>
              </w:rPr>
            </w:pPr>
          </w:p>
        </w:tc>
        <w:tc>
          <w:tcPr>
            <w:tcW w:w="2126" w:type="dxa"/>
            <w:tcBorders>
              <w:bottom w:val="single" w:color="000000" w:sz="6" w:space="0"/>
            </w:tcBorders>
            <w:vAlign w:val="top"/>
          </w:tcPr>
          <w:p w14:paraId="3E02F18D">
            <w:pPr>
              <w:pStyle w:val="33"/>
              <w:spacing w:before="162" w:line="221" w:lineRule="auto"/>
              <w:ind w:left="705"/>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1980" w:type="dxa"/>
            <w:tcBorders>
              <w:bottom w:val="single" w:color="000000" w:sz="6" w:space="0"/>
            </w:tcBorders>
            <w:vAlign w:val="top"/>
          </w:tcPr>
          <w:p w14:paraId="30190450">
            <w:pPr>
              <w:rPr>
                <w:rFonts w:ascii="Arial"/>
                <w:color w:val="auto"/>
                <w:sz w:val="21"/>
                <w:highlight w:val="none"/>
              </w:rPr>
            </w:pPr>
          </w:p>
        </w:tc>
        <w:tc>
          <w:tcPr>
            <w:tcW w:w="851" w:type="dxa"/>
            <w:tcBorders>
              <w:bottom w:val="single" w:color="000000" w:sz="6" w:space="0"/>
            </w:tcBorders>
            <w:vAlign w:val="top"/>
          </w:tcPr>
          <w:p w14:paraId="3C403E91">
            <w:pPr>
              <w:rPr>
                <w:rFonts w:ascii="Arial"/>
                <w:color w:val="auto"/>
                <w:sz w:val="21"/>
                <w:highlight w:val="none"/>
              </w:rPr>
            </w:pPr>
          </w:p>
        </w:tc>
        <w:tc>
          <w:tcPr>
            <w:tcW w:w="849" w:type="dxa"/>
            <w:tcBorders>
              <w:bottom w:val="single" w:color="000000" w:sz="6" w:space="0"/>
            </w:tcBorders>
            <w:vAlign w:val="top"/>
          </w:tcPr>
          <w:p w14:paraId="1B5F1299">
            <w:pPr>
              <w:rPr>
                <w:rFonts w:ascii="Arial"/>
                <w:color w:val="auto"/>
                <w:sz w:val="21"/>
                <w:highlight w:val="none"/>
              </w:rPr>
            </w:pPr>
          </w:p>
        </w:tc>
        <w:tc>
          <w:tcPr>
            <w:tcW w:w="1134" w:type="dxa"/>
            <w:tcBorders>
              <w:bottom w:val="single" w:color="000000" w:sz="6" w:space="0"/>
            </w:tcBorders>
            <w:vAlign w:val="top"/>
          </w:tcPr>
          <w:p w14:paraId="238A8581">
            <w:pPr>
              <w:rPr>
                <w:rFonts w:ascii="Arial"/>
                <w:color w:val="auto"/>
                <w:sz w:val="21"/>
                <w:highlight w:val="none"/>
              </w:rPr>
            </w:pPr>
          </w:p>
        </w:tc>
        <w:tc>
          <w:tcPr>
            <w:tcW w:w="990" w:type="dxa"/>
            <w:tcBorders>
              <w:bottom w:val="single" w:color="000000" w:sz="6" w:space="0"/>
            </w:tcBorders>
            <w:vAlign w:val="top"/>
          </w:tcPr>
          <w:p w14:paraId="03EC17B0">
            <w:pPr>
              <w:rPr>
                <w:rFonts w:ascii="Arial"/>
                <w:color w:val="auto"/>
                <w:sz w:val="21"/>
                <w:highlight w:val="none"/>
              </w:rPr>
            </w:pPr>
          </w:p>
        </w:tc>
        <w:tc>
          <w:tcPr>
            <w:tcW w:w="992" w:type="dxa"/>
            <w:tcBorders>
              <w:bottom w:val="single" w:color="000000" w:sz="6" w:space="0"/>
            </w:tcBorders>
            <w:vAlign w:val="top"/>
          </w:tcPr>
          <w:p w14:paraId="1FCE7408">
            <w:pPr>
              <w:rPr>
                <w:rFonts w:ascii="Arial"/>
                <w:color w:val="auto"/>
                <w:sz w:val="21"/>
                <w:highlight w:val="none"/>
              </w:rPr>
            </w:pPr>
          </w:p>
        </w:tc>
        <w:tc>
          <w:tcPr>
            <w:tcW w:w="849" w:type="dxa"/>
            <w:tcBorders>
              <w:bottom w:val="single" w:color="000000" w:sz="6" w:space="0"/>
            </w:tcBorders>
            <w:vAlign w:val="top"/>
          </w:tcPr>
          <w:p w14:paraId="3851B12D">
            <w:pPr>
              <w:rPr>
                <w:rFonts w:ascii="Arial"/>
                <w:color w:val="auto"/>
                <w:sz w:val="21"/>
                <w:highlight w:val="none"/>
              </w:rPr>
            </w:pPr>
          </w:p>
        </w:tc>
        <w:tc>
          <w:tcPr>
            <w:tcW w:w="1131" w:type="dxa"/>
            <w:tcBorders>
              <w:bottom w:val="single" w:color="000000" w:sz="6" w:space="0"/>
            </w:tcBorders>
            <w:vAlign w:val="top"/>
          </w:tcPr>
          <w:p w14:paraId="0C20548D">
            <w:pPr>
              <w:rPr>
                <w:rFonts w:ascii="Arial"/>
                <w:color w:val="auto"/>
                <w:sz w:val="21"/>
                <w:highlight w:val="none"/>
              </w:rPr>
            </w:pPr>
          </w:p>
        </w:tc>
        <w:tc>
          <w:tcPr>
            <w:tcW w:w="789" w:type="dxa"/>
            <w:tcBorders>
              <w:bottom w:val="single" w:color="000000" w:sz="6" w:space="0"/>
              <w:right w:val="single" w:color="000000" w:sz="6" w:space="0"/>
            </w:tcBorders>
            <w:vAlign w:val="top"/>
          </w:tcPr>
          <w:p w14:paraId="3591B85C">
            <w:pPr>
              <w:rPr>
                <w:rFonts w:ascii="Arial"/>
                <w:color w:val="auto"/>
                <w:sz w:val="21"/>
                <w:highlight w:val="none"/>
              </w:rPr>
            </w:pPr>
          </w:p>
        </w:tc>
      </w:tr>
    </w:tbl>
    <w:p w14:paraId="34A67118">
      <w:pPr>
        <w:spacing w:before="311" w:line="219" w:lineRule="auto"/>
        <w:ind w:left="22"/>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法定代表人或委托代理人</w:t>
      </w:r>
      <w:r>
        <w:rPr>
          <w:rFonts w:ascii="宋体" w:hAnsi="宋体" w:eastAsia="宋体" w:cs="宋体"/>
          <w:color w:val="auto"/>
          <w:spacing w:val="-11"/>
          <w:sz w:val="24"/>
          <w:szCs w:val="24"/>
          <w:highlight w:val="none"/>
        </w:rPr>
        <w:t>：</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1"/>
          <w:sz w:val="24"/>
          <w:szCs w:val="24"/>
          <w:highlight w:val="none"/>
          <w:u w:val="single" w:color="auto"/>
        </w:rPr>
        <w:t>（</w:t>
      </w:r>
      <w:r>
        <w:rPr>
          <w:rFonts w:ascii="宋体" w:hAnsi="宋体" w:eastAsia="宋体" w:cs="宋体"/>
          <w:color w:val="auto"/>
          <w:spacing w:val="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26D0003E">
      <w:pPr>
        <w:spacing w:line="219" w:lineRule="auto"/>
        <w:rPr>
          <w:rFonts w:ascii="宋体" w:hAnsi="宋体" w:eastAsia="宋体" w:cs="宋体"/>
          <w:color w:val="auto"/>
          <w:sz w:val="24"/>
          <w:szCs w:val="24"/>
          <w:highlight w:val="none"/>
        </w:rPr>
        <w:sectPr>
          <w:pgSz w:w="16843" w:h="11905" w:orient="landscape"/>
          <w:pgMar w:top="1621" w:right="1429" w:bottom="1361" w:left="1253" w:header="0" w:footer="1094" w:gutter="0"/>
          <w:pgNumType w:fmt="decimal"/>
          <w:cols w:space="0" w:num="1"/>
          <w:rtlGutter w:val="0"/>
          <w:docGrid w:linePitch="0" w:charSpace="0"/>
        </w:sectPr>
      </w:pPr>
    </w:p>
    <w:p w14:paraId="2FFDCEA6">
      <w:pPr>
        <w:pStyle w:val="3"/>
        <w:spacing w:line="262" w:lineRule="auto"/>
        <w:rPr>
          <w:color w:val="auto"/>
          <w:highlight w:val="none"/>
        </w:rPr>
      </w:pPr>
    </w:p>
    <w:p w14:paraId="68DA971C">
      <w:pPr>
        <w:spacing w:before="91" w:line="219" w:lineRule="auto"/>
        <w:ind w:left="4512"/>
        <w:rPr>
          <w:rFonts w:ascii="宋体" w:hAnsi="宋体" w:eastAsia="宋体" w:cs="宋体"/>
          <w:color w:val="auto"/>
          <w:sz w:val="28"/>
          <w:szCs w:val="28"/>
          <w:highlight w:val="none"/>
        </w:rPr>
      </w:pPr>
      <w:r>
        <w:rPr>
          <w:rFonts w:ascii="宋体" w:hAnsi="宋体" w:eastAsia="宋体" w:cs="宋体"/>
          <w:b/>
          <w:bCs/>
          <w:color w:val="auto"/>
          <w:spacing w:val="-3"/>
          <w:sz w:val="28"/>
          <w:szCs w:val="28"/>
          <w:highlight w:val="none"/>
        </w:rPr>
        <w:t>施工临时工程分类分项工程量清单计价表</w:t>
      </w:r>
    </w:p>
    <w:p w14:paraId="785573B0">
      <w:pPr>
        <w:spacing w:before="205" w:line="212" w:lineRule="auto"/>
        <w:ind w:left="66"/>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        第  页共  页</w:t>
      </w:r>
    </w:p>
    <w:tbl>
      <w:tblPr>
        <w:tblStyle w:val="32"/>
        <w:tblW w:w="1404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0"/>
        <w:gridCol w:w="1841"/>
        <w:gridCol w:w="2407"/>
        <w:gridCol w:w="2831"/>
        <w:gridCol w:w="851"/>
        <w:gridCol w:w="990"/>
        <w:gridCol w:w="993"/>
        <w:gridCol w:w="1132"/>
        <w:gridCol w:w="1273"/>
        <w:gridCol w:w="971"/>
      </w:tblGrid>
      <w:tr w14:paraId="126FBC8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78" w:hRule="atLeast"/>
        </w:trPr>
        <w:tc>
          <w:tcPr>
            <w:tcW w:w="760" w:type="dxa"/>
            <w:tcBorders>
              <w:top w:val="single" w:color="000000" w:sz="6" w:space="0"/>
              <w:left w:val="single" w:color="000000" w:sz="6" w:space="0"/>
            </w:tcBorders>
            <w:vAlign w:val="top"/>
          </w:tcPr>
          <w:p w14:paraId="137BBC4D">
            <w:pPr>
              <w:pStyle w:val="33"/>
              <w:spacing w:before="268" w:line="221" w:lineRule="auto"/>
              <w:ind w:left="142"/>
              <w:rPr>
                <w:color w:val="auto"/>
                <w:sz w:val="24"/>
                <w:szCs w:val="24"/>
                <w:highlight w:val="none"/>
              </w:rPr>
            </w:pPr>
            <w:r>
              <w:rPr>
                <w:color w:val="auto"/>
                <w:spacing w:val="-3"/>
                <w:sz w:val="24"/>
                <w:szCs w:val="24"/>
                <w:highlight w:val="none"/>
              </w:rPr>
              <w:t>序号</w:t>
            </w:r>
          </w:p>
        </w:tc>
        <w:tc>
          <w:tcPr>
            <w:tcW w:w="1841" w:type="dxa"/>
            <w:tcBorders>
              <w:top w:val="single" w:color="000000" w:sz="6" w:space="0"/>
            </w:tcBorders>
            <w:vAlign w:val="top"/>
          </w:tcPr>
          <w:p w14:paraId="44765C3C">
            <w:pPr>
              <w:pStyle w:val="33"/>
              <w:spacing w:before="267" w:line="220" w:lineRule="auto"/>
              <w:ind w:left="448"/>
              <w:rPr>
                <w:color w:val="auto"/>
                <w:sz w:val="24"/>
                <w:szCs w:val="24"/>
                <w:highlight w:val="none"/>
              </w:rPr>
            </w:pPr>
            <w:r>
              <w:rPr>
                <w:color w:val="auto"/>
                <w:spacing w:val="-3"/>
                <w:sz w:val="24"/>
                <w:szCs w:val="24"/>
                <w:highlight w:val="none"/>
              </w:rPr>
              <w:t>项目编码</w:t>
            </w:r>
          </w:p>
        </w:tc>
        <w:tc>
          <w:tcPr>
            <w:tcW w:w="2407" w:type="dxa"/>
            <w:tcBorders>
              <w:top w:val="single" w:color="000000" w:sz="6" w:space="0"/>
            </w:tcBorders>
            <w:vAlign w:val="top"/>
          </w:tcPr>
          <w:p w14:paraId="1F228B32">
            <w:pPr>
              <w:pStyle w:val="33"/>
              <w:spacing w:before="268" w:line="220" w:lineRule="auto"/>
              <w:ind w:left="731"/>
              <w:rPr>
                <w:color w:val="auto"/>
                <w:sz w:val="24"/>
                <w:szCs w:val="24"/>
                <w:highlight w:val="none"/>
              </w:rPr>
            </w:pPr>
            <w:r>
              <w:rPr>
                <w:color w:val="auto"/>
                <w:spacing w:val="-3"/>
                <w:sz w:val="24"/>
                <w:szCs w:val="24"/>
                <w:highlight w:val="none"/>
              </w:rPr>
              <w:t>项目名称</w:t>
            </w:r>
          </w:p>
        </w:tc>
        <w:tc>
          <w:tcPr>
            <w:tcW w:w="2831" w:type="dxa"/>
            <w:tcBorders>
              <w:top w:val="single" w:color="000000" w:sz="6" w:space="0"/>
            </w:tcBorders>
            <w:vAlign w:val="top"/>
          </w:tcPr>
          <w:p w14:paraId="0FF79C43">
            <w:pPr>
              <w:pStyle w:val="33"/>
              <w:spacing w:before="114" w:line="229" w:lineRule="auto"/>
              <w:ind w:left="943" w:right="931" w:firstLine="3"/>
              <w:rPr>
                <w:color w:val="auto"/>
                <w:sz w:val="24"/>
                <w:szCs w:val="24"/>
                <w:highlight w:val="none"/>
              </w:rPr>
            </w:pPr>
            <w:r>
              <w:rPr>
                <w:color w:val="auto"/>
                <w:spacing w:val="-4"/>
                <w:sz w:val="24"/>
                <w:szCs w:val="24"/>
                <w:highlight w:val="none"/>
              </w:rPr>
              <w:t>项目主要</w:t>
            </w:r>
            <w:r>
              <w:rPr>
                <w:color w:val="auto"/>
                <w:spacing w:val="1"/>
                <w:sz w:val="24"/>
                <w:szCs w:val="24"/>
                <w:highlight w:val="none"/>
              </w:rPr>
              <w:t xml:space="preserve"> </w:t>
            </w:r>
            <w:r>
              <w:rPr>
                <w:color w:val="auto"/>
                <w:spacing w:val="-11"/>
                <w:sz w:val="24"/>
                <w:szCs w:val="24"/>
                <w:highlight w:val="none"/>
              </w:rPr>
              <w:t>特</w:t>
            </w:r>
            <w:r>
              <w:rPr>
                <w:color w:val="auto"/>
                <w:spacing w:val="3"/>
                <w:sz w:val="24"/>
                <w:szCs w:val="24"/>
                <w:highlight w:val="none"/>
              </w:rPr>
              <w:t xml:space="preserve">    </w:t>
            </w:r>
            <w:r>
              <w:rPr>
                <w:color w:val="auto"/>
                <w:spacing w:val="-11"/>
                <w:sz w:val="24"/>
                <w:szCs w:val="24"/>
                <w:highlight w:val="none"/>
              </w:rPr>
              <w:t>征</w:t>
            </w:r>
          </w:p>
        </w:tc>
        <w:tc>
          <w:tcPr>
            <w:tcW w:w="851" w:type="dxa"/>
            <w:tcBorders>
              <w:top w:val="single" w:color="000000" w:sz="6" w:space="0"/>
            </w:tcBorders>
            <w:vAlign w:val="top"/>
          </w:tcPr>
          <w:p w14:paraId="3B7F092F">
            <w:pPr>
              <w:pStyle w:val="33"/>
              <w:spacing w:before="115" w:line="229" w:lineRule="auto"/>
              <w:ind w:left="196" w:right="179"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990" w:type="dxa"/>
            <w:tcBorders>
              <w:top w:val="single" w:color="000000" w:sz="6" w:space="0"/>
            </w:tcBorders>
            <w:vAlign w:val="top"/>
          </w:tcPr>
          <w:p w14:paraId="5D392C1D">
            <w:pPr>
              <w:pStyle w:val="33"/>
              <w:spacing w:before="114" w:line="229" w:lineRule="auto"/>
              <w:ind w:left="265" w:right="250"/>
              <w:rPr>
                <w:color w:val="auto"/>
                <w:sz w:val="24"/>
                <w:szCs w:val="24"/>
                <w:highlight w:val="none"/>
              </w:rPr>
            </w:pPr>
            <w:r>
              <w:rPr>
                <w:color w:val="auto"/>
                <w:spacing w:val="-7"/>
                <w:sz w:val="24"/>
                <w:szCs w:val="24"/>
                <w:highlight w:val="none"/>
              </w:rPr>
              <w:t>工程</w:t>
            </w:r>
            <w:r>
              <w:rPr>
                <w:color w:val="auto"/>
                <w:sz w:val="24"/>
                <w:szCs w:val="24"/>
                <w:highlight w:val="none"/>
              </w:rPr>
              <w:t xml:space="preserve"> </w:t>
            </w:r>
            <w:r>
              <w:rPr>
                <w:color w:val="auto"/>
                <w:spacing w:val="-6"/>
                <w:sz w:val="24"/>
                <w:szCs w:val="24"/>
                <w:highlight w:val="none"/>
              </w:rPr>
              <w:t>数量</w:t>
            </w:r>
          </w:p>
        </w:tc>
        <w:tc>
          <w:tcPr>
            <w:tcW w:w="993" w:type="dxa"/>
            <w:tcBorders>
              <w:top w:val="single" w:color="000000" w:sz="6" w:space="0"/>
            </w:tcBorders>
            <w:vAlign w:val="top"/>
          </w:tcPr>
          <w:p w14:paraId="6570BA1B">
            <w:pPr>
              <w:pStyle w:val="33"/>
              <w:spacing w:before="115" w:line="229" w:lineRule="auto"/>
              <w:ind w:left="153" w:right="145" w:firstLine="115"/>
              <w:rPr>
                <w:color w:val="auto"/>
                <w:sz w:val="24"/>
                <w:szCs w:val="24"/>
                <w:highlight w:val="none"/>
              </w:rPr>
            </w:pPr>
            <w:r>
              <w:rPr>
                <w:color w:val="auto"/>
                <w:spacing w:val="-6"/>
                <w:sz w:val="24"/>
                <w:szCs w:val="24"/>
                <w:highlight w:val="none"/>
              </w:rPr>
              <w:t>单价</w:t>
            </w:r>
            <w:r>
              <w:rPr>
                <w:color w:val="auto"/>
                <w:sz w:val="24"/>
                <w:szCs w:val="24"/>
                <w:highlight w:val="none"/>
              </w:rPr>
              <w:t xml:space="preserve">  </w:t>
            </w:r>
            <w:r>
              <w:rPr>
                <w:color w:val="auto"/>
                <w:spacing w:val="-11"/>
                <w:sz w:val="24"/>
                <w:szCs w:val="24"/>
                <w:highlight w:val="none"/>
              </w:rPr>
              <w:t>（元）</w:t>
            </w:r>
          </w:p>
        </w:tc>
        <w:tc>
          <w:tcPr>
            <w:tcW w:w="1132" w:type="dxa"/>
            <w:tcBorders>
              <w:top w:val="single" w:color="000000" w:sz="6" w:space="0"/>
            </w:tcBorders>
            <w:vAlign w:val="top"/>
          </w:tcPr>
          <w:p w14:paraId="0EE7F9CE">
            <w:pPr>
              <w:pStyle w:val="33"/>
              <w:spacing w:before="115" w:line="229" w:lineRule="auto"/>
              <w:ind w:left="224" w:right="214" w:firstLine="114"/>
              <w:rPr>
                <w:color w:val="auto"/>
                <w:sz w:val="24"/>
                <w:szCs w:val="24"/>
                <w:highlight w:val="none"/>
              </w:rPr>
            </w:pPr>
            <w:r>
              <w:rPr>
                <w:color w:val="auto"/>
                <w:spacing w:val="-6"/>
                <w:sz w:val="24"/>
                <w:szCs w:val="24"/>
                <w:highlight w:val="none"/>
              </w:rPr>
              <w:t>合价</w:t>
            </w:r>
            <w:r>
              <w:rPr>
                <w:color w:val="auto"/>
                <w:sz w:val="24"/>
                <w:szCs w:val="24"/>
                <w:highlight w:val="none"/>
              </w:rPr>
              <w:t xml:space="preserve">  </w:t>
            </w:r>
            <w:r>
              <w:rPr>
                <w:color w:val="auto"/>
                <w:spacing w:val="-11"/>
                <w:sz w:val="24"/>
                <w:szCs w:val="24"/>
                <w:highlight w:val="none"/>
              </w:rPr>
              <w:t>（元）</w:t>
            </w:r>
          </w:p>
        </w:tc>
        <w:tc>
          <w:tcPr>
            <w:tcW w:w="1273" w:type="dxa"/>
            <w:tcBorders>
              <w:top w:val="single" w:color="000000" w:sz="6" w:space="0"/>
            </w:tcBorders>
            <w:vAlign w:val="top"/>
          </w:tcPr>
          <w:p w14:paraId="7E393410">
            <w:pPr>
              <w:pStyle w:val="33"/>
              <w:spacing w:before="114" w:line="229" w:lineRule="auto"/>
              <w:ind w:left="172" w:right="146"/>
              <w:rPr>
                <w:color w:val="auto"/>
                <w:sz w:val="24"/>
                <w:szCs w:val="24"/>
                <w:highlight w:val="none"/>
              </w:rPr>
            </w:pPr>
            <w:r>
              <w:rPr>
                <w:color w:val="auto"/>
                <w:spacing w:val="-3"/>
                <w:sz w:val="24"/>
                <w:szCs w:val="24"/>
                <w:highlight w:val="none"/>
              </w:rPr>
              <w:t>主要技术</w:t>
            </w:r>
            <w:r>
              <w:rPr>
                <w:color w:val="auto"/>
                <w:sz w:val="24"/>
                <w:szCs w:val="24"/>
                <w:highlight w:val="none"/>
              </w:rPr>
              <w:t xml:space="preserve"> </w:t>
            </w:r>
            <w:r>
              <w:rPr>
                <w:color w:val="auto"/>
                <w:spacing w:val="-3"/>
                <w:sz w:val="24"/>
                <w:szCs w:val="24"/>
                <w:highlight w:val="none"/>
              </w:rPr>
              <w:t>条款编码</w:t>
            </w:r>
          </w:p>
        </w:tc>
        <w:tc>
          <w:tcPr>
            <w:tcW w:w="971" w:type="dxa"/>
            <w:tcBorders>
              <w:top w:val="single" w:color="000000" w:sz="6" w:space="0"/>
              <w:right w:val="single" w:color="000000" w:sz="6" w:space="0"/>
            </w:tcBorders>
            <w:vAlign w:val="top"/>
          </w:tcPr>
          <w:p w14:paraId="4BB79911">
            <w:pPr>
              <w:pStyle w:val="33"/>
              <w:spacing w:before="268" w:line="221" w:lineRule="auto"/>
              <w:ind w:left="256"/>
              <w:rPr>
                <w:color w:val="auto"/>
                <w:sz w:val="24"/>
                <w:szCs w:val="24"/>
                <w:highlight w:val="none"/>
              </w:rPr>
            </w:pPr>
            <w:r>
              <w:rPr>
                <w:color w:val="auto"/>
                <w:spacing w:val="-4"/>
                <w:sz w:val="24"/>
                <w:szCs w:val="24"/>
                <w:highlight w:val="none"/>
              </w:rPr>
              <w:t>备注</w:t>
            </w:r>
          </w:p>
        </w:tc>
      </w:tr>
      <w:tr w14:paraId="6137CD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2FE432D5">
            <w:pPr>
              <w:rPr>
                <w:rFonts w:ascii="Arial"/>
                <w:color w:val="auto"/>
                <w:sz w:val="21"/>
                <w:highlight w:val="none"/>
              </w:rPr>
            </w:pPr>
          </w:p>
        </w:tc>
        <w:tc>
          <w:tcPr>
            <w:tcW w:w="1841" w:type="dxa"/>
            <w:vAlign w:val="top"/>
          </w:tcPr>
          <w:p w14:paraId="1866695C">
            <w:pPr>
              <w:rPr>
                <w:rFonts w:ascii="Arial"/>
                <w:color w:val="auto"/>
                <w:sz w:val="21"/>
                <w:highlight w:val="none"/>
              </w:rPr>
            </w:pPr>
          </w:p>
        </w:tc>
        <w:tc>
          <w:tcPr>
            <w:tcW w:w="2407" w:type="dxa"/>
            <w:vAlign w:val="top"/>
          </w:tcPr>
          <w:p w14:paraId="15B23408">
            <w:pPr>
              <w:rPr>
                <w:rFonts w:ascii="Arial"/>
                <w:color w:val="auto"/>
                <w:sz w:val="21"/>
                <w:highlight w:val="none"/>
              </w:rPr>
            </w:pPr>
          </w:p>
        </w:tc>
        <w:tc>
          <w:tcPr>
            <w:tcW w:w="2831" w:type="dxa"/>
            <w:vAlign w:val="top"/>
          </w:tcPr>
          <w:p w14:paraId="02ECB870">
            <w:pPr>
              <w:rPr>
                <w:rFonts w:ascii="Arial"/>
                <w:color w:val="auto"/>
                <w:sz w:val="21"/>
                <w:highlight w:val="none"/>
              </w:rPr>
            </w:pPr>
          </w:p>
        </w:tc>
        <w:tc>
          <w:tcPr>
            <w:tcW w:w="851" w:type="dxa"/>
            <w:vAlign w:val="top"/>
          </w:tcPr>
          <w:p w14:paraId="659F23E8">
            <w:pPr>
              <w:rPr>
                <w:rFonts w:ascii="Arial"/>
                <w:color w:val="auto"/>
                <w:sz w:val="21"/>
                <w:highlight w:val="none"/>
              </w:rPr>
            </w:pPr>
          </w:p>
        </w:tc>
        <w:tc>
          <w:tcPr>
            <w:tcW w:w="990" w:type="dxa"/>
            <w:vAlign w:val="top"/>
          </w:tcPr>
          <w:p w14:paraId="4ADD232F">
            <w:pPr>
              <w:rPr>
                <w:rFonts w:ascii="Arial"/>
                <w:color w:val="auto"/>
                <w:sz w:val="21"/>
                <w:highlight w:val="none"/>
              </w:rPr>
            </w:pPr>
          </w:p>
        </w:tc>
        <w:tc>
          <w:tcPr>
            <w:tcW w:w="993" w:type="dxa"/>
            <w:vAlign w:val="top"/>
          </w:tcPr>
          <w:p w14:paraId="79167FD2">
            <w:pPr>
              <w:rPr>
                <w:rFonts w:ascii="Arial"/>
                <w:color w:val="auto"/>
                <w:sz w:val="21"/>
                <w:highlight w:val="none"/>
              </w:rPr>
            </w:pPr>
          </w:p>
        </w:tc>
        <w:tc>
          <w:tcPr>
            <w:tcW w:w="1132" w:type="dxa"/>
            <w:vAlign w:val="top"/>
          </w:tcPr>
          <w:p w14:paraId="6D201126">
            <w:pPr>
              <w:rPr>
                <w:rFonts w:ascii="Arial"/>
                <w:color w:val="auto"/>
                <w:sz w:val="21"/>
                <w:highlight w:val="none"/>
              </w:rPr>
            </w:pPr>
          </w:p>
        </w:tc>
        <w:tc>
          <w:tcPr>
            <w:tcW w:w="1273" w:type="dxa"/>
            <w:vAlign w:val="top"/>
          </w:tcPr>
          <w:p w14:paraId="1C12EA1B">
            <w:pPr>
              <w:rPr>
                <w:rFonts w:ascii="Arial"/>
                <w:color w:val="auto"/>
                <w:sz w:val="21"/>
                <w:highlight w:val="none"/>
              </w:rPr>
            </w:pPr>
          </w:p>
        </w:tc>
        <w:tc>
          <w:tcPr>
            <w:tcW w:w="971" w:type="dxa"/>
            <w:tcBorders>
              <w:right w:val="single" w:color="000000" w:sz="6" w:space="0"/>
            </w:tcBorders>
            <w:vAlign w:val="top"/>
          </w:tcPr>
          <w:p w14:paraId="0F7F6607">
            <w:pPr>
              <w:rPr>
                <w:rFonts w:ascii="Arial"/>
                <w:color w:val="auto"/>
                <w:sz w:val="21"/>
                <w:highlight w:val="none"/>
              </w:rPr>
            </w:pPr>
          </w:p>
        </w:tc>
      </w:tr>
      <w:tr w14:paraId="108234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2" w:hRule="atLeast"/>
        </w:trPr>
        <w:tc>
          <w:tcPr>
            <w:tcW w:w="760" w:type="dxa"/>
            <w:tcBorders>
              <w:left w:val="single" w:color="000000" w:sz="6" w:space="0"/>
            </w:tcBorders>
            <w:vAlign w:val="top"/>
          </w:tcPr>
          <w:p w14:paraId="6032F100">
            <w:pPr>
              <w:rPr>
                <w:rFonts w:ascii="Arial"/>
                <w:color w:val="auto"/>
                <w:sz w:val="21"/>
                <w:highlight w:val="none"/>
              </w:rPr>
            </w:pPr>
          </w:p>
        </w:tc>
        <w:tc>
          <w:tcPr>
            <w:tcW w:w="1841" w:type="dxa"/>
            <w:vAlign w:val="top"/>
          </w:tcPr>
          <w:p w14:paraId="6E849B2B">
            <w:pPr>
              <w:rPr>
                <w:rFonts w:ascii="Arial"/>
                <w:color w:val="auto"/>
                <w:sz w:val="21"/>
                <w:highlight w:val="none"/>
              </w:rPr>
            </w:pPr>
          </w:p>
        </w:tc>
        <w:tc>
          <w:tcPr>
            <w:tcW w:w="2407" w:type="dxa"/>
            <w:vAlign w:val="top"/>
          </w:tcPr>
          <w:p w14:paraId="18D1ABB9">
            <w:pPr>
              <w:rPr>
                <w:rFonts w:ascii="Arial"/>
                <w:color w:val="auto"/>
                <w:sz w:val="21"/>
                <w:highlight w:val="none"/>
              </w:rPr>
            </w:pPr>
          </w:p>
        </w:tc>
        <w:tc>
          <w:tcPr>
            <w:tcW w:w="2831" w:type="dxa"/>
            <w:vAlign w:val="top"/>
          </w:tcPr>
          <w:p w14:paraId="0AACFFA1">
            <w:pPr>
              <w:rPr>
                <w:rFonts w:ascii="Arial"/>
                <w:color w:val="auto"/>
                <w:sz w:val="21"/>
                <w:highlight w:val="none"/>
              </w:rPr>
            </w:pPr>
          </w:p>
        </w:tc>
        <w:tc>
          <w:tcPr>
            <w:tcW w:w="851" w:type="dxa"/>
            <w:vAlign w:val="top"/>
          </w:tcPr>
          <w:p w14:paraId="74DB0A7B">
            <w:pPr>
              <w:rPr>
                <w:rFonts w:ascii="Arial"/>
                <w:color w:val="auto"/>
                <w:sz w:val="21"/>
                <w:highlight w:val="none"/>
              </w:rPr>
            </w:pPr>
          </w:p>
        </w:tc>
        <w:tc>
          <w:tcPr>
            <w:tcW w:w="990" w:type="dxa"/>
            <w:vAlign w:val="top"/>
          </w:tcPr>
          <w:p w14:paraId="7EB51BE6">
            <w:pPr>
              <w:rPr>
                <w:rFonts w:ascii="Arial"/>
                <w:color w:val="auto"/>
                <w:sz w:val="21"/>
                <w:highlight w:val="none"/>
              </w:rPr>
            </w:pPr>
          </w:p>
        </w:tc>
        <w:tc>
          <w:tcPr>
            <w:tcW w:w="993" w:type="dxa"/>
            <w:vAlign w:val="top"/>
          </w:tcPr>
          <w:p w14:paraId="722F2BFE">
            <w:pPr>
              <w:rPr>
                <w:rFonts w:ascii="Arial"/>
                <w:color w:val="auto"/>
                <w:sz w:val="21"/>
                <w:highlight w:val="none"/>
              </w:rPr>
            </w:pPr>
          </w:p>
        </w:tc>
        <w:tc>
          <w:tcPr>
            <w:tcW w:w="1132" w:type="dxa"/>
            <w:vAlign w:val="top"/>
          </w:tcPr>
          <w:p w14:paraId="32FCB8AC">
            <w:pPr>
              <w:rPr>
                <w:rFonts w:ascii="Arial"/>
                <w:color w:val="auto"/>
                <w:sz w:val="21"/>
                <w:highlight w:val="none"/>
              </w:rPr>
            </w:pPr>
          </w:p>
        </w:tc>
        <w:tc>
          <w:tcPr>
            <w:tcW w:w="1273" w:type="dxa"/>
            <w:vAlign w:val="top"/>
          </w:tcPr>
          <w:p w14:paraId="2D348B80">
            <w:pPr>
              <w:rPr>
                <w:rFonts w:ascii="Arial"/>
                <w:color w:val="auto"/>
                <w:sz w:val="21"/>
                <w:highlight w:val="none"/>
              </w:rPr>
            </w:pPr>
          </w:p>
        </w:tc>
        <w:tc>
          <w:tcPr>
            <w:tcW w:w="971" w:type="dxa"/>
            <w:tcBorders>
              <w:right w:val="single" w:color="000000" w:sz="6" w:space="0"/>
            </w:tcBorders>
            <w:vAlign w:val="top"/>
          </w:tcPr>
          <w:p w14:paraId="0E54C0D1">
            <w:pPr>
              <w:rPr>
                <w:rFonts w:ascii="Arial"/>
                <w:color w:val="auto"/>
                <w:sz w:val="21"/>
                <w:highlight w:val="none"/>
              </w:rPr>
            </w:pPr>
          </w:p>
        </w:tc>
      </w:tr>
      <w:tr w14:paraId="1B6557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06D978DE">
            <w:pPr>
              <w:rPr>
                <w:rFonts w:ascii="Arial"/>
                <w:color w:val="auto"/>
                <w:sz w:val="21"/>
                <w:highlight w:val="none"/>
              </w:rPr>
            </w:pPr>
          </w:p>
        </w:tc>
        <w:tc>
          <w:tcPr>
            <w:tcW w:w="1841" w:type="dxa"/>
            <w:vAlign w:val="top"/>
          </w:tcPr>
          <w:p w14:paraId="37B11A5E">
            <w:pPr>
              <w:rPr>
                <w:rFonts w:ascii="Arial"/>
                <w:color w:val="auto"/>
                <w:sz w:val="21"/>
                <w:highlight w:val="none"/>
              </w:rPr>
            </w:pPr>
          </w:p>
        </w:tc>
        <w:tc>
          <w:tcPr>
            <w:tcW w:w="2407" w:type="dxa"/>
            <w:vAlign w:val="top"/>
          </w:tcPr>
          <w:p w14:paraId="347224EE">
            <w:pPr>
              <w:rPr>
                <w:rFonts w:ascii="Arial"/>
                <w:color w:val="auto"/>
                <w:sz w:val="21"/>
                <w:highlight w:val="none"/>
              </w:rPr>
            </w:pPr>
          </w:p>
        </w:tc>
        <w:tc>
          <w:tcPr>
            <w:tcW w:w="2831" w:type="dxa"/>
            <w:vAlign w:val="top"/>
          </w:tcPr>
          <w:p w14:paraId="0CFF44CF">
            <w:pPr>
              <w:rPr>
                <w:rFonts w:ascii="Arial"/>
                <w:color w:val="auto"/>
                <w:sz w:val="21"/>
                <w:highlight w:val="none"/>
              </w:rPr>
            </w:pPr>
          </w:p>
        </w:tc>
        <w:tc>
          <w:tcPr>
            <w:tcW w:w="851" w:type="dxa"/>
            <w:vAlign w:val="top"/>
          </w:tcPr>
          <w:p w14:paraId="79A69D68">
            <w:pPr>
              <w:rPr>
                <w:rFonts w:ascii="Arial"/>
                <w:color w:val="auto"/>
                <w:sz w:val="21"/>
                <w:highlight w:val="none"/>
              </w:rPr>
            </w:pPr>
          </w:p>
        </w:tc>
        <w:tc>
          <w:tcPr>
            <w:tcW w:w="990" w:type="dxa"/>
            <w:vAlign w:val="top"/>
          </w:tcPr>
          <w:p w14:paraId="4E8FB654">
            <w:pPr>
              <w:rPr>
                <w:rFonts w:ascii="Arial"/>
                <w:color w:val="auto"/>
                <w:sz w:val="21"/>
                <w:highlight w:val="none"/>
              </w:rPr>
            </w:pPr>
          </w:p>
        </w:tc>
        <w:tc>
          <w:tcPr>
            <w:tcW w:w="993" w:type="dxa"/>
            <w:vAlign w:val="top"/>
          </w:tcPr>
          <w:p w14:paraId="51B9D563">
            <w:pPr>
              <w:rPr>
                <w:rFonts w:ascii="Arial"/>
                <w:color w:val="auto"/>
                <w:sz w:val="21"/>
                <w:highlight w:val="none"/>
              </w:rPr>
            </w:pPr>
          </w:p>
        </w:tc>
        <w:tc>
          <w:tcPr>
            <w:tcW w:w="1132" w:type="dxa"/>
            <w:vAlign w:val="top"/>
          </w:tcPr>
          <w:p w14:paraId="20E917F3">
            <w:pPr>
              <w:rPr>
                <w:rFonts w:ascii="Arial"/>
                <w:color w:val="auto"/>
                <w:sz w:val="21"/>
                <w:highlight w:val="none"/>
              </w:rPr>
            </w:pPr>
          </w:p>
        </w:tc>
        <w:tc>
          <w:tcPr>
            <w:tcW w:w="1273" w:type="dxa"/>
            <w:vAlign w:val="top"/>
          </w:tcPr>
          <w:p w14:paraId="1547DF88">
            <w:pPr>
              <w:rPr>
                <w:rFonts w:ascii="Arial"/>
                <w:color w:val="auto"/>
                <w:sz w:val="21"/>
                <w:highlight w:val="none"/>
              </w:rPr>
            </w:pPr>
          </w:p>
        </w:tc>
        <w:tc>
          <w:tcPr>
            <w:tcW w:w="971" w:type="dxa"/>
            <w:tcBorders>
              <w:right w:val="single" w:color="000000" w:sz="6" w:space="0"/>
            </w:tcBorders>
            <w:vAlign w:val="top"/>
          </w:tcPr>
          <w:p w14:paraId="57815599">
            <w:pPr>
              <w:rPr>
                <w:rFonts w:ascii="Arial"/>
                <w:color w:val="auto"/>
                <w:sz w:val="21"/>
                <w:highlight w:val="none"/>
              </w:rPr>
            </w:pPr>
          </w:p>
        </w:tc>
      </w:tr>
      <w:tr w14:paraId="2F6B88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09C5CF0">
            <w:pPr>
              <w:rPr>
                <w:rFonts w:ascii="Arial"/>
                <w:color w:val="auto"/>
                <w:sz w:val="21"/>
                <w:highlight w:val="none"/>
              </w:rPr>
            </w:pPr>
          </w:p>
        </w:tc>
        <w:tc>
          <w:tcPr>
            <w:tcW w:w="1841" w:type="dxa"/>
            <w:vAlign w:val="top"/>
          </w:tcPr>
          <w:p w14:paraId="6290C5A0">
            <w:pPr>
              <w:rPr>
                <w:rFonts w:ascii="Arial"/>
                <w:color w:val="auto"/>
                <w:sz w:val="21"/>
                <w:highlight w:val="none"/>
              </w:rPr>
            </w:pPr>
          </w:p>
        </w:tc>
        <w:tc>
          <w:tcPr>
            <w:tcW w:w="2407" w:type="dxa"/>
            <w:vAlign w:val="top"/>
          </w:tcPr>
          <w:p w14:paraId="16FC974F">
            <w:pPr>
              <w:rPr>
                <w:rFonts w:ascii="Arial"/>
                <w:color w:val="auto"/>
                <w:sz w:val="21"/>
                <w:highlight w:val="none"/>
              </w:rPr>
            </w:pPr>
          </w:p>
        </w:tc>
        <w:tc>
          <w:tcPr>
            <w:tcW w:w="2831" w:type="dxa"/>
            <w:vAlign w:val="top"/>
          </w:tcPr>
          <w:p w14:paraId="380E1960">
            <w:pPr>
              <w:rPr>
                <w:rFonts w:ascii="Arial"/>
                <w:color w:val="auto"/>
                <w:sz w:val="21"/>
                <w:highlight w:val="none"/>
              </w:rPr>
            </w:pPr>
          </w:p>
        </w:tc>
        <w:tc>
          <w:tcPr>
            <w:tcW w:w="851" w:type="dxa"/>
            <w:vAlign w:val="top"/>
          </w:tcPr>
          <w:p w14:paraId="3ED45D15">
            <w:pPr>
              <w:rPr>
                <w:rFonts w:ascii="Arial"/>
                <w:color w:val="auto"/>
                <w:sz w:val="21"/>
                <w:highlight w:val="none"/>
              </w:rPr>
            </w:pPr>
          </w:p>
        </w:tc>
        <w:tc>
          <w:tcPr>
            <w:tcW w:w="990" w:type="dxa"/>
            <w:vAlign w:val="top"/>
          </w:tcPr>
          <w:p w14:paraId="05F398ED">
            <w:pPr>
              <w:rPr>
                <w:rFonts w:ascii="Arial"/>
                <w:color w:val="auto"/>
                <w:sz w:val="21"/>
                <w:highlight w:val="none"/>
              </w:rPr>
            </w:pPr>
          </w:p>
        </w:tc>
        <w:tc>
          <w:tcPr>
            <w:tcW w:w="993" w:type="dxa"/>
            <w:vAlign w:val="top"/>
          </w:tcPr>
          <w:p w14:paraId="55F77851">
            <w:pPr>
              <w:rPr>
                <w:rFonts w:ascii="Arial"/>
                <w:color w:val="auto"/>
                <w:sz w:val="21"/>
                <w:highlight w:val="none"/>
              </w:rPr>
            </w:pPr>
          </w:p>
        </w:tc>
        <w:tc>
          <w:tcPr>
            <w:tcW w:w="1132" w:type="dxa"/>
            <w:vAlign w:val="top"/>
          </w:tcPr>
          <w:p w14:paraId="0B3F0156">
            <w:pPr>
              <w:rPr>
                <w:rFonts w:ascii="Arial"/>
                <w:color w:val="auto"/>
                <w:sz w:val="21"/>
                <w:highlight w:val="none"/>
              </w:rPr>
            </w:pPr>
          </w:p>
        </w:tc>
        <w:tc>
          <w:tcPr>
            <w:tcW w:w="1273" w:type="dxa"/>
            <w:vAlign w:val="top"/>
          </w:tcPr>
          <w:p w14:paraId="1AB8F91D">
            <w:pPr>
              <w:rPr>
                <w:rFonts w:ascii="Arial"/>
                <w:color w:val="auto"/>
                <w:sz w:val="21"/>
                <w:highlight w:val="none"/>
              </w:rPr>
            </w:pPr>
          </w:p>
        </w:tc>
        <w:tc>
          <w:tcPr>
            <w:tcW w:w="971" w:type="dxa"/>
            <w:tcBorders>
              <w:right w:val="single" w:color="000000" w:sz="6" w:space="0"/>
            </w:tcBorders>
            <w:vAlign w:val="top"/>
          </w:tcPr>
          <w:p w14:paraId="27D5A908">
            <w:pPr>
              <w:rPr>
                <w:rFonts w:ascii="Arial"/>
                <w:color w:val="auto"/>
                <w:sz w:val="21"/>
                <w:highlight w:val="none"/>
              </w:rPr>
            </w:pPr>
          </w:p>
        </w:tc>
      </w:tr>
      <w:tr w14:paraId="782F98F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590B8EF2">
            <w:pPr>
              <w:rPr>
                <w:rFonts w:ascii="Arial"/>
                <w:color w:val="auto"/>
                <w:sz w:val="21"/>
                <w:highlight w:val="none"/>
              </w:rPr>
            </w:pPr>
          </w:p>
        </w:tc>
        <w:tc>
          <w:tcPr>
            <w:tcW w:w="1841" w:type="dxa"/>
            <w:vAlign w:val="top"/>
          </w:tcPr>
          <w:p w14:paraId="03141C93">
            <w:pPr>
              <w:rPr>
                <w:rFonts w:ascii="Arial"/>
                <w:color w:val="auto"/>
                <w:sz w:val="21"/>
                <w:highlight w:val="none"/>
              </w:rPr>
            </w:pPr>
          </w:p>
        </w:tc>
        <w:tc>
          <w:tcPr>
            <w:tcW w:w="2407" w:type="dxa"/>
            <w:vAlign w:val="top"/>
          </w:tcPr>
          <w:p w14:paraId="47A837E3">
            <w:pPr>
              <w:rPr>
                <w:rFonts w:ascii="Arial"/>
                <w:color w:val="auto"/>
                <w:sz w:val="21"/>
                <w:highlight w:val="none"/>
              </w:rPr>
            </w:pPr>
          </w:p>
        </w:tc>
        <w:tc>
          <w:tcPr>
            <w:tcW w:w="2831" w:type="dxa"/>
            <w:vAlign w:val="top"/>
          </w:tcPr>
          <w:p w14:paraId="278A9C61">
            <w:pPr>
              <w:rPr>
                <w:rFonts w:ascii="Arial"/>
                <w:color w:val="auto"/>
                <w:sz w:val="21"/>
                <w:highlight w:val="none"/>
              </w:rPr>
            </w:pPr>
          </w:p>
        </w:tc>
        <w:tc>
          <w:tcPr>
            <w:tcW w:w="851" w:type="dxa"/>
            <w:vAlign w:val="top"/>
          </w:tcPr>
          <w:p w14:paraId="37E73FAF">
            <w:pPr>
              <w:rPr>
                <w:rFonts w:ascii="Arial"/>
                <w:color w:val="auto"/>
                <w:sz w:val="21"/>
                <w:highlight w:val="none"/>
              </w:rPr>
            </w:pPr>
          </w:p>
        </w:tc>
        <w:tc>
          <w:tcPr>
            <w:tcW w:w="990" w:type="dxa"/>
            <w:vAlign w:val="top"/>
          </w:tcPr>
          <w:p w14:paraId="57C4567D">
            <w:pPr>
              <w:rPr>
                <w:rFonts w:ascii="Arial"/>
                <w:color w:val="auto"/>
                <w:sz w:val="21"/>
                <w:highlight w:val="none"/>
              </w:rPr>
            </w:pPr>
          </w:p>
        </w:tc>
        <w:tc>
          <w:tcPr>
            <w:tcW w:w="993" w:type="dxa"/>
            <w:vAlign w:val="top"/>
          </w:tcPr>
          <w:p w14:paraId="3379DF8A">
            <w:pPr>
              <w:rPr>
                <w:rFonts w:ascii="Arial"/>
                <w:color w:val="auto"/>
                <w:sz w:val="21"/>
                <w:highlight w:val="none"/>
              </w:rPr>
            </w:pPr>
          </w:p>
        </w:tc>
        <w:tc>
          <w:tcPr>
            <w:tcW w:w="1132" w:type="dxa"/>
            <w:vAlign w:val="top"/>
          </w:tcPr>
          <w:p w14:paraId="4CB58D97">
            <w:pPr>
              <w:rPr>
                <w:rFonts w:ascii="Arial"/>
                <w:color w:val="auto"/>
                <w:sz w:val="21"/>
                <w:highlight w:val="none"/>
              </w:rPr>
            </w:pPr>
          </w:p>
        </w:tc>
        <w:tc>
          <w:tcPr>
            <w:tcW w:w="1273" w:type="dxa"/>
            <w:vAlign w:val="top"/>
          </w:tcPr>
          <w:p w14:paraId="0BDB5D13">
            <w:pPr>
              <w:rPr>
                <w:rFonts w:ascii="Arial"/>
                <w:color w:val="auto"/>
                <w:sz w:val="21"/>
                <w:highlight w:val="none"/>
              </w:rPr>
            </w:pPr>
          </w:p>
        </w:tc>
        <w:tc>
          <w:tcPr>
            <w:tcW w:w="971" w:type="dxa"/>
            <w:tcBorders>
              <w:right w:val="single" w:color="000000" w:sz="6" w:space="0"/>
            </w:tcBorders>
            <w:vAlign w:val="top"/>
          </w:tcPr>
          <w:p w14:paraId="1AADD39F">
            <w:pPr>
              <w:rPr>
                <w:rFonts w:ascii="Arial"/>
                <w:color w:val="auto"/>
                <w:sz w:val="21"/>
                <w:highlight w:val="none"/>
              </w:rPr>
            </w:pPr>
          </w:p>
        </w:tc>
      </w:tr>
      <w:tr w14:paraId="60BA1D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41407A20">
            <w:pPr>
              <w:rPr>
                <w:rFonts w:ascii="Arial"/>
                <w:color w:val="auto"/>
                <w:sz w:val="21"/>
                <w:highlight w:val="none"/>
              </w:rPr>
            </w:pPr>
          </w:p>
        </w:tc>
        <w:tc>
          <w:tcPr>
            <w:tcW w:w="1841" w:type="dxa"/>
            <w:vAlign w:val="top"/>
          </w:tcPr>
          <w:p w14:paraId="26FF9CEE">
            <w:pPr>
              <w:rPr>
                <w:rFonts w:ascii="Arial"/>
                <w:color w:val="auto"/>
                <w:sz w:val="21"/>
                <w:highlight w:val="none"/>
              </w:rPr>
            </w:pPr>
          </w:p>
        </w:tc>
        <w:tc>
          <w:tcPr>
            <w:tcW w:w="2407" w:type="dxa"/>
            <w:vAlign w:val="top"/>
          </w:tcPr>
          <w:p w14:paraId="35DC1D37">
            <w:pPr>
              <w:rPr>
                <w:rFonts w:ascii="Arial"/>
                <w:color w:val="auto"/>
                <w:sz w:val="21"/>
                <w:highlight w:val="none"/>
              </w:rPr>
            </w:pPr>
          </w:p>
        </w:tc>
        <w:tc>
          <w:tcPr>
            <w:tcW w:w="2831" w:type="dxa"/>
            <w:vAlign w:val="top"/>
          </w:tcPr>
          <w:p w14:paraId="7EE1C009">
            <w:pPr>
              <w:rPr>
                <w:rFonts w:ascii="Arial"/>
                <w:color w:val="auto"/>
                <w:sz w:val="21"/>
                <w:highlight w:val="none"/>
              </w:rPr>
            </w:pPr>
          </w:p>
        </w:tc>
        <w:tc>
          <w:tcPr>
            <w:tcW w:w="851" w:type="dxa"/>
            <w:vAlign w:val="top"/>
          </w:tcPr>
          <w:p w14:paraId="539A74A7">
            <w:pPr>
              <w:rPr>
                <w:rFonts w:ascii="Arial"/>
                <w:color w:val="auto"/>
                <w:sz w:val="21"/>
                <w:highlight w:val="none"/>
              </w:rPr>
            </w:pPr>
          </w:p>
        </w:tc>
        <w:tc>
          <w:tcPr>
            <w:tcW w:w="990" w:type="dxa"/>
            <w:vAlign w:val="top"/>
          </w:tcPr>
          <w:p w14:paraId="4B7944ED">
            <w:pPr>
              <w:rPr>
                <w:rFonts w:ascii="Arial"/>
                <w:color w:val="auto"/>
                <w:sz w:val="21"/>
                <w:highlight w:val="none"/>
              </w:rPr>
            </w:pPr>
          </w:p>
        </w:tc>
        <w:tc>
          <w:tcPr>
            <w:tcW w:w="993" w:type="dxa"/>
            <w:vAlign w:val="top"/>
          </w:tcPr>
          <w:p w14:paraId="2C8344D7">
            <w:pPr>
              <w:rPr>
                <w:rFonts w:ascii="Arial"/>
                <w:color w:val="auto"/>
                <w:sz w:val="21"/>
                <w:highlight w:val="none"/>
              </w:rPr>
            </w:pPr>
          </w:p>
        </w:tc>
        <w:tc>
          <w:tcPr>
            <w:tcW w:w="1132" w:type="dxa"/>
            <w:vAlign w:val="top"/>
          </w:tcPr>
          <w:p w14:paraId="0DBD8026">
            <w:pPr>
              <w:rPr>
                <w:rFonts w:ascii="Arial"/>
                <w:color w:val="auto"/>
                <w:sz w:val="21"/>
                <w:highlight w:val="none"/>
              </w:rPr>
            </w:pPr>
          </w:p>
        </w:tc>
        <w:tc>
          <w:tcPr>
            <w:tcW w:w="1273" w:type="dxa"/>
            <w:vAlign w:val="top"/>
          </w:tcPr>
          <w:p w14:paraId="04432BDE">
            <w:pPr>
              <w:rPr>
                <w:rFonts w:ascii="Arial"/>
                <w:color w:val="auto"/>
                <w:sz w:val="21"/>
                <w:highlight w:val="none"/>
              </w:rPr>
            </w:pPr>
          </w:p>
        </w:tc>
        <w:tc>
          <w:tcPr>
            <w:tcW w:w="971" w:type="dxa"/>
            <w:tcBorders>
              <w:right w:val="single" w:color="000000" w:sz="6" w:space="0"/>
            </w:tcBorders>
            <w:vAlign w:val="top"/>
          </w:tcPr>
          <w:p w14:paraId="058B97AB">
            <w:pPr>
              <w:rPr>
                <w:rFonts w:ascii="Arial"/>
                <w:color w:val="auto"/>
                <w:sz w:val="21"/>
                <w:highlight w:val="none"/>
              </w:rPr>
            </w:pPr>
          </w:p>
        </w:tc>
      </w:tr>
      <w:tr w14:paraId="34E5CF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37AAAB59">
            <w:pPr>
              <w:rPr>
                <w:rFonts w:ascii="Arial"/>
                <w:color w:val="auto"/>
                <w:sz w:val="21"/>
                <w:highlight w:val="none"/>
              </w:rPr>
            </w:pPr>
          </w:p>
        </w:tc>
        <w:tc>
          <w:tcPr>
            <w:tcW w:w="1841" w:type="dxa"/>
            <w:vAlign w:val="top"/>
          </w:tcPr>
          <w:p w14:paraId="35A1C388">
            <w:pPr>
              <w:rPr>
                <w:rFonts w:ascii="Arial"/>
                <w:color w:val="auto"/>
                <w:sz w:val="21"/>
                <w:highlight w:val="none"/>
              </w:rPr>
            </w:pPr>
          </w:p>
        </w:tc>
        <w:tc>
          <w:tcPr>
            <w:tcW w:w="2407" w:type="dxa"/>
            <w:vAlign w:val="top"/>
          </w:tcPr>
          <w:p w14:paraId="4DEE908F">
            <w:pPr>
              <w:rPr>
                <w:rFonts w:ascii="Arial"/>
                <w:color w:val="auto"/>
                <w:sz w:val="21"/>
                <w:highlight w:val="none"/>
              </w:rPr>
            </w:pPr>
          </w:p>
        </w:tc>
        <w:tc>
          <w:tcPr>
            <w:tcW w:w="2831" w:type="dxa"/>
            <w:vAlign w:val="top"/>
          </w:tcPr>
          <w:p w14:paraId="756A4B77">
            <w:pPr>
              <w:rPr>
                <w:rFonts w:ascii="Arial"/>
                <w:color w:val="auto"/>
                <w:sz w:val="21"/>
                <w:highlight w:val="none"/>
              </w:rPr>
            </w:pPr>
          </w:p>
        </w:tc>
        <w:tc>
          <w:tcPr>
            <w:tcW w:w="851" w:type="dxa"/>
            <w:vAlign w:val="top"/>
          </w:tcPr>
          <w:p w14:paraId="56FD4848">
            <w:pPr>
              <w:rPr>
                <w:rFonts w:ascii="Arial"/>
                <w:color w:val="auto"/>
                <w:sz w:val="21"/>
                <w:highlight w:val="none"/>
              </w:rPr>
            </w:pPr>
          </w:p>
        </w:tc>
        <w:tc>
          <w:tcPr>
            <w:tcW w:w="990" w:type="dxa"/>
            <w:vAlign w:val="top"/>
          </w:tcPr>
          <w:p w14:paraId="324EF5FB">
            <w:pPr>
              <w:rPr>
                <w:rFonts w:ascii="Arial"/>
                <w:color w:val="auto"/>
                <w:sz w:val="21"/>
                <w:highlight w:val="none"/>
              </w:rPr>
            </w:pPr>
          </w:p>
        </w:tc>
        <w:tc>
          <w:tcPr>
            <w:tcW w:w="993" w:type="dxa"/>
            <w:vAlign w:val="top"/>
          </w:tcPr>
          <w:p w14:paraId="7E9D8D68">
            <w:pPr>
              <w:rPr>
                <w:rFonts w:ascii="Arial"/>
                <w:color w:val="auto"/>
                <w:sz w:val="21"/>
                <w:highlight w:val="none"/>
              </w:rPr>
            </w:pPr>
          </w:p>
        </w:tc>
        <w:tc>
          <w:tcPr>
            <w:tcW w:w="1132" w:type="dxa"/>
            <w:vAlign w:val="top"/>
          </w:tcPr>
          <w:p w14:paraId="0268521B">
            <w:pPr>
              <w:rPr>
                <w:rFonts w:ascii="Arial"/>
                <w:color w:val="auto"/>
                <w:sz w:val="21"/>
                <w:highlight w:val="none"/>
              </w:rPr>
            </w:pPr>
          </w:p>
        </w:tc>
        <w:tc>
          <w:tcPr>
            <w:tcW w:w="1273" w:type="dxa"/>
            <w:vAlign w:val="top"/>
          </w:tcPr>
          <w:p w14:paraId="75AA4222">
            <w:pPr>
              <w:rPr>
                <w:rFonts w:ascii="Arial"/>
                <w:color w:val="auto"/>
                <w:sz w:val="21"/>
                <w:highlight w:val="none"/>
              </w:rPr>
            </w:pPr>
          </w:p>
        </w:tc>
        <w:tc>
          <w:tcPr>
            <w:tcW w:w="971" w:type="dxa"/>
            <w:tcBorders>
              <w:right w:val="single" w:color="000000" w:sz="6" w:space="0"/>
            </w:tcBorders>
            <w:vAlign w:val="top"/>
          </w:tcPr>
          <w:p w14:paraId="407573CD">
            <w:pPr>
              <w:rPr>
                <w:rFonts w:ascii="Arial"/>
                <w:color w:val="auto"/>
                <w:sz w:val="21"/>
                <w:highlight w:val="none"/>
              </w:rPr>
            </w:pPr>
          </w:p>
        </w:tc>
      </w:tr>
      <w:tr w14:paraId="32950F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43D23DFC">
            <w:pPr>
              <w:rPr>
                <w:rFonts w:ascii="Arial"/>
                <w:color w:val="auto"/>
                <w:sz w:val="21"/>
                <w:highlight w:val="none"/>
              </w:rPr>
            </w:pPr>
          </w:p>
        </w:tc>
        <w:tc>
          <w:tcPr>
            <w:tcW w:w="1841" w:type="dxa"/>
            <w:vAlign w:val="top"/>
          </w:tcPr>
          <w:p w14:paraId="01F525D9">
            <w:pPr>
              <w:rPr>
                <w:rFonts w:ascii="Arial"/>
                <w:color w:val="auto"/>
                <w:sz w:val="21"/>
                <w:highlight w:val="none"/>
              </w:rPr>
            </w:pPr>
          </w:p>
        </w:tc>
        <w:tc>
          <w:tcPr>
            <w:tcW w:w="2407" w:type="dxa"/>
            <w:vAlign w:val="top"/>
          </w:tcPr>
          <w:p w14:paraId="4A9B54C6">
            <w:pPr>
              <w:rPr>
                <w:rFonts w:ascii="Arial"/>
                <w:color w:val="auto"/>
                <w:sz w:val="21"/>
                <w:highlight w:val="none"/>
              </w:rPr>
            </w:pPr>
          </w:p>
        </w:tc>
        <w:tc>
          <w:tcPr>
            <w:tcW w:w="2831" w:type="dxa"/>
            <w:vAlign w:val="top"/>
          </w:tcPr>
          <w:p w14:paraId="02ACC8C6">
            <w:pPr>
              <w:rPr>
                <w:rFonts w:ascii="Arial"/>
                <w:color w:val="auto"/>
                <w:sz w:val="21"/>
                <w:highlight w:val="none"/>
              </w:rPr>
            </w:pPr>
          </w:p>
        </w:tc>
        <w:tc>
          <w:tcPr>
            <w:tcW w:w="851" w:type="dxa"/>
            <w:vAlign w:val="top"/>
          </w:tcPr>
          <w:p w14:paraId="2EE8085F">
            <w:pPr>
              <w:rPr>
                <w:rFonts w:ascii="Arial"/>
                <w:color w:val="auto"/>
                <w:sz w:val="21"/>
                <w:highlight w:val="none"/>
              </w:rPr>
            </w:pPr>
          </w:p>
        </w:tc>
        <w:tc>
          <w:tcPr>
            <w:tcW w:w="990" w:type="dxa"/>
            <w:vAlign w:val="top"/>
          </w:tcPr>
          <w:p w14:paraId="0992CA75">
            <w:pPr>
              <w:rPr>
                <w:rFonts w:ascii="Arial"/>
                <w:color w:val="auto"/>
                <w:sz w:val="21"/>
                <w:highlight w:val="none"/>
              </w:rPr>
            </w:pPr>
          </w:p>
        </w:tc>
        <w:tc>
          <w:tcPr>
            <w:tcW w:w="993" w:type="dxa"/>
            <w:vAlign w:val="top"/>
          </w:tcPr>
          <w:p w14:paraId="565938FC">
            <w:pPr>
              <w:rPr>
                <w:rFonts w:ascii="Arial"/>
                <w:color w:val="auto"/>
                <w:sz w:val="21"/>
                <w:highlight w:val="none"/>
              </w:rPr>
            </w:pPr>
          </w:p>
        </w:tc>
        <w:tc>
          <w:tcPr>
            <w:tcW w:w="1132" w:type="dxa"/>
            <w:vAlign w:val="top"/>
          </w:tcPr>
          <w:p w14:paraId="5005AA56">
            <w:pPr>
              <w:rPr>
                <w:rFonts w:ascii="Arial"/>
                <w:color w:val="auto"/>
                <w:sz w:val="21"/>
                <w:highlight w:val="none"/>
              </w:rPr>
            </w:pPr>
          </w:p>
        </w:tc>
        <w:tc>
          <w:tcPr>
            <w:tcW w:w="1273" w:type="dxa"/>
            <w:vAlign w:val="top"/>
          </w:tcPr>
          <w:p w14:paraId="509F2624">
            <w:pPr>
              <w:rPr>
                <w:rFonts w:ascii="Arial"/>
                <w:color w:val="auto"/>
                <w:sz w:val="21"/>
                <w:highlight w:val="none"/>
              </w:rPr>
            </w:pPr>
          </w:p>
        </w:tc>
        <w:tc>
          <w:tcPr>
            <w:tcW w:w="971" w:type="dxa"/>
            <w:tcBorders>
              <w:right w:val="single" w:color="000000" w:sz="6" w:space="0"/>
            </w:tcBorders>
            <w:vAlign w:val="top"/>
          </w:tcPr>
          <w:p w14:paraId="7EA5A7ED">
            <w:pPr>
              <w:rPr>
                <w:rFonts w:ascii="Arial"/>
                <w:color w:val="auto"/>
                <w:sz w:val="21"/>
                <w:highlight w:val="none"/>
              </w:rPr>
            </w:pPr>
          </w:p>
        </w:tc>
      </w:tr>
      <w:tr w14:paraId="1FDBCD1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17E3B341">
            <w:pPr>
              <w:rPr>
                <w:rFonts w:ascii="Arial"/>
                <w:color w:val="auto"/>
                <w:sz w:val="21"/>
                <w:highlight w:val="none"/>
              </w:rPr>
            </w:pPr>
          </w:p>
        </w:tc>
        <w:tc>
          <w:tcPr>
            <w:tcW w:w="1841" w:type="dxa"/>
            <w:vAlign w:val="top"/>
          </w:tcPr>
          <w:p w14:paraId="33329A08">
            <w:pPr>
              <w:rPr>
                <w:rFonts w:ascii="Arial"/>
                <w:color w:val="auto"/>
                <w:sz w:val="21"/>
                <w:highlight w:val="none"/>
              </w:rPr>
            </w:pPr>
          </w:p>
        </w:tc>
        <w:tc>
          <w:tcPr>
            <w:tcW w:w="2407" w:type="dxa"/>
            <w:vAlign w:val="top"/>
          </w:tcPr>
          <w:p w14:paraId="4EAB64B5">
            <w:pPr>
              <w:rPr>
                <w:rFonts w:ascii="Arial"/>
                <w:color w:val="auto"/>
                <w:sz w:val="21"/>
                <w:highlight w:val="none"/>
              </w:rPr>
            </w:pPr>
          </w:p>
        </w:tc>
        <w:tc>
          <w:tcPr>
            <w:tcW w:w="2831" w:type="dxa"/>
            <w:vAlign w:val="top"/>
          </w:tcPr>
          <w:p w14:paraId="702179C4">
            <w:pPr>
              <w:rPr>
                <w:rFonts w:ascii="Arial"/>
                <w:color w:val="auto"/>
                <w:sz w:val="21"/>
                <w:highlight w:val="none"/>
              </w:rPr>
            </w:pPr>
          </w:p>
        </w:tc>
        <w:tc>
          <w:tcPr>
            <w:tcW w:w="851" w:type="dxa"/>
            <w:vAlign w:val="top"/>
          </w:tcPr>
          <w:p w14:paraId="1A77221D">
            <w:pPr>
              <w:rPr>
                <w:rFonts w:ascii="Arial"/>
                <w:color w:val="auto"/>
                <w:sz w:val="21"/>
                <w:highlight w:val="none"/>
              </w:rPr>
            </w:pPr>
          </w:p>
        </w:tc>
        <w:tc>
          <w:tcPr>
            <w:tcW w:w="990" w:type="dxa"/>
            <w:vAlign w:val="top"/>
          </w:tcPr>
          <w:p w14:paraId="0249AB0F">
            <w:pPr>
              <w:rPr>
                <w:rFonts w:ascii="Arial"/>
                <w:color w:val="auto"/>
                <w:sz w:val="21"/>
                <w:highlight w:val="none"/>
              </w:rPr>
            </w:pPr>
          </w:p>
        </w:tc>
        <w:tc>
          <w:tcPr>
            <w:tcW w:w="993" w:type="dxa"/>
            <w:vAlign w:val="top"/>
          </w:tcPr>
          <w:p w14:paraId="38ABC5B2">
            <w:pPr>
              <w:rPr>
                <w:rFonts w:ascii="Arial"/>
                <w:color w:val="auto"/>
                <w:sz w:val="21"/>
                <w:highlight w:val="none"/>
              </w:rPr>
            </w:pPr>
          </w:p>
        </w:tc>
        <w:tc>
          <w:tcPr>
            <w:tcW w:w="1132" w:type="dxa"/>
            <w:vAlign w:val="top"/>
          </w:tcPr>
          <w:p w14:paraId="342ED1EF">
            <w:pPr>
              <w:rPr>
                <w:rFonts w:ascii="Arial"/>
                <w:color w:val="auto"/>
                <w:sz w:val="21"/>
                <w:highlight w:val="none"/>
              </w:rPr>
            </w:pPr>
          </w:p>
        </w:tc>
        <w:tc>
          <w:tcPr>
            <w:tcW w:w="1273" w:type="dxa"/>
            <w:vAlign w:val="top"/>
          </w:tcPr>
          <w:p w14:paraId="65B0009A">
            <w:pPr>
              <w:rPr>
                <w:rFonts w:ascii="Arial"/>
                <w:color w:val="auto"/>
                <w:sz w:val="21"/>
                <w:highlight w:val="none"/>
              </w:rPr>
            </w:pPr>
          </w:p>
        </w:tc>
        <w:tc>
          <w:tcPr>
            <w:tcW w:w="971" w:type="dxa"/>
            <w:tcBorders>
              <w:right w:val="single" w:color="000000" w:sz="6" w:space="0"/>
            </w:tcBorders>
            <w:vAlign w:val="top"/>
          </w:tcPr>
          <w:p w14:paraId="1BC8A192">
            <w:pPr>
              <w:rPr>
                <w:rFonts w:ascii="Arial"/>
                <w:color w:val="auto"/>
                <w:sz w:val="21"/>
                <w:highlight w:val="none"/>
              </w:rPr>
            </w:pPr>
          </w:p>
        </w:tc>
      </w:tr>
      <w:tr w14:paraId="2D00231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65" w:hRule="atLeast"/>
        </w:trPr>
        <w:tc>
          <w:tcPr>
            <w:tcW w:w="760" w:type="dxa"/>
            <w:tcBorders>
              <w:left w:val="single" w:color="000000" w:sz="6" w:space="0"/>
            </w:tcBorders>
            <w:vAlign w:val="top"/>
          </w:tcPr>
          <w:p w14:paraId="66E8D179">
            <w:pPr>
              <w:rPr>
                <w:rFonts w:ascii="Arial"/>
                <w:color w:val="auto"/>
                <w:sz w:val="21"/>
                <w:highlight w:val="none"/>
              </w:rPr>
            </w:pPr>
          </w:p>
        </w:tc>
        <w:tc>
          <w:tcPr>
            <w:tcW w:w="1841" w:type="dxa"/>
            <w:vAlign w:val="top"/>
          </w:tcPr>
          <w:p w14:paraId="3D7FC5EB">
            <w:pPr>
              <w:rPr>
                <w:rFonts w:ascii="Arial"/>
                <w:color w:val="auto"/>
                <w:sz w:val="21"/>
                <w:highlight w:val="none"/>
              </w:rPr>
            </w:pPr>
          </w:p>
        </w:tc>
        <w:tc>
          <w:tcPr>
            <w:tcW w:w="2407" w:type="dxa"/>
            <w:vAlign w:val="top"/>
          </w:tcPr>
          <w:p w14:paraId="1C3DE7C6">
            <w:pPr>
              <w:rPr>
                <w:rFonts w:ascii="Arial"/>
                <w:color w:val="auto"/>
                <w:sz w:val="21"/>
                <w:highlight w:val="none"/>
              </w:rPr>
            </w:pPr>
          </w:p>
        </w:tc>
        <w:tc>
          <w:tcPr>
            <w:tcW w:w="2831" w:type="dxa"/>
            <w:vAlign w:val="top"/>
          </w:tcPr>
          <w:p w14:paraId="245D42DA">
            <w:pPr>
              <w:rPr>
                <w:rFonts w:ascii="Arial"/>
                <w:color w:val="auto"/>
                <w:sz w:val="21"/>
                <w:highlight w:val="none"/>
              </w:rPr>
            </w:pPr>
          </w:p>
        </w:tc>
        <w:tc>
          <w:tcPr>
            <w:tcW w:w="851" w:type="dxa"/>
            <w:vAlign w:val="top"/>
          </w:tcPr>
          <w:p w14:paraId="37995570">
            <w:pPr>
              <w:rPr>
                <w:rFonts w:ascii="Arial"/>
                <w:color w:val="auto"/>
                <w:sz w:val="21"/>
                <w:highlight w:val="none"/>
              </w:rPr>
            </w:pPr>
          </w:p>
        </w:tc>
        <w:tc>
          <w:tcPr>
            <w:tcW w:w="990" w:type="dxa"/>
            <w:vAlign w:val="top"/>
          </w:tcPr>
          <w:p w14:paraId="34779C4C">
            <w:pPr>
              <w:rPr>
                <w:rFonts w:ascii="Arial"/>
                <w:color w:val="auto"/>
                <w:sz w:val="21"/>
                <w:highlight w:val="none"/>
              </w:rPr>
            </w:pPr>
          </w:p>
        </w:tc>
        <w:tc>
          <w:tcPr>
            <w:tcW w:w="993" w:type="dxa"/>
            <w:vAlign w:val="top"/>
          </w:tcPr>
          <w:p w14:paraId="4FD42EB7">
            <w:pPr>
              <w:rPr>
                <w:rFonts w:ascii="Arial"/>
                <w:color w:val="auto"/>
                <w:sz w:val="21"/>
                <w:highlight w:val="none"/>
              </w:rPr>
            </w:pPr>
          </w:p>
        </w:tc>
        <w:tc>
          <w:tcPr>
            <w:tcW w:w="1132" w:type="dxa"/>
            <w:vAlign w:val="top"/>
          </w:tcPr>
          <w:p w14:paraId="3EC8C566">
            <w:pPr>
              <w:rPr>
                <w:rFonts w:ascii="Arial"/>
                <w:color w:val="auto"/>
                <w:sz w:val="21"/>
                <w:highlight w:val="none"/>
              </w:rPr>
            </w:pPr>
          </w:p>
        </w:tc>
        <w:tc>
          <w:tcPr>
            <w:tcW w:w="1273" w:type="dxa"/>
            <w:vAlign w:val="top"/>
          </w:tcPr>
          <w:p w14:paraId="352FF8EB">
            <w:pPr>
              <w:rPr>
                <w:rFonts w:ascii="Arial"/>
                <w:color w:val="auto"/>
                <w:sz w:val="21"/>
                <w:highlight w:val="none"/>
              </w:rPr>
            </w:pPr>
          </w:p>
        </w:tc>
        <w:tc>
          <w:tcPr>
            <w:tcW w:w="971" w:type="dxa"/>
            <w:tcBorders>
              <w:right w:val="single" w:color="000000" w:sz="6" w:space="0"/>
            </w:tcBorders>
            <w:vAlign w:val="top"/>
          </w:tcPr>
          <w:p w14:paraId="7E7D4C1C">
            <w:pPr>
              <w:rPr>
                <w:rFonts w:ascii="Arial"/>
                <w:color w:val="auto"/>
                <w:sz w:val="21"/>
                <w:highlight w:val="none"/>
              </w:rPr>
            </w:pPr>
          </w:p>
        </w:tc>
      </w:tr>
      <w:tr w14:paraId="4F9EBC8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79" w:hRule="atLeast"/>
        </w:trPr>
        <w:tc>
          <w:tcPr>
            <w:tcW w:w="760" w:type="dxa"/>
            <w:tcBorders>
              <w:left w:val="single" w:color="000000" w:sz="6" w:space="0"/>
              <w:bottom w:val="single" w:color="000000" w:sz="6" w:space="0"/>
            </w:tcBorders>
            <w:vAlign w:val="top"/>
          </w:tcPr>
          <w:p w14:paraId="11FC38E5">
            <w:pPr>
              <w:rPr>
                <w:rFonts w:ascii="Arial"/>
                <w:color w:val="auto"/>
                <w:sz w:val="21"/>
                <w:highlight w:val="none"/>
              </w:rPr>
            </w:pPr>
          </w:p>
        </w:tc>
        <w:tc>
          <w:tcPr>
            <w:tcW w:w="1841" w:type="dxa"/>
            <w:tcBorders>
              <w:bottom w:val="single" w:color="000000" w:sz="6" w:space="0"/>
            </w:tcBorders>
            <w:vAlign w:val="top"/>
          </w:tcPr>
          <w:p w14:paraId="34E758E9">
            <w:pPr>
              <w:rPr>
                <w:rFonts w:ascii="Arial"/>
                <w:color w:val="auto"/>
                <w:sz w:val="21"/>
                <w:highlight w:val="none"/>
              </w:rPr>
            </w:pPr>
          </w:p>
        </w:tc>
        <w:tc>
          <w:tcPr>
            <w:tcW w:w="2407" w:type="dxa"/>
            <w:tcBorders>
              <w:bottom w:val="single" w:color="000000" w:sz="6" w:space="0"/>
            </w:tcBorders>
            <w:vAlign w:val="top"/>
          </w:tcPr>
          <w:p w14:paraId="5B1A307E">
            <w:pPr>
              <w:pStyle w:val="33"/>
              <w:spacing w:before="174" w:line="221" w:lineRule="auto"/>
              <w:ind w:left="848"/>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2831" w:type="dxa"/>
            <w:tcBorders>
              <w:bottom w:val="single" w:color="000000" w:sz="6" w:space="0"/>
            </w:tcBorders>
            <w:vAlign w:val="top"/>
          </w:tcPr>
          <w:p w14:paraId="17B937BA">
            <w:pPr>
              <w:rPr>
                <w:rFonts w:ascii="Arial"/>
                <w:color w:val="auto"/>
                <w:sz w:val="21"/>
                <w:highlight w:val="none"/>
              </w:rPr>
            </w:pPr>
          </w:p>
        </w:tc>
        <w:tc>
          <w:tcPr>
            <w:tcW w:w="851" w:type="dxa"/>
            <w:tcBorders>
              <w:bottom w:val="single" w:color="000000" w:sz="6" w:space="0"/>
            </w:tcBorders>
            <w:vAlign w:val="top"/>
          </w:tcPr>
          <w:p w14:paraId="0F6EB264">
            <w:pPr>
              <w:rPr>
                <w:rFonts w:ascii="Arial"/>
                <w:color w:val="auto"/>
                <w:sz w:val="21"/>
                <w:highlight w:val="none"/>
              </w:rPr>
            </w:pPr>
          </w:p>
        </w:tc>
        <w:tc>
          <w:tcPr>
            <w:tcW w:w="990" w:type="dxa"/>
            <w:tcBorders>
              <w:bottom w:val="single" w:color="000000" w:sz="6" w:space="0"/>
            </w:tcBorders>
            <w:vAlign w:val="top"/>
          </w:tcPr>
          <w:p w14:paraId="1C0D4C09">
            <w:pPr>
              <w:rPr>
                <w:rFonts w:ascii="Arial"/>
                <w:color w:val="auto"/>
                <w:sz w:val="21"/>
                <w:highlight w:val="none"/>
              </w:rPr>
            </w:pPr>
          </w:p>
        </w:tc>
        <w:tc>
          <w:tcPr>
            <w:tcW w:w="993" w:type="dxa"/>
            <w:tcBorders>
              <w:bottom w:val="single" w:color="000000" w:sz="6" w:space="0"/>
            </w:tcBorders>
            <w:vAlign w:val="top"/>
          </w:tcPr>
          <w:p w14:paraId="5D72D4B4">
            <w:pPr>
              <w:rPr>
                <w:rFonts w:ascii="Arial"/>
                <w:color w:val="auto"/>
                <w:sz w:val="21"/>
                <w:highlight w:val="none"/>
              </w:rPr>
            </w:pPr>
          </w:p>
        </w:tc>
        <w:tc>
          <w:tcPr>
            <w:tcW w:w="1132" w:type="dxa"/>
            <w:tcBorders>
              <w:bottom w:val="single" w:color="000000" w:sz="6" w:space="0"/>
            </w:tcBorders>
            <w:vAlign w:val="top"/>
          </w:tcPr>
          <w:p w14:paraId="056B6905">
            <w:pPr>
              <w:rPr>
                <w:rFonts w:ascii="Arial"/>
                <w:color w:val="auto"/>
                <w:sz w:val="21"/>
                <w:highlight w:val="none"/>
              </w:rPr>
            </w:pPr>
          </w:p>
        </w:tc>
        <w:tc>
          <w:tcPr>
            <w:tcW w:w="1273" w:type="dxa"/>
            <w:tcBorders>
              <w:bottom w:val="single" w:color="000000" w:sz="6" w:space="0"/>
            </w:tcBorders>
            <w:vAlign w:val="top"/>
          </w:tcPr>
          <w:p w14:paraId="0592A955">
            <w:pPr>
              <w:rPr>
                <w:rFonts w:ascii="Arial"/>
                <w:color w:val="auto"/>
                <w:sz w:val="21"/>
                <w:highlight w:val="none"/>
              </w:rPr>
            </w:pPr>
          </w:p>
        </w:tc>
        <w:tc>
          <w:tcPr>
            <w:tcW w:w="971" w:type="dxa"/>
            <w:tcBorders>
              <w:bottom w:val="single" w:color="000000" w:sz="6" w:space="0"/>
              <w:right w:val="single" w:color="000000" w:sz="6" w:space="0"/>
            </w:tcBorders>
            <w:vAlign w:val="top"/>
          </w:tcPr>
          <w:p w14:paraId="6C1019FF">
            <w:pPr>
              <w:rPr>
                <w:rFonts w:ascii="Arial"/>
                <w:color w:val="auto"/>
                <w:sz w:val="21"/>
                <w:highlight w:val="none"/>
              </w:rPr>
            </w:pPr>
          </w:p>
        </w:tc>
      </w:tr>
    </w:tbl>
    <w:p w14:paraId="532AE846">
      <w:pPr>
        <w:spacing w:before="311" w:line="219" w:lineRule="auto"/>
        <w:ind w:left="6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法定代表人或委托代理人</w:t>
      </w:r>
      <w:r>
        <w:rPr>
          <w:rFonts w:ascii="宋体" w:hAnsi="宋体" w:eastAsia="宋体" w:cs="宋体"/>
          <w:color w:val="auto"/>
          <w:spacing w:val="-11"/>
          <w:sz w:val="24"/>
          <w:szCs w:val="24"/>
          <w:highlight w:val="none"/>
        </w:rPr>
        <w:t>：</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1"/>
          <w:sz w:val="24"/>
          <w:szCs w:val="24"/>
          <w:highlight w:val="none"/>
          <w:u w:val="single" w:color="auto"/>
        </w:rPr>
        <w:t>（</w:t>
      </w:r>
      <w:r>
        <w:rPr>
          <w:rFonts w:ascii="宋体" w:hAnsi="宋体" w:eastAsia="宋体" w:cs="宋体"/>
          <w:color w:val="auto"/>
          <w:spacing w:val="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613C96FE">
      <w:pPr>
        <w:spacing w:line="219" w:lineRule="auto"/>
        <w:rPr>
          <w:rFonts w:ascii="宋体" w:hAnsi="宋体" w:eastAsia="宋体" w:cs="宋体"/>
          <w:color w:val="auto"/>
          <w:sz w:val="24"/>
          <w:szCs w:val="24"/>
          <w:highlight w:val="none"/>
        </w:rPr>
        <w:sectPr>
          <w:footerReference r:id="rId16" w:type="default"/>
          <w:pgSz w:w="16843" w:h="11905" w:orient="landscape"/>
          <w:pgMar w:top="1621" w:right="1429" w:bottom="1361" w:left="1253" w:header="0" w:footer="1094" w:gutter="0"/>
          <w:pgNumType w:fmt="decimal"/>
          <w:cols w:space="0" w:num="1"/>
          <w:rtlGutter w:val="0"/>
          <w:docGrid w:linePitch="0" w:charSpace="0"/>
        </w:sectPr>
      </w:pPr>
    </w:p>
    <w:p w14:paraId="2701E555">
      <w:pPr>
        <w:spacing w:before="55" w:line="219" w:lineRule="auto"/>
        <w:ind w:left="3158"/>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其他项目清单计价表</w:t>
      </w:r>
    </w:p>
    <w:p w14:paraId="22A61243">
      <w:pPr>
        <w:spacing w:before="206" w:line="220" w:lineRule="auto"/>
        <w:ind w:left="3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页</w:t>
      </w:r>
    </w:p>
    <w:p w14:paraId="04B9EEE8">
      <w:pPr>
        <w:spacing w:line="143" w:lineRule="exact"/>
        <w:rPr>
          <w:color w:val="auto"/>
          <w:highlight w:val="none"/>
        </w:rPr>
      </w:pPr>
    </w:p>
    <w:tbl>
      <w:tblPr>
        <w:tblStyle w:val="32"/>
        <w:tblW w:w="8804"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69"/>
        <w:gridCol w:w="2758"/>
        <w:gridCol w:w="1504"/>
        <w:gridCol w:w="2003"/>
        <w:gridCol w:w="1770"/>
      </w:tblGrid>
      <w:tr w14:paraId="30B2F8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3" w:hRule="atLeast"/>
        </w:trPr>
        <w:tc>
          <w:tcPr>
            <w:tcW w:w="769" w:type="dxa"/>
            <w:tcBorders>
              <w:top w:val="single" w:color="000000" w:sz="6" w:space="0"/>
              <w:left w:val="single" w:color="000000" w:sz="6" w:space="0"/>
            </w:tcBorders>
            <w:vAlign w:val="top"/>
          </w:tcPr>
          <w:p w14:paraId="7279C44D">
            <w:pPr>
              <w:pStyle w:val="33"/>
              <w:spacing w:before="109" w:line="221" w:lineRule="auto"/>
              <w:ind w:left="144"/>
              <w:rPr>
                <w:color w:val="auto"/>
                <w:sz w:val="24"/>
                <w:szCs w:val="24"/>
                <w:highlight w:val="none"/>
              </w:rPr>
            </w:pPr>
            <w:r>
              <w:rPr>
                <w:color w:val="auto"/>
                <w:spacing w:val="-3"/>
                <w:sz w:val="24"/>
                <w:szCs w:val="24"/>
                <w:highlight w:val="none"/>
              </w:rPr>
              <w:t>序号</w:t>
            </w:r>
          </w:p>
        </w:tc>
        <w:tc>
          <w:tcPr>
            <w:tcW w:w="2758" w:type="dxa"/>
            <w:tcBorders>
              <w:top w:val="single" w:color="000000" w:sz="6" w:space="0"/>
            </w:tcBorders>
            <w:vAlign w:val="top"/>
          </w:tcPr>
          <w:p w14:paraId="5EF1677F">
            <w:pPr>
              <w:pStyle w:val="33"/>
              <w:spacing w:before="110" w:line="220" w:lineRule="auto"/>
              <w:ind w:left="904"/>
              <w:rPr>
                <w:color w:val="auto"/>
                <w:sz w:val="24"/>
                <w:szCs w:val="24"/>
                <w:highlight w:val="none"/>
              </w:rPr>
            </w:pPr>
            <w:r>
              <w:rPr>
                <w:color w:val="auto"/>
                <w:spacing w:val="-3"/>
                <w:sz w:val="24"/>
                <w:szCs w:val="24"/>
                <w:highlight w:val="none"/>
              </w:rPr>
              <w:t>项目名称</w:t>
            </w:r>
          </w:p>
        </w:tc>
        <w:tc>
          <w:tcPr>
            <w:tcW w:w="1504" w:type="dxa"/>
            <w:tcBorders>
              <w:top w:val="single" w:color="000000" w:sz="6" w:space="0"/>
            </w:tcBorders>
            <w:vAlign w:val="top"/>
          </w:tcPr>
          <w:p w14:paraId="392E0F23">
            <w:pPr>
              <w:pStyle w:val="33"/>
              <w:spacing w:before="110" w:line="220" w:lineRule="auto"/>
              <w:ind w:left="278"/>
              <w:rPr>
                <w:color w:val="auto"/>
                <w:sz w:val="24"/>
                <w:szCs w:val="24"/>
                <w:highlight w:val="none"/>
              </w:rPr>
            </w:pPr>
            <w:r>
              <w:rPr>
                <w:color w:val="auto"/>
                <w:spacing w:val="-2"/>
                <w:sz w:val="24"/>
                <w:szCs w:val="24"/>
                <w:highlight w:val="none"/>
              </w:rPr>
              <w:t>计量单位</w:t>
            </w:r>
          </w:p>
        </w:tc>
        <w:tc>
          <w:tcPr>
            <w:tcW w:w="2003" w:type="dxa"/>
            <w:tcBorders>
              <w:top w:val="single" w:color="000000" w:sz="6" w:space="0"/>
            </w:tcBorders>
            <w:vAlign w:val="top"/>
          </w:tcPr>
          <w:p w14:paraId="2317BCE0">
            <w:pPr>
              <w:pStyle w:val="33"/>
              <w:spacing w:before="109" w:line="220" w:lineRule="auto"/>
              <w:ind w:left="411"/>
              <w:rPr>
                <w:color w:val="auto"/>
                <w:sz w:val="24"/>
                <w:szCs w:val="24"/>
                <w:highlight w:val="none"/>
              </w:rPr>
            </w:pPr>
            <w:r>
              <w:rPr>
                <w:color w:val="auto"/>
                <w:spacing w:val="-5"/>
                <w:sz w:val="24"/>
                <w:szCs w:val="24"/>
                <w:highlight w:val="none"/>
              </w:rPr>
              <w:t>金额（元）</w:t>
            </w:r>
          </w:p>
        </w:tc>
        <w:tc>
          <w:tcPr>
            <w:tcW w:w="1770" w:type="dxa"/>
            <w:tcBorders>
              <w:top w:val="single" w:color="000000" w:sz="6" w:space="0"/>
              <w:right w:val="single" w:color="000000" w:sz="6" w:space="0"/>
            </w:tcBorders>
            <w:vAlign w:val="top"/>
          </w:tcPr>
          <w:p w14:paraId="7EA9AB17">
            <w:pPr>
              <w:pStyle w:val="33"/>
              <w:spacing w:before="109" w:line="221" w:lineRule="auto"/>
              <w:ind w:left="653"/>
              <w:rPr>
                <w:color w:val="auto"/>
                <w:sz w:val="24"/>
                <w:szCs w:val="24"/>
                <w:highlight w:val="none"/>
              </w:rPr>
            </w:pPr>
            <w:r>
              <w:rPr>
                <w:color w:val="auto"/>
                <w:spacing w:val="-4"/>
                <w:sz w:val="24"/>
                <w:szCs w:val="24"/>
                <w:highlight w:val="none"/>
              </w:rPr>
              <w:t>备注</w:t>
            </w:r>
          </w:p>
        </w:tc>
      </w:tr>
      <w:tr w14:paraId="2E1CED6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0966B7E3">
            <w:pPr>
              <w:rPr>
                <w:rFonts w:ascii="Arial"/>
                <w:color w:val="auto"/>
                <w:sz w:val="21"/>
                <w:highlight w:val="none"/>
              </w:rPr>
            </w:pPr>
          </w:p>
        </w:tc>
        <w:tc>
          <w:tcPr>
            <w:tcW w:w="2758" w:type="dxa"/>
            <w:vAlign w:val="top"/>
          </w:tcPr>
          <w:p w14:paraId="078BA2CD">
            <w:pPr>
              <w:rPr>
                <w:rFonts w:ascii="Arial"/>
                <w:color w:val="auto"/>
                <w:sz w:val="21"/>
                <w:highlight w:val="none"/>
              </w:rPr>
            </w:pPr>
          </w:p>
        </w:tc>
        <w:tc>
          <w:tcPr>
            <w:tcW w:w="1504" w:type="dxa"/>
            <w:vAlign w:val="top"/>
          </w:tcPr>
          <w:p w14:paraId="6E1D3865">
            <w:pPr>
              <w:rPr>
                <w:rFonts w:ascii="Arial"/>
                <w:color w:val="auto"/>
                <w:sz w:val="21"/>
                <w:highlight w:val="none"/>
              </w:rPr>
            </w:pPr>
          </w:p>
        </w:tc>
        <w:tc>
          <w:tcPr>
            <w:tcW w:w="2003" w:type="dxa"/>
            <w:vAlign w:val="top"/>
          </w:tcPr>
          <w:p w14:paraId="5C543E76">
            <w:pPr>
              <w:rPr>
                <w:rFonts w:ascii="Arial"/>
                <w:color w:val="auto"/>
                <w:sz w:val="21"/>
                <w:highlight w:val="none"/>
              </w:rPr>
            </w:pPr>
          </w:p>
        </w:tc>
        <w:tc>
          <w:tcPr>
            <w:tcW w:w="1770" w:type="dxa"/>
            <w:tcBorders>
              <w:right w:val="single" w:color="000000" w:sz="6" w:space="0"/>
            </w:tcBorders>
            <w:vAlign w:val="top"/>
          </w:tcPr>
          <w:p w14:paraId="153B743C">
            <w:pPr>
              <w:rPr>
                <w:rFonts w:ascii="Arial"/>
                <w:color w:val="auto"/>
                <w:sz w:val="21"/>
                <w:highlight w:val="none"/>
              </w:rPr>
            </w:pPr>
          </w:p>
        </w:tc>
      </w:tr>
      <w:tr w14:paraId="61981C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4A7F0ECF">
            <w:pPr>
              <w:rPr>
                <w:rFonts w:ascii="Arial"/>
                <w:color w:val="auto"/>
                <w:sz w:val="21"/>
                <w:highlight w:val="none"/>
              </w:rPr>
            </w:pPr>
          </w:p>
        </w:tc>
        <w:tc>
          <w:tcPr>
            <w:tcW w:w="2758" w:type="dxa"/>
            <w:vAlign w:val="top"/>
          </w:tcPr>
          <w:p w14:paraId="66A80941">
            <w:pPr>
              <w:rPr>
                <w:rFonts w:ascii="Arial"/>
                <w:color w:val="auto"/>
                <w:sz w:val="21"/>
                <w:highlight w:val="none"/>
              </w:rPr>
            </w:pPr>
          </w:p>
        </w:tc>
        <w:tc>
          <w:tcPr>
            <w:tcW w:w="1504" w:type="dxa"/>
            <w:vAlign w:val="top"/>
          </w:tcPr>
          <w:p w14:paraId="4F66728A">
            <w:pPr>
              <w:rPr>
                <w:rFonts w:ascii="Arial"/>
                <w:color w:val="auto"/>
                <w:sz w:val="21"/>
                <w:highlight w:val="none"/>
              </w:rPr>
            </w:pPr>
          </w:p>
        </w:tc>
        <w:tc>
          <w:tcPr>
            <w:tcW w:w="2003" w:type="dxa"/>
            <w:vAlign w:val="top"/>
          </w:tcPr>
          <w:p w14:paraId="52B4C589">
            <w:pPr>
              <w:rPr>
                <w:rFonts w:ascii="Arial"/>
                <w:color w:val="auto"/>
                <w:sz w:val="21"/>
                <w:highlight w:val="none"/>
              </w:rPr>
            </w:pPr>
          </w:p>
        </w:tc>
        <w:tc>
          <w:tcPr>
            <w:tcW w:w="1770" w:type="dxa"/>
            <w:tcBorders>
              <w:right w:val="single" w:color="000000" w:sz="6" w:space="0"/>
            </w:tcBorders>
            <w:vAlign w:val="top"/>
          </w:tcPr>
          <w:p w14:paraId="26723470">
            <w:pPr>
              <w:rPr>
                <w:rFonts w:ascii="Arial"/>
                <w:color w:val="auto"/>
                <w:sz w:val="21"/>
                <w:highlight w:val="none"/>
              </w:rPr>
            </w:pPr>
          </w:p>
        </w:tc>
      </w:tr>
      <w:tr w14:paraId="6DDF1B7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69" w:type="dxa"/>
            <w:tcBorders>
              <w:left w:val="single" w:color="000000" w:sz="6" w:space="0"/>
            </w:tcBorders>
            <w:vAlign w:val="top"/>
          </w:tcPr>
          <w:p w14:paraId="6711431F">
            <w:pPr>
              <w:rPr>
                <w:rFonts w:ascii="Arial"/>
                <w:color w:val="auto"/>
                <w:sz w:val="21"/>
                <w:highlight w:val="none"/>
              </w:rPr>
            </w:pPr>
          </w:p>
        </w:tc>
        <w:tc>
          <w:tcPr>
            <w:tcW w:w="2758" w:type="dxa"/>
            <w:vAlign w:val="top"/>
          </w:tcPr>
          <w:p w14:paraId="5E89DD30">
            <w:pPr>
              <w:rPr>
                <w:rFonts w:ascii="Arial"/>
                <w:color w:val="auto"/>
                <w:sz w:val="21"/>
                <w:highlight w:val="none"/>
              </w:rPr>
            </w:pPr>
          </w:p>
        </w:tc>
        <w:tc>
          <w:tcPr>
            <w:tcW w:w="1504" w:type="dxa"/>
            <w:vAlign w:val="top"/>
          </w:tcPr>
          <w:p w14:paraId="36F77026">
            <w:pPr>
              <w:rPr>
                <w:rFonts w:ascii="Arial"/>
                <w:color w:val="auto"/>
                <w:sz w:val="21"/>
                <w:highlight w:val="none"/>
              </w:rPr>
            </w:pPr>
          </w:p>
        </w:tc>
        <w:tc>
          <w:tcPr>
            <w:tcW w:w="2003" w:type="dxa"/>
            <w:vAlign w:val="top"/>
          </w:tcPr>
          <w:p w14:paraId="66A3A07A">
            <w:pPr>
              <w:rPr>
                <w:rFonts w:ascii="Arial"/>
                <w:color w:val="auto"/>
                <w:sz w:val="21"/>
                <w:highlight w:val="none"/>
              </w:rPr>
            </w:pPr>
          </w:p>
        </w:tc>
        <w:tc>
          <w:tcPr>
            <w:tcW w:w="1770" w:type="dxa"/>
            <w:tcBorders>
              <w:right w:val="single" w:color="000000" w:sz="6" w:space="0"/>
            </w:tcBorders>
            <w:vAlign w:val="top"/>
          </w:tcPr>
          <w:p w14:paraId="7822F200">
            <w:pPr>
              <w:rPr>
                <w:rFonts w:ascii="Arial"/>
                <w:color w:val="auto"/>
                <w:sz w:val="21"/>
                <w:highlight w:val="none"/>
              </w:rPr>
            </w:pPr>
          </w:p>
        </w:tc>
      </w:tr>
      <w:tr w14:paraId="1A3A06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54A706F5">
            <w:pPr>
              <w:rPr>
                <w:rFonts w:ascii="Arial"/>
                <w:color w:val="auto"/>
                <w:sz w:val="21"/>
                <w:highlight w:val="none"/>
              </w:rPr>
            </w:pPr>
          </w:p>
        </w:tc>
        <w:tc>
          <w:tcPr>
            <w:tcW w:w="2758" w:type="dxa"/>
            <w:vAlign w:val="top"/>
          </w:tcPr>
          <w:p w14:paraId="47AB923E">
            <w:pPr>
              <w:rPr>
                <w:rFonts w:ascii="Arial"/>
                <w:color w:val="auto"/>
                <w:sz w:val="21"/>
                <w:highlight w:val="none"/>
              </w:rPr>
            </w:pPr>
          </w:p>
        </w:tc>
        <w:tc>
          <w:tcPr>
            <w:tcW w:w="1504" w:type="dxa"/>
            <w:vAlign w:val="top"/>
          </w:tcPr>
          <w:p w14:paraId="552D69D2">
            <w:pPr>
              <w:rPr>
                <w:rFonts w:ascii="Arial"/>
                <w:color w:val="auto"/>
                <w:sz w:val="21"/>
                <w:highlight w:val="none"/>
              </w:rPr>
            </w:pPr>
          </w:p>
        </w:tc>
        <w:tc>
          <w:tcPr>
            <w:tcW w:w="2003" w:type="dxa"/>
            <w:vAlign w:val="top"/>
          </w:tcPr>
          <w:p w14:paraId="119DBED2">
            <w:pPr>
              <w:rPr>
                <w:rFonts w:ascii="Arial"/>
                <w:color w:val="auto"/>
                <w:sz w:val="21"/>
                <w:highlight w:val="none"/>
              </w:rPr>
            </w:pPr>
          </w:p>
        </w:tc>
        <w:tc>
          <w:tcPr>
            <w:tcW w:w="1770" w:type="dxa"/>
            <w:tcBorders>
              <w:right w:val="single" w:color="000000" w:sz="6" w:space="0"/>
            </w:tcBorders>
            <w:vAlign w:val="top"/>
          </w:tcPr>
          <w:p w14:paraId="74A9A30D">
            <w:pPr>
              <w:rPr>
                <w:rFonts w:ascii="Arial"/>
                <w:color w:val="auto"/>
                <w:sz w:val="21"/>
                <w:highlight w:val="none"/>
              </w:rPr>
            </w:pPr>
          </w:p>
        </w:tc>
      </w:tr>
      <w:tr w14:paraId="3E20EE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45865EB3">
            <w:pPr>
              <w:rPr>
                <w:rFonts w:ascii="Arial"/>
                <w:color w:val="auto"/>
                <w:sz w:val="21"/>
                <w:highlight w:val="none"/>
              </w:rPr>
            </w:pPr>
          </w:p>
        </w:tc>
        <w:tc>
          <w:tcPr>
            <w:tcW w:w="2758" w:type="dxa"/>
            <w:vAlign w:val="top"/>
          </w:tcPr>
          <w:p w14:paraId="032D6EF6">
            <w:pPr>
              <w:rPr>
                <w:rFonts w:ascii="Arial"/>
                <w:color w:val="auto"/>
                <w:sz w:val="21"/>
                <w:highlight w:val="none"/>
              </w:rPr>
            </w:pPr>
          </w:p>
        </w:tc>
        <w:tc>
          <w:tcPr>
            <w:tcW w:w="1504" w:type="dxa"/>
            <w:vAlign w:val="top"/>
          </w:tcPr>
          <w:p w14:paraId="592365AF">
            <w:pPr>
              <w:rPr>
                <w:rFonts w:ascii="Arial"/>
                <w:color w:val="auto"/>
                <w:sz w:val="21"/>
                <w:highlight w:val="none"/>
              </w:rPr>
            </w:pPr>
          </w:p>
        </w:tc>
        <w:tc>
          <w:tcPr>
            <w:tcW w:w="2003" w:type="dxa"/>
            <w:vAlign w:val="top"/>
          </w:tcPr>
          <w:p w14:paraId="2B70D110">
            <w:pPr>
              <w:rPr>
                <w:rFonts w:ascii="Arial"/>
                <w:color w:val="auto"/>
                <w:sz w:val="21"/>
                <w:highlight w:val="none"/>
              </w:rPr>
            </w:pPr>
          </w:p>
        </w:tc>
        <w:tc>
          <w:tcPr>
            <w:tcW w:w="1770" w:type="dxa"/>
            <w:tcBorders>
              <w:right w:val="single" w:color="000000" w:sz="6" w:space="0"/>
            </w:tcBorders>
            <w:vAlign w:val="top"/>
          </w:tcPr>
          <w:p w14:paraId="6C9FEBDC">
            <w:pPr>
              <w:rPr>
                <w:rFonts w:ascii="Arial"/>
                <w:color w:val="auto"/>
                <w:sz w:val="21"/>
                <w:highlight w:val="none"/>
              </w:rPr>
            </w:pPr>
          </w:p>
        </w:tc>
      </w:tr>
      <w:tr w14:paraId="5AF0CB2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69" w:type="dxa"/>
            <w:tcBorders>
              <w:left w:val="single" w:color="000000" w:sz="6" w:space="0"/>
            </w:tcBorders>
            <w:vAlign w:val="top"/>
          </w:tcPr>
          <w:p w14:paraId="0146CB70">
            <w:pPr>
              <w:rPr>
                <w:rFonts w:ascii="Arial"/>
                <w:color w:val="auto"/>
                <w:sz w:val="21"/>
                <w:highlight w:val="none"/>
              </w:rPr>
            </w:pPr>
          </w:p>
        </w:tc>
        <w:tc>
          <w:tcPr>
            <w:tcW w:w="2758" w:type="dxa"/>
            <w:vAlign w:val="top"/>
          </w:tcPr>
          <w:p w14:paraId="19405E20">
            <w:pPr>
              <w:rPr>
                <w:rFonts w:ascii="Arial"/>
                <w:color w:val="auto"/>
                <w:sz w:val="21"/>
                <w:highlight w:val="none"/>
              </w:rPr>
            </w:pPr>
          </w:p>
        </w:tc>
        <w:tc>
          <w:tcPr>
            <w:tcW w:w="1504" w:type="dxa"/>
            <w:vAlign w:val="top"/>
          </w:tcPr>
          <w:p w14:paraId="5F114F47">
            <w:pPr>
              <w:rPr>
                <w:rFonts w:ascii="Arial"/>
                <w:color w:val="auto"/>
                <w:sz w:val="21"/>
                <w:highlight w:val="none"/>
              </w:rPr>
            </w:pPr>
          </w:p>
        </w:tc>
        <w:tc>
          <w:tcPr>
            <w:tcW w:w="2003" w:type="dxa"/>
            <w:vAlign w:val="top"/>
          </w:tcPr>
          <w:p w14:paraId="2DC7E477">
            <w:pPr>
              <w:rPr>
                <w:rFonts w:ascii="Arial"/>
                <w:color w:val="auto"/>
                <w:sz w:val="21"/>
                <w:highlight w:val="none"/>
              </w:rPr>
            </w:pPr>
          </w:p>
        </w:tc>
        <w:tc>
          <w:tcPr>
            <w:tcW w:w="1770" w:type="dxa"/>
            <w:tcBorders>
              <w:right w:val="single" w:color="000000" w:sz="6" w:space="0"/>
            </w:tcBorders>
            <w:vAlign w:val="top"/>
          </w:tcPr>
          <w:p w14:paraId="4E821A09">
            <w:pPr>
              <w:rPr>
                <w:rFonts w:ascii="Arial"/>
                <w:color w:val="auto"/>
                <w:sz w:val="21"/>
                <w:highlight w:val="none"/>
              </w:rPr>
            </w:pPr>
          </w:p>
        </w:tc>
      </w:tr>
      <w:tr w14:paraId="7BC2AFF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2E57D675">
            <w:pPr>
              <w:rPr>
                <w:rFonts w:ascii="Arial"/>
                <w:color w:val="auto"/>
                <w:sz w:val="21"/>
                <w:highlight w:val="none"/>
              </w:rPr>
            </w:pPr>
          </w:p>
        </w:tc>
        <w:tc>
          <w:tcPr>
            <w:tcW w:w="2758" w:type="dxa"/>
            <w:vAlign w:val="top"/>
          </w:tcPr>
          <w:p w14:paraId="184F769A">
            <w:pPr>
              <w:rPr>
                <w:rFonts w:ascii="Arial"/>
                <w:color w:val="auto"/>
                <w:sz w:val="21"/>
                <w:highlight w:val="none"/>
              </w:rPr>
            </w:pPr>
          </w:p>
        </w:tc>
        <w:tc>
          <w:tcPr>
            <w:tcW w:w="1504" w:type="dxa"/>
            <w:vAlign w:val="top"/>
          </w:tcPr>
          <w:p w14:paraId="0F17E772">
            <w:pPr>
              <w:rPr>
                <w:rFonts w:ascii="Arial"/>
                <w:color w:val="auto"/>
                <w:sz w:val="21"/>
                <w:highlight w:val="none"/>
              </w:rPr>
            </w:pPr>
          </w:p>
        </w:tc>
        <w:tc>
          <w:tcPr>
            <w:tcW w:w="2003" w:type="dxa"/>
            <w:vAlign w:val="top"/>
          </w:tcPr>
          <w:p w14:paraId="3B4D68D8">
            <w:pPr>
              <w:rPr>
                <w:rFonts w:ascii="Arial"/>
                <w:color w:val="auto"/>
                <w:sz w:val="21"/>
                <w:highlight w:val="none"/>
              </w:rPr>
            </w:pPr>
          </w:p>
        </w:tc>
        <w:tc>
          <w:tcPr>
            <w:tcW w:w="1770" w:type="dxa"/>
            <w:tcBorders>
              <w:right w:val="single" w:color="000000" w:sz="6" w:space="0"/>
            </w:tcBorders>
            <w:vAlign w:val="top"/>
          </w:tcPr>
          <w:p w14:paraId="76A1E5CA">
            <w:pPr>
              <w:rPr>
                <w:rFonts w:ascii="Arial"/>
                <w:color w:val="auto"/>
                <w:sz w:val="21"/>
                <w:highlight w:val="none"/>
              </w:rPr>
            </w:pPr>
          </w:p>
        </w:tc>
      </w:tr>
      <w:tr w14:paraId="5A85CF7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69" w:type="dxa"/>
            <w:tcBorders>
              <w:left w:val="single" w:color="000000" w:sz="6" w:space="0"/>
            </w:tcBorders>
            <w:vAlign w:val="top"/>
          </w:tcPr>
          <w:p w14:paraId="4C2D6BC5">
            <w:pPr>
              <w:rPr>
                <w:rFonts w:ascii="Arial"/>
                <w:color w:val="auto"/>
                <w:sz w:val="21"/>
                <w:highlight w:val="none"/>
              </w:rPr>
            </w:pPr>
          </w:p>
        </w:tc>
        <w:tc>
          <w:tcPr>
            <w:tcW w:w="2758" w:type="dxa"/>
            <w:vAlign w:val="top"/>
          </w:tcPr>
          <w:p w14:paraId="6E1FD793">
            <w:pPr>
              <w:rPr>
                <w:rFonts w:ascii="Arial"/>
                <w:color w:val="auto"/>
                <w:sz w:val="21"/>
                <w:highlight w:val="none"/>
              </w:rPr>
            </w:pPr>
          </w:p>
        </w:tc>
        <w:tc>
          <w:tcPr>
            <w:tcW w:w="1504" w:type="dxa"/>
            <w:vAlign w:val="top"/>
          </w:tcPr>
          <w:p w14:paraId="3821759B">
            <w:pPr>
              <w:rPr>
                <w:rFonts w:ascii="Arial"/>
                <w:color w:val="auto"/>
                <w:sz w:val="21"/>
                <w:highlight w:val="none"/>
              </w:rPr>
            </w:pPr>
          </w:p>
        </w:tc>
        <w:tc>
          <w:tcPr>
            <w:tcW w:w="2003" w:type="dxa"/>
            <w:vAlign w:val="top"/>
          </w:tcPr>
          <w:p w14:paraId="23106520">
            <w:pPr>
              <w:rPr>
                <w:rFonts w:ascii="Arial"/>
                <w:color w:val="auto"/>
                <w:sz w:val="21"/>
                <w:highlight w:val="none"/>
              </w:rPr>
            </w:pPr>
          </w:p>
        </w:tc>
        <w:tc>
          <w:tcPr>
            <w:tcW w:w="1770" w:type="dxa"/>
            <w:tcBorders>
              <w:right w:val="single" w:color="000000" w:sz="6" w:space="0"/>
            </w:tcBorders>
            <w:vAlign w:val="top"/>
          </w:tcPr>
          <w:p w14:paraId="61B9ED33">
            <w:pPr>
              <w:rPr>
                <w:rFonts w:ascii="Arial"/>
                <w:color w:val="auto"/>
                <w:sz w:val="21"/>
                <w:highlight w:val="none"/>
              </w:rPr>
            </w:pPr>
          </w:p>
        </w:tc>
      </w:tr>
      <w:tr w14:paraId="41319E4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0160E888">
            <w:pPr>
              <w:rPr>
                <w:rFonts w:ascii="Arial"/>
                <w:color w:val="auto"/>
                <w:sz w:val="21"/>
                <w:highlight w:val="none"/>
              </w:rPr>
            </w:pPr>
          </w:p>
        </w:tc>
        <w:tc>
          <w:tcPr>
            <w:tcW w:w="2758" w:type="dxa"/>
            <w:vAlign w:val="top"/>
          </w:tcPr>
          <w:p w14:paraId="301927BA">
            <w:pPr>
              <w:rPr>
                <w:rFonts w:ascii="Arial"/>
                <w:color w:val="auto"/>
                <w:sz w:val="21"/>
                <w:highlight w:val="none"/>
              </w:rPr>
            </w:pPr>
          </w:p>
        </w:tc>
        <w:tc>
          <w:tcPr>
            <w:tcW w:w="1504" w:type="dxa"/>
            <w:vAlign w:val="top"/>
          </w:tcPr>
          <w:p w14:paraId="619BB007">
            <w:pPr>
              <w:rPr>
                <w:rFonts w:ascii="Arial"/>
                <w:color w:val="auto"/>
                <w:sz w:val="21"/>
                <w:highlight w:val="none"/>
              </w:rPr>
            </w:pPr>
          </w:p>
        </w:tc>
        <w:tc>
          <w:tcPr>
            <w:tcW w:w="2003" w:type="dxa"/>
            <w:vAlign w:val="top"/>
          </w:tcPr>
          <w:p w14:paraId="7CF1BED2">
            <w:pPr>
              <w:rPr>
                <w:rFonts w:ascii="Arial"/>
                <w:color w:val="auto"/>
                <w:sz w:val="21"/>
                <w:highlight w:val="none"/>
              </w:rPr>
            </w:pPr>
          </w:p>
        </w:tc>
        <w:tc>
          <w:tcPr>
            <w:tcW w:w="1770" w:type="dxa"/>
            <w:tcBorders>
              <w:right w:val="single" w:color="000000" w:sz="6" w:space="0"/>
            </w:tcBorders>
            <w:vAlign w:val="top"/>
          </w:tcPr>
          <w:p w14:paraId="7DB6E68A">
            <w:pPr>
              <w:rPr>
                <w:rFonts w:ascii="Arial"/>
                <w:color w:val="auto"/>
                <w:sz w:val="21"/>
                <w:highlight w:val="none"/>
              </w:rPr>
            </w:pPr>
          </w:p>
        </w:tc>
      </w:tr>
      <w:tr w14:paraId="40C593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784EE4D8">
            <w:pPr>
              <w:rPr>
                <w:rFonts w:ascii="Arial"/>
                <w:color w:val="auto"/>
                <w:sz w:val="21"/>
                <w:highlight w:val="none"/>
              </w:rPr>
            </w:pPr>
          </w:p>
        </w:tc>
        <w:tc>
          <w:tcPr>
            <w:tcW w:w="2758" w:type="dxa"/>
            <w:vAlign w:val="top"/>
          </w:tcPr>
          <w:p w14:paraId="6E59D43D">
            <w:pPr>
              <w:rPr>
                <w:rFonts w:ascii="Arial"/>
                <w:color w:val="auto"/>
                <w:sz w:val="21"/>
                <w:highlight w:val="none"/>
              </w:rPr>
            </w:pPr>
          </w:p>
        </w:tc>
        <w:tc>
          <w:tcPr>
            <w:tcW w:w="1504" w:type="dxa"/>
            <w:vAlign w:val="top"/>
          </w:tcPr>
          <w:p w14:paraId="434116C4">
            <w:pPr>
              <w:rPr>
                <w:rFonts w:ascii="Arial"/>
                <w:color w:val="auto"/>
                <w:sz w:val="21"/>
                <w:highlight w:val="none"/>
              </w:rPr>
            </w:pPr>
          </w:p>
        </w:tc>
        <w:tc>
          <w:tcPr>
            <w:tcW w:w="2003" w:type="dxa"/>
            <w:vAlign w:val="top"/>
          </w:tcPr>
          <w:p w14:paraId="6ACEB32B">
            <w:pPr>
              <w:rPr>
                <w:rFonts w:ascii="Arial"/>
                <w:color w:val="auto"/>
                <w:sz w:val="21"/>
                <w:highlight w:val="none"/>
              </w:rPr>
            </w:pPr>
          </w:p>
        </w:tc>
        <w:tc>
          <w:tcPr>
            <w:tcW w:w="1770" w:type="dxa"/>
            <w:tcBorders>
              <w:right w:val="single" w:color="000000" w:sz="6" w:space="0"/>
            </w:tcBorders>
            <w:vAlign w:val="top"/>
          </w:tcPr>
          <w:p w14:paraId="55209DC6">
            <w:pPr>
              <w:rPr>
                <w:rFonts w:ascii="Arial"/>
                <w:color w:val="auto"/>
                <w:sz w:val="21"/>
                <w:highlight w:val="none"/>
              </w:rPr>
            </w:pPr>
          </w:p>
        </w:tc>
      </w:tr>
      <w:tr w14:paraId="32878FA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8" w:hRule="atLeast"/>
        </w:trPr>
        <w:tc>
          <w:tcPr>
            <w:tcW w:w="769" w:type="dxa"/>
            <w:tcBorders>
              <w:left w:val="single" w:color="000000" w:sz="6" w:space="0"/>
            </w:tcBorders>
            <w:vAlign w:val="top"/>
          </w:tcPr>
          <w:p w14:paraId="0B6611E2">
            <w:pPr>
              <w:rPr>
                <w:rFonts w:ascii="Arial"/>
                <w:color w:val="auto"/>
                <w:sz w:val="21"/>
                <w:highlight w:val="none"/>
              </w:rPr>
            </w:pPr>
          </w:p>
        </w:tc>
        <w:tc>
          <w:tcPr>
            <w:tcW w:w="2758" w:type="dxa"/>
            <w:vAlign w:val="top"/>
          </w:tcPr>
          <w:p w14:paraId="2D6A7D57">
            <w:pPr>
              <w:rPr>
                <w:rFonts w:ascii="Arial"/>
                <w:color w:val="auto"/>
                <w:sz w:val="21"/>
                <w:highlight w:val="none"/>
              </w:rPr>
            </w:pPr>
          </w:p>
        </w:tc>
        <w:tc>
          <w:tcPr>
            <w:tcW w:w="1504" w:type="dxa"/>
            <w:vAlign w:val="top"/>
          </w:tcPr>
          <w:p w14:paraId="41681584">
            <w:pPr>
              <w:rPr>
                <w:rFonts w:ascii="Arial"/>
                <w:color w:val="auto"/>
                <w:sz w:val="21"/>
                <w:highlight w:val="none"/>
              </w:rPr>
            </w:pPr>
          </w:p>
        </w:tc>
        <w:tc>
          <w:tcPr>
            <w:tcW w:w="2003" w:type="dxa"/>
            <w:vAlign w:val="top"/>
          </w:tcPr>
          <w:p w14:paraId="7C17C5DF">
            <w:pPr>
              <w:rPr>
                <w:rFonts w:ascii="Arial"/>
                <w:color w:val="auto"/>
                <w:sz w:val="21"/>
                <w:highlight w:val="none"/>
              </w:rPr>
            </w:pPr>
          </w:p>
        </w:tc>
        <w:tc>
          <w:tcPr>
            <w:tcW w:w="1770" w:type="dxa"/>
            <w:tcBorders>
              <w:right w:val="single" w:color="000000" w:sz="6" w:space="0"/>
            </w:tcBorders>
            <w:vAlign w:val="top"/>
          </w:tcPr>
          <w:p w14:paraId="5CAB8552">
            <w:pPr>
              <w:rPr>
                <w:rFonts w:ascii="Arial"/>
                <w:color w:val="auto"/>
                <w:sz w:val="21"/>
                <w:highlight w:val="none"/>
              </w:rPr>
            </w:pPr>
          </w:p>
        </w:tc>
      </w:tr>
      <w:tr w14:paraId="6F49E1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3403550D">
            <w:pPr>
              <w:rPr>
                <w:rFonts w:ascii="Arial"/>
                <w:color w:val="auto"/>
                <w:sz w:val="21"/>
                <w:highlight w:val="none"/>
              </w:rPr>
            </w:pPr>
          </w:p>
        </w:tc>
        <w:tc>
          <w:tcPr>
            <w:tcW w:w="2758" w:type="dxa"/>
            <w:vAlign w:val="top"/>
          </w:tcPr>
          <w:p w14:paraId="5B696C8E">
            <w:pPr>
              <w:rPr>
                <w:rFonts w:ascii="Arial"/>
                <w:color w:val="auto"/>
                <w:sz w:val="21"/>
                <w:highlight w:val="none"/>
              </w:rPr>
            </w:pPr>
          </w:p>
        </w:tc>
        <w:tc>
          <w:tcPr>
            <w:tcW w:w="1504" w:type="dxa"/>
            <w:vAlign w:val="top"/>
          </w:tcPr>
          <w:p w14:paraId="6310EB64">
            <w:pPr>
              <w:rPr>
                <w:rFonts w:ascii="Arial"/>
                <w:color w:val="auto"/>
                <w:sz w:val="21"/>
                <w:highlight w:val="none"/>
              </w:rPr>
            </w:pPr>
          </w:p>
        </w:tc>
        <w:tc>
          <w:tcPr>
            <w:tcW w:w="2003" w:type="dxa"/>
            <w:vAlign w:val="top"/>
          </w:tcPr>
          <w:p w14:paraId="2975C2DC">
            <w:pPr>
              <w:rPr>
                <w:rFonts w:ascii="Arial"/>
                <w:color w:val="auto"/>
                <w:sz w:val="21"/>
                <w:highlight w:val="none"/>
              </w:rPr>
            </w:pPr>
          </w:p>
        </w:tc>
        <w:tc>
          <w:tcPr>
            <w:tcW w:w="1770" w:type="dxa"/>
            <w:tcBorders>
              <w:right w:val="single" w:color="000000" w:sz="6" w:space="0"/>
            </w:tcBorders>
            <w:vAlign w:val="top"/>
          </w:tcPr>
          <w:p w14:paraId="7C485431">
            <w:pPr>
              <w:rPr>
                <w:rFonts w:ascii="Arial"/>
                <w:color w:val="auto"/>
                <w:sz w:val="21"/>
                <w:highlight w:val="none"/>
              </w:rPr>
            </w:pPr>
          </w:p>
        </w:tc>
      </w:tr>
      <w:tr w14:paraId="02FF34F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0B28C8B4">
            <w:pPr>
              <w:rPr>
                <w:rFonts w:ascii="Arial"/>
                <w:color w:val="auto"/>
                <w:sz w:val="21"/>
                <w:highlight w:val="none"/>
              </w:rPr>
            </w:pPr>
          </w:p>
        </w:tc>
        <w:tc>
          <w:tcPr>
            <w:tcW w:w="2758" w:type="dxa"/>
            <w:vAlign w:val="top"/>
          </w:tcPr>
          <w:p w14:paraId="79A54A90">
            <w:pPr>
              <w:rPr>
                <w:rFonts w:ascii="Arial"/>
                <w:color w:val="auto"/>
                <w:sz w:val="21"/>
                <w:highlight w:val="none"/>
              </w:rPr>
            </w:pPr>
          </w:p>
        </w:tc>
        <w:tc>
          <w:tcPr>
            <w:tcW w:w="1504" w:type="dxa"/>
            <w:vAlign w:val="top"/>
          </w:tcPr>
          <w:p w14:paraId="57B2BCBE">
            <w:pPr>
              <w:rPr>
                <w:rFonts w:ascii="Arial"/>
                <w:color w:val="auto"/>
                <w:sz w:val="21"/>
                <w:highlight w:val="none"/>
              </w:rPr>
            </w:pPr>
          </w:p>
        </w:tc>
        <w:tc>
          <w:tcPr>
            <w:tcW w:w="2003" w:type="dxa"/>
            <w:vAlign w:val="top"/>
          </w:tcPr>
          <w:p w14:paraId="2AEBD844">
            <w:pPr>
              <w:rPr>
                <w:rFonts w:ascii="Arial"/>
                <w:color w:val="auto"/>
                <w:sz w:val="21"/>
                <w:highlight w:val="none"/>
              </w:rPr>
            </w:pPr>
          </w:p>
        </w:tc>
        <w:tc>
          <w:tcPr>
            <w:tcW w:w="1770" w:type="dxa"/>
            <w:tcBorders>
              <w:right w:val="single" w:color="000000" w:sz="6" w:space="0"/>
            </w:tcBorders>
            <w:vAlign w:val="top"/>
          </w:tcPr>
          <w:p w14:paraId="6BE83740">
            <w:pPr>
              <w:rPr>
                <w:rFonts w:ascii="Arial"/>
                <w:color w:val="auto"/>
                <w:sz w:val="21"/>
                <w:highlight w:val="none"/>
              </w:rPr>
            </w:pPr>
          </w:p>
        </w:tc>
      </w:tr>
      <w:tr w14:paraId="6CFC1D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9" w:hRule="atLeast"/>
        </w:trPr>
        <w:tc>
          <w:tcPr>
            <w:tcW w:w="769" w:type="dxa"/>
            <w:tcBorders>
              <w:left w:val="single" w:color="000000" w:sz="6" w:space="0"/>
            </w:tcBorders>
            <w:vAlign w:val="top"/>
          </w:tcPr>
          <w:p w14:paraId="01B39274">
            <w:pPr>
              <w:rPr>
                <w:rFonts w:ascii="Arial"/>
                <w:color w:val="auto"/>
                <w:sz w:val="21"/>
                <w:highlight w:val="none"/>
              </w:rPr>
            </w:pPr>
          </w:p>
        </w:tc>
        <w:tc>
          <w:tcPr>
            <w:tcW w:w="2758" w:type="dxa"/>
            <w:vAlign w:val="top"/>
          </w:tcPr>
          <w:p w14:paraId="30C29DE1">
            <w:pPr>
              <w:rPr>
                <w:rFonts w:ascii="Arial"/>
                <w:color w:val="auto"/>
                <w:sz w:val="21"/>
                <w:highlight w:val="none"/>
              </w:rPr>
            </w:pPr>
          </w:p>
        </w:tc>
        <w:tc>
          <w:tcPr>
            <w:tcW w:w="1504" w:type="dxa"/>
            <w:vAlign w:val="top"/>
          </w:tcPr>
          <w:p w14:paraId="760148C0">
            <w:pPr>
              <w:rPr>
                <w:rFonts w:ascii="Arial"/>
                <w:color w:val="auto"/>
                <w:sz w:val="21"/>
                <w:highlight w:val="none"/>
              </w:rPr>
            </w:pPr>
          </w:p>
        </w:tc>
        <w:tc>
          <w:tcPr>
            <w:tcW w:w="2003" w:type="dxa"/>
            <w:vAlign w:val="top"/>
          </w:tcPr>
          <w:p w14:paraId="11843617">
            <w:pPr>
              <w:rPr>
                <w:rFonts w:ascii="Arial"/>
                <w:color w:val="auto"/>
                <w:sz w:val="21"/>
                <w:highlight w:val="none"/>
              </w:rPr>
            </w:pPr>
          </w:p>
        </w:tc>
        <w:tc>
          <w:tcPr>
            <w:tcW w:w="1770" w:type="dxa"/>
            <w:tcBorders>
              <w:right w:val="single" w:color="000000" w:sz="6" w:space="0"/>
            </w:tcBorders>
            <w:vAlign w:val="top"/>
          </w:tcPr>
          <w:p w14:paraId="373EF8C7">
            <w:pPr>
              <w:rPr>
                <w:rFonts w:ascii="Arial"/>
                <w:color w:val="auto"/>
                <w:sz w:val="21"/>
                <w:highlight w:val="none"/>
              </w:rPr>
            </w:pPr>
          </w:p>
        </w:tc>
      </w:tr>
      <w:tr w14:paraId="41A5CF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06" w:hRule="atLeast"/>
        </w:trPr>
        <w:tc>
          <w:tcPr>
            <w:tcW w:w="769" w:type="dxa"/>
            <w:tcBorders>
              <w:left w:val="single" w:color="000000" w:sz="6" w:space="0"/>
            </w:tcBorders>
            <w:vAlign w:val="top"/>
          </w:tcPr>
          <w:p w14:paraId="5EA10CC1">
            <w:pPr>
              <w:rPr>
                <w:rFonts w:ascii="Arial"/>
                <w:color w:val="auto"/>
                <w:sz w:val="21"/>
                <w:highlight w:val="none"/>
              </w:rPr>
            </w:pPr>
          </w:p>
        </w:tc>
        <w:tc>
          <w:tcPr>
            <w:tcW w:w="2758" w:type="dxa"/>
            <w:vAlign w:val="top"/>
          </w:tcPr>
          <w:p w14:paraId="5B42C3A6">
            <w:pPr>
              <w:rPr>
                <w:rFonts w:ascii="Arial"/>
                <w:color w:val="auto"/>
                <w:sz w:val="21"/>
                <w:highlight w:val="none"/>
              </w:rPr>
            </w:pPr>
          </w:p>
        </w:tc>
        <w:tc>
          <w:tcPr>
            <w:tcW w:w="1504" w:type="dxa"/>
            <w:vAlign w:val="top"/>
          </w:tcPr>
          <w:p w14:paraId="2B02BA82">
            <w:pPr>
              <w:rPr>
                <w:rFonts w:ascii="Arial"/>
                <w:color w:val="auto"/>
                <w:sz w:val="21"/>
                <w:highlight w:val="none"/>
              </w:rPr>
            </w:pPr>
          </w:p>
        </w:tc>
        <w:tc>
          <w:tcPr>
            <w:tcW w:w="2003" w:type="dxa"/>
            <w:vAlign w:val="top"/>
          </w:tcPr>
          <w:p w14:paraId="77F17DA6">
            <w:pPr>
              <w:rPr>
                <w:rFonts w:ascii="Arial"/>
                <w:color w:val="auto"/>
                <w:sz w:val="21"/>
                <w:highlight w:val="none"/>
              </w:rPr>
            </w:pPr>
          </w:p>
        </w:tc>
        <w:tc>
          <w:tcPr>
            <w:tcW w:w="1770" w:type="dxa"/>
            <w:tcBorders>
              <w:right w:val="single" w:color="000000" w:sz="6" w:space="0"/>
            </w:tcBorders>
            <w:vAlign w:val="top"/>
          </w:tcPr>
          <w:p w14:paraId="2964F79F">
            <w:pPr>
              <w:rPr>
                <w:rFonts w:ascii="Arial"/>
                <w:color w:val="auto"/>
                <w:sz w:val="21"/>
                <w:highlight w:val="none"/>
              </w:rPr>
            </w:pPr>
          </w:p>
        </w:tc>
      </w:tr>
      <w:tr w14:paraId="4F3DA0C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3" w:hRule="atLeast"/>
        </w:trPr>
        <w:tc>
          <w:tcPr>
            <w:tcW w:w="769" w:type="dxa"/>
            <w:tcBorders>
              <w:left w:val="single" w:color="000000" w:sz="6" w:space="0"/>
              <w:bottom w:val="single" w:color="000000" w:sz="6" w:space="0"/>
            </w:tcBorders>
            <w:vAlign w:val="top"/>
          </w:tcPr>
          <w:p w14:paraId="2FA54C0F">
            <w:pPr>
              <w:rPr>
                <w:rFonts w:ascii="Arial"/>
                <w:color w:val="auto"/>
                <w:sz w:val="21"/>
                <w:highlight w:val="none"/>
              </w:rPr>
            </w:pPr>
          </w:p>
        </w:tc>
        <w:tc>
          <w:tcPr>
            <w:tcW w:w="2758" w:type="dxa"/>
            <w:tcBorders>
              <w:bottom w:val="single" w:color="000000" w:sz="6" w:space="0"/>
            </w:tcBorders>
            <w:vAlign w:val="top"/>
          </w:tcPr>
          <w:p w14:paraId="59CF46E9">
            <w:pPr>
              <w:pStyle w:val="33"/>
              <w:spacing w:before="120" w:line="221" w:lineRule="auto"/>
              <w:ind w:left="1021"/>
              <w:rPr>
                <w:color w:val="auto"/>
                <w:sz w:val="24"/>
                <w:szCs w:val="24"/>
                <w:highlight w:val="none"/>
              </w:rPr>
            </w:pPr>
            <w:r>
              <w:rPr>
                <w:color w:val="auto"/>
                <w:spacing w:val="-6"/>
                <w:sz w:val="24"/>
                <w:szCs w:val="24"/>
                <w:highlight w:val="none"/>
              </w:rPr>
              <w:t>合</w:t>
            </w:r>
            <w:r>
              <w:rPr>
                <w:color w:val="auto"/>
                <w:spacing w:val="5"/>
                <w:sz w:val="24"/>
                <w:szCs w:val="24"/>
                <w:highlight w:val="none"/>
              </w:rPr>
              <w:t xml:space="preserve">  </w:t>
            </w:r>
            <w:r>
              <w:rPr>
                <w:color w:val="auto"/>
                <w:spacing w:val="-6"/>
                <w:sz w:val="24"/>
                <w:szCs w:val="24"/>
                <w:highlight w:val="none"/>
              </w:rPr>
              <w:t>计</w:t>
            </w:r>
          </w:p>
        </w:tc>
        <w:tc>
          <w:tcPr>
            <w:tcW w:w="1504" w:type="dxa"/>
            <w:tcBorders>
              <w:bottom w:val="single" w:color="000000" w:sz="6" w:space="0"/>
            </w:tcBorders>
            <w:vAlign w:val="top"/>
          </w:tcPr>
          <w:p w14:paraId="7B08EEEE">
            <w:pPr>
              <w:rPr>
                <w:rFonts w:ascii="Arial"/>
                <w:color w:val="auto"/>
                <w:sz w:val="21"/>
                <w:highlight w:val="none"/>
              </w:rPr>
            </w:pPr>
          </w:p>
        </w:tc>
        <w:tc>
          <w:tcPr>
            <w:tcW w:w="2003" w:type="dxa"/>
            <w:tcBorders>
              <w:bottom w:val="single" w:color="000000" w:sz="6" w:space="0"/>
            </w:tcBorders>
            <w:vAlign w:val="top"/>
          </w:tcPr>
          <w:p w14:paraId="1D5F50E7">
            <w:pPr>
              <w:rPr>
                <w:rFonts w:ascii="Arial"/>
                <w:color w:val="auto"/>
                <w:sz w:val="21"/>
                <w:highlight w:val="none"/>
              </w:rPr>
            </w:pPr>
          </w:p>
        </w:tc>
        <w:tc>
          <w:tcPr>
            <w:tcW w:w="1770" w:type="dxa"/>
            <w:tcBorders>
              <w:bottom w:val="single" w:color="000000" w:sz="6" w:space="0"/>
              <w:right w:val="single" w:color="000000" w:sz="6" w:space="0"/>
            </w:tcBorders>
            <w:vAlign w:val="top"/>
          </w:tcPr>
          <w:p w14:paraId="7231802D">
            <w:pPr>
              <w:rPr>
                <w:rFonts w:ascii="Arial"/>
                <w:color w:val="auto"/>
                <w:sz w:val="21"/>
                <w:highlight w:val="none"/>
              </w:rPr>
            </w:pPr>
          </w:p>
        </w:tc>
      </w:tr>
    </w:tbl>
    <w:p w14:paraId="31DF026F">
      <w:pPr>
        <w:pStyle w:val="3"/>
        <w:spacing w:line="368" w:lineRule="auto"/>
        <w:rPr>
          <w:color w:val="auto"/>
          <w:highlight w:val="none"/>
        </w:rPr>
      </w:pPr>
    </w:p>
    <w:p w14:paraId="5091C995">
      <w:pPr>
        <w:spacing w:before="78" w:line="219" w:lineRule="auto"/>
        <w:ind w:left="224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法定代表人或委托代理人</w:t>
      </w:r>
      <w:r>
        <w:rPr>
          <w:rFonts w:ascii="宋体" w:hAnsi="宋体" w:eastAsia="宋体" w:cs="宋体"/>
          <w:color w:val="auto"/>
          <w:spacing w:val="-11"/>
          <w:sz w:val="24"/>
          <w:szCs w:val="24"/>
          <w:highlight w:val="none"/>
        </w:rPr>
        <w:t>：</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1"/>
          <w:sz w:val="24"/>
          <w:szCs w:val="24"/>
          <w:highlight w:val="none"/>
          <w:u w:val="single" w:color="auto"/>
        </w:rPr>
        <w:t>（</w:t>
      </w:r>
      <w:r>
        <w:rPr>
          <w:rFonts w:ascii="宋体" w:hAnsi="宋体" w:eastAsia="宋体" w:cs="宋体"/>
          <w:color w:val="auto"/>
          <w:spacing w:val="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39810883">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0D9EEF6D">
      <w:pPr>
        <w:spacing w:before="55" w:line="219" w:lineRule="auto"/>
        <w:ind w:left="3141"/>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零星工作项目计价表</w:t>
      </w:r>
    </w:p>
    <w:p w14:paraId="54F9E922">
      <w:pPr>
        <w:spacing w:before="206" w:line="220" w:lineRule="auto"/>
        <w:ind w:left="1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页</w:t>
      </w:r>
    </w:p>
    <w:p w14:paraId="23561FA2">
      <w:pPr>
        <w:spacing w:line="143" w:lineRule="exact"/>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954"/>
        <w:gridCol w:w="2564"/>
        <w:gridCol w:w="1370"/>
        <w:gridCol w:w="1371"/>
        <w:gridCol w:w="1368"/>
        <w:gridCol w:w="1382"/>
      </w:tblGrid>
      <w:tr w14:paraId="5ECEF2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954" w:type="dxa"/>
            <w:tcBorders>
              <w:top w:val="single" w:color="000000" w:sz="6" w:space="0"/>
              <w:left w:val="single" w:color="000000" w:sz="6" w:space="0"/>
            </w:tcBorders>
            <w:vAlign w:val="top"/>
          </w:tcPr>
          <w:p w14:paraId="3F416A2B">
            <w:pPr>
              <w:pStyle w:val="33"/>
              <w:spacing w:before="275" w:line="221" w:lineRule="auto"/>
              <w:ind w:left="235"/>
              <w:rPr>
                <w:color w:val="auto"/>
                <w:sz w:val="24"/>
                <w:szCs w:val="24"/>
                <w:highlight w:val="none"/>
              </w:rPr>
            </w:pPr>
            <w:r>
              <w:rPr>
                <w:color w:val="auto"/>
                <w:spacing w:val="-3"/>
                <w:sz w:val="24"/>
                <w:szCs w:val="24"/>
                <w:highlight w:val="none"/>
              </w:rPr>
              <w:t>序号</w:t>
            </w:r>
          </w:p>
        </w:tc>
        <w:tc>
          <w:tcPr>
            <w:tcW w:w="2564" w:type="dxa"/>
            <w:tcBorders>
              <w:top w:val="single" w:color="000000" w:sz="6" w:space="0"/>
            </w:tcBorders>
            <w:vAlign w:val="top"/>
          </w:tcPr>
          <w:p w14:paraId="615C886D">
            <w:pPr>
              <w:pStyle w:val="33"/>
              <w:spacing w:before="275" w:line="222" w:lineRule="auto"/>
              <w:ind w:left="807"/>
              <w:rPr>
                <w:color w:val="auto"/>
                <w:sz w:val="24"/>
                <w:szCs w:val="24"/>
                <w:highlight w:val="none"/>
              </w:rPr>
            </w:pPr>
            <w:r>
              <w:rPr>
                <w:color w:val="auto"/>
                <w:spacing w:val="-7"/>
                <w:sz w:val="24"/>
                <w:szCs w:val="24"/>
                <w:highlight w:val="none"/>
              </w:rPr>
              <w:t>名</w:t>
            </w:r>
            <w:r>
              <w:rPr>
                <w:color w:val="auto"/>
                <w:spacing w:val="2"/>
                <w:sz w:val="24"/>
                <w:szCs w:val="24"/>
                <w:highlight w:val="none"/>
              </w:rPr>
              <w:t xml:space="preserve">    </w:t>
            </w:r>
            <w:r>
              <w:rPr>
                <w:color w:val="auto"/>
                <w:spacing w:val="-7"/>
                <w:sz w:val="24"/>
                <w:szCs w:val="24"/>
                <w:highlight w:val="none"/>
              </w:rPr>
              <w:t>称</w:t>
            </w:r>
          </w:p>
        </w:tc>
        <w:tc>
          <w:tcPr>
            <w:tcW w:w="1370" w:type="dxa"/>
            <w:tcBorders>
              <w:top w:val="single" w:color="000000" w:sz="6" w:space="0"/>
            </w:tcBorders>
            <w:vAlign w:val="top"/>
          </w:tcPr>
          <w:p w14:paraId="7B36877E">
            <w:pPr>
              <w:pStyle w:val="33"/>
              <w:spacing w:before="275" w:line="220" w:lineRule="auto"/>
              <w:ind w:left="218"/>
              <w:rPr>
                <w:color w:val="auto"/>
                <w:sz w:val="24"/>
                <w:szCs w:val="24"/>
                <w:highlight w:val="none"/>
              </w:rPr>
            </w:pPr>
            <w:r>
              <w:rPr>
                <w:color w:val="auto"/>
                <w:spacing w:val="-4"/>
                <w:sz w:val="24"/>
                <w:szCs w:val="24"/>
                <w:highlight w:val="none"/>
              </w:rPr>
              <w:t>型号规格</w:t>
            </w:r>
          </w:p>
        </w:tc>
        <w:tc>
          <w:tcPr>
            <w:tcW w:w="1371" w:type="dxa"/>
            <w:tcBorders>
              <w:top w:val="single" w:color="000000" w:sz="6" w:space="0"/>
            </w:tcBorders>
            <w:vAlign w:val="top"/>
          </w:tcPr>
          <w:p w14:paraId="4E71F73B">
            <w:pPr>
              <w:pStyle w:val="33"/>
              <w:spacing w:before="275" w:line="220" w:lineRule="auto"/>
              <w:ind w:left="213"/>
              <w:rPr>
                <w:color w:val="auto"/>
                <w:sz w:val="24"/>
                <w:szCs w:val="24"/>
                <w:highlight w:val="none"/>
              </w:rPr>
            </w:pPr>
            <w:r>
              <w:rPr>
                <w:color w:val="auto"/>
                <w:spacing w:val="-2"/>
                <w:sz w:val="24"/>
                <w:szCs w:val="24"/>
                <w:highlight w:val="none"/>
              </w:rPr>
              <w:t>计量单位</w:t>
            </w:r>
          </w:p>
        </w:tc>
        <w:tc>
          <w:tcPr>
            <w:tcW w:w="1368" w:type="dxa"/>
            <w:tcBorders>
              <w:top w:val="single" w:color="000000" w:sz="6" w:space="0"/>
            </w:tcBorders>
            <w:vAlign w:val="top"/>
          </w:tcPr>
          <w:p w14:paraId="27B115CA">
            <w:pPr>
              <w:pStyle w:val="33"/>
              <w:spacing w:before="42" w:line="343" w:lineRule="auto"/>
              <w:ind w:left="339" w:right="335" w:firstLine="115"/>
              <w:rPr>
                <w:color w:val="auto"/>
                <w:sz w:val="24"/>
                <w:szCs w:val="24"/>
                <w:highlight w:val="none"/>
              </w:rPr>
            </w:pPr>
            <w:r>
              <w:rPr>
                <w:color w:val="auto"/>
                <w:spacing w:val="-6"/>
                <w:sz w:val="24"/>
                <w:szCs w:val="24"/>
                <w:highlight w:val="none"/>
              </w:rPr>
              <w:t>单价</w:t>
            </w:r>
            <w:r>
              <w:rPr>
                <w:color w:val="auto"/>
                <w:sz w:val="24"/>
                <w:szCs w:val="24"/>
                <w:highlight w:val="none"/>
              </w:rPr>
              <w:t xml:space="preserve">  </w:t>
            </w:r>
            <w:r>
              <w:rPr>
                <w:color w:val="auto"/>
                <w:spacing w:val="-11"/>
                <w:sz w:val="24"/>
                <w:szCs w:val="24"/>
                <w:highlight w:val="none"/>
              </w:rPr>
              <w:t>（元）</w:t>
            </w:r>
          </w:p>
        </w:tc>
        <w:tc>
          <w:tcPr>
            <w:tcW w:w="1382" w:type="dxa"/>
            <w:tcBorders>
              <w:top w:val="single" w:color="000000" w:sz="6" w:space="0"/>
              <w:right w:val="single" w:color="000000" w:sz="6" w:space="0"/>
            </w:tcBorders>
            <w:vAlign w:val="top"/>
          </w:tcPr>
          <w:p w14:paraId="66802324">
            <w:pPr>
              <w:pStyle w:val="33"/>
              <w:spacing w:before="275" w:line="221" w:lineRule="auto"/>
              <w:ind w:left="460"/>
              <w:rPr>
                <w:color w:val="auto"/>
                <w:sz w:val="24"/>
                <w:szCs w:val="24"/>
                <w:highlight w:val="none"/>
              </w:rPr>
            </w:pPr>
            <w:r>
              <w:rPr>
                <w:color w:val="auto"/>
                <w:spacing w:val="-4"/>
                <w:sz w:val="24"/>
                <w:szCs w:val="24"/>
                <w:highlight w:val="none"/>
              </w:rPr>
              <w:t>备注</w:t>
            </w:r>
          </w:p>
        </w:tc>
      </w:tr>
      <w:tr w14:paraId="78FDED6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top"/>
          </w:tcPr>
          <w:p w14:paraId="2C6C0235">
            <w:pPr>
              <w:spacing w:before="88" w:line="186" w:lineRule="auto"/>
              <w:ind w:left="435"/>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1</w:t>
            </w:r>
          </w:p>
        </w:tc>
        <w:tc>
          <w:tcPr>
            <w:tcW w:w="2564" w:type="dxa"/>
            <w:vAlign w:val="top"/>
          </w:tcPr>
          <w:p w14:paraId="1D8E6999">
            <w:pPr>
              <w:pStyle w:val="33"/>
              <w:spacing w:before="37" w:line="222" w:lineRule="auto"/>
              <w:ind w:left="1046"/>
              <w:rPr>
                <w:color w:val="auto"/>
                <w:sz w:val="24"/>
                <w:szCs w:val="24"/>
                <w:highlight w:val="none"/>
              </w:rPr>
            </w:pPr>
            <w:r>
              <w:rPr>
                <w:color w:val="auto"/>
                <w:spacing w:val="-3"/>
                <w:sz w:val="24"/>
                <w:szCs w:val="24"/>
                <w:highlight w:val="none"/>
              </w:rPr>
              <w:t>人工</w:t>
            </w:r>
          </w:p>
        </w:tc>
        <w:tc>
          <w:tcPr>
            <w:tcW w:w="1370" w:type="dxa"/>
            <w:vAlign w:val="top"/>
          </w:tcPr>
          <w:p w14:paraId="0F1F0E50">
            <w:pPr>
              <w:rPr>
                <w:rFonts w:ascii="Arial"/>
                <w:color w:val="auto"/>
                <w:sz w:val="21"/>
                <w:highlight w:val="none"/>
              </w:rPr>
            </w:pPr>
          </w:p>
        </w:tc>
        <w:tc>
          <w:tcPr>
            <w:tcW w:w="1371" w:type="dxa"/>
            <w:vAlign w:val="top"/>
          </w:tcPr>
          <w:p w14:paraId="04386D0D">
            <w:pPr>
              <w:rPr>
                <w:rFonts w:ascii="Arial"/>
                <w:color w:val="auto"/>
                <w:sz w:val="21"/>
                <w:highlight w:val="none"/>
              </w:rPr>
            </w:pPr>
          </w:p>
        </w:tc>
        <w:tc>
          <w:tcPr>
            <w:tcW w:w="1368" w:type="dxa"/>
            <w:vAlign w:val="top"/>
          </w:tcPr>
          <w:p w14:paraId="5CB1FD1C">
            <w:pPr>
              <w:rPr>
                <w:rFonts w:ascii="Arial"/>
                <w:color w:val="auto"/>
                <w:sz w:val="21"/>
                <w:highlight w:val="none"/>
              </w:rPr>
            </w:pPr>
          </w:p>
        </w:tc>
        <w:tc>
          <w:tcPr>
            <w:tcW w:w="1382" w:type="dxa"/>
            <w:tcBorders>
              <w:right w:val="single" w:color="000000" w:sz="6" w:space="0"/>
            </w:tcBorders>
            <w:vAlign w:val="top"/>
          </w:tcPr>
          <w:p w14:paraId="2AABB53B">
            <w:pPr>
              <w:rPr>
                <w:rFonts w:ascii="Arial"/>
                <w:color w:val="auto"/>
                <w:sz w:val="21"/>
                <w:highlight w:val="none"/>
              </w:rPr>
            </w:pPr>
          </w:p>
        </w:tc>
      </w:tr>
      <w:tr w14:paraId="2DED9B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3" w:hRule="atLeast"/>
        </w:trPr>
        <w:tc>
          <w:tcPr>
            <w:tcW w:w="954" w:type="dxa"/>
            <w:tcBorders>
              <w:left w:val="single" w:color="000000" w:sz="6" w:space="0"/>
            </w:tcBorders>
            <w:vAlign w:val="top"/>
          </w:tcPr>
          <w:p w14:paraId="5483292A">
            <w:pPr>
              <w:rPr>
                <w:rFonts w:ascii="Arial"/>
                <w:color w:val="auto"/>
                <w:sz w:val="21"/>
                <w:highlight w:val="none"/>
              </w:rPr>
            </w:pPr>
          </w:p>
        </w:tc>
        <w:tc>
          <w:tcPr>
            <w:tcW w:w="2564" w:type="dxa"/>
            <w:vAlign w:val="top"/>
          </w:tcPr>
          <w:p w14:paraId="5E5CC2D4">
            <w:pPr>
              <w:rPr>
                <w:rFonts w:ascii="Arial"/>
                <w:color w:val="auto"/>
                <w:sz w:val="21"/>
                <w:highlight w:val="none"/>
              </w:rPr>
            </w:pPr>
          </w:p>
        </w:tc>
        <w:tc>
          <w:tcPr>
            <w:tcW w:w="1370" w:type="dxa"/>
            <w:vAlign w:val="top"/>
          </w:tcPr>
          <w:p w14:paraId="4A827D8F">
            <w:pPr>
              <w:rPr>
                <w:rFonts w:ascii="Arial"/>
                <w:color w:val="auto"/>
                <w:sz w:val="21"/>
                <w:highlight w:val="none"/>
              </w:rPr>
            </w:pPr>
          </w:p>
        </w:tc>
        <w:tc>
          <w:tcPr>
            <w:tcW w:w="1371" w:type="dxa"/>
            <w:vAlign w:val="top"/>
          </w:tcPr>
          <w:p w14:paraId="69FFCDD5">
            <w:pPr>
              <w:rPr>
                <w:rFonts w:ascii="Arial"/>
                <w:color w:val="auto"/>
                <w:sz w:val="21"/>
                <w:highlight w:val="none"/>
              </w:rPr>
            </w:pPr>
          </w:p>
        </w:tc>
        <w:tc>
          <w:tcPr>
            <w:tcW w:w="1368" w:type="dxa"/>
            <w:vAlign w:val="top"/>
          </w:tcPr>
          <w:p w14:paraId="79D301F0">
            <w:pPr>
              <w:rPr>
                <w:rFonts w:ascii="Arial"/>
                <w:color w:val="auto"/>
                <w:sz w:val="21"/>
                <w:highlight w:val="none"/>
              </w:rPr>
            </w:pPr>
          </w:p>
        </w:tc>
        <w:tc>
          <w:tcPr>
            <w:tcW w:w="1382" w:type="dxa"/>
            <w:tcBorders>
              <w:right w:val="single" w:color="000000" w:sz="6" w:space="0"/>
            </w:tcBorders>
            <w:vAlign w:val="top"/>
          </w:tcPr>
          <w:p w14:paraId="76206510">
            <w:pPr>
              <w:rPr>
                <w:rFonts w:ascii="Arial"/>
                <w:color w:val="auto"/>
                <w:sz w:val="21"/>
                <w:highlight w:val="none"/>
              </w:rPr>
            </w:pPr>
          </w:p>
        </w:tc>
      </w:tr>
      <w:tr w14:paraId="1CF862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top"/>
          </w:tcPr>
          <w:p w14:paraId="79B34159">
            <w:pPr>
              <w:rPr>
                <w:rFonts w:ascii="Arial"/>
                <w:color w:val="auto"/>
                <w:sz w:val="21"/>
                <w:highlight w:val="none"/>
              </w:rPr>
            </w:pPr>
          </w:p>
        </w:tc>
        <w:tc>
          <w:tcPr>
            <w:tcW w:w="2564" w:type="dxa"/>
            <w:vAlign w:val="top"/>
          </w:tcPr>
          <w:p w14:paraId="65AA7761">
            <w:pPr>
              <w:rPr>
                <w:rFonts w:ascii="Arial"/>
                <w:color w:val="auto"/>
                <w:sz w:val="21"/>
                <w:highlight w:val="none"/>
              </w:rPr>
            </w:pPr>
          </w:p>
        </w:tc>
        <w:tc>
          <w:tcPr>
            <w:tcW w:w="1370" w:type="dxa"/>
            <w:vAlign w:val="top"/>
          </w:tcPr>
          <w:p w14:paraId="18BBE2C7">
            <w:pPr>
              <w:rPr>
                <w:rFonts w:ascii="Arial"/>
                <w:color w:val="auto"/>
                <w:sz w:val="21"/>
                <w:highlight w:val="none"/>
              </w:rPr>
            </w:pPr>
          </w:p>
        </w:tc>
        <w:tc>
          <w:tcPr>
            <w:tcW w:w="1371" w:type="dxa"/>
            <w:vAlign w:val="top"/>
          </w:tcPr>
          <w:p w14:paraId="3585DDED">
            <w:pPr>
              <w:rPr>
                <w:rFonts w:ascii="Arial"/>
                <w:color w:val="auto"/>
                <w:sz w:val="21"/>
                <w:highlight w:val="none"/>
              </w:rPr>
            </w:pPr>
          </w:p>
        </w:tc>
        <w:tc>
          <w:tcPr>
            <w:tcW w:w="1368" w:type="dxa"/>
            <w:vAlign w:val="top"/>
          </w:tcPr>
          <w:p w14:paraId="4C7F1F07">
            <w:pPr>
              <w:rPr>
                <w:rFonts w:ascii="Arial"/>
                <w:color w:val="auto"/>
                <w:sz w:val="21"/>
                <w:highlight w:val="none"/>
              </w:rPr>
            </w:pPr>
          </w:p>
        </w:tc>
        <w:tc>
          <w:tcPr>
            <w:tcW w:w="1382" w:type="dxa"/>
            <w:tcBorders>
              <w:right w:val="single" w:color="000000" w:sz="6" w:space="0"/>
            </w:tcBorders>
            <w:vAlign w:val="top"/>
          </w:tcPr>
          <w:p w14:paraId="2E60E09A">
            <w:pPr>
              <w:rPr>
                <w:rFonts w:ascii="Arial"/>
                <w:color w:val="auto"/>
                <w:sz w:val="21"/>
                <w:highlight w:val="none"/>
              </w:rPr>
            </w:pPr>
          </w:p>
        </w:tc>
      </w:tr>
      <w:tr w14:paraId="0248A34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6" w:hRule="atLeast"/>
        </w:trPr>
        <w:tc>
          <w:tcPr>
            <w:tcW w:w="954" w:type="dxa"/>
            <w:tcBorders>
              <w:left w:val="single" w:color="000000" w:sz="6" w:space="0"/>
            </w:tcBorders>
            <w:vAlign w:val="top"/>
          </w:tcPr>
          <w:p w14:paraId="09ADF6C3">
            <w:pPr>
              <w:rPr>
                <w:rFonts w:ascii="Arial"/>
                <w:color w:val="auto"/>
                <w:sz w:val="21"/>
                <w:highlight w:val="none"/>
              </w:rPr>
            </w:pPr>
          </w:p>
        </w:tc>
        <w:tc>
          <w:tcPr>
            <w:tcW w:w="2564" w:type="dxa"/>
            <w:vAlign w:val="top"/>
          </w:tcPr>
          <w:p w14:paraId="1A9FC4C1">
            <w:pPr>
              <w:rPr>
                <w:rFonts w:ascii="Arial"/>
                <w:color w:val="auto"/>
                <w:sz w:val="21"/>
                <w:highlight w:val="none"/>
              </w:rPr>
            </w:pPr>
          </w:p>
        </w:tc>
        <w:tc>
          <w:tcPr>
            <w:tcW w:w="1370" w:type="dxa"/>
            <w:vAlign w:val="top"/>
          </w:tcPr>
          <w:p w14:paraId="2C6D8E60">
            <w:pPr>
              <w:rPr>
                <w:rFonts w:ascii="Arial"/>
                <w:color w:val="auto"/>
                <w:sz w:val="21"/>
                <w:highlight w:val="none"/>
              </w:rPr>
            </w:pPr>
          </w:p>
        </w:tc>
        <w:tc>
          <w:tcPr>
            <w:tcW w:w="1371" w:type="dxa"/>
            <w:vAlign w:val="top"/>
          </w:tcPr>
          <w:p w14:paraId="305E49A0">
            <w:pPr>
              <w:rPr>
                <w:rFonts w:ascii="Arial"/>
                <w:color w:val="auto"/>
                <w:sz w:val="21"/>
                <w:highlight w:val="none"/>
              </w:rPr>
            </w:pPr>
          </w:p>
        </w:tc>
        <w:tc>
          <w:tcPr>
            <w:tcW w:w="1368" w:type="dxa"/>
            <w:vAlign w:val="top"/>
          </w:tcPr>
          <w:p w14:paraId="75027617">
            <w:pPr>
              <w:rPr>
                <w:rFonts w:ascii="Arial"/>
                <w:color w:val="auto"/>
                <w:sz w:val="21"/>
                <w:highlight w:val="none"/>
              </w:rPr>
            </w:pPr>
          </w:p>
        </w:tc>
        <w:tc>
          <w:tcPr>
            <w:tcW w:w="1382" w:type="dxa"/>
            <w:tcBorders>
              <w:right w:val="single" w:color="000000" w:sz="6" w:space="0"/>
            </w:tcBorders>
            <w:vAlign w:val="top"/>
          </w:tcPr>
          <w:p w14:paraId="33BE8D8E">
            <w:pPr>
              <w:rPr>
                <w:rFonts w:ascii="Arial"/>
                <w:color w:val="auto"/>
                <w:sz w:val="21"/>
                <w:highlight w:val="none"/>
              </w:rPr>
            </w:pPr>
          </w:p>
        </w:tc>
      </w:tr>
      <w:tr w14:paraId="40D8D2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8" w:hRule="atLeast"/>
        </w:trPr>
        <w:tc>
          <w:tcPr>
            <w:tcW w:w="954" w:type="dxa"/>
            <w:tcBorders>
              <w:left w:val="single" w:color="000000" w:sz="6" w:space="0"/>
            </w:tcBorders>
            <w:vAlign w:val="top"/>
          </w:tcPr>
          <w:p w14:paraId="54757212">
            <w:pPr>
              <w:rPr>
                <w:rFonts w:ascii="Arial"/>
                <w:color w:val="auto"/>
                <w:sz w:val="21"/>
                <w:highlight w:val="none"/>
              </w:rPr>
            </w:pPr>
          </w:p>
        </w:tc>
        <w:tc>
          <w:tcPr>
            <w:tcW w:w="2564" w:type="dxa"/>
            <w:vAlign w:val="top"/>
          </w:tcPr>
          <w:p w14:paraId="2F07541B">
            <w:pPr>
              <w:rPr>
                <w:rFonts w:ascii="Arial"/>
                <w:color w:val="auto"/>
                <w:sz w:val="21"/>
                <w:highlight w:val="none"/>
              </w:rPr>
            </w:pPr>
          </w:p>
        </w:tc>
        <w:tc>
          <w:tcPr>
            <w:tcW w:w="1370" w:type="dxa"/>
            <w:vAlign w:val="top"/>
          </w:tcPr>
          <w:p w14:paraId="3E884E59">
            <w:pPr>
              <w:rPr>
                <w:rFonts w:ascii="Arial"/>
                <w:color w:val="auto"/>
                <w:sz w:val="21"/>
                <w:highlight w:val="none"/>
              </w:rPr>
            </w:pPr>
          </w:p>
        </w:tc>
        <w:tc>
          <w:tcPr>
            <w:tcW w:w="1371" w:type="dxa"/>
            <w:vAlign w:val="top"/>
          </w:tcPr>
          <w:p w14:paraId="4376559C">
            <w:pPr>
              <w:rPr>
                <w:rFonts w:ascii="Arial"/>
                <w:color w:val="auto"/>
                <w:sz w:val="21"/>
                <w:highlight w:val="none"/>
              </w:rPr>
            </w:pPr>
          </w:p>
        </w:tc>
        <w:tc>
          <w:tcPr>
            <w:tcW w:w="1368" w:type="dxa"/>
            <w:vAlign w:val="top"/>
          </w:tcPr>
          <w:p w14:paraId="1FC2A610">
            <w:pPr>
              <w:rPr>
                <w:rFonts w:ascii="Arial"/>
                <w:color w:val="auto"/>
                <w:sz w:val="21"/>
                <w:highlight w:val="none"/>
              </w:rPr>
            </w:pPr>
          </w:p>
        </w:tc>
        <w:tc>
          <w:tcPr>
            <w:tcW w:w="1382" w:type="dxa"/>
            <w:tcBorders>
              <w:right w:val="single" w:color="000000" w:sz="6" w:space="0"/>
            </w:tcBorders>
            <w:vAlign w:val="top"/>
          </w:tcPr>
          <w:p w14:paraId="6B451138">
            <w:pPr>
              <w:rPr>
                <w:rFonts w:ascii="Arial"/>
                <w:color w:val="auto"/>
                <w:sz w:val="21"/>
                <w:highlight w:val="none"/>
              </w:rPr>
            </w:pPr>
          </w:p>
        </w:tc>
      </w:tr>
      <w:tr w14:paraId="04778A2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954" w:type="dxa"/>
            <w:tcBorders>
              <w:left w:val="single" w:color="000000" w:sz="6" w:space="0"/>
            </w:tcBorders>
            <w:vAlign w:val="top"/>
          </w:tcPr>
          <w:p w14:paraId="2E25AD9E">
            <w:pPr>
              <w:rPr>
                <w:rFonts w:ascii="Arial"/>
                <w:color w:val="auto"/>
                <w:sz w:val="21"/>
                <w:highlight w:val="none"/>
              </w:rPr>
            </w:pPr>
          </w:p>
        </w:tc>
        <w:tc>
          <w:tcPr>
            <w:tcW w:w="2564" w:type="dxa"/>
            <w:vAlign w:val="top"/>
          </w:tcPr>
          <w:p w14:paraId="369DC9B0">
            <w:pPr>
              <w:rPr>
                <w:rFonts w:ascii="Arial"/>
                <w:color w:val="auto"/>
                <w:sz w:val="21"/>
                <w:highlight w:val="none"/>
              </w:rPr>
            </w:pPr>
          </w:p>
        </w:tc>
        <w:tc>
          <w:tcPr>
            <w:tcW w:w="1370" w:type="dxa"/>
            <w:vAlign w:val="top"/>
          </w:tcPr>
          <w:p w14:paraId="61E6DBBF">
            <w:pPr>
              <w:rPr>
                <w:rFonts w:ascii="Arial"/>
                <w:color w:val="auto"/>
                <w:sz w:val="21"/>
                <w:highlight w:val="none"/>
              </w:rPr>
            </w:pPr>
          </w:p>
        </w:tc>
        <w:tc>
          <w:tcPr>
            <w:tcW w:w="1371" w:type="dxa"/>
            <w:vAlign w:val="top"/>
          </w:tcPr>
          <w:p w14:paraId="4E1B4B6C">
            <w:pPr>
              <w:rPr>
                <w:rFonts w:ascii="Arial"/>
                <w:color w:val="auto"/>
                <w:sz w:val="21"/>
                <w:highlight w:val="none"/>
              </w:rPr>
            </w:pPr>
          </w:p>
        </w:tc>
        <w:tc>
          <w:tcPr>
            <w:tcW w:w="1368" w:type="dxa"/>
            <w:vAlign w:val="top"/>
          </w:tcPr>
          <w:p w14:paraId="6206336A">
            <w:pPr>
              <w:rPr>
                <w:rFonts w:ascii="Arial"/>
                <w:color w:val="auto"/>
                <w:sz w:val="21"/>
                <w:highlight w:val="none"/>
              </w:rPr>
            </w:pPr>
          </w:p>
        </w:tc>
        <w:tc>
          <w:tcPr>
            <w:tcW w:w="1382" w:type="dxa"/>
            <w:tcBorders>
              <w:right w:val="single" w:color="000000" w:sz="6" w:space="0"/>
            </w:tcBorders>
            <w:vAlign w:val="top"/>
          </w:tcPr>
          <w:p w14:paraId="16662D77">
            <w:pPr>
              <w:rPr>
                <w:rFonts w:ascii="Arial"/>
                <w:color w:val="auto"/>
                <w:sz w:val="21"/>
                <w:highlight w:val="none"/>
              </w:rPr>
            </w:pPr>
          </w:p>
        </w:tc>
      </w:tr>
      <w:tr w14:paraId="005BDAB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954" w:type="dxa"/>
            <w:tcBorders>
              <w:left w:val="single" w:color="000000" w:sz="6" w:space="0"/>
            </w:tcBorders>
            <w:vAlign w:val="top"/>
          </w:tcPr>
          <w:p w14:paraId="0A46CD0C">
            <w:pPr>
              <w:rPr>
                <w:rFonts w:ascii="Arial"/>
                <w:color w:val="auto"/>
                <w:sz w:val="21"/>
                <w:highlight w:val="none"/>
              </w:rPr>
            </w:pPr>
          </w:p>
        </w:tc>
        <w:tc>
          <w:tcPr>
            <w:tcW w:w="2564" w:type="dxa"/>
            <w:vAlign w:val="top"/>
          </w:tcPr>
          <w:p w14:paraId="41132F0B">
            <w:pPr>
              <w:rPr>
                <w:rFonts w:ascii="Arial"/>
                <w:color w:val="auto"/>
                <w:sz w:val="21"/>
                <w:highlight w:val="none"/>
              </w:rPr>
            </w:pPr>
          </w:p>
        </w:tc>
        <w:tc>
          <w:tcPr>
            <w:tcW w:w="1370" w:type="dxa"/>
            <w:vAlign w:val="top"/>
          </w:tcPr>
          <w:p w14:paraId="52DB9701">
            <w:pPr>
              <w:rPr>
                <w:rFonts w:ascii="Arial"/>
                <w:color w:val="auto"/>
                <w:sz w:val="21"/>
                <w:highlight w:val="none"/>
              </w:rPr>
            </w:pPr>
          </w:p>
        </w:tc>
        <w:tc>
          <w:tcPr>
            <w:tcW w:w="1371" w:type="dxa"/>
            <w:vAlign w:val="top"/>
          </w:tcPr>
          <w:p w14:paraId="1DB824B5">
            <w:pPr>
              <w:rPr>
                <w:rFonts w:ascii="Arial"/>
                <w:color w:val="auto"/>
                <w:sz w:val="21"/>
                <w:highlight w:val="none"/>
              </w:rPr>
            </w:pPr>
          </w:p>
        </w:tc>
        <w:tc>
          <w:tcPr>
            <w:tcW w:w="1368" w:type="dxa"/>
            <w:vAlign w:val="top"/>
          </w:tcPr>
          <w:p w14:paraId="684EC092">
            <w:pPr>
              <w:rPr>
                <w:rFonts w:ascii="Arial"/>
                <w:color w:val="auto"/>
                <w:sz w:val="21"/>
                <w:highlight w:val="none"/>
              </w:rPr>
            </w:pPr>
          </w:p>
        </w:tc>
        <w:tc>
          <w:tcPr>
            <w:tcW w:w="1382" w:type="dxa"/>
            <w:tcBorders>
              <w:right w:val="single" w:color="000000" w:sz="6" w:space="0"/>
            </w:tcBorders>
            <w:vAlign w:val="top"/>
          </w:tcPr>
          <w:p w14:paraId="6C1EF387">
            <w:pPr>
              <w:rPr>
                <w:rFonts w:ascii="Arial"/>
                <w:color w:val="auto"/>
                <w:sz w:val="21"/>
                <w:highlight w:val="none"/>
              </w:rPr>
            </w:pPr>
          </w:p>
        </w:tc>
      </w:tr>
      <w:tr w14:paraId="4F4C97E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top"/>
          </w:tcPr>
          <w:p w14:paraId="61C3148C">
            <w:pPr>
              <w:spacing w:before="95" w:line="186" w:lineRule="auto"/>
              <w:ind w:left="412"/>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2</w:t>
            </w:r>
          </w:p>
        </w:tc>
        <w:tc>
          <w:tcPr>
            <w:tcW w:w="2564" w:type="dxa"/>
            <w:vAlign w:val="top"/>
          </w:tcPr>
          <w:p w14:paraId="4E921D45">
            <w:pPr>
              <w:pStyle w:val="33"/>
              <w:spacing w:before="43" w:line="219" w:lineRule="auto"/>
              <w:ind w:left="1044"/>
              <w:rPr>
                <w:color w:val="auto"/>
                <w:sz w:val="24"/>
                <w:szCs w:val="24"/>
                <w:highlight w:val="none"/>
              </w:rPr>
            </w:pPr>
            <w:r>
              <w:rPr>
                <w:color w:val="auto"/>
                <w:spacing w:val="-3"/>
                <w:sz w:val="24"/>
                <w:szCs w:val="24"/>
                <w:highlight w:val="none"/>
              </w:rPr>
              <w:t>材料</w:t>
            </w:r>
          </w:p>
        </w:tc>
        <w:tc>
          <w:tcPr>
            <w:tcW w:w="1370" w:type="dxa"/>
            <w:vAlign w:val="top"/>
          </w:tcPr>
          <w:p w14:paraId="7EF195F5">
            <w:pPr>
              <w:rPr>
                <w:rFonts w:ascii="Arial"/>
                <w:color w:val="auto"/>
                <w:sz w:val="21"/>
                <w:highlight w:val="none"/>
              </w:rPr>
            </w:pPr>
          </w:p>
        </w:tc>
        <w:tc>
          <w:tcPr>
            <w:tcW w:w="1371" w:type="dxa"/>
            <w:vAlign w:val="top"/>
          </w:tcPr>
          <w:p w14:paraId="56D5D5A0">
            <w:pPr>
              <w:rPr>
                <w:rFonts w:ascii="Arial"/>
                <w:color w:val="auto"/>
                <w:sz w:val="21"/>
                <w:highlight w:val="none"/>
              </w:rPr>
            </w:pPr>
          </w:p>
        </w:tc>
        <w:tc>
          <w:tcPr>
            <w:tcW w:w="1368" w:type="dxa"/>
            <w:vAlign w:val="top"/>
          </w:tcPr>
          <w:p w14:paraId="00B6F8DD">
            <w:pPr>
              <w:rPr>
                <w:rFonts w:ascii="Arial"/>
                <w:color w:val="auto"/>
                <w:sz w:val="21"/>
                <w:highlight w:val="none"/>
              </w:rPr>
            </w:pPr>
          </w:p>
        </w:tc>
        <w:tc>
          <w:tcPr>
            <w:tcW w:w="1382" w:type="dxa"/>
            <w:tcBorders>
              <w:right w:val="single" w:color="000000" w:sz="6" w:space="0"/>
            </w:tcBorders>
            <w:vAlign w:val="top"/>
          </w:tcPr>
          <w:p w14:paraId="6FC89750">
            <w:pPr>
              <w:rPr>
                <w:rFonts w:ascii="Arial"/>
                <w:color w:val="auto"/>
                <w:sz w:val="21"/>
                <w:highlight w:val="none"/>
              </w:rPr>
            </w:pPr>
          </w:p>
        </w:tc>
      </w:tr>
      <w:tr w14:paraId="459DC8B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5" w:hRule="atLeast"/>
        </w:trPr>
        <w:tc>
          <w:tcPr>
            <w:tcW w:w="954" w:type="dxa"/>
            <w:tcBorders>
              <w:left w:val="single" w:color="000000" w:sz="6" w:space="0"/>
            </w:tcBorders>
            <w:vAlign w:val="top"/>
          </w:tcPr>
          <w:p w14:paraId="61F5DBA3">
            <w:pPr>
              <w:rPr>
                <w:rFonts w:ascii="Arial"/>
                <w:color w:val="auto"/>
                <w:sz w:val="21"/>
                <w:highlight w:val="none"/>
              </w:rPr>
            </w:pPr>
          </w:p>
        </w:tc>
        <w:tc>
          <w:tcPr>
            <w:tcW w:w="2564" w:type="dxa"/>
            <w:vAlign w:val="top"/>
          </w:tcPr>
          <w:p w14:paraId="1F914BF3">
            <w:pPr>
              <w:rPr>
                <w:rFonts w:ascii="Arial"/>
                <w:color w:val="auto"/>
                <w:sz w:val="21"/>
                <w:highlight w:val="none"/>
              </w:rPr>
            </w:pPr>
          </w:p>
        </w:tc>
        <w:tc>
          <w:tcPr>
            <w:tcW w:w="1370" w:type="dxa"/>
            <w:vAlign w:val="top"/>
          </w:tcPr>
          <w:p w14:paraId="71B8C8C1">
            <w:pPr>
              <w:rPr>
                <w:rFonts w:ascii="Arial"/>
                <w:color w:val="auto"/>
                <w:sz w:val="21"/>
                <w:highlight w:val="none"/>
              </w:rPr>
            </w:pPr>
          </w:p>
        </w:tc>
        <w:tc>
          <w:tcPr>
            <w:tcW w:w="1371" w:type="dxa"/>
            <w:vAlign w:val="top"/>
          </w:tcPr>
          <w:p w14:paraId="68B3ECEA">
            <w:pPr>
              <w:rPr>
                <w:rFonts w:ascii="Arial"/>
                <w:color w:val="auto"/>
                <w:sz w:val="21"/>
                <w:highlight w:val="none"/>
              </w:rPr>
            </w:pPr>
          </w:p>
        </w:tc>
        <w:tc>
          <w:tcPr>
            <w:tcW w:w="1368" w:type="dxa"/>
            <w:vAlign w:val="top"/>
          </w:tcPr>
          <w:p w14:paraId="1A4C89E1">
            <w:pPr>
              <w:rPr>
                <w:rFonts w:ascii="Arial"/>
                <w:color w:val="auto"/>
                <w:sz w:val="21"/>
                <w:highlight w:val="none"/>
              </w:rPr>
            </w:pPr>
          </w:p>
        </w:tc>
        <w:tc>
          <w:tcPr>
            <w:tcW w:w="1382" w:type="dxa"/>
            <w:tcBorders>
              <w:right w:val="single" w:color="000000" w:sz="6" w:space="0"/>
            </w:tcBorders>
            <w:vAlign w:val="top"/>
          </w:tcPr>
          <w:p w14:paraId="4E85D19E">
            <w:pPr>
              <w:rPr>
                <w:rFonts w:ascii="Arial"/>
                <w:color w:val="auto"/>
                <w:sz w:val="21"/>
                <w:highlight w:val="none"/>
              </w:rPr>
            </w:pPr>
          </w:p>
        </w:tc>
      </w:tr>
      <w:tr w14:paraId="64904F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1" w:hRule="atLeast"/>
        </w:trPr>
        <w:tc>
          <w:tcPr>
            <w:tcW w:w="954" w:type="dxa"/>
            <w:tcBorders>
              <w:left w:val="single" w:color="000000" w:sz="6" w:space="0"/>
            </w:tcBorders>
            <w:vAlign w:val="top"/>
          </w:tcPr>
          <w:p w14:paraId="658C9FB3">
            <w:pPr>
              <w:rPr>
                <w:rFonts w:ascii="Arial"/>
                <w:color w:val="auto"/>
                <w:sz w:val="21"/>
                <w:highlight w:val="none"/>
              </w:rPr>
            </w:pPr>
          </w:p>
        </w:tc>
        <w:tc>
          <w:tcPr>
            <w:tcW w:w="2564" w:type="dxa"/>
            <w:vAlign w:val="top"/>
          </w:tcPr>
          <w:p w14:paraId="58A95EA5">
            <w:pPr>
              <w:rPr>
                <w:rFonts w:ascii="Arial"/>
                <w:color w:val="auto"/>
                <w:sz w:val="21"/>
                <w:highlight w:val="none"/>
              </w:rPr>
            </w:pPr>
          </w:p>
        </w:tc>
        <w:tc>
          <w:tcPr>
            <w:tcW w:w="1370" w:type="dxa"/>
            <w:vAlign w:val="top"/>
          </w:tcPr>
          <w:p w14:paraId="33AB2953">
            <w:pPr>
              <w:rPr>
                <w:rFonts w:ascii="Arial"/>
                <w:color w:val="auto"/>
                <w:sz w:val="21"/>
                <w:highlight w:val="none"/>
              </w:rPr>
            </w:pPr>
          </w:p>
        </w:tc>
        <w:tc>
          <w:tcPr>
            <w:tcW w:w="1371" w:type="dxa"/>
            <w:vAlign w:val="top"/>
          </w:tcPr>
          <w:p w14:paraId="68A80C5D">
            <w:pPr>
              <w:rPr>
                <w:rFonts w:ascii="Arial"/>
                <w:color w:val="auto"/>
                <w:sz w:val="21"/>
                <w:highlight w:val="none"/>
              </w:rPr>
            </w:pPr>
          </w:p>
        </w:tc>
        <w:tc>
          <w:tcPr>
            <w:tcW w:w="1368" w:type="dxa"/>
            <w:vAlign w:val="top"/>
          </w:tcPr>
          <w:p w14:paraId="332EA5C8">
            <w:pPr>
              <w:rPr>
                <w:rFonts w:ascii="Arial"/>
                <w:color w:val="auto"/>
                <w:sz w:val="21"/>
                <w:highlight w:val="none"/>
              </w:rPr>
            </w:pPr>
          </w:p>
        </w:tc>
        <w:tc>
          <w:tcPr>
            <w:tcW w:w="1382" w:type="dxa"/>
            <w:tcBorders>
              <w:right w:val="single" w:color="000000" w:sz="6" w:space="0"/>
            </w:tcBorders>
            <w:vAlign w:val="top"/>
          </w:tcPr>
          <w:p w14:paraId="095828E0">
            <w:pPr>
              <w:rPr>
                <w:rFonts w:ascii="Arial"/>
                <w:color w:val="auto"/>
                <w:sz w:val="21"/>
                <w:highlight w:val="none"/>
              </w:rPr>
            </w:pPr>
          </w:p>
        </w:tc>
      </w:tr>
      <w:tr w14:paraId="73EBA7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1" w:hRule="atLeast"/>
        </w:trPr>
        <w:tc>
          <w:tcPr>
            <w:tcW w:w="954" w:type="dxa"/>
            <w:tcBorders>
              <w:left w:val="single" w:color="000000" w:sz="6" w:space="0"/>
            </w:tcBorders>
            <w:vAlign w:val="top"/>
          </w:tcPr>
          <w:p w14:paraId="2120EC05">
            <w:pPr>
              <w:rPr>
                <w:rFonts w:ascii="Arial"/>
                <w:color w:val="auto"/>
                <w:sz w:val="21"/>
                <w:highlight w:val="none"/>
              </w:rPr>
            </w:pPr>
          </w:p>
        </w:tc>
        <w:tc>
          <w:tcPr>
            <w:tcW w:w="2564" w:type="dxa"/>
            <w:vAlign w:val="top"/>
          </w:tcPr>
          <w:p w14:paraId="694516D5">
            <w:pPr>
              <w:rPr>
                <w:rFonts w:ascii="Arial"/>
                <w:color w:val="auto"/>
                <w:sz w:val="21"/>
                <w:highlight w:val="none"/>
              </w:rPr>
            </w:pPr>
          </w:p>
        </w:tc>
        <w:tc>
          <w:tcPr>
            <w:tcW w:w="1370" w:type="dxa"/>
            <w:vAlign w:val="top"/>
          </w:tcPr>
          <w:p w14:paraId="1430CC2A">
            <w:pPr>
              <w:rPr>
                <w:rFonts w:ascii="Arial"/>
                <w:color w:val="auto"/>
                <w:sz w:val="21"/>
                <w:highlight w:val="none"/>
              </w:rPr>
            </w:pPr>
          </w:p>
        </w:tc>
        <w:tc>
          <w:tcPr>
            <w:tcW w:w="1371" w:type="dxa"/>
            <w:vAlign w:val="top"/>
          </w:tcPr>
          <w:p w14:paraId="2EF0155B">
            <w:pPr>
              <w:rPr>
                <w:rFonts w:ascii="Arial"/>
                <w:color w:val="auto"/>
                <w:sz w:val="21"/>
                <w:highlight w:val="none"/>
              </w:rPr>
            </w:pPr>
          </w:p>
        </w:tc>
        <w:tc>
          <w:tcPr>
            <w:tcW w:w="1368" w:type="dxa"/>
            <w:vAlign w:val="top"/>
          </w:tcPr>
          <w:p w14:paraId="25E44CCD">
            <w:pPr>
              <w:rPr>
                <w:rFonts w:ascii="Arial"/>
                <w:color w:val="auto"/>
                <w:sz w:val="21"/>
                <w:highlight w:val="none"/>
              </w:rPr>
            </w:pPr>
          </w:p>
        </w:tc>
        <w:tc>
          <w:tcPr>
            <w:tcW w:w="1382" w:type="dxa"/>
            <w:tcBorders>
              <w:right w:val="single" w:color="000000" w:sz="6" w:space="0"/>
            </w:tcBorders>
            <w:vAlign w:val="top"/>
          </w:tcPr>
          <w:p w14:paraId="46BC7FCB">
            <w:pPr>
              <w:rPr>
                <w:rFonts w:ascii="Arial"/>
                <w:color w:val="auto"/>
                <w:sz w:val="21"/>
                <w:highlight w:val="none"/>
              </w:rPr>
            </w:pPr>
          </w:p>
        </w:tc>
      </w:tr>
      <w:tr w14:paraId="6ABA43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954" w:type="dxa"/>
            <w:tcBorders>
              <w:left w:val="single" w:color="000000" w:sz="6" w:space="0"/>
            </w:tcBorders>
            <w:vAlign w:val="top"/>
          </w:tcPr>
          <w:p w14:paraId="4BCD1C7E">
            <w:pPr>
              <w:rPr>
                <w:rFonts w:ascii="Arial"/>
                <w:color w:val="auto"/>
                <w:sz w:val="21"/>
                <w:highlight w:val="none"/>
              </w:rPr>
            </w:pPr>
          </w:p>
        </w:tc>
        <w:tc>
          <w:tcPr>
            <w:tcW w:w="2564" w:type="dxa"/>
            <w:vAlign w:val="top"/>
          </w:tcPr>
          <w:p w14:paraId="656384EE">
            <w:pPr>
              <w:rPr>
                <w:rFonts w:ascii="Arial"/>
                <w:color w:val="auto"/>
                <w:sz w:val="21"/>
                <w:highlight w:val="none"/>
              </w:rPr>
            </w:pPr>
          </w:p>
        </w:tc>
        <w:tc>
          <w:tcPr>
            <w:tcW w:w="1370" w:type="dxa"/>
            <w:vAlign w:val="top"/>
          </w:tcPr>
          <w:p w14:paraId="03300945">
            <w:pPr>
              <w:rPr>
                <w:rFonts w:ascii="Arial"/>
                <w:color w:val="auto"/>
                <w:sz w:val="21"/>
                <w:highlight w:val="none"/>
              </w:rPr>
            </w:pPr>
          </w:p>
        </w:tc>
        <w:tc>
          <w:tcPr>
            <w:tcW w:w="1371" w:type="dxa"/>
            <w:vAlign w:val="top"/>
          </w:tcPr>
          <w:p w14:paraId="66DAF1FD">
            <w:pPr>
              <w:rPr>
                <w:rFonts w:ascii="Arial"/>
                <w:color w:val="auto"/>
                <w:sz w:val="21"/>
                <w:highlight w:val="none"/>
              </w:rPr>
            </w:pPr>
          </w:p>
        </w:tc>
        <w:tc>
          <w:tcPr>
            <w:tcW w:w="1368" w:type="dxa"/>
            <w:vAlign w:val="top"/>
          </w:tcPr>
          <w:p w14:paraId="3508117F">
            <w:pPr>
              <w:rPr>
                <w:rFonts w:ascii="Arial"/>
                <w:color w:val="auto"/>
                <w:sz w:val="21"/>
                <w:highlight w:val="none"/>
              </w:rPr>
            </w:pPr>
          </w:p>
        </w:tc>
        <w:tc>
          <w:tcPr>
            <w:tcW w:w="1382" w:type="dxa"/>
            <w:tcBorders>
              <w:right w:val="single" w:color="000000" w:sz="6" w:space="0"/>
            </w:tcBorders>
            <w:vAlign w:val="top"/>
          </w:tcPr>
          <w:p w14:paraId="494BA001">
            <w:pPr>
              <w:rPr>
                <w:rFonts w:ascii="Arial"/>
                <w:color w:val="auto"/>
                <w:sz w:val="21"/>
                <w:highlight w:val="none"/>
              </w:rPr>
            </w:pPr>
          </w:p>
        </w:tc>
      </w:tr>
      <w:tr w14:paraId="449130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9" w:hRule="atLeast"/>
        </w:trPr>
        <w:tc>
          <w:tcPr>
            <w:tcW w:w="954" w:type="dxa"/>
            <w:tcBorders>
              <w:left w:val="single" w:color="000000" w:sz="6" w:space="0"/>
            </w:tcBorders>
            <w:vAlign w:val="top"/>
          </w:tcPr>
          <w:p w14:paraId="59028C2E">
            <w:pPr>
              <w:rPr>
                <w:rFonts w:ascii="Arial"/>
                <w:color w:val="auto"/>
                <w:sz w:val="21"/>
                <w:highlight w:val="none"/>
              </w:rPr>
            </w:pPr>
          </w:p>
        </w:tc>
        <w:tc>
          <w:tcPr>
            <w:tcW w:w="2564" w:type="dxa"/>
            <w:vAlign w:val="top"/>
          </w:tcPr>
          <w:p w14:paraId="3D7E089F">
            <w:pPr>
              <w:rPr>
                <w:rFonts w:ascii="Arial"/>
                <w:color w:val="auto"/>
                <w:sz w:val="21"/>
                <w:highlight w:val="none"/>
              </w:rPr>
            </w:pPr>
          </w:p>
        </w:tc>
        <w:tc>
          <w:tcPr>
            <w:tcW w:w="1370" w:type="dxa"/>
            <w:vAlign w:val="top"/>
          </w:tcPr>
          <w:p w14:paraId="253A4A48">
            <w:pPr>
              <w:rPr>
                <w:rFonts w:ascii="Arial"/>
                <w:color w:val="auto"/>
                <w:sz w:val="21"/>
                <w:highlight w:val="none"/>
              </w:rPr>
            </w:pPr>
          </w:p>
        </w:tc>
        <w:tc>
          <w:tcPr>
            <w:tcW w:w="1371" w:type="dxa"/>
            <w:vAlign w:val="top"/>
          </w:tcPr>
          <w:p w14:paraId="724693D9">
            <w:pPr>
              <w:rPr>
                <w:rFonts w:ascii="Arial"/>
                <w:color w:val="auto"/>
                <w:sz w:val="21"/>
                <w:highlight w:val="none"/>
              </w:rPr>
            </w:pPr>
          </w:p>
        </w:tc>
        <w:tc>
          <w:tcPr>
            <w:tcW w:w="1368" w:type="dxa"/>
            <w:vAlign w:val="top"/>
          </w:tcPr>
          <w:p w14:paraId="66AD075D">
            <w:pPr>
              <w:rPr>
                <w:rFonts w:ascii="Arial"/>
                <w:color w:val="auto"/>
                <w:sz w:val="21"/>
                <w:highlight w:val="none"/>
              </w:rPr>
            </w:pPr>
          </w:p>
        </w:tc>
        <w:tc>
          <w:tcPr>
            <w:tcW w:w="1382" w:type="dxa"/>
            <w:tcBorders>
              <w:right w:val="single" w:color="000000" w:sz="6" w:space="0"/>
            </w:tcBorders>
            <w:vAlign w:val="top"/>
          </w:tcPr>
          <w:p w14:paraId="06563E6E">
            <w:pPr>
              <w:rPr>
                <w:rFonts w:ascii="Arial"/>
                <w:color w:val="auto"/>
                <w:sz w:val="21"/>
                <w:highlight w:val="none"/>
              </w:rPr>
            </w:pPr>
          </w:p>
        </w:tc>
      </w:tr>
      <w:tr w14:paraId="4C202F8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0" w:hRule="atLeast"/>
        </w:trPr>
        <w:tc>
          <w:tcPr>
            <w:tcW w:w="954" w:type="dxa"/>
            <w:tcBorders>
              <w:left w:val="single" w:color="000000" w:sz="6" w:space="0"/>
            </w:tcBorders>
            <w:vAlign w:val="top"/>
          </w:tcPr>
          <w:p w14:paraId="4C6A9731">
            <w:pPr>
              <w:rPr>
                <w:rFonts w:ascii="Arial"/>
                <w:color w:val="auto"/>
                <w:sz w:val="21"/>
                <w:highlight w:val="none"/>
              </w:rPr>
            </w:pPr>
          </w:p>
        </w:tc>
        <w:tc>
          <w:tcPr>
            <w:tcW w:w="2564" w:type="dxa"/>
            <w:vAlign w:val="top"/>
          </w:tcPr>
          <w:p w14:paraId="57808EE8">
            <w:pPr>
              <w:rPr>
                <w:rFonts w:ascii="Arial"/>
                <w:color w:val="auto"/>
                <w:sz w:val="21"/>
                <w:highlight w:val="none"/>
              </w:rPr>
            </w:pPr>
          </w:p>
        </w:tc>
        <w:tc>
          <w:tcPr>
            <w:tcW w:w="1370" w:type="dxa"/>
            <w:vAlign w:val="top"/>
          </w:tcPr>
          <w:p w14:paraId="491DB94A">
            <w:pPr>
              <w:rPr>
                <w:rFonts w:ascii="Arial"/>
                <w:color w:val="auto"/>
                <w:sz w:val="21"/>
                <w:highlight w:val="none"/>
              </w:rPr>
            </w:pPr>
          </w:p>
        </w:tc>
        <w:tc>
          <w:tcPr>
            <w:tcW w:w="1371" w:type="dxa"/>
            <w:vAlign w:val="top"/>
          </w:tcPr>
          <w:p w14:paraId="7A9A16AD">
            <w:pPr>
              <w:rPr>
                <w:rFonts w:ascii="Arial"/>
                <w:color w:val="auto"/>
                <w:sz w:val="21"/>
                <w:highlight w:val="none"/>
              </w:rPr>
            </w:pPr>
          </w:p>
        </w:tc>
        <w:tc>
          <w:tcPr>
            <w:tcW w:w="1368" w:type="dxa"/>
            <w:vAlign w:val="top"/>
          </w:tcPr>
          <w:p w14:paraId="4F04072A">
            <w:pPr>
              <w:rPr>
                <w:rFonts w:ascii="Arial"/>
                <w:color w:val="auto"/>
                <w:sz w:val="21"/>
                <w:highlight w:val="none"/>
              </w:rPr>
            </w:pPr>
          </w:p>
        </w:tc>
        <w:tc>
          <w:tcPr>
            <w:tcW w:w="1382" w:type="dxa"/>
            <w:tcBorders>
              <w:right w:val="single" w:color="000000" w:sz="6" w:space="0"/>
            </w:tcBorders>
            <w:vAlign w:val="top"/>
          </w:tcPr>
          <w:p w14:paraId="48173A9C">
            <w:pPr>
              <w:rPr>
                <w:rFonts w:ascii="Arial"/>
                <w:color w:val="auto"/>
                <w:sz w:val="21"/>
                <w:highlight w:val="none"/>
              </w:rPr>
            </w:pPr>
          </w:p>
        </w:tc>
      </w:tr>
      <w:tr w14:paraId="24060DA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2" w:hRule="atLeast"/>
        </w:trPr>
        <w:tc>
          <w:tcPr>
            <w:tcW w:w="954" w:type="dxa"/>
            <w:tcBorders>
              <w:left w:val="single" w:color="000000" w:sz="6" w:space="0"/>
            </w:tcBorders>
            <w:vAlign w:val="top"/>
          </w:tcPr>
          <w:p w14:paraId="04A993DE">
            <w:pPr>
              <w:spacing w:before="97" w:line="186" w:lineRule="auto"/>
              <w:ind w:left="417"/>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z w:val="24"/>
                <w:szCs w:val="24"/>
                <w:highlight w:val="none"/>
              </w:rPr>
              <w:t>3</w:t>
            </w:r>
          </w:p>
        </w:tc>
        <w:tc>
          <w:tcPr>
            <w:tcW w:w="2564" w:type="dxa"/>
            <w:vAlign w:val="top"/>
          </w:tcPr>
          <w:p w14:paraId="3869BF20">
            <w:pPr>
              <w:pStyle w:val="33"/>
              <w:spacing w:before="45" w:line="219" w:lineRule="auto"/>
              <w:ind w:left="1043"/>
              <w:rPr>
                <w:color w:val="auto"/>
                <w:sz w:val="24"/>
                <w:szCs w:val="24"/>
                <w:highlight w:val="none"/>
              </w:rPr>
            </w:pPr>
            <w:r>
              <w:rPr>
                <w:color w:val="auto"/>
                <w:spacing w:val="-3"/>
                <w:sz w:val="24"/>
                <w:szCs w:val="24"/>
                <w:highlight w:val="none"/>
              </w:rPr>
              <w:t>机械</w:t>
            </w:r>
          </w:p>
        </w:tc>
        <w:tc>
          <w:tcPr>
            <w:tcW w:w="1370" w:type="dxa"/>
            <w:vAlign w:val="top"/>
          </w:tcPr>
          <w:p w14:paraId="5E9FDF9E">
            <w:pPr>
              <w:rPr>
                <w:rFonts w:ascii="Arial"/>
                <w:color w:val="auto"/>
                <w:sz w:val="21"/>
                <w:highlight w:val="none"/>
              </w:rPr>
            </w:pPr>
          </w:p>
        </w:tc>
        <w:tc>
          <w:tcPr>
            <w:tcW w:w="1371" w:type="dxa"/>
            <w:vAlign w:val="top"/>
          </w:tcPr>
          <w:p w14:paraId="1A39D686">
            <w:pPr>
              <w:rPr>
                <w:rFonts w:ascii="Arial"/>
                <w:color w:val="auto"/>
                <w:sz w:val="21"/>
                <w:highlight w:val="none"/>
              </w:rPr>
            </w:pPr>
          </w:p>
        </w:tc>
        <w:tc>
          <w:tcPr>
            <w:tcW w:w="1368" w:type="dxa"/>
            <w:vAlign w:val="top"/>
          </w:tcPr>
          <w:p w14:paraId="6C7F2510">
            <w:pPr>
              <w:rPr>
                <w:rFonts w:ascii="Arial"/>
                <w:color w:val="auto"/>
                <w:sz w:val="21"/>
                <w:highlight w:val="none"/>
              </w:rPr>
            </w:pPr>
          </w:p>
        </w:tc>
        <w:tc>
          <w:tcPr>
            <w:tcW w:w="1382" w:type="dxa"/>
            <w:tcBorders>
              <w:right w:val="single" w:color="000000" w:sz="6" w:space="0"/>
            </w:tcBorders>
            <w:vAlign w:val="top"/>
          </w:tcPr>
          <w:p w14:paraId="67EC28AA">
            <w:pPr>
              <w:rPr>
                <w:rFonts w:ascii="Arial"/>
                <w:color w:val="auto"/>
                <w:sz w:val="21"/>
                <w:highlight w:val="none"/>
              </w:rPr>
            </w:pPr>
          </w:p>
        </w:tc>
      </w:tr>
      <w:tr w14:paraId="7747F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27" w:hRule="atLeast"/>
        </w:trPr>
        <w:tc>
          <w:tcPr>
            <w:tcW w:w="954" w:type="dxa"/>
            <w:tcBorders>
              <w:left w:val="single" w:color="000000" w:sz="6" w:space="0"/>
            </w:tcBorders>
            <w:vAlign w:val="top"/>
          </w:tcPr>
          <w:p w14:paraId="1F3B6112">
            <w:pPr>
              <w:rPr>
                <w:rFonts w:ascii="Arial"/>
                <w:color w:val="auto"/>
                <w:sz w:val="21"/>
                <w:highlight w:val="none"/>
              </w:rPr>
            </w:pPr>
          </w:p>
        </w:tc>
        <w:tc>
          <w:tcPr>
            <w:tcW w:w="2564" w:type="dxa"/>
            <w:vAlign w:val="top"/>
          </w:tcPr>
          <w:p w14:paraId="12EFBA96">
            <w:pPr>
              <w:rPr>
                <w:rFonts w:ascii="Arial"/>
                <w:color w:val="auto"/>
                <w:sz w:val="21"/>
                <w:highlight w:val="none"/>
              </w:rPr>
            </w:pPr>
          </w:p>
        </w:tc>
        <w:tc>
          <w:tcPr>
            <w:tcW w:w="1370" w:type="dxa"/>
            <w:vAlign w:val="top"/>
          </w:tcPr>
          <w:p w14:paraId="45F18FB2">
            <w:pPr>
              <w:rPr>
                <w:rFonts w:ascii="Arial"/>
                <w:color w:val="auto"/>
                <w:sz w:val="21"/>
                <w:highlight w:val="none"/>
              </w:rPr>
            </w:pPr>
          </w:p>
        </w:tc>
        <w:tc>
          <w:tcPr>
            <w:tcW w:w="1371" w:type="dxa"/>
            <w:vAlign w:val="top"/>
          </w:tcPr>
          <w:p w14:paraId="14F72012">
            <w:pPr>
              <w:rPr>
                <w:rFonts w:ascii="Arial"/>
                <w:color w:val="auto"/>
                <w:sz w:val="21"/>
                <w:highlight w:val="none"/>
              </w:rPr>
            </w:pPr>
          </w:p>
        </w:tc>
        <w:tc>
          <w:tcPr>
            <w:tcW w:w="1368" w:type="dxa"/>
            <w:vAlign w:val="top"/>
          </w:tcPr>
          <w:p w14:paraId="2DA74A0D">
            <w:pPr>
              <w:rPr>
                <w:rFonts w:ascii="Arial"/>
                <w:color w:val="auto"/>
                <w:sz w:val="21"/>
                <w:highlight w:val="none"/>
              </w:rPr>
            </w:pPr>
          </w:p>
        </w:tc>
        <w:tc>
          <w:tcPr>
            <w:tcW w:w="1382" w:type="dxa"/>
            <w:tcBorders>
              <w:right w:val="single" w:color="000000" w:sz="6" w:space="0"/>
            </w:tcBorders>
            <w:vAlign w:val="top"/>
          </w:tcPr>
          <w:p w14:paraId="78C34DBD">
            <w:pPr>
              <w:rPr>
                <w:rFonts w:ascii="Arial"/>
                <w:color w:val="auto"/>
                <w:sz w:val="21"/>
                <w:highlight w:val="none"/>
              </w:rPr>
            </w:pPr>
          </w:p>
        </w:tc>
      </w:tr>
      <w:tr w14:paraId="3B45A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954" w:type="dxa"/>
            <w:tcBorders>
              <w:left w:val="single" w:color="000000" w:sz="6" w:space="0"/>
            </w:tcBorders>
            <w:vAlign w:val="top"/>
          </w:tcPr>
          <w:p w14:paraId="2BDC331F">
            <w:pPr>
              <w:rPr>
                <w:rFonts w:ascii="Arial"/>
                <w:color w:val="auto"/>
                <w:sz w:val="21"/>
                <w:highlight w:val="none"/>
              </w:rPr>
            </w:pPr>
          </w:p>
        </w:tc>
        <w:tc>
          <w:tcPr>
            <w:tcW w:w="2564" w:type="dxa"/>
            <w:vAlign w:val="top"/>
          </w:tcPr>
          <w:p w14:paraId="0DBCF32A">
            <w:pPr>
              <w:rPr>
                <w:rFonts w:ascii="Arial"/>
                <w:color w:val="auto"/>
                <w:sz w:val="21"/>
                <w:highlight w:val="none"/>
              </w:rPr>
            </w:pPr>
          </w:p>
        </w:tc>
        <w:tc>
          <w:tcPr>
            <w:tcW w:w="1370" w:type="dxa"/>
            <w:vAlign w:val="top"/>
          </w:tcPr>
          <w:p w14:paraId="3A4FDAF8">
            <w:pPr>
              <w:rPr>
                <w:rFonts w:ascii="Arial"/>
                <w:color w:val="auto"/>
                <w:sz w:val="21"/>
                <w:highlight w:val="none"/>
              </w:rPr>
            </w:pPr>
          </w:p>
        </w:tc>
        <w:tc>
          <w:tcPr>
            <w:tcW w:w="1371" w:type="dxa"/>
            <w:vAlign w:val="top"/>
          </w:tcPr>
          <w:p w14:paraId="45B0EB38">
            <w:pPr>
              <w:rPr>
                <w:rFonts w:ascii="Arial"/>
                <w:color w:val="auto"/>
                <w:sz w:val="21"/>
                <w:highlight w:val="none"/>
              </w:rPr>
            </w:pPr>
          </w:p>
        </w:tc>
        <w:tc>
          <w:tcPr>
            <w:tcW w:w="1368" w:type="dxa"/>
            <w:vAlign w:val="top"/>
          </w:tcPr>
          <w:p w14:paraId="5A1FF264">
            <w:pPr>
              <w:rPr>
                <w:rFonts w:ascii="Arial"/>
                <w:color w:val="auto"/>
                <w:sz w:val="21"/>
                <w:highlight w:val="none"/>
              </w:rPr>
            </w:pPr>
          </w:p>
        </w:tc>
        <w:tc>
          <w:tcPr>
            <w:tcW w:w="1382" w:type="dxa"/>
            <w:tcBorders>
              <w:right w:val="single" w:color="000000" w:sz="6" w:space="0"/>
            </w:tcBorders>
            <w:vAlign w:val="top"/>
          </w:tcPr>
          <w:p w14:paraId="166F39FB">
            <w:pPr>
              <w:rPr>
                <w:rFonts w:ascii="Arial"/>
                <w:color w:val="auto"/>
                <w:sz w:val="21"/>
                <w:highlight w:val="none"/>
              </w:rPr>
            </w:pPr>
          </w:p>
        </w:tc>
      </w:tr>
      <w:tr w14:paraId="6A80C9A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9" w:hRule="atLeast"/>
        </w:trPr>
        <w:tc>
          <w:tcPr>
            <w:tcW w:w="954" w:type="dxa"/>
            <w:tcBorders>
              <w:left w:val="single" w:color="000000" w:sz="6" w:space="0"/>
            </w:tcBorders>
            <w:vAlign w:val="top"/>
          </w:tcPr>
          <w:p w14:paraId="417DC20B">
            <w:pPr>
              <w:rPr>
                <w:rFonts w:ascii="Arial"/>
                <w:color w:val="auto"/>
                <w:sz w:val="21"/>
                <w:highlight w:val="none"/>
              </w:rPr>
            </w:pPr>
          </w:p>
        </w:tc>
        <w:tc>
          <w:tcPr>
            <w:tcW w:w="2564" w:type="dxa"/>
            <w:vAlign w:val="top"/>
          </w:tcPr>
          <w:p w14:paraId="5DC0E1C3">
            <w:pPr>
              <w:rPr>
                <w:rFonts w:ascii="Arial"/>
                <w:color w:val="auto"/>
                <w:sz w:val="21"/>
                <w:highlight w:val="none"/>
              </w:rPr>
            </w:pPr>
          </w:p>
        </w:tc>
        <w:tc>
          <w:tcPr>
            <w:tcW w:w="1370" w:type="dxa"/>
            <w:vAlign w:val="top"/>
          </w:tcPr>
          <w:p w14:paraId="5E853E76">
            <w:pPr>
              <w:rPr>
                <w:rFonts w:ascii="Arial"/>
                <w:color w:val="auto"/>
                <w:sz w:val="21"/>
                <w:highlight w:val="none"/>
              </w:rPr>
            </w:pPr>
          </w:p>
        </w:tc>
        <w:tc>
          <w:tcPr>
            <w:tcW w:w="1371" w:type="dxa"/>
            <w:vAlign w:val="top"/>
          </w:tcPr>
          <w:p w14:paraId="3EA3AA49">
            <w:pPr>
              <w:rPr>
                <w:rFonts w:ascii="Arial"/>
                <w:color w:val="auto"/>
                <w:sz w:val="21"/>
                <w:highlight w:val="none"/>
              </w:rPr>
            </w:pPr>
          </w:p>
        </w:tc>
        <w:tc>
          <w:tcPr>
            <w:tcW w:w="1368" w:type="dxa"/>
            <w:vAlign w:val="top"/>
          </w:tcPr>
          <w:p w14:paraId="11E21E35">
            <w:pPr>
              <w:rPr>
                <w:rFonts w:ascii="Arial"/>
                <w:color w:val="auto"/>
                <w:sz w:val="21"/>
                <w:highlight w:val="none"/>
              </w:rPr>
            </w:pPr>
          </w:p>
        </w:tc>
        <w:tc>
          <w:tcPr>
            <w:tcW w:w="1382" w:type="dxa"/>
            <w:tcBorders>
              <w:right w:val="single" w:color="000000" w:sz="6" w:space="0"/>
            </w:tcBorders>
            <w:vAlign w:val="top"/>
          </w:tcPr>
          <w:p w14:paraId="04F1518C">
            <w:pPr>
              <w:rPr>
                <w:rFonts w:ascii="Arial"/>
                <w:color w:val="auto"/>
                <w:sz w:val="21"/>
                <w:highlight w:val="none"/>
              </w:rPr>
            </w:pPr>
          </w:p>
        </w:tc>
      </w:tr>
      <w:tr w14:paraId="65DC574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54" w:type="dxa"/>
            <w:tcBorders>
              <w:left w:val="single" w:color="000000" w:sz="6" w:space="0"/>
            </w:tcBorders>
            <w:vAlign w:val="top"/>
          </w:tcPr>
          <w:p w14:paraId="16B735DE">
            <w:pPr>
              <w:rPr>
                <w:rFonts w:ascii="Arial"/>
                <w:color w:val="auto"/>
                <w:sz w:val="21"/>
                <w:highlight w:val="none"/>
              </w:rPr>
            </w:pPr>
          </w:p>
        </w:tc>
        <w:tc>
          <w:tcPr>
            <w:tcW w:w="2564" w:type="dxa"/>
            <w:vAlign w:val="top"/>
          </w:tcPr>
          <w:p w14:paraId="205F5390">
            <w:pPr>
              <w:rPr>
                <w:rFonts w:ascii="Arial"/>
                <w:color w:val="auto"/>
                <w:sz w:val="21"/>
                <w:highlight w:val="none"/>
              </w:rPr>
            </w:pPr>
          </w:p>
        </w:tc>
        <w:tc>
          <w:tcPr>
            <w:tcW w:w="1370" w:type="dxa"/>
            <w:vAlign w:val="top"/>
          </w:tcPr>
          <w:p w14:paraId="329307F7">
            <w:pPr>
              <w:rPr>
                <w:rFonts w:ascii="Arial"/>
                <w:color w:val="auto"/>
                <w:sz w:val="21"/>
                <w:highlight w:val="none"/>
              </w:rPr>
            </w:pPr>
          </w:p>
        </w:tc>
        <w:tc>
          <w:tcPr>
            <w:tcW w:w="1371" w:type="dxa"/>
            <w:vAlign w:val="top"/>
          </w:tcPr>
          <w:p w14:paraId="11EC77FE">
            <w:pPr>
              <w:rPr>
                <w:rFonts w:ascii="Arial"/>
                <w:color w:val="auto"/>
                <w:sz w:val="21"/>
                <w:highlight w:val="none"/>
              </w:rPr>
            </w:pPr>
          </w:p>
        </w:tc>
        <w:tc>
          <w:tcPr>
            <w:tcW w:w="1368" w:type="dxa"/>
            <w:vAlign w:val="top"/>
          </w:tcPr>
          <w:p w14:paraId="3E29166B">
            <w:pPr>
              <w:rPr>
                <w:rFonts w:ascii="Arial"/>
                <w:color w:val="auto"/>
                <w:sz w:val="21"/>
                <w:highlight w:val="none"/>
              </w:rPr>
            </w:pPr>
          </w:p>
        </w:tc>
        <w:tc>
          <w:tcPr>
            <w:tcW w:w="1382" w:type="dxa"/>
            <w:tcBorders>
              <w:right w:val="single" w:color="000000" w:sz="6" w:space="0"/>
            </w:tcBorders>
            <w:vAlign w:val="top"/>
          </w:tcPr>
          <w:p w14:paraId="3AC5A609">
            <w:pPr>
              <w:rPr>
                <w:rFonts w:ascii="Arial"/>
                <w:color w:val="auto"/>
                <w:sz w:val="21"/>
                <w:highlight w:val="none"/>
              </w:rPr>
            </w:pPr>
          </w:p>
        </w:tc>
      </w:tr>
      <w:tr w14:paraId="3FD74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2" w:hRule="atLeast"/>
        </w:trPr>
        <w:tc>
          <w:tcPr>
            <w:tcW w:w="954" w:type="dxa"/>
            <w:tcBorders>
              <w:left w:val="single" w:color="000000" w:sz="6" w:space="0"/>
            </w:tcBorders>
            <w:vAlign w:val="top"/>
          </w:tcPr>
          <w:p w14:paraId="50A5029A">
            <w:pPr>
              <w:rPr>
                <w:rFonts w:ascii="Arial"/>
                <w:color w:val="auto"/>
                <w:sz w:val="21"/>
                <w:highlight w:val="none"/>
              </w:rPr>
            </w:pPr>
          </w:p>
        </w:tc>
        <w:tc>
          <w:tcPr>
            <w:tcW w:w="2564" w:type="dxa"/>
            <w:vAlign w:val="top"/>
          </w:tcPr>
          <w:p w14:paraId="772E2B9C">
            <w:pPr>
              <w:rPr>
                <w:rFonts w:ascii="Arial"/>
                <w:color w:val="auto"/>
                <w:sz w:val="21"/>
                <w:highlight w:val="none"/>
              </w:rPr>
            </w:pPr>
          </w:p>
        </w:tc>
        <w:tc>
          <w:tcPr>
            <w:tcW w:w="1370" w:type="dxa"/>
            <w:vAlign w:val="top"/>
          </w:tcPr>
          <w:p w14:paraId="2A0AB4AF">
            <w:pPr>
              <w:rPr>
                <w:rFonts w:ascii="Arial"/>
                <w:color w:val="auto"/>
                <w:sz w:val="21"/>
                <w:highlight w:val="none"/>
              </w:rPr>
            </w:pPr>
          </w:p>
        </w:tc>
        <w:tc>
          <w:tcPr>
            <w:tcW w:w="1371" w:type="dxa"/>
            <w:vAlign w:val="top"/>
          </w:tcPr>
          <w:p w14:paraId="73C74D7F">
            <w:pPr>
              <w:rPr>
                <w:rFonts w:ascii="Arial"/>
                <w:color w:val="auto"/>
                <w:sz w:val="21"/>
                <w:highlight w:val="none"/>
              </w:rPr>
            </w:pPr>
          </w:p>
        </w:tc>
        <w:tc>
          <w:tcPr>
            <w:tcW w:w="1368" w:type="dxa"/>
            <w:vAlign w:val="top"/>
          </w:tcPr>
          <w:p w14:paraId="5A5B1D96">
            <w:pPr>
              <w:rPr>
                <w:rFonts w:ascii="Arial"/>
                <w:color w:val="auto"/>
                <w:sz w:val="21"/>
                <w:highlight w:val="none"/>
              </w:rPr>
            </w:pPr>
          </w:p>
        </w:tc>
        <w:tc>
          <w:tcPr>
            <w:tcW w:w="1382" w:type="dxa"/>
            <w:tcBorders>
              <w:right w:val="single" w:color="000000" w:sz="6" w:space="0"/>
            </w:tcBorders>
            <w:vAlign w:val="top"/>
          </w:tcPr>
          <w:p w14:paraId="132B6167">
            <w:pPr>
              <w:rPr>
                <w:rFonts w:ascii="Arial"/>
                <w:color w:val="auto"/>
                <w:sz w:val="21"/>
                <w:highlight w:val="none"/>
              </w:rPr>
            </w:pPr>
          </w:p>
        </w:tc>
      </w:tr>
      <w:tr w14:paraId="0F878A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21" w:hRule="atLeast"/>
        </w:trPr>
        <w:tc>
          <w:tcPr>
            <w:tcW w:w="954" w:type="dxa"/>
            <w:tcBorders>
              <w:left w:val="single" w:color="000000" w:sz="6" w:space="0"/>
            </w:tcBorders>
            <w:vAlign w:val="top"/>
          </w:tcPr>
          <w:p w14:paraId="04FB8927">
            <w:pPr>
              <w:rPr>
                <w:rFonts w:ascii="Arial"/>
                <w:color w:val="auto"/>
                <w:sz w:val="21"/>
                <w:highlight w:val="none"/>
              </w:rPr>
            </w:pPr>
          </w:p>
        </w:tc>
        <w:tc>
          <w:tcPr>
            <w:tcW w:w="2564" w:type="dxa"/>
            <w:vAlign w:val="top"/>
          </w:tcPr>
          <w:p w14:paraId="1C739A15">
            <w:pPr>
              <w:rPr>
                <w:rFonts w:ascii="Arial"/>
                <w:color w:val="auto"/>
                <w:sz w:val="21"/>
                <w:highlight w:val="none"/>
              </w:rPr>
            </w:pPr>
          </w:p>
        </w:tc>
        <w:tc>
          <w:tcPr>
            <w:tcW w:w="1370" w:type="dxa"/>
            <w:vAlign w:val="top"/>
          </w:tcPr>
          <w:p w14:paraId="2BE8C4AD">
            <w:pPr>
              <w:rPr>
                <w:rFonts w:ascii="Arial"/>
                <w:color w:val="auto"/>
                <w:sz w:val="21"/>
                <w:highlight w:val="none"/>
              </w:rPr>
            </w:pPr>
          </w:p>
        </w:tc>
        <w:tc>
          <w:tcPr>
            <w:tcW w:w="1371" w:type="dxa"/>
            <w:vAlign w:val="top"/>
          </w:tcPr>
          <w:p w14:paraId="237A7C9F">
            <w:pPr>
              <w:rPr>
                <w:rFonts w:ascii="Arial"/>
                <w:color w:val="auto"/>
                <w:sz w:val="21"/>
                <w:highlight w:val="none"/>
              </w:rPr>
            </w:pPr>
          </w:p>
        </w:tc>
        <w:tc>
          <w:tcPr>
            <w:tcW w:w="1368" w:type="dxa"/>
            <w:vAlign w:val="top"/>
          </w:tcPr>
          <w:p w14:paraId="509BCB93">
            <w:pPr>
              <w:rPr>
                <w:rFonts w:ascii="Arial"/>
                <w:color w:val="auto"/>
                <w:sz w:val="21"/>
                <w:highlight w:val="none"/>
              </w:rPr>
            </w:pPr>
          </w:p>
        </w:tc>
        <w:tc>
          <w:tcPr>
            <w:tcW w:w="1382" w:type="dxa"/>
            <w:tcBorders>
              <w:right w:val="single" w:color="000000" w:sz="6" w:space="0"/>
            </w:tcBorders>
            <w:vAlign w:val="top"/>
          </w:tcPr>
          <w:p w14:paraId="7702D625">
            <w:pPr>
              <w:rPr>
                <w:rFonts w:ascii="Arial"/>
                <w:color w:val="auto"/>
                <w:sz w:val="21"/>
                <w:highlight w:val="none"/>
              </w:rPr>
            </w:pPr>
          </w:p>
        </w:tc>
      </w:tr>
      <w:tr w14:paraId="5CA40D1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17" w:hRule="atLeast"/>
        </w:trPr>
        <w:tc>
          <w:tcPr>
            <w:tcW w:w="954" w:type="dxa"/>
            <w:tcBorders>
              <w:left w:val="single" w:color="000000" w:sz="6" w:space="0"/>
            </w:tcBorders>
            <w:vAlign w:val="top"/>
          </w:tcPr>
          <w:p w14:paraId="30C77E3B">
            <w:pPr>
              <w:rPr>
                <w:rFonts w:ascii="Arial"/>
                <w:color w:val="auto"/>
                <w:sz w:val="21"/>
                <w:highlight w:val="none"/>
              </w:rPr>
            </w:pPr>
          </w:p>
        </w:tc>
        <w:tc>
          <w:tcPr>
            <w:tcW w:w="2564" w:type="dxa"/>
            <w:vAlign w:val="top"/>
          </w:tcPr>
          <w:p w14:paraId="252F5BAD">
            <w:pPr>
              <w:rPr>
                <w:rFonts w:ascii="Arial"/>
                <w:color w:val="auto"/>
                <w:sz w:val="21"/>
                <w:highlight w:val="none"/>
              </w:rPr>
            </w:pPr>
          </w:p>
        </w:tc>
        <w:tc>
          <w:tcPr>
            <w:tcW w:w="1370" w:type="dxa"/>
            <w:vAlign w:val="top"/>
          </w:tcPr>
          <w:p w14:paraId="6B3E3E10">
            <w:pPr>
              <w:rPr>
                <w:rFonts w:ascii="Arial"/>
                <w:color w:val="auto"/>
                <w:sz w:val="21"/>
                <w:highlight w:val="none"/>
              </w:rPr>
            </w:pPr>
          </w:p>
        </w:tc>
        <w:tc>
          <w:tcPr>
            <w:tcW w:w="1371" w:type="dxa"/>
            <w:vAlign w:val="top"/>
          </w:tcPr>
          <w:p w14:paraId="51AF8920">
            <w:pPr>
              <w:rPr>
                <w:rFonts w:ascii="Arial"/>
                <w:color w:val="auto"/>
                <w:sz w:val="21"/>
                <w:highlight w:val="none"/>
              </w:rPr>
            </w:pPr>
          </w:p>
        </w:tc>
        <w:tc>
          <w:tcPr>
            <w:tcW w:w="1368" w:type="dxa"/>
            <w:vAlign w:val="top"/>
          </w:tcPr>
          <w:p w14:paraId="3453F201">
            <w:pPr>
              <w:rPr>
                <w:rFonts w:ascii="Arial"/>
                <w:color w:val="auto"/>
                <w:sz w:val="21"/>
                <w:highlight w:val="none"/>
              </w:rPr>
            </w:pPr>
          </w:p>
        </w:tc>
        <w:tc>
          <w:tcPr>
            <w:tcW w:w="1382" w:type="dxa"/>
            <w:tcBorders>
              <w:right w:val="single" w:color="000000" w:sz="6" w:space="0"/>
            </w:tcBorders>
            <w:vAlign w:val="top"/>
          </w:tcPr>
          <w:p w14:paraId="378A2A63">
            <w:pPr>
              <w:rPr>
                <w:rFonts w:ascii="Arial"/>
                <w:color w:val="auto"/>
                <w:sz w:val="21"/>
                <w:highlight w:val="none"/>
              </w:rPr>
            </w:pPr>
          </w:p>
        </w:tc>
      </w:tr>
      <w:tr w14:paraId="7758B38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33" w:hRule="atLeast"/>
        </w:trPr>
        <w:tc>
          <w:tcPr>
            <w:tcW w:w="954" w:type="dxa"/>
            <w:tcBorders>
              <w:left w:val="single" w:color="000000" w:sz="6" w:space="0"/>
              <w:bottom w:val="single" w:color="000000" w:sz="6" w:space="0"/>
            </w:tcBorders>
            <w:vAlign w:val="top"/>
          </w:tcPr>
          <w:p w14:paraId="71029836">
            <w:pPr>
              <w:rPr>
                <w:rFonts w:ascii="Arial"/>
                <w:color w:val="auto"/>
                <w:sz w:val="21"/>
                <w:highlight w:val="none"/>
              </w:rPr>
            </w:pPr>
          </w:p>
        </w:tc>
        <w:tc>
          <w:tcPr>
            <w:tcW w:w="2564" w:type="dxa"/>
            <w:tcBorders>
              <w:bottom w:val="single" w:color="000000" w:sz="6" w:space="0"/>
            </w:tcBorders>
            <w:vAlign w:val="top"/>
          </w:tcPr>
          <w:p w14:paraId="4D9C41CF">
            <w:pPr>
              <w:rPr>
                <w:rFonts w:ascii="Arial"/>
                <w:color w:val="auto"/>
                <w:sz w:val="21"/>
                <w:highlight w:val="none"/>
              </w:rPr>
            </w:pPr>
          </w:p>
        </w:tc>
        <w:tc>
          <w:tcPr>
            <w:tcW w:w="1370" w:type="dxa"/>
            <w:tcBorders>
              <w:bottom w:val="single" w:color="000000" w:sz="6" w:space="0"/>
            </w:tcBorders>
            <w:vAlign w:val="top"/>
          </w:tcPr>
          <w:p w14:paraId="53798762">
            <w:pPr>
              <w:rPr>
                <w:rFonts w:ascii="Arial"/>
                <w:color w:val="auto"/>
                <w:sz w:val="21"/>
                <w:highlight w:val="none"/>
              </w:rPr>
            </w:pPr>
          </w:p>
        </w:tc>
        <w:tc>
          <w:tcPr>
            <w:tcW w:w="1371" w:type="dxa"/>
            <w:tcBorders>
              <w:bottom w:val="single" w:color="000000" w:sz="6" w:space="0"/>
            </w:tcBorders>
            <w:vAlign w:val="top"/>
          </w:tcPr>
          <w:p w14:paraId="616C7747">
            <w:pPr>
              <w:rPr>
                <w:rFonts w:ascii="Arial"/>
                <w:color w:val="auto"/>
                <w:sz w:val="21"/>
                <w:highlight w:val="none"/>
              </w:rPr>
            </w:pPr>
          </w:p>
        </w:tc>
        <w:tc>
          <w:tcPr>
            <w:tcW w:w="1368" w:type="dxa"/>
            <w:tcBorders>
              <w:bottom w:val="single" w:color="000000" w:sz="6" w:space="0"/>
            </w:tcBorders>
            <w:vAlign w:val="top"/>
          </w:tcPr>
          <w:p w14:paraId="67E3D685">
            <w:pPr>
              <w:rPr>
                <w:rFonts w:ascii="Arial"/>
                <w:color w:val="auto"/>
                <w:sz w:val="21"/>
                <w:highlight w:val="none"/>
              </w:rPr>
            </w:pPr>
          </w:p>
        </w:tc>
        <w:tc>
          <w:tcPr>
            <w:tcW w:w="1382" w:type="dxa"/>
            <w:tcBorders>
              <w:bottom w:val="single" w:color="000000" w:sz="6" w:space="0"/>
              <w:right w:val="single" w:color="000000" w:sz="6" w:space="0"/>
            </w:tcBorders>
            <w:vAlign w:val="top"/>
          </w:tcPr>
          <w:p w14:paraId="1F0CECD6">
            <w:pPr>
              <w:rPr>
                <w:rFonts w:ascii="Arial"/>
                <w:color w:val="auto"/>
                <w:sz w:val="21"/>
                <w:highlight w:val="none"/>
              </w:rPr>
            </w:pPr>
          </w:p>
        </w:tc>
      </w:tr>
    </w:tbl>
    <w:p w14:paraId="0418422C">
      <w:pPr>
        <w:pStyle w:val="3"/>
        <w:spacing w:line="370" w:lineRule="auto"/>
        <w:rPr>
          <w:color w:val="auto"/>
          <w:highlight w:val="none"/>
        </w:rPr>
      </w:pPr>
    </w:p>
    <w:p w14:paraId="1614BBD6">
      <w:pPr>
        <w:spacing w:before="79" w:line="219" w:lineRule="auto"/>
        <w:ind w:left="478"/>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法定代表人或委托代理人</w:t>
      </w:r>
      <w:r>
        <w:rPr>
          <w:rFonts w:ascii="宋体" w:hAnsi="宋体" w:eastAsia="宋体" w:cs="宋体"/>
          <w:color w:val="auto"/>
          <w:spacing w:val="-11"/>
          <w:sz w:val="24"/>
          <w:szCs w:val="24"/>
          <w:highlight w:val="none"/>
        </w:rPr>
        <w:t>：</w:t>
      </w:r>
      <w:r>
        <w:rPr>
          <w:rFonts w:ascii="宋体" w:hAnsi="宋体" w:eastAsia="宋体" w:cs="宋体"/>
          <w:color w:val="auto"/>
          <w:spacing w:val="30"/>
          <w:sz w:val="24"/>
          <w:szCs w:val="24"/>
          <w:highlight w:val="none"/>
          <w:u w:val="single" w:color="auto"/>
        </w:rPr>
        <w:t xml:space="preserve">    </w:t>
      </w:r>
      <w:r>
        <w:rPr>
          <w:rFonts w:ascii="宋体" w:hAnsi="宋体" w:eastAsia="宋体" w:cs="宋体"/>
          <w:color w:val="auto"/>
          <w:spacing w:val="-11"/>
          <w:sz w:val="24"/>
          <w:szCs w:val="24"/>
          <w:highlight w:val="none"/>
          <w:u w:val="single" w:color="auto"/>
        </w:rPr>
        <w:t>（</w:t>
      </w:r>
      <w:r>
        <w:rPr>
          <w:rFonts w:ascii="宋体" w:hAnsi="宋体" w:eastAsia="宋体" w:cs="宋体"/>
          <w:color w:val="auto"/>
          <w:spacing w:val="1"/>
          <w:sz w:val="24"/>
          <w:szCs w:val="24"/>
          <w:highlight w:val="none"/>
          <w:u w:val="single" w:color="auto"/>
        </w:rPr>
        <w:t>签字或盖章）</w:t>
      </w:r>
      <w:r>
        <w:rPr>
          <w:rFonts w:ascii="宋体" w:hAnsi="宋体" w:eastAsia="宋体" w:cs="宋体"/>
          <w:color w:val="auto"/>
          <w:sz w:val="24"/>
          <w:szCs w:val="24"/>
          <w:highlight w:val="none"/>
          <w:u w:val="single" w:color="auto"/>
        </w:rPr>
        <w:t xml:space="preserve">      </w:t>
      </w:r>
    </w:p>
    <w:p w14:paraId="5DAB483A">
      <w:pPr>
        <w:spacing w:line="219"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0E1D27C5">
      <w:pPr>
        <w:spacing w:before="55" w:line="219" w:lineRule="auto"/>
        <w:ind w:left="3023"/>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工程量清单单价组合表</w:t>
      </w:r>
    </w:p>
    <w:p w14:paraId="2D7E946C">
      <w:pPr>
        <w:spacing w:before="206" w:line="220" w:lineRule="auto"/>
        <w:ind w:left="34"/>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页</w:t>
      </w:r>
    </w:p>
    <w:p w14:paraId="1F1683A6">
      <w:pPr>
        <w:spacing w:line="143" w:lineRule="exact"/>
        <w:rPr>
          <w:color w:val="auto"/>
          <w:highlight w:val="none"/>
        </w:rPr>
      </w:pPr>
    </w:p>
    <w:tbl>
      <w:tblPr>
        <w:tblStyle w:val="32"/>
        <w:tblW w:w="8812"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43"/>
        <w:gridCol w:w="2830"/>
        <w:gridCol w:w="1890"/>
        <w:gridCol w:w="807"/>
        <w:gridCol w:w="1076"/>
        <w:gridCol w:w="1466"/>
      </w:tblGrid>
      <w:tr w14:paraId="2616F53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743" w:type="dxa"/>
            <w:tcBorders>
              <w:top w:val="single" w:color="000000" w:sz="6" w:space="0"/>
              <w:left w:val="single" w:color="000000" w:sz="6" w:space="0"/>
            </w:tcBorders>
            <w:vAlign w:val="top"/>
          </w:tcPr>
          <w:p w14:paraId="0CAD4C7D">
            <w:pPr>
              <w:pStyle w:val="33"/>
              <w:spacing w:before="275" w:line="221" w:lineRule="auto"/>
              <w:ind w:left="135"/>
              <w:rPr>
                <w:color w:val="auto"/>
                <w:sz w:val="24"/>
                <w:szCs w:val="24"/>
                <w:highlight w:val="none"/>
              </w:rPr>
            </w:pPr>
            <w:r>
              <w:rPr>
                <w:color w:val="auto"/>
                <w:spacing w:val="-3"/>
                <w:sz w:val="24"/>
                <w:szCs w:val="24"/>
                <w:highlight w:val="none"/>
              </w:rPr>
              <w:t>序号</w:t>
            </w:r>
          </w:p>
        </w:tc>
        <w:tc>
          <w:tcPr>
            <w:tcW w:w="2830" w:type="dxa"/>
            <w:tcBorders>
              <w:top w:val="single" w:color="000000" w:sz="6" w:space="0"/>
            </w:tcBorders>
            <w:vAlign w:val="top"/>
          </w:tcPr>
          <w:p w14:paraId="03FA9263">
            <w:pPr>
              <w:pStyle w:val="33"/>
              <w:spacing w:before="275" w:line="220" w:lineRule="auto"/>
              <w:ind w:left="936"/>
              <w:rPr>
                <w:color w:val="auto"/>
                <w:sz w:val="24"/>
                <w:szCs w:val="24"/>
                <w:highlight w:val="none"/>
              </w:rPr>
            </w:pPr>
            <w:r>
              <w:rPr>
                <w:color w:val="auto"/>
                <w:spacing w:val="-2"/>
                <w:sz w:val="24"/>
                <w:szCs w:val="24"/>
                <w:highlight w:val="none"/>
              </w:rPr>
              <w:t>清单编号</w:t>
            </w:r>
          </w:p>
        </w:tc>
        <w:tc>
          <w:tcPr>
            <w:tcW w:w="1890" w:type="dxa"/>
            <w:tcBorders>
              <w:top w:val="single" w:color="000000" w:sz="6" w:space="0"/>
            </w:tcBorders>
            <w:vAlign w:val="top"/>
          </w:tcPr>
          <w:p w14:paraId="441CA5E6">
            <w:pPr>
              <w:pStyle w:val="33"/>
              <w:spacing w:before="275" w:line="220" w:lineRule="auto"/>
              <w:ind w:left="474"/>
              <w:rPr>
                <w:color w:val="auto"/>
                <w:sz w:val="24"/>
                <w:szCs w:val="24"/>
                <w:highlight w:val="none"/>
              </w:rPr>
            </w:pPr>
            <w:r>
              <w:rPr>
                <w:color w:val="auto"/>
                <w:spacing w:val="-3"/>
                <w:sz w:val="24"/>
                <w:szCs w:val="24"/>
                <w:highlight w:val="none"/>
              </w:rPr>
              <w:t>项目名称</w:t>
            </w:r>
          </w:p>
        </w:tc>
        <w:tc>
          <w:tcPr>
            <w:tcW w:w="807" w:type="dxa"/>
            <w:tcBorders>
              <w:top w:val="single" w:color="000000" w:sz="6" w:space="0"/>
            </w:tcBorders>
            <w:vAlign w:val="top"/>
          </w:tcPr>
          <w:p w14:paraId="30BCA4D6">
            <w:pPr>
              <w:pStyle w:val="33"/>
              <w:spacing w:before="42" w:line="343" w:lineRule="auto"/>
              <w:ind w:left="172" w:right="159"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1076" w:type="dxa"/>
            <w:tcBorders>
              <w:top w:val="single" w:color="000000" w:sz="6" w:space="0"/>
            </w:tcBorders>
            <w:vAlign w:val="top"/>
          </w:tcPr>
          <w:p w14:paraId="6607CD23">
            <w:pPr>
              <w:pStyle w:val="33"/>
              <w:spacing w:before="42" w:line="343" w:lineRule="auto"/>
              <w:ind w:left="194" w:right="188" w:firstLine="115"/>
              <w:rPr>
                <w:color w:val="auto"/>
                <w:sz w:val="24"/>
                <w:szCs w:val="24"/>
                <w:highlight w:val="none"/>
              </w:rPr>
            </w:pPr>
            <w:r>
              <w:rPr>
                <w:color w:val="auto"/>
                <w:spacing w:val="-6"/>
                <w:sz w:val="24"/>
                <w:szCs w:val="24"/>
                <w:highlight w:val="none"/>
              </w:rPr>
              <w:t>单价</w:t>
            </w:r>
            <w:r>
              <w:rPr>
                <w:color w:val="auto"/>
                <w:sz w:val="24"/>
                <w:szCs w:val="24"/>
                <w:highlight w:val="none"/>
              </w:rPr>
              <w:t xml:space="preserve">  </w:t>
            </w:r>
            <w:r>
              <w:rPr>
                <w:color w:val="auto"/>
                <w:spacing w:val="-11"/>
                <w:sz w:val="24"/>
                <w:szCs w:val="24"/>
                <w:highlight w:val="none"/>
              </w:rPr>
              <w:t>（元）</w:t>
            </w:r>
          </w:p>
        </w:tc>
        <w:tc>
          <w:tcPr>
            <w:tcW w:w="1466" w:type="dxa"/>
            <w:tcBorders>
              <w:top w:val="single" w:color="000000" w:sz="6" w:space="0"/>
              <w:right w:val="single" w:color="000000" w:sz="6" w:space="0"/>
            </w:tcBorders>
            <w:vAlign w:val="top"/>
          </w:tcPr>
          <w:p w14:paraId="52D81763">
            <w:pPr>
              <w:pStyle w:val="33"/>
              <w:spacing w:before="275" w:line="218" w:lineRule="auto"/>
              <w:ind w:left="260"/>
              <w:rPr>
                <w:color w:val="auto"/>
                <w:sz w:val="24"/>
                <w:szCs w:val="24"/>
                <w:highlight w:val="none"/>
              </w:rPr>
            </w:pPr>
            <w:r>
              <w:rPr>
                <w:color w:val="auto"/>
                <w:spacing w:val="-3"/>
                <w:sz w:val="24"/>
                <w:szCs w:val="24"/>
                <w:highlight w:val="none"/>
              </w:rPr>
              <w:t>单价组合</w:t>
            </w:r>
          </w:p>
        </w:tc>
      </w:tr>
      <w:tr w14:paraId="7416617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61F1D0F4">
            <w:pPr>
              <w:rPr>
                <w:rFonts w:ascii="Arial"/>
                <w:color w:val="auto"/>
                <w:sz w:val="21"/>
                <w:highlight w:val="none"/>
              </w:rPr>
            </w:pPr>
          </w:p>
        </w:tc>
        <w:tc>
          <w:tcPr>
            <w:tcW w:w="2830" w:type="dxa"/>
            <w:vAlign w:val="top"/>
          </w:tcPr>
          <w:p w14:paraId="48D3D9D0">
            <w:pPr>
              <w:rPr>
                <w:rFonts w:ascii="Arial"/>
                <w:color w:val="auto"/>
                <w:sz w:val="21"/>
                <w:highlight w:val="none"/>
              </w:rPr>
            </w:pPr>
          </w:p>
        </w:tc>
        <w:tc>
          <w:tcPr>
            <w:tcW w:w="1890" w:type="dxa"/>
            <w:vAlign w:val="top"/>
          </w:tcPr>
          <w:p w14:paraId="393B1322">
            <w:pPr>
              <w:rPr>
                <w:rFonts w:ascii="Arial"/>
                <w:color w:val="auto"/>
                <w:sz w:val="21"/>
                <w:highlight w:val="none"/>
              </w:rPr>
            </w:pPr>
          </w:p>
        </w:tc>
        <w:tc>
          <w:tcPr>
            <w:tcW w:w="807" w:type="dxa"/>
            <w:vAlign w:val="top"/>
          </w:tcPr>
          <w:p w14:paraId="0FC19C84">
            <w:pPr>
              <w:rPr>
                <w:rFonts w:ascii="Arial"/>
                <w:color w:val="auto"/>
                <w:sz w:val="21"/>
                <w:highlight w:val="none"/>
              </w:rPr>
            </w:pPr>
          </w:p>
        </w:tc>
        <w:tc>
          <w:tcPr>
            <w:tcW w:w="1076" w:type="dxa"/>
            <w:vAlign w:val="top"/>
          </w:tcPr>
          <w:p w14:paraId="75CD4D7A">
            <w:pPr>
              <w:rPr>
                <w:rFonts w:ascii="Arial"/>
                <w:color w:val="auto"/>
                <w:sz w:val="21"/>
                <w:highlight w:val="none"/>
              </w:rPr>
            </w:pPr>
          </w:p>
        </w:tc>
        <w:tc>
          <w:tcPr>
            <w:tcW w:w="1466" w:type="dxa"/>
            <w:tcBorders>
              <w:right w:val="single" w:color="000000" w:sz="6" w:space="0"/>
            </w:tcBorders>
            <w:vAlign w:val="top"/>
          </w:tcPr>
          <w:p w14:paraId="46463341">
            <w:pPr>
              <w:rPr>
                <w:rFonts w:ascii="Arial"/>
                <w:color w:val="auto"/>
                <w:sz w:val="21"/>
                <w:highlight w:val="none"/>
              </w:rPr>
            </w:pPr>
          </w:p>
        </w:tc>
      </w:tr>
      <w:tr w14:paraId="01C7510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743" w:type="dxa"/>
            <w:tcBorders>
              <w:left w:val="single" w:color="000000" w:sz="6" w:space="0"/>
            </w:tcBorders>
            <w:vAlign w:val="top"/>
          </w:tcPr>
          <w:p w14:paraId="4E762797">
            <w:pPr>
              <w:rPr>
                <w:rFonts w:ascii="Arial"/>
                <w:color w:val="auto"/>
                <w:sz w:val="21"/>
                <w:highlight w:val="none"/>
              </w:rPr>
            </w:pPr>
          </w:p>
        </w:tc>
        <w:tc>
          <w:tcPr>
            <w:tcW w:w="2830" w:type="dxa"/>
            <w:vAlign w:val="top"/>
          </w:tcPr>
          <w:p w14:paraId="339F836D">
            <w:pPr>
              <w:rPr>
                <w:rFonts w:ascii="Arial"/>
                <w:color w:val="auto"/>
                <w:sz w:val="21"/>
                <w:highlight w:val="none"/>
              </w:rPr>
            </w:pPr>
          </w:p>
        </w:tc>
        <w:tc>
          <w:tcPr>
            <w:tcW w:w="1890" w:type="dxa"/>
            <w:vAlign w:val="top"/>
          </w:tcPr>
          <w:p w14:paraId="242D72FC">
            <w:pPr>
              <w:rPr>
                <w:rFonts w:ascii="Arial"/>
                <w:color w:val="auto"/>
                <w:sz w:val="21"/>
                <w:highlight w:val="none"/>
              </w:rPr>
            </w:pPr>
          </w:p>
        </w:tc>
        <w:tc>
          <w:tcPr>
            <w:tcW w:w="807" w:type="dxa"/>
            <w:vAlign w:val="top"/>
          </w:tcPr>
          <w:p w14:paraId="685FC0AD">
            <w:pPr>
              <w:rPr>
                <w:rFonts w:ascii="Arial"/>
                <w:color w:val="auto"/>
                <w:sz w:val="21"/>
                <w:highlight w:val="none"/>
              </w:rPr>
            </w:pPr>
          </w:p>
        </w:tc>
        <w:tc>
          <w:tcPr>
            <w:tcW w:w="1076" w:type="dxa"/>
            <w:vAlign w:val="top"/>
          </w:tcPr>
          <w:p w14:paraId="6DB0F84A">
            <w:pPr>
              <w:rPr>
                <w:rFonts w:ascii="Arial"/>
                <w:color w:val="auto"/>
                <w:sz w:val="21"/>
                <w:highlight w:val="none"/>
              </w:rPr>
            </w:pPr>
          </w:p>
        </w:tc>
        <w:tc>
          <w:tcPr>
            <w:tcW w:w="1466" w:type="dxa"/>
            <w:tcBorders>
              <w:right w:val="single" w:color="000000" w:sz="6" w:space="0"/>
            </w:tcBorders>
            <w:vAlign w:val="top"/>
          </w:tcPr>
          <w:p w14:paraId="1CA54137">
            <w:pPr>
              <w:rPr>
                <w:rFonts w:ascii="Arial"/>
                <w:color w:val="auto"/>
                <w:sz w:val="21"/>
                <w:highlight w:val="none"/>
              </w:rPr>
            </w:pPr>
          </w:p>
        </w:tc>
      </w:tr>
      <w:tr w14:paraId="005B73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51EF3292">
            <w:pPr>
              <w:rPr>
                <w:rFonts w:ascii="Arial"/>
                <w:color w:val="auto"/>
                <w:sz w:val="21"/>
                <w:highlight w:val="none"/>
              </w:rPr>
            </w:pPr>
          </w:p>
        </w:tc>
        <w:tc>
          <w:tcPr>
            <w:tcW w:w="2830" w:type="dxa"/>
            <w:vAlign w:val="top"/>
          </w:tcPr>
          <w:p w14:paraId="4A32B4F2">
            <w:pPr>
              <w:rPr>
                <w:rFonts w:ascii="Arial"/>
                <w:color w:val="auto"/>
                <w:sz w:val="21"/>
                <w:highlight w:val="none"/>
              </w:rPr>
            </w:pPr>
          </w:p>
        </w:tc>
        <w:tc>
          <w:tcPr>
            <w:tcW w:w="1890" w:type="dxa"/>
            <w:vAlign w:val="top"/>
          </w:tcPr>
          <w:p w14:paraId="3590F238">
            <w:pPr>
              <w:rPr>
                <w:rFonts w:ascii="Arial"/>
                <w:color w:val="auto"/>
                <w:sz w:val="21"/>
                <w:highlight w:val="none"/>
              </w:rPr>
            </w:pPr>
          </w:p>
        </w:tc>
        <w:tc>
          <w:tcPr>
            <w:tcW w:w="807" w:type="dxa"/>
            <w:vAlign w:val="top"/>
          </w:tcPr>
          <w:p w14:paraId="3BB46F5B">
            <w:pPr>
              <w:rPr>
                <w:rFonts w:ascii="Arial"/>
                <w:color w:val="auto"/>
                <w:sz w:val="21"/>
                <w:highlight w:val="none"/>
              </w:rPr>
            </w:pPr>
          </w:p>
        </w:tc>
        <w:tc>
          <w:tcPr>
            <w:tcW w:w="1076" w:type="dxa"/>
            <w:vAlign w:val="top"/>
          </w:tcPr>
          <w:p w14:paraId="1B20AC95">
            <w:pPr>
              <w:rPr>
                <w:rFonts w:ascii="Arial"/>
                <w:color w:val="auto"/>
                <w:sz w:val="21"/>
                <w:highlight w:val="none"/>
              </w:rPr>
            </w:pPr>
          </w:p>
        </w:tc>
        <w:tc>
          <w:tcPr>
            <w:tcW w:w="1466" w:type="dxa"/>
            <w:tcBorders>
              <w:right w:val="single" w:color="000000" w:sz="6" w:space="0"/>
            </w:tcBorders>
            <w:vAlign w:val="top"/>
          </w:tcPr>
          <w:p w14:paraId="1A5F5CE7">
            <w:pPr>
              <w:rPr>
                <w:rFonts w:ascii="Arial"/>
                <w:color w:val="auto"/>
                <w:sz w:val="21"/>
                <w:highlight w:val="none"/>
              </w:rPr>
            </w:pPr>
          </w:p>
        </w:tc>
      </w:tr>
      <w:tr w14:paraId="376CEAD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743" w:type="dxa"/>
            <w:tcBorders>
              <w:left w:val="single" w:color="000000" w:sz="6" w:space="0"/>
            </w:tcBorders>
            <w:vAlign w:val="top"/>
          </w:tcPr>
          <w:p w14:paraId="1FB02635">
            <w:pPr>
              <w:rPr>
                <w:rFonts w:ascii="Arial"/>
                <w:color w:val="auto"/>
                <w:sz w:val="21"/>
                <w:highlight w:val="none"/>
              </w:rPr>
            </w:pPr>
          </w:p>
        </w:tc>
        <w:tc>
          <w:tcPr>
            <w:tcW w:w="2830" w:type="dxa"/>
            <w:vAlign w:val="top"/>
          </w:tcPr>
          <w:p w14:paraId="3FD9FDA1">
            <w:pPr>
              <w:rPr>
                <w:rFonts w:ascii="Arial"/>
                <w:color w:val="auto"/>
                <w:sz w:val="21"/>
                <w:highlight w:val="none"/>
              </w:rPr>
            </w:pPr>
          </w:p>
        </w:tc>
        <w:tc>
          <w:tcPr>
            <w:tcW w:w="1890" w:type="dxa"/>
            <w:vAlign w:val="top"/>
          </w:tcPr>
          <w:p w14:paraId="6D990408">
            <w:pPr>
              <w:rPr>
                <w:rFonts w:ascii="Arial"/>
                <w:color w:val="auto"/>
                <w:sz w:val="21"/>
                <w:highlight w:val="none"/>
              </w:rPr>
            </w:pPr>
          </w:p>
        </w:tc>
        <w:tc>
          <w:tcPr>
            <w:tcW w:w="807" w:type="dxa"/>
            <w:vAlign w:val="top"/>
          </w:tcPr>
          <w:p w14:paraId="08B5EBBA">
            <w:pPr>
              <w:rPr>
                <w:rFonts w:ascii="Arial"/>
                <w:color w:val="auto"/>
                <w:sz w:val="21"/>
                <w:highlight w:val="none"/>
              </w:rPr>
            </w:pPr>
          </w:p>
        </w:tc>
        <w:tc>
          <w:tcPr>
            <w:tcW w:w="1076" w:type="dxa"/>
            <w:vAlign w:val="top"/>
          </w:tcPr>
          <w:p w14:paraId="655514CF">
            <w:pPr>
              <w:rPr>
                <w:rFonts w:ascii="Arial"/>
                <w:color w:val="auto"/>
                <w:sz w:val="21"/>
                <w:highlight w:val="none"/>
              </w:rPr>
            </w:pPr>
          </w:p>
        </w:tc>
        <w:tc>
          <w:tcPr>
            <w:tcW w:w="1466" w:type="dxa"/>
            <w:tcBorders>
              <w:right w:val="single" w:color="000000" w:sz="6" w:space="0"/>
            </w:tcBorders>
            <w:vAlign w:val="top"/>
          </w:tcPr>
          <w:p w14:paraId="1502CBEE">
            <w:pPr>
              <w:rPr>
                <w:rFonts w:ascii="Arial"/>
                <w:color w:val="auto"/>
                <w:sz w:val="21"/>
                <w:highlight w:val="none"/>
              </w:rPr>
            </w:pPr>
          </w:p>
        </w:tc>
      </w:tr>
      <w:tr w14:paraId="1F643D6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7C6F73FA">
            <w:pPr>
              <w:rPr>
                <w:rFonts w:ascii="Arial"/>
                <w:color w:val="auto"/>
                <w:sz w:val="21"/>
                <w:highlight w:val="none"/>
              </w:rPr>
            </w:pPr>
          </w:p>
        </w:tc>
        <w:tc>
          <w:tcPr>
            <w:tcW w:w="2830" w:type="dxa"/>
            <w:vAlign w:val="top"/>
          </w:tcPr>
          <w:p w14:paraId="0A07E70B">
            <w:pPr>
              <w:rPr>
                <w:rFonts w:ascii="Arial"/>
                <w:color w:val="auto"/>
                <w:sz w:val="21"/>
                <w:highlight w:val="none"/>
              </w:rPr>
            </w:pPr>
          </w:p>
        </w:tc>
        <w:tc>
          <w:tcPr>
            <w:tcW w:w="1890" w:type="dxa"/>
            <w:vAlign w:val="top"/>
          </w:tcPr>
          <w:p w14:paraId="03C52B65">
            <w:pPr>
              <w:rPr>
                <w:rFonts w:ascii="Arial"/>
                <w:color w:val="auto"/>
                <w:sz w:val="21"/>
                <w:highlight w:val="none"/>
              </w:rPr>
            </w:pPr>
          </w:p>
        </w:tc>
        <w:tc>
          <w:tcPr>
            <w:tcW w:w="807" w:type="dxa"/>
            <w:vAlign w:val="top"/>
          </w:tcPr>
          <w:p w14:paraId="6B662901">
            <w:pPr>
              <w:rPr>
                <w:rFonts w:ascii="Arial"/>
                <w:color w:val="auto"/>
                <w:sz w:val="21"/>
                <w:highlight w:val="none"/>
              </w:rPr>
            </w:pPr>
          </w:p>
        </w:tc>
        <w:tc>
          <w:tcPr>
            <w:tcW w:w="1076" w:type="dxa"/>
            <w:vAlign w:val="top"/>
          </w:tcPr>
          <w:p w14:paraId="05766FC2">
            <w:pPr>
              <w:rPr>
                <w:rFonts w:ascii="Arial"/>
                <w:color w:val="auto"/>
                <w:sz w:val="21"/>
                <w:highlight w:val="none"/>
              </w:rPr>
            </w:pPr>
          </w:p>
        </w:tc>
        <w:tc>
          <w:tcPr>
            <w:tcW w:w="1466" w:type="dxa"/>
            <w:tcBorders>
              <w:right w:val="single" w:color="000000" w:sz="6" w:space="0"/>
            </w:tcBorders>
            <w:vAlign w:val="top"/>
          </w:tcPr>
          <w:p w14:paraId="61020D48">
            <w:pPr>
              <w:rPr>
                <w:rFonts w:ascii="Arial"/>
                <w:color w:val="auto"/>
                <w:sz w:val="21"/>
                <w:highlight w:val="none"/>
              </w:rPr>
            </w:pPr>
          </w:p>
        </w:tc>
      </w:tr>
      <w:tr w14:paraId="191B10B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3C7AB886">
            <w:pPr>
              <w:rPr>
                <w:rFonts w:ascii="Arial"/>
                <w:color w:val="auto"/>
                <w:sz w:val="21"/>
                <w:highlight w:val="none"/>
              </w:rPr>
            </w:pPr>
          </w:p>
        </w:tc>
        <w:tc>
          <w:tcPr>
            <w:tcW w:w="2830" w:type="dxa"/>
            <w:vAlign w:val="top"/>
          </w:tcPr>
          <w:p w14:paraId="76C29EF9">
            <w:pPr>
              <w:rPr>
                <w:rFonts w:ascii="Arial"/>
                <w:color w:val="auto"/>
                <w:sz w:val="21"/>
                <w:highlight w:val="none"/>
              </w:rPr>
            </w:pPr>
          </w:p>
        </w:tc>
        <w:tc>
          <w:tcPr>
            <w:tcW w:w="1890" w:type="dxa"/>
            <w:vAlign w:val="top"/>
          </w:tcPr>
          <w:p w14:paraId="63F747DE">
            <w:pPr>
              <w:rPr>
                <w:rFonts w:ascii="Arial"/>
                <w:color w:val="auto"/>
                <w:sz w:val="21"/>
                <w:highlight w:val="none"/>
              </w:rPr>
            </w:pPr>
          </w:p>
        </w:tc>
        <w:tc>
          <w:tcPr>
            <w:tcW w:w="807" w:type="dxa"/>
            <w:vAlign w:val="top"/>
          </w:tcPr>
          <w:p w14:paraId="33B4BF06">
            <w:pPr>
              <w:rPr>
                <w:rFonts w:ascii="Arial"/>
                <w:color w:val="auto"/>
                <w:sz w:val="21"/>
                <w:highlight w:val="none"/>
              </w:rPr>
            </w:pPr>
          </w:p>
        </w:tc>
        <w:tc>
          <w:tcPr>
            <w:tcW w:w="1076" w:type="dxa"/>
            <w:vAlign w:val="top"/>
          </w:tcPr>
          <w:p w14:paraId="292CAD46">
            <w:pPr>
              <w:rPr>
                <w:rFonts w:ascii="Arial"/>
                <w:color w:val="auto"/>
                <w:sz w:val="21"/>
                <w:highlight w:val="none"/>
              </w:rPr>
            </w:pPr>
          </w:p>
        </w:tc>
        <w:tc>
          <w:tcPr>
            <w:tcW w:w="1466" w:type="dxa"/>
            <w:tcBorders>
              <w:right w:val="single" w:color="000000" w:sz="6" w:space="0"/>
            </w:tcBorders>
            <w:vAlign w:val="top"/>
          </w:tcPr>
          <w:p w14:paraId="7A37E0BF">
            <w:pPr>
              <w:rPr>
                <w:rFonts w:ascii="Arial"/>
                <w:color w:val="auto"/>
                <w:sz w:val="21"/>
                <w:highlight w:val="none"/>
              </w:rPr>
            </w:pPr>
          </w:p>
        </w:tc>
      </w:tr>
      <w:tr w14:paraId="535309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743" w:type="dxa"/>
            <w:tcBorders>
              <w:left w:val="single" w:color="000000" w:sz="6" w:space="0"/>
            </w:tcBorders>
            <w:vAlign w:val="top"/>
          </w:tcPr>
          <w:p w14:paraId="3CAE3339">
            <w:pPr>
              <w:rPr>
                <w:rFonts w:ascii="Arial"/>
                <w:color w:val="auto"/>
                <w:sz w:val="21"/>
                <w:highlight w:val="none"/>
              </w:rPr>
            </w:pPr>
          </w:p>
        </w:tc>
        <w:tc>
          <w:tcPr>
            <w:tcW w:w="2830" w:type="dxa"/>
            <w:vAlign w:val="top"/>
          </w:tcPr>
          <w:p w14:paraId="155FCD20">
            <w:pPr>
              <w:rPr>
                <w:rFonts w:ascii="Arial"/>
                <w:color w:val="auto"/>
                <w:sz w:val="21"/>
                <w:highlight w:val="none"/>
              </w:rPr>
            </w:pPr>
          </w:p>
        </w:tc>
        <w:tc>
          <w:tcPr>
            <w:tcW w:w="1890" w:type="dxa"/>
            <w:vAlign w:val="top"/>
          </w:tcPr>
          <w:p w14:paraId="1FFF5B11">
            <w:pPr>
              <w:rPr>
                <w:rFonts w:ascii="Arial"/>
                <w:color w:val="auto"/>
                <w:sz w:val="21"/>
                <w:highlight w:val="none"/>
              </w:rPr>
            </w:pPr>
          </w:p>
        </w:tc>
        <w:tc>
          <w:tcPr>
            <w:tcW w:w="807" w:type="dxa"/>
            <w:vAlign w:val="top"/>
          </w:tcPr>
          <w:p w14:paraId="6B125430">
            <w:pPr>
              <w:rPr>
                <w:rFonts w:ascii="Arial"/>
                <w:color w:val="auto"/>
                <w:sz w:val="21"/>
                <w:highlight w:val="none"/>
              </w:rPr>
            </w:pPr>
          </w:p>
        </w:tc>
        <w:tc>
          <w:tcPr>
            <w:tcW w:w="1076" w:type="dxa"/>
            <w:vAlign w:val="top"/>
          </w:tcPr>
          <w:p w14:paraId="29DE6FCA">
            <w:pPr>
              <w:rPr>
                <w:rFonts w:ascii="Arial"/>
                <w:color w:val="auto"/>
                <w:sz w:val="21"/>
                <w:highlight w:val="none"/>
              </w:rPr>
            </w:pPr>
          </w:p>
        </w:tc>
        <w:tc>
          <w:tcPr>
            <w:tcW w:w="1466" w:type="dxa"/>
            <w:tcBorders>
              <w:right w:val="single" w:color="000000" w:sz="6" w:space="0"/>
            </w:tcBorders>
            <w:vAlign w:val="top"/>
          </w:tcPr>
          <w:p w14:paraId="5CEBE5F9">
            <w:pPr>
              <w:rPr>
                <w:rFonts w:ascii="Arial"/>
                <w:color w:val="auto"/>
                <w:sz w:val="21"/>
                <w:highlight w:val="none"/>
              </w:rPr>
            </w:pPr>
          </w:p>
        </w:tc>
      </w:tr>
      <w:tr w14:paraId="7EAC247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4BB6FBAB">
            <w:pPr>
              <w:rPr>
                <w:rFonts w:ascii="Arial"/>
                <w:color w:val="auto"/>
                <w:sz w:val="21"/>
                <w:highlight w:val="none"/>
              </w:rPr>
            </w:pPr>
          </w:p>
        </w:tc>
        <w:tc>
          <w:tcPr>
            <w:tcW w:w="2830" w:type="dxa"/>
            <w:vAlign w:val="top"/>
          </w:tcPr>
          <w:p w14:paraId="5CAFF56B">
            <w:pPr>
              <w:rPr>
                <w:rFonts w:ascii="Arial"/>
                <w:color w:val="auto"/>
                <w:sz w:val="21"/>
                <w:highlight w:val="none"/>
              </w:rPr>
            </w:pPr>
          </w:p>
        </w:tc>
        <w:tc>
          <w:tcPr>
            <w:tcW w:w="1890" w:type="dxa"/>
            <w:vAlign w:val="top"/>
          </w:tcPr>
          <w:p w14:paraId="04E15229">
            <w:pPr>
              <w:rPr>
                <w:rFonts w:ascii="Arial"/>
                <w:color w:val="auto"/>
                <w:sz w:val="21"/>
                <w:highlight w:val="none"/>
              </w:rPr>
            </w:pPr>
          </w:p>
        </w:tc>
        <w:tc>
          <w:tcPr>
            <w:tcW w:w="807" w:type="dxa"/>
            <w:vAlign w:val="top"/>
          </w:tcPr>
          <w:p w14:paraId="440F6D66">
            <w:pPr>
              <w:rPr>
                <w:rFonts w:ascii="Arial"/>
                <w:color w:val="auto"/>
                <w:sz w:val="21"/>
                <w:highlight w:val="none"/>
              </w:rPr>
            </w:pPr>
          </w:p>
        </w:tc>
        <w:tc>
          <w:tcPr>
            <w:tcW w:w="1076" w:type="dxa"/>
            <w:vAlign w:val="top"/>
          </w:tcPr>
          <w:p w14:paraId="23C646A0">
            <w:pPr>
              <w:rPr>
                <w:rFonts w:ascii="Arial"/>
                <w:color w:val="auto"/>
                <w:sz w:val="21"/>
                <w:highlight w:val="none"/>
              </w:rPr>
            </w:pPr>
          </w:p>
        </w:tc>
        <w:tc>
          <w:tcPr>
            <w:tcW w:w="1466" w:type="dxa"/>
            <w:tcBorders>
              <w:right w:val="single" w:color="000000" w:sz="6" w:space="0"/>
            </w:tcBorders>
            <w:vAlign w:val="top"/>
          </w:tcPr>
          <w:p w14:paraId="4ACEE492">
            <w:pPr>
              <w:rPr>
                <w:rFonts w:ascii="Arial"/>
                <w:color w:val="auto"/>
                <w:sz w:val="21"/>
                <w:highlight w:val="none"/>
              </w:rPr>
            </w:pPr>
          </w:p>
        </w:tc>
      </w:tr>
      <w:tr w14:paraId="75CB79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743" w:type="dxa"/>
            <w:tcBorders>
              <w:left w:val="single" w:color="000000" w:sz="6" w:space="0"/>
            </w:tcBorders>
            <w:vAlign w:val="top"/>
          </w:tcPr>
          <w:p w14:paraId="0B576ED2">
            <w:pPr>
              <w:rPr>
                <w:rFonts w:ascii="Arial"/>
                <w:color w:val="auto"/>
                <w:sz w:val="21"/>
                <w:highlight w:val="none"/>
              </w:rPr>
            </w:pPr>
          </w:p>
        </w:tc>
        <w:tc>
          <w:tcPr>
            <w:tcW w:w="2830" w:type="dxa"/>
            <w:vAlign w:val="top"/>
          </w:tcPr>
          <w:p w14:paraId="5D4F6CE9">
            <w:pPr>
              <w:rPr>
                <w:rFonts w:ascii="Arial"/>
                <w:color w:val="auto"/>
                <w:sz w:val="21"/>
                <w:highlight w:val="none"/>
              </w:rPr>
            </w:pPr>
          </w:p>
        </w:tc>
        <w:tc>
          <w:tcPr>
            <w:tcW w:w="1890" w:type="dxa"/>
            <w:vAlign w:val="top"/>
          </w:tcPr>
          <w:p w14:paraId="3BBABA21">
            <w:pPr>
              <w:rPr>
                <w:rFonts w:ascii="Arial"/>
                <w:color w:val="auto"/>
                <w:sz w:val="21"/>
                <w:highlight w:val="none"/>
              </w:rPr>
            </w:pPr>
          </w:p>
        </w:tc>
        <w:tc>
          <w:tcPr>
            <w:tcW w:w="807" w:type="dxa"/>
            <w:vAlign w:val="top"/>
          </w:tcPr>
          <w:p w14:paraId="185CCD23">
            <w:pPr>
              <w:rPr>
                <w:rFonts w:ascii="Arial"/>
                <w:color w:val="auto"/>
                <w:sz w:val="21"/>
                <w:highlight w:val="none"/>
              </w:rPr>
            </w:pPr>
          </w:p>
        </w:tc>
        <w:tc>
          <w:tcPr>
            <w:tcW w:w="1076" w:type="dxa"/>
            <w:vAlign w:val="top"/>
          </w:tcPr>
          <w:p w14:paraId="13F2235D">
            <w:pPr>
              <w:rPr>
                <w:rFonts w:ascii="Arial"/>
                <w:color w:val="auto"/>
                <w:sz w:val="21"/>
                <w:highlight w:val="none"/>
              </w:rPr>
            </w:pPr>
          </w:p>
        </w:tc>
        <w:tc>
          <w:tcPr>
            <w:tcW w:w="1466" w:type="dxa"/>
            <w:tcBorders>
              <w:right w:val="single" w:color="000000" w:sz="6" w:space="0"/>
            </w:tcBorders>
            <w:vAlign w:val="top"/>
          </w:tcPr>
          <w:p w14:paraId="39E0D426">
            <w:pPr>
              <w:rPr>
                <w:rFonts w:ascii="Arial"/>
                <w:color w:val="auto"/>
                <w:sz w:val="21"/>
                <w:highlight w:val="none"/>
              </w:rPr>
            </w:pPr>
          </w:p>
        </w:tc>
      </w:tr>
      <w:tr w14:paraId="3491AC9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651E1D0F">
            <w:pPr>
              <w:rPr>
                <w:rFonts w:ascii="Arial"/>
                <w:color w:val="auto"/>
                <w:sz w:val="21"/>
                <w:highlight w:val="none"/>
              </w:rPr>
            </w:pPr>
          </w:p>
        </w:tc>
        <w:tc>
          <w:tcPr>
            <w:tcW w:w="2830" w:type="dxa"/>
            <w:vAlign w:val="top"/>
          </w:tcPr>
          <w:p w14:paraId="7F1AFBB4">
            <w:pPr>
              <w:rPr>
                <w:rFonts w:ascii="Arial"/>
                <w:color w:val="auto"/>
                <w:sz w:val="21"/>
                <w:highlight w:val="none"/>
              </w:rPr>
            </w:pPr>
          </w:p>
        </w:tc>
        <w:tc>
          <w:tcPr>
            <w:tcW w:w="1890" w:type="dxa"/>
            <w:vAlign w:val="top"/>
          </w:tcPr>
          <w:p w14:paraId="73578CFE">
            <w:pPr>
              <w:rPr>
                <w:rFonts w:ascii="Arial"/>
                <w:color w:val="auto"/>
                <w:sz w:val="21"/>
                <w:highlight w:val="none"/>
              </w:rPr>
            </w:pPr>
          </w:p>
        </w:tc>
        <w:tc>
          <w:tcPr>
            <w:tcW w:w="807" w:type="dxa"/>
            <w:vAlign w:val="top"/>
          </w:tcPr>
          <w:p w14:paraId="11D60A6F">
            <w:pPr>
              <w:rPr>
                <w:rFonts w:ascii="Arial"/>
                <w:color w:val="auto"/>
                <w:sz w:val="21"/>
                <w:highlight w:val="none"/>
              </w:rPr>
            </w:pPr>
          </w:p>
        </w:tc>
        <w:tc>
          <w:tcPr>
            <w:tcW w:w="1076" w:type="dxa"/>
            <w:vAlign w:val="top"/>
          </w:tcPr>
          <w:p w14:paraId="1E4C3DC6">
            <w:pPr>
              <w:rPr>
                <w:rFonts w:ascii="Arial"/>
                <w:color w:val="auto"/>
                <w:sz w:val="21"/>
                <w:highlight w:val="none"/>
              </w:rPr>
            </w:pPr>
          </w:p>
        </w:tc>
        <w:tc>
          <w:tcPr>
            <w:tcW w:w="1466" w:type="dxa"/>
            <w:tcBorders>
              <w:right w:val="single" w:color="000000" w:sz="6" w:space="0"/>
            </w:tcBorders>
            <w:vAlign w:val="top"/>
          </w:tcPr>
          <w:p w14:paraId="6EEE360E">
            <w:pPr>
              <w:rPr>
                <w:rFonts w:ascii="Arial"/>
                <w:color w:val="auto"/>
                <w:sz w:val="21"/>
                <w:highlight w:val="none"/>
              </w:rPr>
            </w:pPr>
          </w:p>
        </w:tc>
      </w:tr>
      <w:tr w14:paraId="7548FDB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1A9EBAA4">
            <w:pPr>
              <w:rPr>
                <w:rFonts w:ascii="Arial"/>
                <w:color w:val="auto"/>
                <w:sz w:val="21"/>
                <w:highlight w:val="none"/>
              </w:rPr>
            </w:pPr>
          </w:p>
        </w:tc>
        <w:tc>
          <w:tcPr>
            <w:tcW w:w="2830" w:type="dxa"/>
            <w:vAlign w:val="top"/>
          </w:tcPr>
          <w:p w14:paraId="2433046B">
            <w:pPr>
              <w:rPr>
                <w:rFonts w:ascii="Arial"/>
                <w:color w:val="auto"/>
                <w:sz w:val="21"/>
                <w:highlight w:val="none"/>
              </w:rPr>
            </w:pPr>
          </w:p>
        </w:tc>
        <w:tc>
          <w:tcPr>
            <w:tcW w:w="1890" w:type="dxa"/>
            <w:vAlign w:val="top"/>
          </w:tcPr>
          <w:p w14:paraId="1991603D">
            <w:pPr>
              <w:rPr>
                <w:rFonts w:ascii="Arial"/>
                <w:color w:val="auto"/>
                <w:sz w:val="21"/>
                <w:highlight w:val="none"/>
              </w:rPr>
            </w:pPr>
          </w:p>
        </w:tc>
        <w:tc>
          <w:tcPr>
            <w:tcW w:w="807" w:type="dxa"/>
            <w:vAlign w:val="top"/>
          </w:tcPr>
          <w:p w14:paraId="3B5DC287">
            <w:pPr>
              <w:rPr>
                <w:rFonts w:ascii="Arial"/>
                <w:color w:val="auto"/>
                <w:sz w:val="21"/>
                <w:highlight w:val="none"/>
              </w:rPr>
            </w:pPr>
          </w:p>
        </w:tc>
        <w:tc>
          <w:tcPr>
            <w:tcW w:w="1076" w:type="dxa"/>
            <w:vAlign w:val="top"/>
          </w:tcPr>
          <w:p w14:paraId="13B0A605">
            <w:pPr>
              <w:rPr>
                <w:rFonts w:ascii="Arial"/>
                <w:color w:val="auto"/>
                <w:sz w:val="21"/>
                <w:highlight w:val="none"/>
              </w:rPr>
            </w:pPr>
          </w:p>
        </w:tc>
        <w:tc>
          <w:tcPr>
            <w:tcW w:w="1466" w:type="dxa"/>
            <w:tcBorders>
              <w:right w:val="single" w:color="000000" w:sz="6" w:space="0"/>
            </w:tcBorders>
            <w:vAlign w:val="top"/>
          </w:tcPr>
          <w:p w14:paraId="66A94293">
            <w:pPr>
              <w:rPr>
                <w:rFonts w:ascii="Arial"/>
                <w:color w:val="auto"/>
                <w:sz w:val="21"/>
                <w:highlight w:val="none"/>
              </w:rPr>
            </w:pPr>
          </w:p>
        </w:tc>
      </w:tr>
      <w:tr w14:paraId="6259BCB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743" w:type="dxa"/>
            <w:tcBorders>
              <w:left w:val="single" w:color="000000" w:sz="6" w:space="0"/>
            </w:tcBorders>
            <w:vAlign w:val="top"/>
          </w:tcPr>
          <w:p w14:paraId="1746F212">
            <w:pPr>
              <w:rPr>
                <w:rFonts w:ascii="Arial"/>
                <w:color w:val="auto"/>
                <w:sz w:val="21"/>
                <w:highlight w:val="none"/>
              </w:rPr>
            </w:pPr>
          </w:p>
        </w:tc>
        <w:tc>
          <w:tcPr>
            <w:tcW w:w="2830" w:type="dxa"/>
            <w:vAlign w:val="top"/>
          </w:tcPr>
          <w:p w14:paraId="391CA373">
            <w:pPr>
              <w:rPr>
                <w:rFonts w:ascii="Arial"/>
                <w:color w:val="auto"/>
                <w:sz w:val="21"/>
                <w:highlight w:val="none"/>
              </w:rPr>
            </w:pPr>
          </w:p>
        </w:tc>
        <w:tc>
          <w:tcPr>
            <w:tcW w:w="1890" w:type="dxa"/>
            <w:vAlign w:val="top"/>
          </w:tcPr>
          <w:p w14:paraId="5D7EEA01">
            <w:pPr>
              <w:rPr>
                <w:rFonts w:ascii="Arial"/>
                <w:color w:val="auto"/>
                <w:sz w:val="21"/>
                <w:highlight w:val="none"/>
              </w:rPr>
            </w:pPr>
          </w:p>
        </w:tc>
        <w:tc>
          <w:tcPr>
            <w:tcW w:w="807" w:type="dxa"/>
            <w:vAlign w:val="top"/>
          </w:tcPr>
          <w:p w14:paraId="625C52C8">
            <w:pPr>
              <w:rPr>
                <w:rFonts w:ascii="Arial"/>
                <w:color w:val="auto"/>
                <w:sz w:val="21"/>
                <w:highlight w:val="none"/>
              </w:rPr>
            </w:pPr>
          </w:p>
        </w:tc>
        <w:tc>
          <w:tcPr>
            <w:tcW w:w="1076" w:type="dxa"/>
            <w:vAlign w:val="top"/>
          </w:tcPr>
          <w:p w14:paraId="136028E2">
            <w:pPr>
              <w:rPr>
                <w:rFonts w:ascii="Arial"/>
                <w:color w:val="auto"/>
                <w:sz w:val="21"/>
                <w:highlight w:val="none"/>
              </w:rPr>
            </w:pPr>
          </w:p>
        </w:tc>
        <w:tc>
          <w:tcPr>
            <w:tcW w:w="1466" w:type="dxa"/>
            <w:tcBorders>
              <w:right w:val="single" w:color="000000" w:sz="6" w:space="0"/>
            </w:tcBorders>
            <w:vAlign w:val="top"/>
          </w:tcPr>
          <w:p w14:paraId="2F52DD24">
            <w:pPr>
              <w:rPr>
                <w:rFonts w:ascii="Arial"/>
                <w:color w:val="auto"/>
                <w:sz w:val="21"/>
                <w:highlight w:val="none"/>
              </w:rPr>
            </w:pPr>
          </w:p>
        </w:tc>
      </w:tr>
      <w:tr w14:paraId="22E045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0EBCBFB3">
            <w:pPr>
              <w:rPr>
                <w:rFonts w:ascii="Arial"/>
                <w:color w:val="auto"/>
                <w:sz w:val="21"/>
                <w:highlight w:val="none"/>
              </w:rPr>
            </w:pPr>
          </w:p>
        </w:tc>
        <w:tc>
          <w:tcPr>
            <w:tcW w:w="2830" w:type="dxa"/>
            <w:vAlign w:val="top"/>
          </w:tcPr>
          <w:p w14:paraId="46B70B2A">
            <w:pPr>
              <w:rPr>
                <w:rFonts w:ascii="Arial"/>
                <w:color w:val="auto"/>
                <w:sz w:val="21"/>
                <w:highlight w:val="none"/>
              </w:rPr>
            </w:pPr>
          </w:p>
        </w:tc>
        <w:tc>
          <w:tcPr>
            <w:tcW w:w="1890" w:type="dxa"/>
            <w:vAlign w:val="top"/>
          </w:tcPr>
          <w:p w14:paraId="288B8377">
            <w:pPr>
              <w:rPr>
                <w:rFonts w:ascii="Arial"/>
                <w:color w:val="auto"/>
                <w:sz w:val="21"/>
                <w:highlight w:val="none"/>
              </w:rPr>
            </w:pPr>
          </w:p>
        </w:tc>
        <w:tc>
          <w:tcPr>
            <w:tcW w:w="807" w:type="dxa"/>
            <w:vAlign w:val="top"/>
          </w:tcPr>
          <w:p w14:paraId="7DC7CA35">
            <w:pPr>
              <w:rPr>
                <w:rFonts w:ascii="Arial"/>
                <w:color w:val="auto"/>
                <w:sz w:val="21"/>
                <w:highlight w:val="none"/>
              </w:rPr>
            </w:pPr>
          </w:p>
        </w:tc>
        <w:tc>
          <w:tcPr>
            <w:tcW w:w="1076" w:type="dxa"/>
            <w:vAlign w:val="top"/>
          </w:tcPr>
          <w:p w14:paraId="2A2DB233">
            <w:pPr>
              <w:rPr>
                <w:rFonts w:ascii="Arial"/>
                <w:color w:val="auto"/>
                <w:sz w:val="21"/>
                <w:highlight w:val="none"/>
              </w:rPr>
            </w:pPr>
          </w:p>
        </w:tc>
        <w:tc>
          <w:tcPr>
            <w:tcW w:w="1466" w:type="dxa"/>
            <w:tcBorders>
              <w:right w:val="single" w:color="000000" w:sz="6" w:space="0"/>
            </w:tcBorders>
            <w:vAlign w:val="top"/>
          </w:tcPr>
          <w:p w14:paraId="2FAD7EE4">
            <w:pPr>
              <w:rPr>
                <w:rFonts w:ascii="Arial"/>
                <w:color w:val="auto"/>
                <w:sz w:val="21"/>
                <w:highlight w:val="none"/>
              </w:rPr>
            </w:pPr>
          </w:p>
        </w:tc>
      </w:tr>
      <w:tr w14:paraId="3A9E2F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743" w:type="dxa"/>
            <w:tcBorders>
              <w:left w:val="single" w:color="000000" w:sz="6" w:space="0"/>
            </w:tcBorders>
            <w:vAlign w:val="top"/>
          </w:tcPr>
          <w:p w14:paraId="35D609FC">
            <w:pPr>
              <w:rPr>
                <w:rFonts w:ascii="Arial"/>
                <w:color w:val="auto"/>
                <w:sz w:val="21"/>
                <w:highlight w:val="none"/>
              </w:rPr>
            </w:pPr>
          </w:p>
        </w:tc>
        <w:tc>
          <w:tcPr>
            <w:tcW w:w="2830" w:type="dxa"/>
            <w:vAlign w:val="top"/>
          </w:tcPr>
          <w:p w14:paraId="546F1699">
            <w:pPr>
              <w:rPr>
                <w:rFonts w:ascii="Arial"/>
                <w:color w:val="auto"/>
                <w:sz w:val="21"/>
                <w:highlight w:val="none"/>
              </w:rPr>
            </w:pPr>
          </w:p>
        </w:tc>
        <w:tc>
          <w:tcPr>
            <w:tcW w:w="1890" w:type="dxa"/>
            <w:vAlign w:val="top"/>
          </w:tcPr>
          <w:p w14:paraId="2C36FB4B">
            <w:pPr>
              <w:rPr>
                <w:rFonts w:ascii="Arial"/>
                <w:color w:val="auto"/>
                <w:sz w:val="21"/>
                <w:highlight w:val="none"/>
              </w:rPr>
            </w:pPr>
          </w:p>
        </w:tc>
        <w:tc>
          <w:tcPr>
            <w:tcW w:w="807" w:type="dxa"/>
            <w:vAlign w:val="top"/>
          </w:tcPr>
          <w:p w14:paraId="28E03D72">
            <w:pPr>
              <w:rPr>
                <w:rFonts w:ascii="Arial"/>
                <w:color w:val="auto"/>
                <w:sz w:val="21"/>
                <w:highlight w:val="none"/>
              </w:rPr>
            </w:pPr>
          </w:p>
        </w:tc>
        <w:tc>
          <w:tcPr>
            <w:tcW w:w="1076" w:type="dxa"/>
            <w:vAlign w:val="top"/>
          </w:tcPr>
          <w:p w14:paraId="5B2B340C">
            <w:pPr>
              <w:rPr>
                <w:rFonts w:ascii="Arial"/>
                <w:color w:val="auto"/>
                <w:sz w:val="21"/>
                <w:highlight w:val="none"/>
              </w:rPr>
            </w:pPr>
          </w:p>
        </w:tc>
        <w:tc>
          <w:tcPr>
            <w:tcW w:w="1466" w:type="dxa"/>
            <w:tcBorders>
              <w:right w:val="single" w:color="000000" w:sz="6" w:space="0"/>
            </w:tcBorders>
            <w:vAlign w:val="top"/>
          </w:tcPr>
          <w:p w14:paraId="0A592D3C">
            <w:pPr>
              <w:rPr>
                <w:rFonts w:ascii="Arial"/>
                <w:color w:val="auto"/>
                <w:sz w:val="21"/>
                <w:highlight w:val="none"/>
              </w:rPr>
            </w:pPr>
          </w:p>
        </w:tc>
      </w:tr>
      <w:tr w14:paraId="4C99FC3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4606A7FF">
            <w:pPr>
              <w:rPr>
                <w:rFonts w:ascii="Arial"/>
                <w:color w:val="auto"/>
                <w:sz w:val="21"/>
                <w:highlight w:val="none"/>
              </w:rPr>
            </w:pPr>
          </w:p>
        </w:tc>
        <w:tc>
          <w:tcPr>
            <w:tcW w:w="2830" w:type="dxa"/>
            <w:vAlign w:val="top"/>
          </w:tcPr>
          <w:p w14:paraId="1C2CE971">
            <w:pPr>
              <w:rPr>
                <w:rFonts w:ascii="Arial"/>
                <w:color w:val="auto"/>
                <w:sz w:val="21"/>
                <w:highlight w:val="none"/>
              </w:rPr>
            </w:pPr>
          </w:p>
        </w:tc>
        <w:tc>
          <w:tcPr>
            <w:tcW w:w="1890" w:type="dxa"/>
            <w:vAlign w:val="top"/>
          </w:tcPr>
          <w:p w14:paraId="1EE988C3">
            <w:pPr>
              <w:rPr>
                <w:rFonts w:ascii="Arial"/>
                <w:color w:val="auto"/>
                <w:sz w:val="21"/>
                <w:highlight w:val="none"/>
              </w:rPr>
            </w:pPr>
          </w:p>
        </w:tc>
        <w:tc>
          <w:tcPr>
            <w:tcW w:w="807" w:type="dxa"/>
            <w:vAlign w:val="top"/>
          </w:tcPr>
          <w:p w14:paraId="64F52CE8">
            <w:pPr>
              <w:rPr>
                <w:rFonts w:ascii="Arial"/>
                <w:color w:val="auto"/>
                <w:sz w:val="21"/>
                <w:highlight w:val="none"/>
              </w:rPr>
            </w:pPr>
          </w:p>
        </w:tc>
        <w:tc>
          <w:tcPr>
            <w:tcW w:w="1076" w:type="dxa"/>
            <w:vAlign w:val="top"/>
          </w:tcPr>
          <w:p w14:paraId="7ABFB49C">
            <w:pPr>
              <w:rPr>
                <w:rFonts w:ascii="Arial"/>
                <w:color w:val="auto"/>
                <w:sz w:val="21"/>
                <w:highlight w:val="none"/>
              </w:rPr>
            </w:pPr>
          </w:p>
        </w:tc>
        <w:tc>
          <w:tcPr>
            <w:tcW w:w="1466" w:type="dxa"/>
            <w:tcBorders>
              <w:right w:val="single" w:color="000000" w:sz="6" w:space="0"/>
            </w:tcBorders>
            <w:vAlign w:val="top"/>
          </w:tcPr>
          <w:p w14:paraId="6581CCDD">
            <w:pPr>
              <w:rPr>
                <w:rFonts w:ascii="Arial"/>
                <w:color w:val="auto"/>
                <w:sz w:val="21"/>
                <w:highlight w:val="none"/>
              </w:rPr>
            </w:pPr>
          </w:p>
        </w:tc>
      </w:tr>
      <w:tr w14:paraId="2E993E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743" w:type="dxa"/>
            <w:tcBorders>
              <w:left w:val="single" w:color="000000" w:sz="6" w:space="0"/>
            </w:tcBorders>
            <w:vAlign w:val="top"/>
          </w:tcPr>
          <w:p w14:paraId="061FA360">
            <w:pPr>
              <w:rPr>
                <w:rFonts w:ascii="Arial"/>
                <w:color w:val="auto"/>
                <w:sz w:val="21"/>
                <w:highlight w:val="none"/>
              </w:rPr>
            </w:pPr>
          </w:p>
        </w:tc>
        <w:tc>
          <w:tcPr>
            <w:tcW w:w="2830" w:type="dxa"/>
            <w:vAlign w:val="top"/>
          </w:tcPr>
          <w:p w14:paraId="74DB34E2">
            <w:pPr>
              <w:rPr>
                <w:rFonts w:ascii="Arial"/>
                <w:color w:val="auto"/>
                <w:sz w:val="21"/>
                <w:highlight w:val="none"/>
              </w:rPr>
            </w:pPr>
          </w:p>
        </w:tc>
        <w:tc>
          <w:tcPr>
            <w:tcW w:w="1890" w:type="dxa"/>
            <w:vAlign w:val="top"/>
          </w:tcPr>
          <w:p w14:paraId="39055B9A">
            <w:pPr>
              <w:rPr>
                <w:rFonts w:ascii="Arial"/>
                <w:color w:val="auto"/>
                <w:sz w:val="21"/>
                <w:highlight w:val="none"/>
              </w:rPr>
            </w:pPr>
          </w:p>
        </w:tc>
        <w:tc>
          <w:tcPr>
            <w:tcW w:w="807" w:type="dxa"/>
            <w:vAlign w:val="top"/>
          </w:tcPr>
          <w:p w14:paraId="7851983E">
            <w:pPr>
              <w:rPr>
                <w:rFonts w:ascii="Arial"/>
                <w:color w:val="auto"/>
                <w:sz w:val="21"/>
                <w:highlight w:val="none"/>
              </w:rPr>
            </w:pPr>
          </w:p>
        </w:tc>
        <w:tc>
          <w:tcPr>
            <w:tcW w:w="1076" w:type="dxa"/>
            <w:vAlign w:val="top"/>
          </w:tcPr>
          <w:p w14:paraId="7287AC20">
            <w:pPr>
              <w:rPr>
                <w:rFonts w:ascii="Arial"/>
                <w:color w:val="auto"/>
                <w:sz w:val="21"/>
                <w:highlight w:val="none"/>
              </w:rPr>
            </w:pPr>
          </w:p>
        </w:tc>
        <w:tc>
          <w:tcPr>
            <w:tcW w:w="1466" w:type="dxa"/>
            <w:tcBorders>
              <w:right w:val="single" w:color="000000" w:sz="6" w:space="0"/>
            </w:tcBorders>
            <w:vAlign w:val="top"/>
          </w:tcPr>
          <w:p w14:paraId="3CE92BB1">
            <w:pPr>
              <w:rPr>
                <w:rFonts w:ascii="Arial"/>
                <w:color w:val="auto"/>
                <w:sz w:val="21"/>
                <w:highlight w:val="none"/>
              </w:rPr>
            </w:pPr>
          </w:p>
        </w:tc>
      </w:tr>
      <w:tr w14:paraId="155D8FA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743" w:type="dxa"/>
            <w:tcBorders>
              <w:left w:val="single" w:color="000000" w:sz="6" w:space="0"/>
            </w:tcBorders>
            <w:vAlign w:val="top"/>
          </w:tcPr>
          <w:p w14:paraId="0106FBAE">
            <w:pPr>
              <w:rPr>
                <w:rFonts w:ascii="Arial"/>
                <w:color w:val="auto"/>
                <w:sz w:val="21"/>
                <w:highlight w:val="none"/>
              </w:rPr>
            </w:pPr>
          </w:p>
        </w:tc>
        <w:tc>
          <w:tcPr>
            <w:tcW w:w="2830" w:type="dxa"/>
            <w:vAlign w:val="top"/>
          </w:tcPr>
          <w:p w14:paraId="05267968">
            <w:pPr>
              <w:rPr>
                <w:rFonts w:ascii="Arial"/>
                <w:color w:val="auto"/>
                <w:sz w:val="21"/>
                <w:highlight w:val="none"/>
              </w:rPr>
            </w:pPr>
          </w:p>
        </w:tc>
        <w:tc>
          <w:tcPr>
            <w:tcW w:w="1890" w:type="dxa"/>
            <w:vAlign w:val="top"/>
          </w:tcPr>
          <w:p w14:paraId="79F34B7A">
            <w:pPr>
              <w:rPr>
                <w:rFonts w:ascii="Arial"/>
                <w:color w:val="auto"/>
                <w:sz w:val="21"/>
                <w:highlight w:val="none"/>
              </w:rPr>
            </w:pPr>
          </w:p>
        </w:tc>
        <w:tc>
          <w:tcPr>
            <w:tcW w:w="807" w:type="dxa"/>
            <w:vAlign w:val="top"/>
          </w:tcPr>
          <w:p w14:paraId="29B6A516">
            <w:pPr>
              <w:rPr>
                <w:rFonts w:ascii="Arial"/>
                <w:color w:val="auto"/>
                <w:sz w:val="21"/>
                <w:highlight w:val="none"/>
              </w:rPr>
            </w:pPr>
          </w:p>
        </w:tc>
        <w:tc>
          <w:tcPr>
            <w:tcW w:w="1076" w:type="dxa"/>
            <w:vAlign w:val="top"/>
          </w:tcPr>
          <w:p w14:paraId="1BED2E3D">
            <w:pPr>
              <w:rPr>
                <w:rFonts w:ascii="Arial"/>
                <w:color w:val="auto"/>
                <w:sz w:val="21"/>
                <w:highlight w:val="none"/>
              </w:rPr>
            </w:pPr>
          </w:p>
        </w:tc>
        <w:tc>
          <w:tcPr>
            <w:tcW w:w="1466" w:type="dxa"/>
            <w:tcBorders>
              <w:right w:val="single" w:color="000000" w:sz="6" w:space="0"/>
            </w:tcBorders>
            <w:vAlign w:val="top"/>
          </w:tcPr>
          <w:p w14:paraId="0D58B246">
            <w:pPr>
              <w:rPr>
                <w:rFonts w:ascii="Arial"/>
                <w:color w:val="auto"/>
                <w:sz w:val="21"/>
                <w:highlight w:val="none"/>
              </w:rPr>
            </w:pPr>
          </w:p>
        </w:tc>
      </w:tr>
      <w:tr w14:paraId="594B50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743" w:type="dxa"/>
            <w:tcBorders>
              <w:left w:val="single" w:color="000000" w:sz="6" w:space="0"/>
              <w:bottom w:val="single" w:color="000000" w:sz="6" w:space="0"/>
            </w:tcBorders>
            <w:vAlign w:val="top"/>
          </w:tcPr>
          <w:p w14:paraId="703562B4">
            <w:pPr>
              <w:rPr>
                <w:rFonts w:ascii="Arial"/>
                <w:color w:val="auto"/>
                <w:sz w:val="21"/>
                <w:highlight w:val="none"/>
              </w:rPr>
            </w:pPr>
          </w:p>
        </w:tc>
        <w:tc>
          <w:tcPr>
            <w:tcW w:w="2830" w:type="dxa"/>
            <w:tcBorders>
              <w:bottom w:val="single" w:color="000000" w:sz="6" w:space="0"/>
            </w:tcBorders>
            <w:vAlign w:val="top"/>
          </w:tcPr>
          <w:p w14:paraId="477F7A56">
            <w:pPr>
              <w:rPr>
                <w:rFonts w:ascii="Arial"/>
                <w:color w:val="auto"/>
                <w:sz w:val="21"/>
                <w:highlight w:val="none"/>
              </w:rPr>
            </w:pPr>
          </w:p>
        </w:tc>
        <w:tc>
          <w:tcPr>
            <w:tcW w:w="1890" w:type="dxa"/>
            <w:tcBorders>
              <w:bottom w:val="single" w:color="000000" w:sz="6" w:space="0"/>
            </w:tcBorders>
            <w:vAlign w:val="top"/>
          </w:tcPr>
          <w:p w14:paraId="070DDB3E">
            <w:pPr>
              <w:rPr>
                <w:rFonts w:ascii="Arial"/>
                <w:color w:val="auto"/>
                <w:sz w:val="21"/>
                <w:highlight w:val="none"/>
              </w:rPr>
            </w:pPr>
          </w:p>
        </w:tc>
        <w:tc>
          <w:tcPr>
            <w:tcW w:w="807" w:type="dxa"/>
            <w:tcBorders>
              <w:bottom w:val="single" w:color="000000" w:sz="6" w:space="0"/>
            </w:tcBorders>
            <w:vAlign w:val="top"/>
          </w:tcPr>
          <w:p w14:paraId="57501D01">
            <w:pPr>
              <w:rPr>
                <w:rFonts w:ascii="Arial"/>
                <w:color w:val="auto"/>
                <w:sz w:val="21"/>
                <w:highlight w:val="none"/>
              </w:rPr>
            </w:pPr>
          </w:p>
        </w:tc>
        <w:tc>
          <w:tcPr>
            <w:tcW w:w="1076" w:type="dxa"/>
            <w:tcBorders>
              <w:bottom w:val="single" w:color="000000" w:sz="6" w:space="0"/>
            </w:tcBorders>
            <w:vAlign w:val="top"/>
          </w:tcPr>
          <w:p w14:paraId="4C5170F1">
            <w:pPr>
              <w:rPr>
                <w:rFonts w:ascii="Arial"/>
                <w:color w:val="auto"/>
                <w:sz w:val="21"/>
                <w:highlight w:val="none"/>
              </w:rPr>
            </w:pPr>
          </w:p>
        </w:tc>
        <w:tc>
          <w:tcPr>
            <w:tcW w:w="1466" w:type="dxa"/>
            <w:tcBorders>
              <w:bottom w:val="single" w:color="000000" w:sz="6" w:space="0"/>
              <w:right w:val="single" w:color="000000" w:sz="6" w:space="0"/>
            </w:tcBorders>
            <w:vAlign w:val="top"/>
          </w:tcPr>
          <w:p w14:paraId="02754EE3">
            <w:pPr>
              <w:rPr>
                <w:rFonts w:ascii="Arial"/>
                <w:color w:val="auto"/>
                <w:sz w:val="21"/>
                <w:highlight w:val="none"/>
              </w:rPr>
            </w:pPr>
          </w:p>
        </w:tc>
      </w:tr>
    </w:tbl>
    <w:p w14:paraId="760D9884">
      <w:pPr>
        <w:pStyle w:val="3"/>
        <w:rPr>
          <w:color w:val="auto"/>
          <w:highlight w:val="none"/>
        </w:rPr>
      </w:pPr>
    </w:p>
    <w:p w14:paraId="5904EDF2">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49AB4D88">
      <w:pPr>
        <w:spacing w:before="55" w:line="219" w:lineRule="auto"/>
        <w:ind w:left="2446"/>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电、风、水、砂石基础单价汇总表</w:t>
      </w:r>
    </w:p>
    <w:p w14:paraId="75CBE570">
      <w:pPr>
        <w:spacing w:before="206" w:line="220" w:lineRule="auto"/>
        <w:ind w:left="130"/>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页</w:t>
      </w:r>
    </w:p>
    <w:p w14:paraId="4701FBB8">
      <w:pPr>
        <w:spacing w:line="143" w:lineRule="exact"/>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006"/>
        <w:gridCol w:w="3129"/>
        <w:gridCol w:w="1078"/>
        <w:gridCol w:w="1893"/>
        <w:gridCol w:w="1903"/>
      </w:tblGrid>
      <w:tr w14:paraId="22474DF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1006" w:type="dxa"/>
            <w:tcBorders>
              <w:top w:val="single" w:color="000000" w:sz="6" w:space="0"/>
              <w:left w:val="single" w:color="000000" w:sz="6" w:space="0"/>
            </w:tcBorders>
            <w:vAlign w:val="top"/>
          </w:tcPr>
          <w:p w14:paraId="36AF0831">
            <w:pPr>
              <w:pStyle w:val="33"/>
              <w:spacing w:before="275" w:line="221" w:lineRule="auto"/>
              <w:ind w:left="262"/>
              <w:rPr>
                <w:color w:val="auto"/>
                <w:sz w:val="24"/>
                <w:szCs w:val="24"/>
                <w:highlight w:val="none"/>
              </w:rPr>
            </w:pPr>
            <w:r>
              <w:rPr>
                <w:color w:val="auto"/>
                <w:spacing w:val="-3"/>
                <w:sz w:val="24"/>
                <w:szCs w:val="24"/>
                <w:highlight w:val="none"/>
              </w:rPr>
              <w:t>序号</w:t>
            </w:r>
          </w:p>
        </w:tc>
        <w:tc>
          <w:tcPr>
            <w:tcW w:w="3129" w:type="dxa"/>
            <w:tcBorders>
              <w:top w:val="single" w:color="000000" w:sz="6" w:space="0"/>
            </w:tcBorders>
            <w:vAlign w:val="top"/>
          </w:tcPr>
          <w:p w14:paraId="3EC9C7B2">
            <w:pPr>
              <w:pStyle w:val="33"/>
              <w:spacing w:before="275" w:line="222" w:lineRule="auto"/>
              <w:ind w:left="969"/>
              <w:rPr>
                <w:color w:val="auto"/>
                <w:sz w:val="24"/>
                <w:szCs w:val="24"/>
                <w:highlight w:val="none"/>
              </w:rPr>
            </w:pPr>
            <w:r>
              <w:rPr>
                <w:color w:val="auto"/>
                <w:spacing w:val="-7"/>
                <w:sz w:val="24"/>
                <w:szCs w:val="24"/>
                <w:highlight w:val="none"/>
              </w:rPr>
              <w:t>名</w:t>
            </w:r>
            <w:r>
              <w:rPr>
                <w:color w:val="auto"/>
                <w:spacing w:val="1"/>
                <w:sz w:val="24"/>
                <w:szCs w:val="24"/>
                <w:highlight w:val="none"/>
              </w:rPr>
              <w:t xml:space="preserve">      </w:t>
            </w:r>
            <w:r>
              <w:rPr>
                <w:color w:val="auto"/>
                <w:spacing w:val="-7"/>
                <w:sz w:val="24"/>
                <w:szCs w:val="24"/>
                <w:highlight w:val="none"/>
              </w:rPr>
              <w:t>称</w:t>
            </w:r>
          </w:p>
        </w:tc>
        <w:tc>
          <w:tcPr>
            <w:tcW w:w="1078" w:type="dxa"/>
            <w:tcBorders>
              <w:top w:val="single" w:color="000000" w:sz="6" w:space="0"/>
            </w:tcBorders>
            <w:vAlign w:val="top"/>
          </w:tcPr>
          <w:p w14:paraId="7AE741ED">
            <w:pPr>
              <w:pStyle w:val="33"/>
              <w:spacing w:before="42" w:line="343" w:lineRule="auto"/>
              <w:ind w:left="305" w:right="297"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1893" w:type="dxa"/>
            <w:tcBorders>
              <w:top w:val="single" w:color="000000" w:sz="6" w:space="0"/>
            </w:tcBorders>
            <w:vAlign w:val="top"/>
          </w:tcPr>
          <w:p w14:paraId="0C97B5C2">
            <w:pPr>
              <w:pStyle w:val="33"/>
              <w:spacing w:before="275" w:line="218" w:lineRule="auto"/>
              <w:ind w:left="356"/>
              <w:rPr>
                <w:color w:val="auto"/>
                <w:sz w:val="24"/>
                <w:szCs w:val="24"/>
                <w:highlight w:val="none"/>
              </w:rPr>
            </w:pPr>
            <w:r>
              <w:rPr>
                <w:color w:val="auto"/>
                <w:spacing w:val="-5"/>
                <w:sz w:val="24"/>
                <w:szCs w:val="24"/>
                <w:highlight w:val="none"/>
              </w:rPr>
              <w:t>单价（元）</w:t>
            </w:r>
          </w:p>
        </w:tc>
        <w:tc>
          <w:tcPr>
            <w:tcW w:w="1903" w:type="dxa"/>
            <w:tcBorders>
              <w:top w:val="single" w:color="000000" w:sz="6" w:space="0"/>
              <w:right w:val="single" w:color="000000" w:sz="6" w:space="0"/>
            </w:tcBorders>
            <w:vAlign w:val="top"/>
          </w:tcPr>
          <w:p w14:paraId="33F69CC2">
            <w:pPr>
              <w:pStyle w:val="33"/>
              <w:spacing w:before="275" w:line="221" w:lineRule="auto"/>
              <w:ind w:left="720"/>
              <w:rPr>
                <w:color w:val="auto"/>
                <w:sz w:val="24"/>
                <w:szCs w:val="24"/>
                <w:highlight w:val="none"/>
              </w:rPr>
            </w:pPr>
            <w:r>
              <w:rPr>
                <w:color w:val="auto"/>
                <w:spacing w:val="-4"/>
                <w:sz w:val="24"/>
                <w:szCs w:val="24"/>
                <w:highlight w:val="none"/>
              </w:rPr>
              <w:t>备注</w:t>
            </w:r>
          </w:p>
        </w:tc>
      </w:tr>
      <w:tr w14:paraId="31B7EED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485FB913">
            <w:pPr>
              <w:rPr>
                <w:rFonts w:ascii="Arial"/>
                <w:color w:val="auto"/>
                <w:sz w:val="21"/>
                <w:highlight w:val="none"/>
              </w:rPr>
            </w:pPr>
          </w:p>
        </w:tc>
        <w:tc>
          <w:tcPr>
            <w:tcW w:w="3129" w:type="dxa"/>
            <w:vAlign w:val="top"/>
          </w:tcPr>
          <w:p w14:paraId="356F542E">
            <w:pPr>
              <w:rPr>
                <w:rFonts w:ascii="Arial"/>
                <w:color w:val="auto"/>
                <w:sz w:val="21"/>
                <w:highlight w:val="none"/>
              </w:rPr>
            </w:pPr>
          </w:p>
        </w:tc>
        <w:tc>
          <w:tcPr>
            <w:tcW w:w="1078" w:type="dxa"/>
            <w:vAlign w:val="top"/>
          </w:tcPr>
          <w:p w14:paraId="103FF07A">
            <w:pPr>
              <w:rPr>
                <w:rFonts w:ascii="Arial"/>
                <w:color w:val="auto"/>
                <w:sz w:val="21"/>
                <w:highlight w:val="none"/>
              </w:rPr>
            </w:pPr>
          </w:p>
        </w:tc>
        <w:tc>
          <w:tcPr>
            <w:tcW w:w="1893" w:type="dxa"/>
            <w:vAlign w:val="top"/>
          </w:tcPr>
          <w:p w14:paraId="69EBC096">
            <w:pPr>
              <w:rPr>
                <w:rFonts w:ascii="Arial"/>
                <w:color w:val="auto"/>
                <w:sz w:val="21"/>
                <w:highlight w:val="none"/>
              </w:rPr>
            </w:pPr>
          </w:p>
        </w:tc>
        <w:tc>
          <w:tcPr>
            <w:tcW w:w="1903" w:type="dxa"/>
            <w:tcBorders>
              <w:right w:val="single" w:color="000000" w:sz="6" w:space="0"/>
            </w:tcBorders>
            <w:vAlign w:val="top"/>
          </w:tcPr>
          <w:p w14:paraId="404CC8F2">
            <w:pPr>
              <w:rPr>
                <w:rFonts w:ascii="Arial"/>
                <w:color w:val="auto"/>
                <w:sz w:val="21"/>
                <w:highlight w:val="none"/>
              </w:rPr>
            </w:pPr>
          </w:p>
        </w:tc>
      </w:tr>
      <w:tr w14:paraId="39CBD79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1006" w:type="dxa"/>
            <w:tcBorders>
              <w:left w:val="single" w:color="000000" w:sz="6" w:space="0"/>
            </w:tcBorders>
            <w:vAlign w:val="top"/>
          </w:tcPr>
          <w:p w14:paraId="28832352">
            <w:pPr>
              <w:rPr>
                <w:rFonts w:ascii="Arial"/>
                <w:color w:val="auto"/>
                <w:sz w:val="21"/>
                <w:highlight w:val="none"/>
              </w:rPr>
            </w:pPr>
          </w:p>
        </w:tc>
        <w:tc>
          <w:tcPr>
            <w:tcW w:w="3129" w:type="dxa"/>
            <w:vAlign w:val="top"/>
          </w:tcPr>
          <w:p w14:paraId="4036D24C">
            <w:pPr>
              <w:rPr>
                <w:rFonts w:ascii="Arial"/>
                <w:color w:val="auto"/>
                <w:sz w:val="21"/>
                <w:highlight w:val="none"/>
              </w:rPr>
            </w:pPr>
          </w:p>
        </w:tc>
        <w:tc>
          <w:tcPr>
            <w:tcW w:w="1078" w:type="dxa"/>
            <w:vAlign w:val="top"/>
          </w:tcPr>
          <w:p w14:paraId="69CD430D">
            <w:pPr>
              <w:rPr>
                <w:rFonts w:ascii="Arial"/>
                <w:color w:val="auto"/>
                <w:sz w:val="21"/>
                <w:highlight w:val="none"/>
              </w:rPr>
            </w:pPr>
          </w:p>
        </w:tc>
        <w:tc>
          <w:tcPr>
            <w:tcW w:w="1893" w:type="dxa"/>
            <w:vAlign w:val="top"/>
          </w:tcPr>
          <w:p w14:paraId="49128D41">
            <w:pPr>
              <w:rPr>
                <w:rFonts w:ascii="Arial"/>
                <w:color w:val="auto"/>
                <w:sz w:val="21"/>
                <w:highlight w:val="none"/>
              </w:rPr>
            </w:pPr>
          </w:p>
        </w:tc>
        <w:tc>
          <w:tcPr>
            <w:tcW w:w="1903" w:type="dxa"/>
            <w:tcBorders>
              <w:right w:val="single" w:color="000000" w:sz="6" w:space="0"/>
            </w:tcBorders>
            <w:vAlign w:val="top"/>
          </w:tcPr>
          <w:p w14:paraId="00C6E15B">
            <w:pPr>
              <w:rPr>
                <w:rFonts w:ascii="Arial"/>
                <w:color w:val="auto"/>
                <w:sz w:val="21"/>
                <w:highlight w:val="none"/>
              </w:rPr>
            </w:pPr>
          </w:p>
        </w:tc>
      </w:tr>
      <w:tr w14:paraId="4686A3C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2AD7275B">
            <w:pPr>
              <w:rPr>
                <w:rFonts w:ascii="Arial"/>
                <w:color w:val="auto"/>
                <w:sz w:val="21"/>
                <w:highlight w:val="none"/>
              </w:rPr>
            </w:pPr>
          </w:p>
        </w:tc>
        <w:tc>
          <w:tcPr>
            <w:tcW w:w="3129" w:type="dxa"/>
            <w:vAlign w:val="top"/>
          </w:tcPr>
          <w:p w14:paraId="31FDF07A">
            <w:pPr>
              <w:rPr>
                <w:rFonts w:ascii="Arial"/>
                <w:color w:val="auto"/>
                <w:sz w:val="21"/>
                <w:highlight w:val="none"/>
              </w:rPr>
            </w:pPr>
          </w:p>
        </w:tc>
        <w:tc>
          <w:tcPr>
            <w:tcW w:w="1078" w:type="dxa"/>
            <w:vAlign w:val="top"/>
          </w:tcPr>
          <w:p w14:paraId="7D7AAA58">
            <w:pPr>
              <w:rPr>
                <w:rFonts w:ascii="Arial"/>
                <w:color w:val="auto"/>
                <w:sz w:val="21"/>
                <w:highlight w:val="none"/>
              </w:rPr>
            </w:pPr>
          </w:p>
        </w:tc>
        <w:tc>
          <w:tcPr>
            <w:tcW w:w="1893" w:type="dxa"/>
            <w:vAlign w:val="top"/>
          </w:tcPr>
          <w:p w14:paraId="539CD1AB">
            <w:pPr>
              <w:rPr>
                <w:rFonts w:ascii="Arial"/>
                <w:color w:val="auto"/>
                <w:sz w:val="21"/>
                <w:highlight w:val="none"/>
              </w:rPr>
            </w:pPr>
          </w:p>
        </w:tc>
        <w:tc>
          <w:tcPr>
            <w:tcW w:w="1903" w:type="dxa"/>
            <w:tcBorders>
              <w:right w:val="single" w:color="000000" w:sz="6" w:space="0"/>
            </w:tcBorders>
            <w:vAlign w:val="top"/>
          </w:tcPr>
          <w:p w14:paraId="02603A23">
            <w:pPr>
              <w:rPr>
                <w:rFonts w:ascii="Arial"/>
                <w:color w:val="auto"/>
                <w:sz w:val="21"/>
                <w:highlight w:val="none"/>
              </w:rPr>
            </w:pPr>
          </w:p>
        </w:tc>
      </w:tr>
      <w:tr w14:paraId="17295E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vAlign w:val="top"/>
          </w:tcPr>
          <w:p w14:paraId="6BDED4B8">
            <w:pPr>
              <w:rPr>
                <w:rFonts w:ascii="Arial"/>
                <w:color w:val="auto"/>
                <w:sz w:val="21"/>
                <w:highlight w:val="none"/>
              </w:rPr>
            </w:pPr>
          </w:p>
        </w:tc>
        <w:tc>
          <w:tcPr>
            <w:tcW w:w="3129" w:type="dxa"/>
            <w:vAlign w:val="top"/>
          </w:tcPr>
          <w:p w14:paraId="05E7739D">
            <w:pPr>
              <w:rPr>
                <w:rFonts w:ascii="Arial"/>
                <w:color w:val="auto"/>
                <w:sz w:val="21"/>
                <w:highlight w:val="none"/>
              </w:rPr>
            </w:pPr>
          </w:p>
        </w:tc>
        <w:tc>
          <w:tcPr>
            <w:tcW w:w="1078" w:type="dxa"/>
            <w:vAlign w:val="top"/>
          </w:tcPr>
          <w:p w14:paraId="5748BADD">
            <w:pPr>
              <w:rPr>
                <w:rFonts w:ascii="Arial"/>
                <w:color w:val="auto"/>
                <w:sz w:val="21"/>
                <w:highlight w:val="none"/>
              </w:rPr>
            </w:pPr>
          </w:p>
        </w:tc>
        <w:tc>
          <w:tcPr>
            <w:tcW w:w="1893" w:type="dxa"/>
            <w:vAlign w:val="top"/>
          </w:tcPr>
          <w:p w14:paraId="25478EA5">
            <w:pPr>
              <w:rPr>
                <w:rFonts w:ascii="Arial"/>
                <w:color w:val="auto"/>
                <w:sz w:val="21"/>
                <w:highlight w:val="none"/>
              </w:rPr>
            </w:pPr>
          </w:p>
        </w:tc>
        <w:tc>
          <w:tcPr>
            <w:tcW w:w="1903" w:type="dxa"/>
            <w:tcBorders>
              <w:right w:val="single" w:color="000000" w:sz="6" w:space="0"/>
            </w:tcBorders>
            <w:vAlign w:val="top"/>
          </w:tcPr>
          <w:p w14:paraId="55194220">
            <w:pPr>
              <w:rPr>
                <w:rFonts w:ascii="Arial"/>
                <w:color w:val="auto"/>
                <w:sz w:val="21"/>
                <w:highlight w:val="none"/>
              </w:rPr>
            </w:pPr>
          </w:p>
        </w:tc>
      </w:tr>
      <w:tr w14:paraId="4DE825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6767533D">
            <w:pPr>
              <w:rPr>
                <w:rFonts w:ascii="Arial"/>
                <w:color w:val="auto"/>
                <w:sz w:val="21"/>
                <w:highlight w:val="none"/>
              </w:rPr>
            </w:pPr>
          </w:p>
        </w:tc>
        <w:tc>
          <w:tcPr>
            <w:tcW w:w="3129" w:type="dxa"/>
            <w:vAlign w:val="top"/>
          </w:tcPr>
          <w:p w14:paraId="313862D2">
            <w:pPr>
              <w:rPr>
                <w:rFonts w:ascii="Arial"/>
                <w:color w:val="auto"/>
                <w:sz w:val="21"/>
                <w:highlight w:val="none"/>
              </w:rPr>
            </w:pPr>
          </w:p>
        </w:tc>
        <w:tc>
          <w:tcPr>
            <w:tcW w:w="1078" w:type="dxa"/>
            <w:vAlign w:val="top"/>
          </w:tcPr>
          <w:p w14:paraId="28F7654E">
            <w:pPr>
              <w:rPr>
                <w:rFonts w:ascii="Arial"/>
                <w:color w:val="auto"/>
                <w:sz w:val="21"/>
                <w:highlight w:val="none"/>
              </w:rPr>
            </w:pPr>
          </w:p>
        </w:tc>
        <w:tc>
          <w:tcPr>
            <w:tcW w:w="1893" w:type="dxa"/>
            <w:vAlign w:val="top"/>
          </w:tcPr>
          <w:p w14:paraId="32467B07">
            <w:pPr>
              <w:rPr>
                <w:rFonts w:ascii="Arial"/>
                <w:color w:val="auto"/>
                <w:sz w:val="21"/>
                <w:highlight w:val="none"/>
              </w:rPr>
            </w:pPr>
          </w:p>
        </w:tc>
        <w:tc>
          <w:tcPr>
            <w:tcW w:w="1903" w:type="dxa"/>
            <w:tcBorders>
              <w:right w:val="single" w:color="000000" w:sz="6" w:space="0"/>
            </w:tcBorders>
            <w:vAlign w:val="top"/>
          </w:tcPr>
          <w:p w14:paraId="3A95BDD7">
            <w:pPr>
              <w:rPr>
                <w:rFonts w:ascii="Arial"/>
                <w:color w:val="auto"/>
                <w:sz w:val="21"/>
                <w:highlight w:val="none"/>
              </w:rPr>
            </w:pPr>
          </w:p>
        </w:tc>
      </w:tr>
      <w:tr w14:paraId="6F1EA1B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305ED28D">
            <w:pPr>
              <w:rPr>
                <w:rFonts w:ascii="Arial"/>
                <w:color w:val="auto"/>
                <w:sz w:val="21"/>
                <w:highlight w:val="none"/>
              </w:rPr>
            </w:pPr>
          </w:p>
        </w:tc>
        <w:tc>
          <w:tcPr>
            <w:tcW w:w="3129" w:type="dxa"/>
            <w:vAlign w:val="top"/>
          </w:tcPr>
          <w:p w14:paraId="4DC5EB4A">
            <w:pPr>
              <w:rPr>
                <w:rFonts w:ascii="Arial"/>
                <w:color w:val="auto"/>
                <w:sz w:val="21"/>
                <w:highlight w:val="none"/>
              </w:rPr>
            </w:pPr>
          </w:p>
        </w:tc>
        <w:tc>
          <w:tcPr>
            <w:tcW w:w="1078" w:type="dxa"/>
            <w:vAlign w:val="top"/>
          </w:tcPr>
          <w:p w14:paraId="0B4EF9C4">
            <w:pPr>
              <w:rPr>
                <w:rFonts w:ascii="Arial"/>
                <w:color w:val="auto"/>
                <w:sz w:val="21"/>
                <w:highlight w:val="none"/>
              </w:rPr>
            </w:pPr>
          </w:p>
        </w:tc>
        <w:tc>
          <w:tcPr>
            <w:tcW w:w="1893" w:type="dxa"/>
            <w:vAlign w:val="top"/>
          </w:tcPr>
          <w:p w14:paraId="47ED838D">
            <w:pPr>
              <w:rPr>
                <w:rFonts w:ascii="Arial"/>
                <w:color w:val="auto"/>
                <w:sz w:val="21"/>
                <w:highlight w:val="none"/>
              </w:rPr>
            </w:pPr>
          </w:p>
        </w:tc>
        <w:tc>
          <w:tcPr>
            <w:tcW w:w="1903" w:type="dxa"/>
            <w:tcBorders>
              <w:right w:val="single" w:color="000000" w:sz="6" w:space="0"/>
            </w:tcBorders>
            <w:vAlign w:val="top"/>
          </w:tcPr>
          <w:p w14:paraId="2D47D52F">
            <w:pPr>
              <w:rPr>
                <w:rFonts w:ascii="Arial"/>
                <w:color w:val="auto"/>
                <w:sz w:val="21"/>
                <w:highlight w:val="none"/>
              </w:rPr>
            </w:pPr>
          </w:p>
        </w:tc>
      </w:tr>
      <w:tr w14:paraId="08D5383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vAlign w:val="top"/>
          </w:tcPr>
          <w:p w14:paraId="660381B0">
            <w:pPr>
              <w:rPr>
                <w:rFonts w:ascii="Arial"/>
                <w:color w:val="auto"/>
                <w:sz w:val="21"/>
                <w:highlight w:val="none"/>
              </w:rPr>
            </w:pPr>
          </w:p>
        </w:tc>
        <w:tc>
          <w:tcPr>
            <w:tcW w:w="3129" w:type="dxa"/>
            <w:vAlign w:val="top"/>
          </w:tcPr>
          <w:p w14:paraId="1B041A5A">
            <w:pPr>
              <w:rPr>
                <w:rFonts w:ascii="Arial"/>
                <w:color w:val="auto"/>
                <w:sz w:val="21"/>
                <w:highlight w:val="none"/>
              </w:rPr>
            </w:pPr>
          </w:p>
        </w:tc>
        <w:tc>
          <w:tcPr>
            <w:tcW w:w="1078" w:type="dxa"/>
            <w:vAlign w:val="top"/>
          </w:tcPr>
          <w:p w14:paraId="5C1F467C">
            <w:pPr>
              <w:rPr>
                <w:rFonts w:ascii="Arial"/>
                <w:color w:val="auto"/>
                <w:sz w:val="21"/>
                <w:highlight w:val="none"/>
              </w:rPr>
            </w:pPr>
          </w:p>
        </w:tc>
        <w:tc>
          <w:tcPr>
            <w:tcW w:w="1893" w:type="dxa"/>
            <w:vAlign w:val="top"/>
          </w:tcPr>
          <w:p w14:paraId="05DBFED1">
            <w:pPr>
              <w:rPr>
                <w:rFonts w:ascii="Arial"/>
                <w:color w:val="auto"/>
                <w:sz w:val="21"/>
                <w:highlight w:val="none"/>
              </w:rPr>
            </w:pPr>
          </w:p>
        </w:tc>
        <w:tc>
          <w:tcPr>
            <w:tcW w:w="1903" w:type="dxa"/>
            <w:tcBorders>
              <w:right w:val="single" w:color="000000" w:sz="6" w:space="0"/>
            </w:tcBorders>
            <w:vAlign w:val="top"/>
          </w:tcPr>
          <w:p w14:paraId="53C80141">
            <w:pPr>
              <w:rPr>
                <w:rFonts w:ascii="Arial"/>
                <w:color w:val="auto"/>
                <w:sz w:val="21"/>
                <w:highlight w:val="none"/>
              </w:rPr>
            </w:pPr>
          </w:p>
        </w:tc>
      </w:tr>
      <w:tr w14:paraId="5E7DA67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74C3C069">
            <w:pPr>
              <w:rPr>
                <w:rFonts w:ascii="Arial"/>
                <w:color w:val="auto"/>
                <w:sz w:val="21"/>
                <w:highlight w:val="none"/>
              </w:rPr>
            </w:pPr>
          </w:p>
        </w:tc>
        <w:tc>
          <w:tcPr>
            <w:tcW w:w="3129" w:type="dxa"/>
            <w:vAlign w:val="top"/>
          </w:tcPr>
          <w:p w14:paraId="56C7C9A2">
            <w:pPr>
              <w:rPr>
                <w:rFonts w:ascii="Arial"/>
                <w:color w:val="auto"/>
                <w:sz w:val="21"/>
                <w:highlight w:val="none"/>
              </w:rPr>
            </w:pPr>
          </w:p>
        </w:tc>
        <w:tc>
          <w:tcPr>
            <w:tcW w:w="1078" w:type="dxa"/>
            <w:vAlign w:val="top"/>
          </w:tcPr>
          <w:p w14:paraId="5236373F">
            <w:pPr>
              <w:rPr>
                <w:rFonts w:ascii="Arial"/>
                <w:color w:val="auto"/>
                <w:sz w:val="21"/>
                <w:highlight w:val="none"/>
              </w:rPr>
            </w:pPr>
          </w:p>
        </w:tc>
        <w:tc>
          <w:tcPr>
            <w:tcW w:w="1893" w:type="dxa"/>
            <w:vAlign w:val="top"/>
          </w:tcPr>
          <w:p w14:paraId="1AFD6C86">
            <w:pPr>
              <w:rPr>
                <w:rFonts w:ascii="Arial"/>
                <w:color w:val="auto"/>
                <w:sz w:val="21"/>
                <w:highlight w:val="none"/>
              </w:rPr>
            </w:pPr>
          </w:p>
        </w:tc>
        <w:tc>
          <w:tcPr>
            <w:tcW w:w="1903" w:type="dxa"/>
            <w:tcBorders>
              <w:right w:val="single" w:color="000000" w:sz="6" w:space="0"/>
            </w:tcBorders>
            <w:vAlign w:val="top"/>
          </w:tcPr>
          <w:p w14:paraId="3478DD8A">
            <w:pPr>
              <w:rPr>
                <w:rFonts w:ascii="Arial"/>
                <w:color w:val="auto"/>
                <w:sz w:val="21"/>
                <w:highlight w:val="none"/>
              </w:rPr>
            </w:pPr>
          </w:p>
        </w:tc>
      </w:tr>
      <w:tr w14:paraId="0A00FA4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vAlign w:val="top"/>
          </w:tcPr>
          <w:p w14:paraId="110257C6">
            <w:pPr>
              <w:rPr>
                <w:rFonts w:ascii="Arial"/>
                <w:color w:val="auto"/>
                <w:sz w:val="21"/>
                <w:highlight w:val="none"/>
              </w:rPr>
            </w:pPr>
          </w:p>
        </w:tc>
        <w:tc>
          <w:tcPr>
            <w:tcW w:w="3129" w:type="dxa"/>
            <w:vAlign w:val="top"/>
          </w:tcPr>
          <w:p w14:paraId="7FD4E345">
            <w:pPr>
              <w:rPr>
                <w:rFonts w:ascii="Arial"/>
                <w:color w:val="auto"/>
                <w:sz w:val="21"/>
                <w:highlight w:val="none"/>
              </w:rPr>
            </w:pPr>
          </w:p>
        </w:tc>
        <w:tc>
          <w:tcPr>
            <w:tcW w:w="1078" w:type="dxa"/>
            <w:vAlign w:val="top"/>
          </w:tcPr>
          <w:p w14:paraId="2D690950">
            <w:pPr>
              <w:rPr>
                <w:rFonts w:ascii="Arial"/>
                <w:color w:val="auto"/>
                <w:sz w:val="21"/>
                <w:highlight w:val="none"/>
              </w:rPr>
            </w:pPr>
          </w:p>
        </w:tc>
        <w:tc>
          <w:tcPr>
            <w:tcW w:w="1893" w:type="dxa"/>
            <w:vAlign w:val="top"/>
          </w:tcPr>
          <w:p w14:paraId="05B02922">
            <w:pPr>
              <w:rPr>
                <w:rFonts w:ascii="Arial"/>
                <w:color w:val="auto"/>
                <w:sz w:val="21"/>
                <w:highlight w:val="none"/>
              </w:rPr>
            </w:pPr>
          </w:p>
        </w:tc>
        <w:tc>
          <w:tcPr>
            <w:tcW w:w="1903" w:type="dxa"/>
            <w:tcBorders>
              <w:right w:val="single" w:color="000000" w:sz="6" w:space="0"/>
            </w:tcBorders>
            <w:vAlign w:val="top"/>
          </w:tcPr>
          <w:p w14:paraId="699B28C3">
            <w:pPr>
              <w:rPr>
                <w:rFonts w:ascii="Arial"/>
                <w:color w:val="auto"/>
                <w:sz w:val="21"/>
                <w:highlight w:val="none"/>
              </w:rPr>
            </w:pPr>
          </w:p>
        </w:tc>
      </w:tr>
      <w:tr w14:paraId="080F723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1C54858D">
            <w:pPr>
              <w:rPr>
                <w:rFonts w:ascii="Arial"/>
                <w:color w:val="auto"/>
                <w:sz w:val="21"/>
                <w:highlight w:val="none"/>
              </w:rPr>
            </w:pPr>
          </w:p>
        </w:tc>
        <w:tc>
          <w:tcPr>
            <w:tcW w:w="3129" w:type="dxa"/>
            <w:vAlign w:val="top"/>
          </w:tcPr>
          <w:p w14:paraId="0C54D8DF">
            <w:pPr>
              <w:rPr>
                <w:rFonts w:ascii="Arial"/>
                <w:color w:val="auto"/>
                <w:sz w:val="21"/>
                <w:highlight w:val="none"/>
              </w:rPr>
            </w:pPr>
          </w:p>
        </w:tc>
        <w:tc>
          <w:tcPr>
            <w:tcW w:w="1078" w:type="dxa"/>
            <w:vAlign w:val="top"/>
          </w:tcPr>
          <w:p w14:paraId="1F01D6B0">
            <w:pPr>
              <w:rPr>
                <w:rFonts w:ascii="Arial"/>
                <w:color w:val="auto"/>
                <w:sz w:val="21"/>
                <w:highlight w:val="none"/>
              </w:rPr>
            </w:pPr>
          </w:p>
        </w:tc>
        <w:tc>
          <w:tcPr>
            <w:tcW w:w="1893" w:type="dxa"/>
            <w:vAlign w:val="top"/>
          </w:tcPr>
          <w:p w14:paraId="76431CA3">
            <w:pPr>
              <w:rPr>
                <w:rFonts w:ascii="Arial"/>
                <w:color w:val="auto"/>
                <w:sz w:val="21"/>
                <w:highlight w:val="none"/>
              </w:rPr>
            </w:pPr>
          </w:p>
        </w:tc>
        <w:tc>
          <w:tcPr>
            <w:tcW w:w="1903" w:type="dxa"/>
            <w:tcBorders>
              <w:right w:val="single" w:color="000000" w:sz="6" w:space="0"/>
            </w:tcBorders>
            <w:vAlign w:val="top"/>
          </w:tcPr>
          <w:p w14:paraId="19FA13CA">
            <w:pPr>
              <w:rPr>
                <w:rFonts w:ascii="Arial"/>
                <w:color w:val="auto"/>
                <w:sz w:val="21"/>
                <w:highlight w:val="none"/>
              </w:rPr>
            </w:pPr>
          </w:p>
        </w:tc>
      </w:tr>
      <w:tr w14:paraId="5166D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32CC1748">
            <w:pPr>
              <w:rPr>
                <w:rFonts w:ascii="Arial"/>
                <w:color w:val="auto"/>
                <w:sz w:val="21"/>
                <w:highlight w:val="none"/>
              </w:rPr>
            </w:pPr>
          </w:p>
        </w:tc>
        <w:tc>
          <w:tcPr>
            <w:tcW w:w="3129" w:type="dxa"/>
            <w:vAlign w:val="top"/>
          </w:tcPr>
          <w:p w14:paraId="25430D14">
            <w:pPr>
              <w:rPr>
                <w:rFonts w:ascii="Arial"/>
                <w:color w:val="auto"/>
                <w:sz w:val="21"/>
                <w:highlight w:val="none"/>
              </w:rPr>
            </w:pPr>
          </w:p>
        </w:tc>
        <w:tc>
          <w:tcPr>
            <w:tcW w:w="1078" w:type="dxa"/>
            <w:vAlign w:val="top"/>
          </w:tcPr>
          <w:p w14:paraId="5499D6E6">
            <w:pPr>
              <w:rPr>
                <w:rFonts w:ascii="Arial"/>
                <w:color w:val="auto"/>
                <w:sz w:val="21"/>
                <w:highlight w:val="none"/>
              </w:rPr>
            </w:pPr>
          </w:p>
        </w:tc>
        <w:tc>
          <w:tcPr>
            <w:tcW w:w="1893" w:type="dxa"/>
            <w:vAlign w:val="top"/>
          </w:tcPr>
          <w:p w14:paraId="7EB0F652">
            <w:pPr>
              <w:rPr>
                <w:rFonts w:ascii="Arial"/>
                <w:color w:val="auto"/>
                <w:sz w:val="21"/>
                <w:highlight w:val="none"/>
              </w:rPr>
            </w:pPr>
          </w:p>
        </w:tc>
        <w:tc>
          <w:tcPr>
            <w:tcW w:w="1903" w:type="dxa"/>
            <w:tcBorders>
              <w:right w:val="single" w:color="000000" w:sz="6" w:space="0"/>
            </w:tcBorders>
            <w:vAlign w:val="top"/>
          </w:tcPr>
          <w:p w14:paraId="4887D226">
            <w:pPr>
              <w:rPr>
                <w:rFonts w:ascii="Arial"/>
                <w:color w:val="auto"/>
                <w:sz w:val="21"/>
                <w:highlight w:val="none"/>
              </w:rPr>
            </w:pPr>
          </w:p>
        </w:tc>
      </w:tr>
      <w:tr w14:paraId="7B6E2C9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vAlign w:val="top"/>
          </w:tcPr>
          <w:p w14:paraId="1E2A141C">
            <w:pPr>
              <w:rPr>
                <w:rFonts w:ascii="Arial"/>
                <w:color w:val="auto"/>
                <w:sz w:val="21"/>
                <w:highlight w:val="none"/>
              </w:rPr>
            </w:pPr>
          </w:p>
        </w:tc>
        <w:tc>
          <w:tcPr>
            <w:tcW w:w="3129" w:type="dxa"/>
            <w:vAlign w:val="top"/>
          </w:tcPr>
          <w:p w14:paraId="2EE6C11C">
            <w:pPr>
              <w:rPr>
                <w:rFonts w:ascii="Arial"/>
                <w:color w:val="auto"/>
                <w:sz w:val="21"/>
                <w:highlight w:val="none"/>
              </w:rPr>
            </w:pPr>
          </w:p>
        </w:tc>
        <w:tc>
          <w:tcPr>
            <w:tcW w:w="1078" w:type="dxa"/>
            <w:vAlign w:val="top"/>
          </w:tcPr>
          <w:p w14:paraId="15DAF409">
            <w:pPr>
              <w:rPr>
                <w:rFonts w:ascii="Arial"/>
                <w:color w:val="auto"/>
                <w:sz w:val="21"/>
                <w:highlight w:val="none"/>
              </w:rPr>
            </w:pPr>
          </w:p>
        </w:tc>
        <w:tc>
          <w:tcPr>
            <w:tcW w:w="1893" w:type="dxa"/>
            <w:vAlign w:val="top"/>
          </w:tcPr>
          <w:p w14:paraId="22264A8B">
            <w:pPr>
              <w:rPr>
                <w:rFonts w:ascii="Arial"/>
                <w:color w:val="auto"/>
                <w:sz w:val="21"/>
                <w:highlight w:val="none"/>
              </w:rPr>
            </w:pPr>
          </w:p>
        </w:tc>
        <w:tc>
          <w:tcPr>
            <w:tcW w:w="1903" w:type="dxa"/>
            <w:tcBorders>
              <w:right w:val="single" w:color="000000" w:sz="6" w:space="0"/>
            </w:tcBorders>
            <w:vAlign w:val="top"/>
          </w:tcPr>
          <w:p w14:paraId="2C2E8D9C">
            <w:pPr>
              <w:rPr>
                <w:rFonts w:ascii="Arial"/>
                <w:color w:val="auto"/>
                <w:sz w:val="21"/>
                <w:highlight w:val="none"/>
              </w:rPr>
            </w:pPr>
          </w:p>
        </w:tc>
      </w:tr>
      <w:tr w14:paraId="0B8E9B4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5063B95A">
            <w:pPr>
              <w:rPr>
                <w:rFonts w:ascii="Arial"/>
                <w:color w:val="auto"/>
                <w:sz w:val="21"/>
                <w:highlight w:val="none"/>
              </w:rPr>
            </w:pPr>
          </w:p>
        </w:tc>
        <w:tc>
          <w:tcPr>
            <w:tcW w:w="3129" w:type="dxa"/>
            <w:vAlign w:val="top"/>
          </w:tcPr>
          <w:p w14:paraId="55BDCEE1">
            <w:pPr>
              <w:rPr>
                <w:rFonts w:ascii="Arial"/>
                <w:color w:val="auto"/>
                <w:sz w:val="21"/>
                <w:highlight w:val="none"/>
              </w:rPr>
            </w:pPr>
          </w:p>
        </w:tc>
        <w:tc>
          <w:tcPr>
            <w:tcW w:w="1078" w:type="dxa"/>
            <w:vAlign w:val="top"/>
          </w:tcPr>
          <w:p w14:paraId="4E71B0A4">
            <w:pPr>
              <w:rPr>
                <w:rFonts w:ascii="Arial"/>
                <w:color w:val="auto"/>
                <w:sz w:val="21"/>
                <w:highlight w:val="none"/>
              </w:rPr>
            </w:pPr>
          </w:p>
        </w:tc>
        <w:tc>
          <w:tcPr>
            <w:tcW w:w="1893" w:type="dxa"/>
            <w:vAlign w:val="top"/>
          </w:tcPr>
          <w:p w14:paraId="6FC80B04">
            <w:pPr>
              <w:rPr>
                <w:rFonts w:ascii="Arial"/>
                <w:color w:val="auto"/>
                <w:sz w:val="21"/>
                <w:highlight w:val="none"/>
              </w:rPr>
            </w:pPr>
          </w:p>
        </w:tc>
        <w:tc>
          <w:tcPr>
            <w:tcW w:w="1903" w:type="dxa"/>
            <w:tcBorders>
              <w:right w:val="single" w:color="000000" w:sz="6" w:space="0"/>
            </w:tcBorders>
            <w:vAlign w:val="top"/>
          </w:tcPr>
          <w:p w14:paraId="248F991E">
            <w:pPr>
              <w:rPr>
                <w:rFonts w:ascii="Arial"/>
                <w:color w:val="auto"/>
                <w:sz w:val="21"/>
                <w:highlight w:val="none"/>
              </w:rPr>
            </w:pPr>
          </w:p>
        </w:tc>
      </w:tr>
      <w:tr w14:paraId="18DD08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vAlign w:val="top"/>
          </w:tcPr>
          <w:p w14:paraId="165FC2A9">
            <w:pPr>
              <w:rPr>
                <w:rFonts w:ascii="Arial"/>
                <w:color w:val="auto"/>
                <w:sz w:val="21"/>
                <w:highlight w:val="none"/>
              </w:rPr>
            </w:pPr>
          </w:p>
        </w:tc>
        <w:tc>
          <w:tcPr>
            <w:tcW w:w="3129" w:type="dxa"/>
            <w:vAlign w:val="top"/>
          </w:tcPr>
          <w:p w14:paraId="7A21351A">
            <w:pPr>
              <w:rPr>
                <w:rFonts w:ascii="Arial"/>
                <w:color w:val="auto"/>
                <w:sz w:val="21"/>
                <w:highlight w:val="none"/>
              </w:rPr>
            </w:pPr>
          </w:p>
        </w:tc>
        <w:tc>
          <w:tcPr>
            <w:tcW w:w="1078" w:type="dxa"/>
            <w:vAlign w:val="top"/>
          </w:tcPr>
          <w:p w14:paraId="04DF6D32">
            <w:pPr>
              <w:rPr>
                <w:rFonts w:ascii="Arial"/>
                <w:color w:val="auto"/>
                <w:sz w:val="21"/>
                <w:highlight w:val="none"/>
              </w:rPr>
            </w:pPr>
          </w:p>
        </w:tc>
        <w:tc>
          <w:tcPr>
            <w:tcW w:w="1893" w:type="dxa"/>
            <w:vAlign w:val="top"/>
          </w:tcPr>
          <w:p w14:paraId="7A0E52DC">
            <w:pPr>
              <w:rPr>
                <w:rFonts w:ascii="Arial"/>
                <w:color w:val="auto"/>
                <w:sz w:val="21"/>
                <w:highlight w:val="none"/>
              </w:rPr>
            </w:pPr>
          </w:p>
        </w:tc>
        <w:tc>
          <w:tcPr>
            <w:tcW w:w="1903" w:type="dxa"/>
            <w:tcBorders>
              <w:right w:val="single" w:color="000000" w:sz="6" w:space="0"/>
            </w:tcBorders>
            <w:vAlign w:val="top"/>
          </w:tcPr>
          <w:p w14:paraId="165D1B42">
            <w:pPr>
              <w:rPr>
                <w:rFonts w:ascii="Arial"/>
                <w:color w:val="auto"/>
                <w:sz w:val="21"/>
                <w:highlight w:val="none"/>
              </w:rPr>
            </w:pPr>
          </w:p>
        </w:tc>
      </w:tr>
      <w:tr w14:paraId="1997E1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6B039856">
            <w:pPr>
              <w:rPr>
                <w:rFonts w:ascii="Arial"/>
                <w:color w:val="auto"/>
                <w:sz w:val="21"/>
                <w:highlight w:val="none"/>
              </w:rPr>
            </w:pPr>
          </w:p>
        </w:tc>
        <w:tc>
          <w:tcPr>
            <w:tcW w:w="3129" w:type="dxa"/>
            <w:vAlign w:val="top"/>
          </w:tcPr>
          <w:p w14:paraId="2EEE5675">
            <w:pPr>
              <w:rPr>
                <w:rFonts w:ascii="Arial"/>
                <w:color w:val="auto"/>
                <w:sz w:val="21"/>
                <w:highlight w:val="none"/>
              </w:rPr>
            </w:pPr>
          </w:p>
        </w:tc>
        <w:tc>
          <w:tcPr>
            <w:tcW w:w="1078" w:type="dxa"/>
            <w:vAlign w:val="top"/>
          </w:tcPr>
          <w:p w14:paraId="12BC8D51">
            <w:pPr>
              <w:rPr>
                <w:rFonts w:ascii="Arial"/>
                <w:color w:val="auto"/>
                <w:sz w:val="21"/>
                <w:highlight w:val="none"/>
              </w:rPr>
            </w:pPr>
          </w:p>
        </w:tc>
        <w:tc>
          <w:tcPr>
            <w:tcW w:w="1893" w:type="dxa"/>
            <w:vAlign w:val="top"/>
          </w:tcPr>
          <w:p w14:paraId="43563E6E">
            <w:pPr>
              <w:rPr>
                <w:rFonts w:ascii="Arial"/>
                <w:color w:val="auto"/>
                <w:sz w:val="21"/>
                <w:highlight w:val="none"/>
              </w:rPr>
            </w:pPr>
          </w:p>
        </w:tc>
        <w:tc>
          <w:tcPr>
            <w:tcW w:w="1903" w:type="dxa"/>
            <w:tcBorders>
              <w:right w:val="single" w:color="000000" w:sz="6" w:space="0"/>
            </w:tcBorders>
            <w:vAlign w:val="top"/>
          </w:tcPr>
          <w:p w14:paraId="3796F100">
            <w:pPr>
              <w:rPr>
                <w:rFonts w:ascii="Arial"/>
                <w:color w:val="auto"/>
                <w:sz w:val="21"/>
                <w:highlight w:val="none"/>
              </w:rPr>
            </w:pPr>
          </w:p>
        </w:tc>
      </w:tr>
      <w:tr w14:paraId="1AFF045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1" w:hRule="atLeast"/>
        </w:trPr>
        <w:tc>
          <w:tcPr>
            <w:tcW w:w="1006" w:type="dxa"/>
            <w:tcBorders>
              <w:left w:val="single" w:color="000000" w:sz="6" w:space="0"/>
            </w:tcBorders>
            <w:vAlign w:val="top"/>
          </w:tcPr>
          <w:p w14:paraId="5C2BCAA8">
            <w:pPr>
              <w:rPr>
                <w:rFonts w:ascii="Arial"/>
                <w:color w:val="auto"/>
                <w:sz w:val="21"/>
                <w:highlight w:val="none"/>
              </w:rPr>
            </w:pPr>
          </w:p>
        </w:tc>
        <w:tc>
          <w:tcPr>
            <w:tcW w:w="3129" w:type="dxa"/>
            <w:vAlign w:val="top"/>
          </w:tcPr>
          <w:p w14:paraId="6F2B1522">
            <w:pPr>
              <w:rPr>
                <w:rFonts w:ascii="Arial"/>
                <w:color w:val="auto"/>
                <w:sz w:val="21"/>
                <w:highlight w:val="none"/>
              </w:rPr>
            </w:pPr>
          </w:p>
        </w:tc>
        <w:tc>
          <w:tcPr>
            <w:tcW w:w="1078" w:type="dxa"/>
            <w:vAlign w:val="top"/>
          </w:tcPr>
          <w:p w14:paraId="13340130">
            <w:pPr>
              <w:rPr>
                <w:rFonts w:ascii="Arial"/>
                <w:color w:val="auto"/>
                <w:sz w:val="21"/>
                <w:highlight w:val="none"/>
              </w:rPr>
            </w:pPr>
          </w:p>
        </w:tc>
        <w:tc>
          <w:tcPr>
            <w:tcW w:w="1893" w:type="dxa"/>
            <w:vAlign w:val="top"/>
          </w:tcPr>
          <w:p w14:paraId="14AE1C78">
            <w:pPr>
              <w:rPr>
                <w:rFonts w:ascii="Arial"/>
                <w:color w:val="auto"/>
                <w:sz w:val="21"/>
                <w:highlight w:val="none"/>
              </w:rPr>
            </w:pPr>
          </w:p>
        </w:tc>
        <w:tc>
          <w:tcPr>
            <w:tcW w:w="1903" w:type="dxa"/>
            <w:tcBorders>
              <w:right w:val="single" w:color="000000" w:sz="6" w:space="0"/>
            </w:tcBorders>
            <w:vAlign w:val="top"/>
          </w:tcPr>
          <w:p w14:paraId="39B20C5B">
            <w:pPr>
              <w:rPr>
                <w:rFonts w:ascii="Arial"/>
                <w:color w:val="auto"/>
                <w:sz w:val="21"/>
                <w:highlight w:val="none"/>
              </w:rPr>
            </w:pPr>
          </w:p>
        </w:tc>
      </w:tr>
      <w:tr w14:paraId="7FE1FC2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1006" w:type="dxa"/>
            <w:tcBorders>
              <w:left w:val="single" w:color="000000" w:sz="6" w:space="0"/>
            </w:tcBorders>
            <w:vAlign w:val="top"/>
          </w:tcPr>
          <w:p w14:paraId="1750F085">
            <w:pPr>
              <w:rPr>
                <w:rFonts w:ascii="Arial"/>
                <w:color w:val="auto"/>
                <w:sz w:val="21"/>
                <w:highlight w:val="none"/>
              </w:rPr>
            </w:pPr>
          </w:p>
        </w:tc>
        <w:tc>
          <w:tcPr>
            <w:tcW w:w="3129" w:type="dxa"/>
            <w:vAlign w:val="top"/>
          </w:tcPr>
          <w:p w14:paraId="3A2B0E05">
            <w:pPr>
              <w:rPr>
                <w:rFonts w:ascii="Arial"/>
                <w:color w:val="auto"/>
                <w:sz w:val="21"/>
                <w:highlight w:val="none"/>
              </w:rPr>
            </w:pPr>
          </w:p>
        </w:tc>
        <w:tc>
          <w:tcPr>
            <w:tcW w:w="1078" w:type="dxa"/>
            <w:vAlign w:val="top"/>
          </w:tcPr>
          <w:p w14:paraId="65FDF364">
            <w:pPr>
              <w:rPr>
                <w:rFonts w:ascii="Arial"/>
                <w:color w:val="auto"/>
                <w:sz w:val="21"/>
                <w:highlight w:val="none"/>
              </w:rPr>
            </w:pPr>
          </w:p>
        </w:tc>
        <w:tc>
          <w:tcPr>
            <w:tcW w:w="1893" w:type="dxa"/>
            <w:vAlign w:val="top"/>
          </w:tcPr>
          <w:p w14:paraId="31154B40">
            <w:pPr>
              <w:rPr>
                <w:rFonts w:ascii="Arial"/>
                <w:color w:val="auto"/>
                <w:sz w:val="21"/>
                <w:highlight w:val="none"/>
              </w:rPr>
            </w:pPr>
          </w:p>
        </w:tc>
        <w:tc>
          <w:tcPr>
            <w:tcW w:w="1903" w:type="dxa"/>
            <w:tcBorders>
              <w:right w:val="single" w:color="000000" w:sz="6" w:space="0"/>
            </w:tcBorders>
            <w:vAlign w:val="top"/>
          </w:tcPr>
          <w:p w14:paraId="536C4A99">
            <w:pPr>
              <w:rPr>
                <w:rFonts w:ascii="Arial"/>
                <w:color w:val="auto"/>
                <w:sz w:val="21"/>
                <w:highlight w:val="none"/>
              </w:rPr>
            </w:pPr>
          </w:p>
        </w:tc>
      </w:tr>
      <w:tr w14:paraId="524D0B8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1006" w:type="dxa"/>
            <w:tcBorders>
              <w:left w:val="single" w:color="000000" w:sz="6" w:space="0"/>
              <w:bottom w:val="single" w:color="000000" w:sz="6" w:space="0"/>
            </w:tcBorders>
            <w:vAlign w:val="top"/>
          </w:tcPr>
          <w:p w14:paraId="6580D78C">
            <w:pPr>
              <w:rPr>
                <w:rFonts w:ascii="Arial"/>
                <w:color w:val="auto"/>
                <w:sz w:val="21"/>
                <w:highlight w:val="none"/>
              </w:rPr>
            </w:pPr>
          </w:p>
        </w:tc>
        <w:tc>
          <w:tcPr>
            <w:tcW w:w="3129" w:type="dxa"/>
            <w:tcBorders>
              <w:bottom w:val="single" w:color="000000" w:sz="6" w:space="0"/>
            </w:tcBorders>
            <w:vAlign w:val="top"/>
          </w:tcPr>
          <w:p w14:paraId="720F329D">
            <w:pPr>
              <w:rPr>
                <w:rFonts w:ascii="Arial"/>
                <w:color w:val="auto"/>
                <w:sz w:val="21"/>
                <w:highlight w:val="none"/>
              </w:rPr>
            </w:pPr>
          </w:p>
        </w:tc>
        <w:tc>
          <w:tcPr>
            <w:tcW w:w="1078" w:type="dxa"/>
            <w:tcBorders>
              <w:bottom w:val="single" w:color="000000" w:sz="6" w:space="0"/>
            </w:tcBorders>
            <w:vAlign w:val="top"/>
          </w:tcPr>
          <w:p w14:paraId="78913EEB">
            <w:pPr>
              <w:rPr>
                <w:rFonts w:ascii="Arial"/>
                <w:color w:val="auto"/>
                <w:sz w:val="21"/>
                <w:highlight w:val="none"/>
              </w:rPr>
            </w:pPr>
          </w:p>
        </w:tc>
        <w:tc>
          <w:tcPr>
            <w:tcW w:w="1893" w:type="dxa"/>
            <w:tcBorders>
              <w:bottom w:val="single" w:color="000000" w:sz="6" w:space="0"/>
            </w:tcBorders>
            <w:vAlign w:val="top"/>
          </w:tcPr>
          <w:p w14:paraId="1BE56F98">
            <w:pPr>
              <w:rPr>
                <w:rFonts w:ascii="Arial"/>
                <w:color w:val="auto"/>
                <w:sz w:val="21"/>
                <w:highlight w:val="none"/>
              </w:rPr>
            </w:pPr>
          </w:p>
        </w:tc>
        <w:tc>
          <w:tcPr>
            <w:tcW w:w="1903" w:type="dxa"/>
            <w:tcBorders>
              <w:bottom w:val="single" w:color="000000" w:sz="6" w:space="0"/>
              <w:right w:val="single" w:color="000000" w:sz="6" w:space="0"/>
            </w:tcBorders>
            <w:vAlign w:val="top"/>
          </w:tcPr>
          <w:p w14:paraId="41F28210">
            <w:pPr>
              <w:rPr>
                <w:rFonts w:ascii="Arial"/>
                <w:color w:val="auto"/>
                <w:sz w:val="21"/>
                <w:highlight w:val="none"/>
              </w:rPr>
            </w:pPr>
          </w:p>
        </w:tc>
      </w:tr>
    </w:tbl>
    <w:p w14:paraId="04891C94">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562F7A9F">
      <w:pPr>
        <w:spacing w:before="91" w:line="219" w:lineRule="auto"/>
        <w:jc w:val="center"/>
        <w:rPr>
          <w:rFonts w:ascii="宋体" w:hAnsi="宋体" w:eastAsia="宋体" w:cs="宋体"/>
          <w:color w:val="auto"/>
          <w:sz w:val="28"/>
          <w:szCs w:val="28"/>
          <w:highlight w:val="none"/>
        </w:rPr>
      </w:pPr>
      <w:r>
        <w:rPr>
          <w:rFonts w:ascii="宋体" w:hAnsi="宋体" w:eastAsia="宋体" w:cs="宋体"/>
          <w:b/>
          <w:bCs/>
          <w:color w:val="auto"/>
          <w:spacing w:val="-3"/>
          <w:sz w:val="28"/>
          <w:szCs w:val="28"/>
          <w:highlight w:val="none"/>
        </w:rPr>
        <w:t>混凝土（砂浆）配合比材料费表</w:t>
      </w:r>
    </w:p>
    <w:p w14:paraId="03E01DAC">
      <w:pPr>
        <w:spacing w:before="205" w:line="220" w:lineRule="auto"/>
        <w:ind w:left="1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         第  页共  页</w:t>
      </w:r>
    </w:p>
    <w:p w14:paraId="6C122C5D">
      <w:pPr>
        <w:spacing w:line="143" w:lineRule="exact"/>
        <w:rPr>
          <w:color w:val="auto"/>
          <w:highlight w:val="none"/>
        </w:rPr>
      </w:pPr>
    </w:p>
    <w:tbl>
      <w:tblPr>
        <w:tblStyle w:val="32"/>
        <w:tblW w:w="14005"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642"/>
        <w:gridCol w:w="1230"/>
        <w:gridCol w:w="837"/>
        <w:gridCol w:w="810"/>
        <w:gridCol w:w="868"/>
        <w:gridCol w:w="1342"/>
        <w:gridCol w:w="1242"/>
        <w:gridCol w:w="1163"/>
        <w:gridCol w:w="1187"/>
        <w:gridCol w:w="995"/>
        <w:gridCol w:w="1311"/>
        <w:gridCol w:w="1316"/>
        <w:gridCol w:w="1062"/>
      </w:tblGrid>
      <w:tr w14:paraId="4FC88AD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5" w:hRule="atLeast"/>
        </w:trPr>
        <w:tc>
          <w:tcPr>
            <w:tcW w:w="642" w:type="dxa"/>
            <w:vMerge w:val="restart"/>
            <w:tcBorders>
              <w:top w:val="single" w:color="000000" w:sz="6" w:space="0"/>
              <w:left w:val="single" w:color="000000" w:sz="6" w:space="0"/>
              <w:bottom w:val="nil"/>
            </w:tcBorders>
            <w:textDirection w:val="tbRlV"/>
            <w:vAlign w:val="top"/>
          </w:tcPr>
          <w:p w14:paraId="7540DBE5">
            <w:pPr>
              <w:pStyle w:val="33"/>
              <w:spacing w:before="200" w:line="210" w:lineRule="auto"/>
              <w:ind w:left="710"/>
              <w:rPr>
                <w:color w:val="auto"/>
                <w:sz w:val="24"/>
                <w:szCs w:val="24"/>
                <w:highlight w:val="none"/>
              </w:rPr>
            </w:pPr>
            <w:r>
              <w:rPr>
                <w:color w:val="auto"/>
                <w:spacing w:val="34"/>
                <w:sz w:val="24"/>
                <w:szCs w:val="24"/>
                <w:highlight w:val="none"/>
              </w:rPr>
              <w:t>序号</w:t>
            </w:r>
          </w:p>
        </w:tc>
        <w:tc>
          <w:tcPr>
            <w:tcW w:w="1230" w:type="dxa"/>
            <w:vMerge w:val="restart"/>
            <w:tcBorders>
              <w:top w:val="single" w:color="000000" w:sz="6" w:space="0"/>
              <w:bottom w:val="nil"/>
            </w:tcBorders>
            <w:vAlign w:val="top"/>
          </w:tcPr>
          <w:p w14:paraId="13FAF7BB">
            <w:pPr>
              <w:spacing w:line="471" w:lineRule="auto"/>
              <w:rPr>
                <w:rFonts w:ascii="Arial"/>
                <w:color w:val="auto"/>
                <w:sz w:val="21"/>
                <w:highlight w:val="none"/>
              </w:rPr>
            </w:pPr>
          </w:p>
          <w:p w14:paraId="7ABDB9B0">
            <w:pPr>
              <w:pStyle w:val="33"/>
              <w:spacing w:before="78" w:line="233" w:lineRule="auto"/>
              <w:ind w:left="140" w:right="139" w:firstLine="117"/>
              <w:jc w:val="both"/>
              <w:rPr>
                <w:color w:val="auto"/>
                <w:sz w:val="24"/>
                <w:szCs w:val="24"/>
                <w:highlight w:val="none"/>
              </w:rPr>
            </w:pPr>
            <w:r>
              <w:rPr>
                <w:color w:val="auto"/>
                <w:spacing w:val="-5"/>
                <w:sz w:val="24"/>
                <w:szCs w:val="24"/>
                <w:highlight w:val="none"/>
              </w:rPr>
              <w:t>混凝土</w:t>
            </w:r>
            <w:r>
              <w:rPr>
                <w:color w:val="auto"/>
                <w:sz w:val="24"/>
                <w:szCs w:val="24"/>
                <w:highlight w:val="none"/>
              </w:rPr>
              <w:t xml:space="preserve">  </w:t>
            </w:r>
            <w:r>
              <w:rPr>
                <w:color w:val="auto"/>
                <w:spacing w:val="-8"/>
                <w:sz w:val="24"/>
                <w:szCs w:val="24"/>
                <w:highlight w:val="none"/>
              </w:rPr>
              <w:t>（砂浆）</w:t>
            </w:r>
            <w:r>
              <w:rPr>
                <w:color w:val="auto"/>
                <w:sz w:val="24"/>
                <w:szCs w:val="24"/>
                <w:highlight w:val="none"/>
              </w:rPr>
              <w:t xml:space="preserve"> </w:t>
            </w:r>
            <w:r>
              <w:rPr>
                <w:color w:val="auto"/>
                <w:spacing w:val="-4"/>
                <w:sz w:val="24"/>
                <w:szCs w:val="24"/>
                <w:highlight w:val="none"/>
              </w:rPr>
              <w:t>强度等级</w:t>
            </w:r>
          </w:p>
        </w:tc>
        <w:tc>
          <w:tcPr>
            <w:tcW w:w="837" w:type="dxa"/>
            <w:vMerge w:val="restart"/>
            <w:tcBorders>
              <w:top w:val="single" w:color="000000" w:sz="6" w:space="0"/>
              <w:bottom w:val="nil"/>
            </w:tcBorders>
            <w:vAlign w:val="top"/>
          </w:tcPr>
          <w:p w14:paraId="40C42925">
            <w:pPr>
              <w:spacing w:line="471" w:lineRule="auto"/>
              <w:rPr>
                <w:rFonts w:ascii="Arial"/>
                <w:color w:val="auto"/>
                <w:sz w:val="21"/>
                <w:highlight w:val="none"/>
              </w:rPr>
            </w:pPr>
          </w:p>
          <w:p w14:paraId="3F22946D">
            <w:pPr>
              <w:pStyle w:val="33"/>
              <w:spacing w:before="78" w:line="233" w:lineRule="auto"/>
              <w:ind w:left="181" w:right="182"/>
              <w:jc w:val="both"/>
              <w:rPr>
                <w:color w:val="auto"/>
                <w:sz w:val="24"/>
                <w:szCs w:val="24"/>
                <w:highlight w:val="none"/>
              </w:rPr>
            </w:pPr>
            <w:r>
              <w:rPr>
                <w:color w:val="auto"/>
                <w:spacing w:val="-7"/>
                <w:sz w:val="24"/>
                <w:szCs w:val="24"/>
                <w:highlight w:val="none"/>
              </w:rPr>
              <w:t>水泥</w:t>
            </w:r>
            <w:r>
              <w:rPr>
                <w:color w:val="auto"/>
                <w:sz w:val="24"/>
                <w:szCs w:val="24"/>
                <w:highlight w:val="none"/>
              </w:rPr>
              <w:t xml:space="preserve"> </w:t>
            </w:r>
            <w:r>
              <w:rPr>
                <w:color w:val="auto"/>
                <w:spacing w:val="-6"/>
                <w:sz w:val="24"/>
                <w:szCs w:val="24"/>
                <w:highlight w:val="none"/>
              </w:rPr>
              <w:t>强度</w:t>
            </w:r>
            <w:r>
              <w:rPr>
                <w:color w:val="auto"/>
                <w:sz w:val="24"/>
                <w:szCs w:val="24"/>
                <w:highlight w:val="none"/>
              </w:rPr>
              <w:t xml:space="preserve"> </w:t>
            </w:r>
            <w:r>
              <w:rPr>
                <w:color w:val="auto"/>
                <w:spacing w:val="-6"/>
                <w:sz w:val="24"/>
                <w:szCs w:val="24"/>
                <w:highlight w:val="none"/>
              </w:rPr>
              <w:t>等级</w:t>
            </w:r>
          </w:p>
        </w:tc>
        <w:tc>
          <w:tcPr>
            <w:tcW w:w="810" w:type="dxa"/>
            <w:vMerge w:val="restart"/>
            <w:tcBorders>
              <w:top w:val="single" w:color="000000" w:sz="6" w:space="0"/>
              <w:bottom w:val="nil"/>
            </w:tcBorders>
            <w:vAlign w:val="top"/>
          </w:tcPr>
          <w:p w14:paraId="12ED7EFA">
            <w:pPr>
              <w:spacing w:line="260" w:lineRule="auto"/>
              <w:rPr>
                <w:rFonts w:ascii="Arial"/>
                <w:color w:val="auto"/>
                <w:sz w:val="21"/>
                <w:highlight w:val="none"/>
              </w:rPr>
            </w:pPr>
          </w:p>
          <w:p w14:paraId="1FAA214F">
            <w:pPr>
              <w:spacing w:line="260" w:lineRule="auto"/>
              <w:rPr>
                <w:rFonts w:ascii="Arial"/>
                <w:color w:val="auto"/>
                <w:sz w:val="21"/>
                <w:highlight w:val="none"/>
              </w:rPr>
            </w:pPr>
          </w:p>
          <w:p w14:paraId="6A02020F">
            <w:pPr>
              <w:spacing w:line="260" w:lineRule="auto"/>
              <w:rPr>
                <w:rFonts w:ascii="Arial"/>
                <w:color w:val="auto"/>
                <w:sz w:val="21"/>
                <w:highlight w:val="none"/>
              </w:rPr>
            </w:pPr>
          </w:p>
          <w:p w14:paraId="78860655">
            <w:pPr>
              <w:pStyle w:val="33"/>
              <w:spacing w:before="78" w:line="222" w:lineRule="auto"/>
              <w:ind w:left="171"/>
              <w:rPr>
                <w:color w:val="auto"/>
                <w:sz w:val="24"/>
                <w:szCs w:val="24"/>
                <w:highlight w:val="none"/>
              </w:rPr>
            </w:pPr>
            <w:r>
              <w:rPr>
                <w:color w:val="auto"/>
                <w:spacing w:val="-4"/>
                <w:sz w:val="24"/>
                <w:szCs w:val="24"/>
                <w:highlight w:val="none"/>
              </w:rPr>
              <w:t>级配</w:t>
            </w:r>
          </w:p>
        </w:tc>
        <w:tc>
          <w:tcPr>
            <w:tcW w:w="868" w:type="dxa"/>
            <w:vMerge w:val="restart"/>
            <w:tcBorders>
              <w:top w:val="single" w:color="000000" w:sz="6" w:space="0"/>
              <w:bottom w:val="nil"/>
            </w:tcBorders>
            <w:vAlign w:val="top"/>
          </w:tcPr>
          <w:p w14:paraId="73CE2E55">
            <w:pPr>
              <w:spacing w:line="313" w:lineRule="auto"/>
              <w:rPr>
                <w:rFonts w:ascii="Arial"/>
                <w:color w:val="auto"/>
                <w:sz w:val="21"/>
                <w:highlight w:val="none"/>
              </w:rPr>
            </w:pPr>
          </w:p>
          <w:p w14:paraId="1AC14120">
            <w:pPr>
              <w:spacing w:line="314" w:lineRule="auto"/>
              <w:rPr>
                <w:rFonts w:ascii="Arial"/>
                <w:color w:val="auto"/>
                <w:sz w:val="21"/>
                <w:highlight w:val="none"/>
              </w:rPr>
            </w:pPr>
          </w:p>
          <w:p w14:paraId="228B157C">
            <w:pPr>
              <w:pStyle w:val="33"/>
              <w:spacing w:before="78" w:line="235" w:lineRule="auto"/>
              <w:ind w:left="343" w:right="194" w:hanging="143"/>
              <w:rPr>
                <w:color w:val="auto"/>
                <w:sz w:val="24"/>
                <w:szCs w:val="24"/>
                <w:highlight w:val="none"/>
              </w:rPr>
            </w:pPr>
            <w:r>
              <w:rPr>
                <w:color w:val="auto"/>
                <w:spacing w:val="-7"/>
                <w:sz w:val="24"/>
                <w:szCs w:val="24"/>
                <w:highlight w:val="none"/>
              </w:rPr>
              <w:t>水灰</w:t>
            </w:r>
            <w:r>
              <w:rPr>
                <w:color w:val="auto"/>
                <w:sz w:val="24"/>
                <w:szCs w:val="24"/>
                <w:highlight w:val="none"/>
              </w:rPr>
              <w:t xml:space="preserve"> 比</w:t>
            </w:r>
          </w:p>
        </w:tc>
        <w:tc>
          <w:tcPr>
            <w:tcW w:w="5929" w:type="dxa"/>
            <w:gridSpan w:val="5"/>
            <w:tcBorders>
              <w:top w:val="single" w:color="000000" w:sz="6" w:space="0"/>
            </w:tcBorders>
            <w:vAlign w:val="top"/>
          </w:tcPr>
          <w:p w14:paraId="7027DD41">
            <w:pPr>
              <w:pStyle w:val="33"/>
              <w:spacing w:before="102" w:line="219" w:lineRule="auto"/>
              <w:ind w:left="1758"/>
              <w:rPr>
                <w:color w:val="auto"/>
                <w:sz w:val="24"/>
                <w:szCs w:val="24"/>
                <w:highlight w:val="none"/>
              </w:rPr>
            </w:pPr>
            <w:r>
              <w:rPr>
                <w:color w:val="auto"/>
                <w:spacing w:val="-1"/>
                <w:sz w:val="24"/>
                <w:szCs w:val="24"/>
                <w:highlight w:val="none"/>
              </w:rPr>
              <w:t>每</w:t>
            </w:r>
            <w:r>
              <w:rPr>
                <w:rFonts w:ascii="Times New Roman" w:hAnsi="Times New Roman" w:eastAsia="Times New Roman" w:cs="Times New Roman"/>
                <w:color w:val="auto"/>
                <w:spacing w:val="-1"/>
                <w:sz w:val="24"/>
                <w:szCs w:val="24"/>
                <w:highlight w:val="none"/>
              </w:rPr>
              <w:t>m</w:t>
            </w:r>
            <w:r>
              <w:rPr>
                <w:rFonts w:ascii="Times New Roman" w:hAnsi="Times New Roman" w:eastAsia="Times New Roman" w:cs="Times New Roman"/>
                <w:color w:val="auto"/>
                <w:spacing w:val="-1"/>
                <w:position w:val="8"/>
                <w:sz w:val="16"/>
                <w:szCs w:val="16"/>
                <w:highlight w:val="none"/>
              </w:rPr>
              <w:t>3</w:t>
            </w:r>
            <w:r>
              <w:rPr>
                <w:color w:val="auto"/>
                <w:spacing w:val="-1"/>
                <w:sz w:val="24"/>
                <w:szCs w:val="24"/>
                <w:highlight w:val="none"/>
              </w:rPr>
              <w:t>混凝土材料预算量</w:t>
            </w:r>
          </w:p>
        </w:tc>
        <w:tc>
          <w:tcPr>
            <w:tcW w:w="1311" w:type="dxa"/>
            <w:vMerge w:val="restart"/>
            <w:tcBorders>
              <w:top w:val="single" w:color="000000" w:sz="6" w:space="0"/>
              <w:bottom w:val="nil"/>
            </w:tcBorders>
            <w:vAlign w:val="top"/>
          </w:tcPr>
          <w:p w14:paraId="170B17F6">
            <w:pPr>
              <w:spacing w:line="314" w:lineRule="auto"/>
              <w:rPr>
                <w:rFonts w:ascii="Arial"/>
                <w:color w:val="auto"/>
                <w:sz w:val="21"/>
                <w:highlight w:val="none"/>
              </w:rPr>
            </w:pPr>
          </w:p>
          <w:p w14:paraId="64E5FAEA">
            <w:pPr>
              <w:spacing w:line="314" w:lineRule="auto"/>
              <w:rPr>
                <w:rFonts w:ascii="Arial"/>
                <w:color w:val="auto"/>
                <w:sz w:val="21"/>
                <w:highlight w:val="none"/>
              </w:rPr>
            </w:pPr>
          </w:p>
          <w:p w14:paraId="10B737AB">
            <w:pPr>
              <w:pStyle w:val="33"/>
              <w:spacing w:before="78" w:line="229" w:lineRule="auto"/>
              <w:ind w:left="144" w:right="137" w:firstLine="223"/>
              <w:rPr>
                <w:color w:val="auto"/>
                <w:sz w:val="24"/>
                <w:szCs w:val="24"/>
                <w:highlight w:val="none"/>
              </w:rPr>
            </w:pPr>
            <w:r>
              <w:rPr>
                <w:color w:val="auto"/>
                <w:spacing w:val="-11"/>
                <w:sz w:val="24"/>
                <w:szCs w:val="24"/>
                <w:highlight w:val="none"/>
              </w:rPr>
              <w:t>单</w:t>
            </w:r>
            <w:r>
              <w:rPr>
                <w:color w:val="auto"/>
                <w:spacing w:val="10"/>
                <w:sz w:val="24"/>
                <w:szCs w:val="24"/>
                <w:highlight w:val="none"/>
              </w:rPr>
              <w:t xml:space="preserve"> </w:t>
            </w:r>
            <w:r>
              <w:rPr>
                <w:color w:val="auto"/>
                <w:spacing w:val="-11"/>
                <w:sz w:val="24"/>
                <w:szCs w:val="24"/>
                <w:highlight w:val="none"/>
              </w:rPr>
              <w:t>价</w:t>
            </w:r>
            <w:r>
              <w:rPr>
                <w:color w:val="auto"/>
                <w:sz w:val="24"/>
                <w:szCs w:val="24"/>
                <w:highlight w:val="none"/>
              </w:rPr>
              <w:t xml:space="preserve">  </w:t>
            </w:r>
            <w:r>
              <w:rPr>
                <w:color w:val="auto"/>
                <w:spacing w:val="-5"/>
                <w:sz w:val="24"/>
                <w:szCs w:val="24"/>
                <w:highlight w:val="none"/>
              </w:rPr>
              <w:t>（元</w:t>
            </w:r>
            <w:r>
              <w:rPr>
                <w:rFonts w:ascii="Times New Roman" w:hAnsi="Times New Roman" w:eastAsia="Times New Roman" w:cs="Times New Roman"/>
                <w:color w:val="auto"/>
                <w:spacing w:val="-5"/>
                <w:sz w:val="24"/>
                <w:szCs w:val="24"/>
                <w:highlight w:val="none"/>
              </w:rPr>
              <w:t>/m</w:t>
            </w:r>
            <w:r>
              <w:rPr>
                <w:rFonts w:ascii="Times New Roman" w:hAnsi="Times New Roman" w:eastAsia="Times New Roman" w:cs="Times New Roman"/>
                <w:color w:val="auto"/>
                <w:spacing w:val="-5"/>
                <w:position w:val="8"/>
                <w:sz w:val="16"/>
                <w:szCs w:val="16"/>
                <w:highlight w:val="none"/>
              </w:rPr>
              <w:t>3</w:t>
            </w:r>
            <w:r>
              <w:rPr>
                <w:color w:val="auto"/>
                <w:spacing w:val="-5"/>
                <w:sz w:val="24"/>
                <w:szCs w:val="24"/>
                <w:highlight w:val="none"/>
              </w:rPr>
              <w:t>）</w:t>
            </w:r>
          </w:p>
        </w:tc>
        <w:tc>
          <w:tcPr>
            <w:tcW w:w="1316" w:type="dxa"/>
            <w:vMerge w:val="restart"/>
            <w:tcBorders>
              <w:top w:val="single" w:color="000000" w:sz="6" w:space="0"/>
              <w:bottom w:val="nil"/>
            </w:tcBorders>
            <w:vAlign w:val="top"/>
          </w:tcPr>
          <w:p w14:paraId="4318129B">
            <w:pPr>
              <w:spacing w:line="314" w:lineRule="auto"/>
              <w:rPr>
                <w:rFonts w:ascii="Arial"/>
                <w:color w:val="auto"/>
                <w:sz w:val="21"/>
                <w:highlight w:val="none"/>
              </w:rPr>
            </w:pPr>
          </w:p>
          <w:p w14:paraId="445E0FF1">
            <w:pPr>
              <w:spacing w:line="314" w:lineRule="auto"/>
              <w:rPr>
                <w:rFonts w:ascii="Arial"/>
                <w:color w:val="auto"/>
                <w:sz w:val="21"/>
                <w:highlight w:val="none"/>
              </w:rPr>
            </w:pPr>
          </w:p>
          <w:p w14:paraId="078BF4B5">
            <w:pPr>
              <w:pStyle w:val="33"/>
              <w:spacing w:before="78" w:line="229" w:lineRule="auto"/>
              <w:ind w:left="148" w:right="138" w:firstLine="221"/>
              <w:rPr>
                <w:color w:val="auto"/>
                <w:sz w:val="24"/>
                <w:szCs w:val="24"/>
                <w:highlight w:val="none"/>
              </w:rPr>
            </w:pPr>
            <w:r>
              <w:rPr>
                <w:color w:val="auto"/>
                <w:spacing w:val="-11"/>
                <w:sz w:val="24"/>
                <w:szCs w:val="24"/>
                <w:highlight w:val="none"/>
              </w:rPr>
              <w:t>补</w:t>
            </w:r>
            <w:r>
              <w:rPr>
                <w:color w:val="auto"/>
                <w:spacing w:val="12"/>
                <w:sz w:val="24"/>
                <w:szCs w:val="24"/>
                <w:highlight w:val="none"/>
              </w:rPr>
              <w:t xml:space="preserve"> </w:t>
            </w:r>
            <w:r>
              <w:rPr>
                <w:color w:val="auto"/>
                <w:spacing w:val="-11"/>
                <w:sz w:val="24"/>
                <w:szCs w:val="24"/>
                <w:highlight w:val="none"/>
              </w:rPr>
              <w:t>差</w:t>
            </w:r>
            <w:r>
              <w:rPr>
                <w:color w:val="auto"/>
                <w:sz w:val="24"/>
                <w:szCs w:val="24"/>
                <w:highlight w:val="none"/>
              </w:rPr>
              <w:t xml:space="preserve">  </w:t>
            </w:r>
            <w:r>
              <w:rPr>
                <w:color w:val="auto"/>
                <w:spacing w:val="-5"/>
                <w:sz w:val="24"/>
                <w:szCs w:val="24"/>
                <w:highlight w:val="none"/>
              </w:rPr>
              <w:t>（元</w:t>
            </w:r>
            <w:r>
              <w:rPr>
                <w:rFonts w:ascii="Times New Roman" w:hAnsi="Times New Roman" w:eastAsia="Times New Roman" w:cs="Times New Roman"/>
                <w:color w:val="auto"/>
                <w:spacing w:val="-5"/>
                <w:sz w:val="24"/>
                <w:szCs w:val="24"/>
                <w:highlight w:val="none"/>
              </w:rPr>
              <w:t>/m</w:t>
            </w:r>
            <w:r>
              <w:rPr>
                <w:rFonts w:ascii="Times New Roman" w:hAnsi="Times New Roman" w:eastAsia="Times New Roman" w:cs="Times New Roman"/>
                <w:color w:val="auto"/>
                <w:spacing w:val="-5"/>
                <w:position w:val="8"/>
                <w:sz w:val="16"/>
                <w:szCs w:val="16"/>
                <w:highlight w:val="none"/>
              </w:rPr>
              <w:t>3</w:t>
            </w:r>
            <w:r>
              <w:rPr>
                <w:color w:val="auto"/>
                <w:spacing w:val="-5"/>
                <w:sz w:val="24"/>
                <w:szCs w:val="24"/>
                <w:highlight w:val="none"/>
              </w:rPr>
              <w:t>）</w:t>
            </w:r>
          </w:p>
        </w:tc>
        <w:tc>
          <w:tcPr>
            <w:tcW w:w="1062" w:type="dxa"/>
            <w:vMerge w:val="restart"/>
            <w:tcBorders>
              <w:top w:val="single" w:color="000000" w:sz="6" w:space="0"/>
              <w:bottom w:val="nil"/>
              <w:right w:val="single" w:color="000000" w:sz="6" w:space="0"/>
            </w:tcBorders>
            <w:vAlign w:val="top"/>
          </w:tcPr>
          <w:p w14:paraId="28619935">
            <w:pPr>
              <w:spacing w:line="260" w:lineRule="auto"/>
              <w:rPr>
                <w:rFonts w:ascii="Arial"/>
                <w:color w:val="auto"/>
                <w:sz w:val="21"/>
                <w:highlight w:val="none"/>
              </w:rPr>
            </w:pPr>
          </w:p>
          <w:p w14:paraId="3ACBE944">
            <w:pPr>
              <w:spacing w:line="260" w:lineRule="auto"/>
              <w:rPr>
                <w:rFonts w:ascii="Arial"/>
                <w:color w:val="auto"/>
                <w:sz w:val="21"/>
                <w:highlight w:val="none"/>
              </w:rPr>
            </w:pPr>
          </w:p>
          <w:p w14:paraId="089EA38B">
            <w:pPr>
              <w:spacing w:line="260" w:lineRule="auto"/>
              <w:rPr>
                <w:rFonts w:ascii="Arial"/>
                <w:color w:val="auto"/>
                <w:sz w:val="21"/>
                <w:highlight w:val="none"/>
              </w:rPr>
            </w:pPr>
          </w:p>
          <w:p w14:paraId="24D07DBB">
            <w:pPr>
              <w:pStyle w:val="33"/>
              <w:spacing w:before="78" w:line="221" w:lineRule="auto"/>
              <w:ind w:left="242"/>
              <w:rPr>
                <w:color w:val="auto"/>
                <w:sz w:val="24"/>
                <w:szCs w:val="24"/>
                <w:highlight w:val="none"/>
              </w:rPr>
            </w:pPr>
            <w:r>
              <w:rPr>
                <w:color w:val="auto"/>
                <w:spacing w:val="-7"/>
                <w:sz w:val="24"/>
                <w:szCs w:val="24"/>
                <w:highlight w:val="none"/>
              </w:rPr>
              <w:t>备</w:t>
            </w:r>
            <w:r>
              <w:rPr>
                <w:color w:val="auto"/>
                <w:spacing w:val="10"/>
                <w:sz w:val="24"/>
                <w:szCs w:val="24"/>
                <w:highlight w:val="none"/>
              </w:rPr>
              <w:t xml:space="preserve"> </w:t>
            </w:r>
            <w:r>
              <w:rPr>
                <w:color w:val="auto"/>
                <w:spacing w:val="-7"/>
                <w:sz w:val="24"/>
                <w:szCs w:val="24"/>
                <w:highlight w:val="none"/>
              </w:rPr>
              <w:t>注</w:t>
            </w:r>
          </w:p>
        </w:tc>
      </w:tr>
      <w:tr w14:paraId="2CAEFBA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5" w:hRule="atLeast"/>
        </w:trPr>
        <w:tc>
          <w:tcPr>
            <w:tcW w:w="642" w:type="dxa"/>
            <w:vMerge w:val="continue"/>
            <w:tcBorders>
              <w:top w:val="nil"/>
              <w:left w:val="single" w:color="000000" w:sz="6" w:space="0"/>
              <w:bottom w:val="nil"/>
            </w:tcBorders>
            <w:textDirection w:val="tbRlV"/>
            <w:vAlign w:val="top"/>
          </w:tcPr>
          <w:p w14:paraId="740D0CCE">
            <w:pPr>
              <w:rPr>
                <w:rFonts w:ascii="Arial"/>
                <w:color w:val="auto"/>
                <w:sz w:val="21"/>
                <w:highlight w:val="none"/>
              </w:rPr>
            </w:pPr>
          </w:p>
        </w:tc>
        <w:tc>
          <w:tcPr>
            <w:tcW w:w="1230" w:type="dxa"/>
            <w:vMerge w:val="continue"/>
            <w:tcBorders>
              <w:top w:val="nil"/>
              <w:bottom w:val="nil"/>
            </w:tcBorders>
            <w:vAlign w:val="top"/>
          </w:tcPr>
          <w:p w14:paraId="5D74E0E6">
            <w:pPr>
              <w:rPr>
                <w:rFonts w:ascii="Arial"/>
                <w:color w:val="auto"/>
                <w:sz w:val="21"/>
                <w:highlight w:val="none"/>
              </w:rPr>
            </w:pPr>
          </w:p>
        </w:tc>
        <w:tc>
          <w:tcPr>
            <w:tcW w:w="837" w:type="dxa"/>
            <w:vMerge w:val="continue"/>
            <w:tcBorders>
              <w:top w:val="nil"/>
              <w:bottom w:val="nil"/>
            </w:tcBorders>
            <w:vAlign w:val="top"/>
          </w:tcPr>
          <w:p w14:paraId="38A38ACB">
            <w:pPr>
              <w:rPr>
                <w:rFonts w:ascii="Arial"/>
                <w:color w:val="auto"/>
                <w:sz w:val="21"/>
                <w:highlight w:val="none"/>
              </w:rPr>
            </w:pPr>
          </w:p>
        </w:tc>
        <w:tc>
          <w:tcPr>
            <w:tcW w:w="810" w:type="dxa"/>
            <w:vMerge w:val="continue"/>
            <w:tcBorders>
              <w:top w:val="nil"/>
              <w:bottom w:val="nil"/>
            </w:tcBorders>
            <w:vAlign w:val="top"/>
          </w:tcPr>
          <w:p w14:paraId="42C2ADD1">
            <w:pPr>
              <w:rPr>
                <w:rFonts w:ascii="Arial"/>
                <w:color w:val="auto"/>
                <w:sz w:val="21"/>
                <w:highlight w:val="none"/>
              </w:rPr>
            </w:pPr>
          </w:p>
        </w:tc>
        <w:tc>
          <w:tcPr>
            <w:tcW w:w="868" w:type="dxa"/>
            <w:vMerge w:val="continue"/>
            <w:tcBorders>
              <w:top w:val="nil"/>
              <w:bottom w:val="nil"/>
            </w:tcBorders>
            <w:vAlign w:val="top"/>
          </w:tcPr>
          <w:p w14:paraId="2F0F9881">
            <w:pPr>
              <w:rPr>
                <w:rFonts w:ascii="Arial"/>
                <w:color w:val="auto"/>
                <w:sz w:val="21"/>
                <w:highlight w:val="none"/>
              </w:rPr>
            </w:pPr>
          </w:p>
        </w:tc>
        <w:tc>
          <w:tcPr>
            <w:tcW w:w="1342" w:type="dxa"/>
            <w:vAlign w:val="top"/>
          </w:tcPr>
          <w:p w14:paraId="5DCF68E5">
            <w:pPr>
              <w:pStyle w:val="33"/>
              <w:spacing w:before="37" w:line="222" w:lineRule="auto"/>
              <w:ind w:left="322" w:right="325" w:firstLine="116"/>
              <w:rPr>
                <w:color w:val="auto"/>
                <w:sz w:val="24"/>
                <w:szCs w:val="24"/>
                <w:highlight w:val="none"/>
              </w:rPr>
            </w:pPr>
            <w:r>
              <w:rPr>
                <w:color w:val="auto"/>
                <w:spacing w:val="-7"/>
                <w:sz w:val="24"/>
                <w:szCs w:val="24"/>
                <w:highlight w:val="none"/>
              </w:rPr>
              <w:t>水泥</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kg</w:t>
            </w:r>
            <w:r>
              <w:rPr>
                <w:color w:val="auto"/>
                <w:spacing w:val="-8"/>
                <w:sz w:val="24"/>
                <w:szCs w:val="24"/>
                <w:highlight w:val="none"/>
              </w:rPr>
              <w:t>）</w:t>
            </w:r>
          </w:p>
        </w:tc>
        <w:tc>
          <w:tcPr>
            <w:tcW w:w="1242" w:type="dxa"/>
            <w:vAlign w:val="top"/>
          </w:tcPr>
          <w:p w14:paraId="5DAB4B5C">
            <w:pPr>
              <w:pStyle w:val="33"/>
              <w:spacing w:before="190" w:line="222" w:lineRule="auto"/>
              <w:ind w:left="135"/>
              <w:rPr>
                <w:color w:val="auto"/>
                <w:sz w:val="24"/>
                <w:szCs w:val="24"/>
                <w:highlight w:val="none"/>
              </w:rPr>
            </w:pPr>
            <w:r>
              <w:rPr>
                <w:color w:val="auto"/>
                <w:spacing w:val="-2"/>
                <w:sz w:val="24"/>
                <w:szCs w:val="24"/>
                <w:highlight w:val="none"/>
              </w:rPr>
              <w:t>砂（</w:t>
            </w:r>
            <w:r>
              <w:rPr>
                <w:rFonts w:ascii="Times New Roman" w:hAnsi="Times New Roman" w:eastAsia="Times New Roman" w:cs="Times New Roman"/>
                <w:color w:val="auto"/>
                <w:spacing w:val="-2"/>
                <w:sz w:val="24"/>
                <w:szCs w:val="24"/>
                <w:highlight w:val="none"/>
              </w:rPr>
              <w:t>m</w:t>
            </w:r>
            <w:r>
              <w:rPr>
                <w:rFonts w:ascii="Times New Roman" w:hAnsi="Times New Roman" w:eastAsia="Times New Roman" w:cs="Times New Roman"/>
                <w:color w:val="auto"/>
                <w:spacing w:val="-2"/>
                <w:position w:val="8"/>
                <w:sz w:val="16"/>
                <w:szCs w:val="16"/>
                <w:highlight w:val="none"/>
              </w:rPr>
              <w:t>3</w:t>
            </w:r>
            <w:r>
              <w:rPr>
                <w:color w:val="auto"/>
                <w:spacing w:val="-2"/>
                <w:sz w:val="24"/>
                <w:szCs w:val="24"/>
                <w:highlight w:val="none"/>
              </w:rPr>
              <w:t>）</w:t>
            </w:r>
          </w:p>
        </w:tc>
        <w:tc>
          <w:tcPr>
            <w:tcW w:w="1163" w:type="dxa"/>
            <w:vAlign w:val="top"/>
          </w:tcPr>
          <w:p w14:paraId="2618A85A">
            <w:pPr>
              <w:pStyle w:val="33"/>
              <w:spacing w:before="37" w:line="222" w:lineRule="auto"/>
              <w:ind w:left="220" w:right="220" w:firstLine="248"/>
              <w:rPr>
                <w:color w:val="auto"/>
                <w:sz w:val="24"/>
                <w:szCs w:val="24"/>
                <w:highlight w:val="none"/>
              </w:rPr>
            </w:pPr>
            <w:r>
              <w:rPr>
                <w:color w:val="auto"/>
                <w:spacing w:val="-11"/>
                <w:sz w:val="24"/>
                <w:szCs w:val="24"/>
                <w:highlight w:val="none"/>
              </w:rPr>
              <w:t>石</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m</w:t>
            </w:r>
            <w:r>
              <w:rPr>
                <w:rFonts w:ascii="Times New Roman" w:hAnsi="Times New Roman" w:eastAsia="Times New Roman" w:cs="Times New Roman"/>
                <w:color w:val="auto"/>
                <w:spacing w:val="-8"/>
                <w:position w:val="8"/>
                <w:sz w:val="16"/>
                <w:szCs w:val="16"/>
                <w:highlight w:val="none"/>
              </w:rPr>
              <w:t>3</w:t>
            </w:r>
            <w:r>
              <w:rPr>
                <w:color w:val="auto"/>
                <w:spacing w:val="-8"/>
                <w:sz w:val="24"/>
                <w:szCs w:val="24"/>
                <w:highlight w:val="none"/>
              </w:rPr>
              <w:t>）</w:t>
            </w:r>
          </w:p>
        </w:tc>
        <w:tc>
          <w:tcPr>
            <w:tcW w:w="1187" w:type="dxa"/>
            <w:vAlign w:val="top"/>
          </w:tcPr>
          <w:p w14:paraId="2BB9D536">
            <w:pPr>
              <w:pStyle w:val="33"/>
              <w:spacing w:before="37" w:line="222" w:lineRule="auto"/>
              <w:ind w:left="235" w:right="229" w:firstLine="250"/>
              <w:rPr>
                <w:color w:val="auto"/>
                <w:sz w:val="24"/>
                <w:szCs w:val="24"/>
                <w:highlight w:val="none"/>
              </w:rPr>
            </w:pPr>
            <w:r>
              <w:rPr>
                <w:color w:val="auto"/>
                <w:spacing w:val="-13"/>
                <w:sz w:val="24"/>
                <w:szCs w:val="24"/>
                <w:highlight w:val="none"/>
              </w:rPr>
              <w:t>水</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m</w:t>
            </w:r>
            <w:r>
              <w:rPr>
                <w:rFonts w:ascii="Times New Roman" w:hAnsi="Times New Roman" w:eastAsia="Times New Roman" w:cs="Times New Roman"/>
                <w:color w:val="auto"/>
                <w:spacing w:val="-8"/>
                <w:position w:val="8"/>
                <w:sz w:val="16"/>
                <w:szCs w:val="16"/>
                <w:highlight w:val="none"/>
              </w:rPr>
              <w:t>3</w:t>
            </w:r>
            <w:r>
              <w:rPr>
                <w:color w:val="auto"/>
                <w:spacing w:val="-8"/>
                <w:sz w:val="24"/>
                <w:szCs w:val="24"/>
                <w:highlight w:val="none"/>
              </w:rPr>
              <w:t>）</w:t>
            </w:r>
          </w:p>
        </w:tc>
        <w:tc>
          <w:tcPr>
            <w:tcW w:w="995" w:type="dxa"/>
            <w:vAlign w:val="top"/>
          </w:tcPr>
          <w:p w14:paraId="1E0DE2D8">
            <w:pPr>
              <w:spacing w:line="302" w:lineRule="auto"/>
              <w:rPr>
                <w:rFonts w:ascii="Arial"/>
                <w:color w:val="auto"/>
                <w:sz w:val="21"/>
                <w:highlight w:val="none"/>
              </w:rPr>
            </w:pPr>
          </w:p>
          <w:p w14:paraId="4DDAA7EF">
            <w:pPr>
              <w:spacing w:before="69" w:line="75" w:lineRule="exact"/>
              <w:ind w:left="283"/>
              <w:rPr>
                <w:rFonts w:ascii="Times New Roman" w:hAnsi="Times New Roman" w:eastAsia="Times New Roman" w:cs="Times New Roman"/>
                <w:color w:val="auto"/>
                <w:sz w:val="24"/>
                <w:szCs w:val="24"/>
                <w:highlight w:val="none"/>
              </w:rPr>
            </w:pPr>
            <w:r>
              <w:rPr>
                <w:rFonts w:ascii="Times New Roman" w:hAnsi="Times New Roman" w:eastAsia="Times New Roman" w:cs="Times New Roman"/>
                <w:color w:val="auto"/>
                <w:spacing w:val="-7"/>
                <w:position w:val="-1"/>
                <w:sz w:val="24"/>
                <w:szCs w:val="24"/>
                <w:highlight w:val="none"/>
              </w:rPr>
              <w:t>……</w:t>
            </w:r>
          </w:p>
        </w:tc>
        <w:tc>
          <w:tcPr>
            <w:tcW w:w="1311" w:type="dxa"/>
            <w:vMerge w:val="continue"/>
            <w:tcBorders>
              <w:top w:val="nil"/>
              <w:bottom w:val="nil"/>
            </w:tcBorders>
            <w:vAlign w:val="top"/>
          </w:tcPr>
          <w:p w14:paraId="59F70B64">
            <w:pPr>
              <w:rPr>
                <w:rFonts w:ascii="Arial"/>
                <w:color w:val="auto"/>
                <w:sz w:val="21"/>
                <w:highlight w:val="none"/>
              </w:rPr>
            </w:pPr>
          </w:p>
        </w:tc>
        <w:tc>
          <w:tcPr>
            <w:tcW w:w="1316" w:type="dxa"/>
            <w:vMerge w:val="continue"/>
            <w:tcBorders>
              <w:top w:val="nil"/>
              <w:bottom w:val="nil"/>
            </w:tcBorders>
            <w:vAlign w:val="top"/>
          </w:tcPr>
          <w:p w14:paraId="072BC14D">
            <w:pPr>
              <w:rPr>
                <w:rFonts w:ascii="Arial"/>
                <w:color w:val="auto"/>
                <w:sz w:val="21"/>
                <w:highlight w:val="none"/>
              </w:rPr>
            </w:pPr>
          </w:p>
        </w:tc>
        <w:tc>
          <w:tcPr>
            <w:tcW w:w="1062" w:type="dxa"/>
            <w:vMerge w:val="continue"/>
            <w:tcBorders>
              <w:top w:val="nil"/>
              <w:bottom w:val="nil"/>
              <w:right w:val="single" w:color="000000" w:sz="6" w:space="0"/>
            </w:tcBorders>
            <w:vAlign w:val="top"/>
          </w:tcPr>
          <w:p w14:paraId="09C60921">
            <w:pPr>
              <w:rPr>
                <w:rFonts w:ascii="Arial"/>
                <w:color w:val="auto"/>
                <w:sz w:val="21"/>
                <w:highlight w:val="none"/>
              </w:rPr>
            </w:pPr>
          </w:p>
        </w:tc>
      </w:tr>
      <w:tr w14:paraId="490E6F7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42" w:type="dxa"/>
            <w:vMerge w:val="continue"/>
            <w:tcBorders>
              <w:top w:val="nil"/>
              <w:left w:val="single" w:color="000000" w:sz="6" w:space="0"/>
              <w:bottom w:val="nil"/>
            </w:tcBorders>
            <w:textDirection w:val="tbRlV"/>
            <w:vAlign w:val="top"/>
          </w:tcPr>
          <w:p w14:paraId="1877EE14">
            <w:pPr>
              <w:rPr>
                <w:rFonts w:ascii="Arial"/>
                <w:color w:val="auto"/>
                <w:sz w:val="21"/>
                <w:highlight w:val="none"/>
              </w:rPr>
            </w:pPr>
          </w:p>
        </w:tc>
        <w:tc>
          <w:tcPr>
            <w:tcW w:w="1230" w:type="dxa"/>
            <w:vMerge w:val="continue"/>
            <w:tcBorders>
              <w:top w:val="nil"/>
              <w:bottom w:val="nil"/>
            </w:tcBorders>
            <w:vAlign w:val="top"/>
          </w:tcPr>
          <w:p w14:paraId="6CDC63E1">
            <w:pPr>
              <w:rPr>
                <w:rFonts w:ascii="Arial"/>
                <w:color w:val="auto"/>
                <w:sz w:val="21"/>
                <w:highlight w:val="none"/>
              </w:rPr>
            </w:pPr>
          </w:p>
        </w:tc>
        <w:tc>
          <w:tcPr>
            <w:tcW w:w="837" w:type="dxa"/>
            <w:vMerge w:val="continue"/>
            <w:tcBorders>
              <w:top w:val="nil"/>
              <w:bottom w:val="nil"/>
            </w:tcBorders>
            <w:vAlign w:val="top"/>
          </w:tcPr>
          <w:p w14:paraId="64E6BB8E">
            <w:pPr>
              <w:rPr>
                <w:rFonts w:ascii="Arial"/>
                <w:color w:val="auto"/>
                <w:sz w:val="21"/>
                <w:highlight w:val="none"/>
              </w:rPr>
            </w:pPr>
          </w:p>
        </w:tc>
        <w:tc>
          <w:tcPr>
            <w:tcW w:w="810" w:type="dxa"/>
            <w:vMerge w:val="continue"/>
            <w:tcBorders>
              <w:top w:val="nil"/>
              <w:bottom w:val="nil"/>
            </w:tcBorders>
            <w:vAlign w:val="top"/>
          </w:tcPr>
          <w:p w14:paraId="49DA3F18">
            <w:pPr>
              <w:rPr>
                <w:rFonts w:ascii="Arial"/>
                <w:color w:val="auto"/>
                <w:sz w:val="21"/>
                <w:highlight w:val="none"/>
              </w:rPr>
            </w:pPr>
          </w:p>
        </w:tc>
        <w:tc>
          <w:tcPr>
            <w:tcW w:w="868" w:type="dxa"/>
            <w:vMerge w:val="continue"/>
            <w:tcBorders>
              <w:top w:val="nil"/>
              <w:bottom w:val="nil"/>
            </w:tcBorders>
            <w:vAlign w:val="top"/>
          </w:tcPr>
          <w:p w14:paraId="76FD91A3">
            <w:pPr>
              <w:rPr>
                <w:rFonts w:ascii="Arial"/>
                <w:color w:val="auto"/>
                <w:sz w:val="21"/>
                <w:highlight w:val="none"/>
              </w:rPr>
            </w:pPr>
          </w:p>
        </w:tc>
        <w:tc>
          <w:tcPr>
            <w:tcW w:w="1342" w:type="dxa"/>
            <w:vAlign w:val="top"/>
          </w:tcPr>
          <w:p w14:paraId="3048BB8E">
            <w:pPr>
              <w:pStyle w:val="33"/>
              <w:spacing w:before="100" w:line="218" w:lineRule="auto"/>
              <w:ind w:left="202"/>
              <w:rPr>
                <w:color w:val="auto"/>
                <w:sz w:val="24"/>
                <w:szCs w:val="24"/>
                <w:highlight w:val="none"/>
              </w:rPr>
            </w:pPr>
            <w:r>
              <w:rPr>
                <w:color w:val="auto"/>
                <w:spacing w:val="-6"/>
                <w:sz w:val="24"/>
                <w:szCs w:val="24"/>
                <w:highlight w:val="none"/>
              </w:rPr>
              <w:t>（单价）</w:t>
            </w:r>
          </w:p>
        </w:tc>
        <w:tc>
          <w:tcPr>
            <w:tcW w:w="1242" w:type="dxa"/>
            <w:vAlign w:val="top"/>
          </w:tcPr>
          <w:p w14:paraId="087E5AE3">
            <w:pPr>
              <w:pStyle w:val="33"/>
              <w:spacing w:before="100" w:line="218" w:lineRule="auto"/>
              <w:ind w:left="154"/>
              <w:rPr>
                <w:color w:val="auto"/>
                <w:sz w:val="24"/>
                <w:szCs w:val="24"/>
                <w:highlight w:val="none"/>
              </w:rPr>
            </w:pPr>
            <w:r>
              <w:rPr>
                <w:color w:val="auto"/>
                <w:spacing w:val="-6"/>
                <w:sz w:val="24"/>
                <w:szCs w:val="24"/>
                <w:highlight w:val="none"/>
              </w:rPr>
              <w:t>（单价）</w:t>
            </w:r>
          </w:p>
        </w:tc>
        <w:tc>
          <w:tcPr>
            <w:tcW w:w="1163" w:type="dxa"/>
            <w:vAlign w:val="top"/>
          </w:tcPr>
          <w:p w14:paraId="6846904A">
            <w:pPr>
              <w:pStyle w:val="33"/>
              <w:spacing w:before="100" w:line="218" w:lineRule="auto"/>
              <w:ind w:left="122"/>
              <w:rPr>
                <w:color w:val="auto"/>
                <w:sz w:val="24"/>
                <w:szCs w:val="24"/>
                <w:highlight w:val="none"/>
              </w:rPr>
            </w:pPr>
            <w:r>
              <w:rPr>
                <w:color w:val="auto"/>
                <w:spacing w:val="-6"/>
                <w:sz w:val="24"/>
                <w:szCs w:val="24"/>
                <w:highlight w:val="none"/>
              </w:rPr>
              <w:t>（单价）</w:t>
            </w:r>
          </w:p>
        </w:tc>
        <w:tc>
          <w:tcPr>
            <w:tcW w:w="1187" w:type="dxa"/>
            <w:vAlign w:val="top"/>
          </w:tcPr>
          <w:p w14:paraId="017F3A93">
            <w:pPr>
              <w:pStyle w:val="33"/>
              <w:spacing w:before="100" w:line="218" w:lineRule="auto"/>
              <w:ind w:left="130"/>
              <w:rPr>
                <w:color w:val="auto"/>
                <w:sz w:val="24"/>
                <w:szCs w:val="24"/>
                <w:highlight w:val="none"/>
              </w:rPr>
            </w:pPr>
            <w:r>
              <w:rPr>
                <w:color w:val="auto"/>
                <w:spacing w:val="-6"/>
                <w:sz w:val="24"/>
                <w:szCs w:val="24"/>
                <w:highlight w:val="none"/>
              </w:rPr>
              <w:t>（单价）</w:t>
            </w:r>
          </w:p>
        </w:tc>
        <w:tc>
          <w:tcPr>
            <w:tcW w:w="995" w:type="dxa"/>
            <w:vAlign w:val="top"/>
          </w:tcPr>
          <w:p w14:paraId="2720B458">
            <w:pPr>
              <w:rPr>
                <w:rFonts w:ascii="Arial"/>
                <w:color w:val="auto"/>
                <w:sz w:val="21"/>
                <w:highlight w:val="none"/>
              </w:rPr>
            </w:pPr>
          </w:p>
        </w:tc>
        <w:tc>
          <w:tcPr>
            <w:tcW w:w="1311" w:type="dxa"/>
            <w:vMerge w:val="continue"/>
            <w:tcBorders>
              <w:top w:val="nil"/>
              <w:bottom w:val="nil"/>
            </w:tcBorders>
            <w:vAlign w:val="top"/>
          </w:tcPr>
          <w:p w14:paraId="45B7716F">
            <w:pPr>
              <w:rPr>
                <w:rFonts w:ascii="Arial"/>
                <w:color w:val="auto"/>
                <w:sz w:val="21"/>
                <w:highlight w:val="none"/>
              </w:rPr>
            </w:pPr>
          </w:p>
        </w:tc>
        <w:tc>
          <w:tcPr>
            <w:tcW w:w="1316" w:type="dxa"/>
            <w:vMerge w:val="continue"/>
            <w:tcBorders>
              <w:top w:val="nil"/>
              <w:bottom w:val="nil"/>
            </w:tcBorders>
            <w:vAlign w:val="top"/>
          </w:tcPr>
          <w:p w14:paraId="1F6E3D6B">
            <w:pPr>
              <w:rPr>
                <w:rFonts w:ascii="Arial"/>
                <w:color w:val="auto"/>
                <w:sz w:val="21"/>
                <w:highlight w:val="none"/>
              </w:rPr>
            </w:pPr>
          </w:p>
        </w:tc>
        <w:tc>
          <w:tcPr>
            <w:tcW w:w="1062" w:type="dxa"/>
            <w:vMerge w:val="continue"/>
            <w:tcBorders>
              <w:top w:val="nil"/>
              <w:bottom w:val="nil"/>
              <w:right w:val="single" w:color="000000" w:sz="6" w:space="0"/>
            </w:tcBorders>
            <w:vAlign w:val="top"/>
          </w:tcPr>
          <w:p w14:paraId="7788A507">
            <w:pPr>
              <w:rPr>
                <w:rFonts w:ascii="Arial"/>
                <w:color w:val="auto"/>
                <w:sz w:val="21"/>
                <w:highlight w:val="none"/>
              </w:rPr>
            </w:pPr>
          </w:p>
        </w:tc>
      </w:tr>
      <w:tr w14:paraId="235EC0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40" w:hRule="atLeast"/>
        </w:trPr>
        <w:tc>
          <w:tcPr>
            <w:tcW w:w="642" w:type="dxa"/>
            <w:vMerge w:val="continue"/>
            <w:tcBorders>
              <w:top w:val="nil"/>
              <w:left w:val="single" w:color="000000" w:sz="6" w:space="0"/>
            </w:tcBorders>
            <w:textDirection w:val="tbRlV"/>
            <w:vAlign w:val="top"/>
          </w:tcPr>
          <w:p w14:paraId="48C474E1">
            <w:pPr>
              <w:rPr>
                <w:rFonts w:ascii="Arial"/>
                <w:color w:val="auto"/>
                <w:sz w:val="21"/>
                <w:highlight w:val="none"/>
              </w:rPr>
            </w:pPr>
          </w:p>
        </w:tc>
        <w:tc>
          <w:tcPr>
            <w:tcW w:w="1230" w:type="dxa"/>
            <w:vMerge w:val="continue"/>
            <w:tcBorders>
              <w:top w:val="nil"/>
            </w:tcBorders>
            <w:vAlign w:val="top"/>
          </w:tcPr>
          <w:p w14:paraId="04C5043F">
            <w:pPr>
              <w:rPr>
                <w:rFonts w:ascii="Arial"/>
                <w:color w:val="auto"/>
                <w:sz w:val="21"/>
                <w:highlight w:val="none"/>
              </w:rPr>
            </w:pPr>
          </w:p>
        </w:tc>
        <w:tc>
          <w:tcPr>
            <w:tcW w:w="837" w:type="dxa"/>
            <w:vMerge w:val="continue"/>
            <w:tcBorders>
              <w:top w:val="nil"/>
            </w:tcBorders>
            <w:vAlign w:val="top"/>
          </w:tcPr>
          <w:p w14:paraId="08379158">
            <w:pPr>
              <w:rPr>
                <w:rFonts w:ascii="Arial"/>
                <w:color w:val="auto"/>
                <w:sz w:val="21"/>
                <w:highlight w:val="none"/>
              </w:rPr>
            </w:pPr>
          </w:p>
        </w:tc>
        <w:tc>
          <w:tcPr>
            <w:tcW w:w="810" w:type="dxa"/>
            <w:vMerge w:val="continue"/>
            <w:tcBorders>
              <w:top w:val="nil"/>
            </w:tcBorders>
            <w:vAlign w:val="top"/>
          </w:tcPr>
          <w:p w14:paraId="12266891">
            <w:pPr>
              <w:rPr>
                <w:rFonts w:ascii="Arial"/>
                <w:color w:val="auto"/>
                <w:sz w:val="21"/>
                <w:highlight w:val="none"/>
              </w:rPr>
            </w:pPr>
          </w:p>
        </w:tc>
        <w:tc>
          <w:tcPr>
            <w:tcW w:w="868" w:type="dxa"/>
            <w:vMerge w:val="continue"/>
            <w:tcBorders>
              <w:top w:val="nil"/>
            </w:tcBorders>
            <w:vAlign w:val="top"/>
          </w:tcPr>
          <w:p w14:paraId="4429B776">
            <w:pPr>
              <w:rPr>
                <w:rFonts w:ascii="Arial"/>
                <w:color w:val="auto"/>
                <w:sz w:val="21"/>
                <w:highlight w:val="none"/>
              </w:rPr>
            </w:pPr>
          </w:p>
        </w:tc>
        <w:tc>
          <w:tcPr>
            <w:tcW w:w="1342" w:type="dxa"/>
            <w:vAlign w:val="top"/>
          </w:tcPr>
          <w:p w14:paraId="67A5DDDB">
            <w:pPr>
              <w:pStyle w:val="33"/>
              <w:spacing w:before="101" w:line="218" w:lineRule="auto"/>
              <w:ind w:left="202"/>
              <w:rPr>
                <w:color w:val="auto"/>
                <w:sz w:val="24"/>
                <w:szCs w:val="24"/>
                <w:highlight w:val="none"/>
              </w:rPr>
            </w:pPr>
            <w:r>
              <w:rPr>
                <w:color w:val="auto"/>
                <w:spacing w:val="-6"/>
                <w:sz w:val="24"/>
                <w:szCs w:val="24"/>
                <w:highlight w:val="none"/>
              </w:rPr>
              <w:t>（价差）</w:t>
            </w:r>
          </w:p>
        </w:tc>
        <w:tc>
          <w:tcPr>
            <w:tcW w:w="1242" w:type="dxa"/>
            <w:vAlign w:val="top"/>
          </w:tcPr>
          <w:p w14:paraId="25E9BE60">
            <w:pPr>
              <w:pStyle w:val="33"/>
              <w:spacing w:before="101" w:line="218" w:lineRule="auto"/>
              <w:ind w:left="154"/>
              <w:rPr>
                <w:color w:val="auto"/>
                <w:sz w:val="24"/>
                <w:szCs w:val="24"/>
                <w:highlight w:val="none"/>
              </w:rPr>
            </w:pPr>
            <w:r>
              <w:rPr>
                <w:color w:val="auto"/>
                <w:spacing w:val="-6"/>
                <w:sz w:val="24"/>
                <w:szCs w:val="24"/>
                <w:highlight w:val="none"/>
              </w:rPr>
              <w:t>（价差）</w:t>
            </w:r>
          </w:p>
        </w:tc>
        <w:tc>
          <w:tcPr>
            <w:tcW w:w="1163" w:type="dxa"/>
            <w:vAlign w:val="top"/>
          </w:tcPr>
          <w:p w14:paraId="7625FA49">
            <w:pPr>
              <w:pStyle w:val="33"/>
              <w:spacing w:before="101" w:line="218" w:lineRule="auto"/>
              <w:ind w:left="122"/>
              <w:rPr>
                <w:color w:val="auto"/>
                <w:sz w:val="24"/>
                <w:szCs w:val="24"/>
                <w:highlight w:val="none"/>
              </w:rPr>
            </w:pPr>
            <w:r>
              <w:rPr>
                <w:color w:val="auto"/>
                <w:spacing w:val="-6"/>
                <w:sz w:val="24"/>
                <w:szCs w:val="24"/>
                <w:highlight w:val="none"/>
              </w:rPr>
              <w:t>（价差）</w:t>
            </w:r>
          </w:p>
        </w:tc>
        <w:tc>
          <w:tcPr>
            <w:tcW w:w="1187" w:type="dxa"/>
            <w:vAlign w:val="top"/>
          </w:tcPr>
          <w:p w14:paraId="2579D071">
            <w:pPr>
              <w:rPr>
                <w:rFonts w:ascii="Arial"/>
                <w:color w:val="auto"/>
                <w:sz w:val="21"/>
                <w:highlight w:val="none"/>
              </w:rPr>
            </w:pPr>
          </w:p>
        </w:tc>
        <w:tc>
          <w:tcPr>
            <w:tcW w:w="995" w:type="dxa"/>
            <w:vAlign w:val="top"/>
          </w:tcPr>
          <w:p w14:paraId="74D073F0">
            <w:pPr>
              <w:rPr>
                <w:rFonts w:ascii="Arial"/>
                <w:color w:val="auto"/>
                <w:sz w:val="21"/>
                <w:highlight w:val="none"/>
              </w:rPr>
            </w:pPr>
          </w:p>
        </w:tc>
        <w:tc>
          <w:tcPr>
            <w:tcW w:w="1311" w:type="dxa"/>
            <w:vMerge w:val="continue"/>
            <w:tcBorders>
              <w:top w:val="nil"/>
            </w:tcBorders>
            <w:vAlign w:val="top"/>
          </w:tcPr>
          <w:p w14:paraId="6EC3C3C4">
            <w:pPr>
              <w:rPr>
                <w:rFonts w:ascii="Arial"/>
                <w:color w:val="auto"/>
                <w:sz w:val="21"/>
                <w:highlight w:val="none"/>
              </w:rPr>
            </w:pPr>
          </w:p>
        </w:tc>
        <w:tc>
          <w:tcPr>
            <w:tcW w:w="1316" w:type="dxa"/>
            <w:vMerge w:val="continue"/>
            <w:tcBorders>
              <w:top w:val="nil"/>
            </w:tcBorders>
            <w:vAlign w:val="top"/>
          </w:tcPr>
          <w:p w14:paraId="6F9573A7">
            <w:pPr>
              <w:rPr>
                <w:rFonts w:ascii="Arial"/>
                <w:color w:val="auto"/>
                <w:sz w:val="21"/>
                <w:highlight w:val="none"/>
              </w:rPr>
            </w:pPr>
          </w:p>
        </w:tc>
        <w:tc>
          <w:tcPr>
            <w:tcW w:w="1062" w:type="dxa"/>
            <w:vMerge w:val="continue"/>
            <w:tcBorders>
              <w:top w:val="nil"/>
              <w:right w:val="single" w:color="000000" w:sz="6" w:space="0"/>
            </w:tcBorders>
            <w:vAlign w:val="top"/>
          </w:tcPr>
          <w:p w14:paraId="061BD5D1">
            <w:pPr>
              <w:rPr>
                <w:rFonts w:ascii="Arial"/>
                <w:color w:val="auto"/>
                <w:sz w:val="21"/>
                <w:highlight w:val="none"/>
              </w:rPr>
            </w:pPr>
          </w:p>
        </w:tc>
      </w:tr>
      <w:tr w14:paraId="465D82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642" w:type="dxa"/>
            <w:tcBorders>
              <w:left w:val="single" w:color="000000" w:sz="6" w:space="0"/>
            </w:tcBorders>
            <w:vAlign w:val="top"/>
          </w:tcPr>
          <w:p w14:paraId="0DEE54D4">
            <w:pPr>
              <w:rPr>
                <w:rFonts w:ascii="Arial"/>
                <w:color w:val="auto"/>
                <w:sz w:val="21"/>
                <w:highlight w:val="none"/>
              </w:rPr>
            </w:pPr>
          </w:p>
        </w:tc>
        <w:tc>
          <w:tcPr>
            <w:tcW w:w="1230" w:type="dxa"/>
            <w:vAlign w:val="top"/>
          </w:tcPr>
          <w:p w14:paraId="2FB11628">
            <w:pPr>
              <w:rPr>
                <w:rFonts w:ascii="Arial"/>
                <w:color w:val="auto"/>
                <w:sz w:val="21"/>
                <w:highlight w:val="none"/>
              </w:rPr>
            </w:pPr>
          </w:p>
        </w:tc>
        <w:tc>
          <w:tcPr>
            <w:tcW w:w="837" w:type="dxa"/>
            <w:vAlign w:val="top"/>
          </w:tcPr>
          <w:p w14:paraId="6B1E7685">
            <w:pPr>
              <w:rPr>
                <w:rFonts w:ascii="Arial"/>
                <w:color w:val="auto"/>
                <w:sz w:val="21"/>
                <w:highlight w:val="none"/>
              </w:rPr>
            </w:pPr>
          </w:p>
        </w:tc>
        <w:tc>
          <w:tcPr>
            <w:tcW w:w="810" w:type="dxa"/>
            <w:vAlign w:val="top"/>
          </w:tcPr>
          <w:p w14:paraId="1D549699">
            <w:pPr>
              <w:rPr>
                <w:rFonts w:ascii="Arial"/>
                <w:color w:val="auto"/>
                <w:sz w:val="21"/>
                <w:highlight w:val="none"/>
              </w:rPr>
            </w:pPr>
          </w:p>
        </w:tc>
        <w:tc>
          <w:tcPr>
            <w:tcW w:w="868" w:type="dxa"/>
            <w:vAlign w:val="top"/>
          </w:tcPr>
          <w:p w14:paraId="0B38D3E6">
            <w:pPr>
              <w:rPr>
                <w:rFonts w:ascii="Arial"/>
                <w:color w:val="auto"/>
                <w:sz w:val="21"/>
                <w:highlight w:val="none"/>
              </w:rPr>
            </w:pPr>
          </w:p>
        </w:tc>
        <w:tc>
          <w:tcPr>
            <w:tcW w:w="1342" w:type="dxa"/>
            <w:vAlign w:val="top"/>
          </w:tcPr>
          <w:p w14:paraId="1966B3CD">
            <w:pPr>
              <w:rPr>
                <w:rFonts w:ascii="Arial"/>
                <w:color w:val="auto"/>
                <w:sz w:val="21"/>
                <w:highlight w:val="none"/>
              </w:rPr>
            </w:pPr>
          </w:p>
        </w:tc>
        <w:tc>
          <w:tcPr>
            <w:tcW w:w="1242" w:type="dxa"/>
            <w:vAlign w:val="top"/>
          </w:tcPr>
          <w:p w14:paraId="4144A109">
            <w:pPr>
              <w:rPr>
                <w:rFonts w:ascii="Arial"/>
                <w:color w:val="auto"/>
                <w:sz w:val="21"/>
                <w:highlight w:val="none"/>
              </w:rPr>
            </w:pPr>
          </w:p>
        </w:tc>
        <w:tc>
          <w:tcPr>
            <w:tcW w:w="1163" w:type="dxa"/>
            <w:vAlign w:val="top"/>
          </w:tcPr>
          <w:p w14:paraId="63CEA0A1">
            <w:pPr>
              <w:rPr>
                <w:rFonts w:ascii="Arial"/>
                <w:color w:val="auto"/>
                <w:sz w:val="21"/>
                <w:highlight w:val="none"/>
              </w:rPr>
            </w:pPr>
          </w:p>
        </w:tc>
        <w:tc>
          <w:tcPr>
            <w:tcW w:w="1187" w:type="dxa"/>
            <w:vAlign w:val="top"/>
          </w:tcPr>
          <w:p w14:paraId="26AEDA4C">
            <w:pPr>
              <w:rPr>
                <w:rFonts w:ascii="Arial"/>
                <w:color w:val="auto"/>
                <w:sz w:val="21"/>
                <w:highlight w:val="none"/>
              </w:rPr>
            </w:pPr>
          </w:p>
        </w:tc>
        <w:tc>
          <w:tcPr>
            <w:tcW w:w="995" w:type="dxa"/>
            <w:vAlign w:val="top"/>
          </w:tcPr>
          <w:p w14:paraId="369DDB8A">
            <w:pPr>
              <w:rPr>
                <w:rFonts w:ascii="Arial"/>
                <w:color w:val="auto"/>
                <w:sz w:val="21"/>
                <w:highlight w:val="none"/>
              </w:rPr>
            </w:pPr>
          </w:p>
        </w:tc>
        <w:tc>
          <w:tcPr>
            <w:tcW w:w="1311" w:type="dxa"/>
            <w:vAlign w:val="top"/>
          </w:tcPr>
          <w:p w14:paraId="3C992E84">
            <w:pPr>
              <w:rPr>
                <w:rFonts w:ascii="Arial"/>
                <w:color w:val="auto"/>
                <w:sz w:val="21"/>
                <w:highlight w:val="none"/>
              </w:rPr>
            </w:pPr>
          </w:p>
        </w:tc>
        <w:tc>
          <w:tcPr>
            <w:tcW w:w="1316" w:type="dxa"/>
            <w:vAlign w:val="top"/>
          </w:tcPr>
          <w:p w14:paraId="602089A2">
            <w:pPr>
              <w:rPr>
                <w:rFonts w:ascii="Arial"/>
                <w:color w:val="auto"/>
                <w:sz w:val="21"/>
                <w:highlight w:val="none"/>
              </w:rPr>
            </w:pPr>
          </w:p>
        </w:tc>
        <w:tc>
          <w:tcPr>
            <w:tcW w:w="1062" w:type="dxa"/>
            <w:tcBorders>
              <w:right w:val="single" w:color="000000" w:sz="6" w:space="0"/>
            </w:tcBorders>
            <w:vAlign w:val="top"/>
          </w:tcPr>
          <w:p w14:paraId="7BB13853">
            <w:pPr>
              <w:rPr>
                <w:rFonts w:ascii="Arial"/>
                <w:color w:val="auto"/>
                <w:sz w:val="21"/>
                <w:highlight w:val="none"/>
              </w:rPr>
            </w:pPr>
          </w:p>
        </w:tc>
      </w:tr>
      <w:tr w14:paraId="5443554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642" w:type="dxa"/>
            <w:tcBorders>
              <w:left w:val="single" w:color="000000" w:sz="6" w:space="0"/>
            </w:tcBorders>
            <w:vAlign w:val="top"/>
          </w:tcPr>
          <w:p w14:paraId="648B0057">
            <w:pPr>
              <w:rPr>
                <w:rFonts w:ascii="Arial"/>
                <w:color w:val="auto"/>
                <w:sz w:val="21"/>
                <w:highlight w:val="none"/>
              </w:rPr>
            </w:pPr>
          </w:p>
        </w:tc>
        <w:tc>
          <w:tcPr>
            <w:tcW w:w="1230" w:type="dxa"/>
            <w:vAlign w:val="top"/>
          </w:tcPr>
          <w:p w14:paraId="6B04A1F4">
            <w:pPr>
              <w:rPr>
                <w:rFonts w:ascii="Arial"/>
                <w:color w:val="auto"/>
                <w:sz w:val="21"/>
                <w:highlight w:val="none"/>
              </w:rPr>
            </w:pPr>
          </w:p>
        </w:tc>
        <w:tc>
          <w:tcPr>
            <w:tcW w:w="837" w:type="dxa"/>
            <w:vAlign w:val="top"/>
          </w:tcPr>
          <w:p w14:paraId="1A485312">
            <w:pPr>
              <w:rPr>
                <w:rFonts w:ascii="Arial"/>
                <w:color w:val="auto"/>
                <w:sz w:val="21"/>
                <w:highlight w:val="none"/>
              </w:rPr>
            </w:pPr>
          </w:p>
        </w:tc>
        <w:tc>
          <w:tcPr>
            <w:tcW w:w="810" w:type="dxa"/>
            <w:vAlign w:val="top"/>
          </w:tcPr>
          <w:p w14:paraId="6C0B6A84">
            <w:pPr>
              <w:rPr>
                <w:rFonts w:ascii="Arial"/>
                <w:color w:val="auto"/>
                <w:sz w:val="21"/>
                <w:highlight w:val="none"/>
              </w:rPr>
            </w:pPr>
          </w:p>
        </w:tc>
        <w:tc>
          <w:tcPr>
            <w:tcW w:w="868" w:type="dxa"/>
            <w:vAlign w:val="top"/>
          </w:tcPr>
          <w:p w14:paraId="2DEDE0FA">
            <w:pPr>
              <w:rPr>
                <w:rFonts w:ascii="Arial"/>
                <w:color w:val="auto"/>
                <w:sz w:val="21"/>
                <w:highlight w:val="none"/>
              </w:rPr>
            </w:pPr>
          </w:p>
        </w:tc>
        <w:tc>
          <w:tcPr>
            <w:tcW w:w="1342" w:type="dxa"/>
            <w:vAlign w:val="top"/>
          </w:tcPr>
          <w:p w14:paraId="2C3F52EC">
            <w:pPr>
              <w:rPr>
                <w:rFonts w:ascii="Arial"/>
                <w:color w:val="auto"/>
                <w:sz w:val="21"/>
                <w:highlight w:val="none"/>
              </w:rPr>
            </w:pPr>
          </w:p>
        </w:tc>
        <w:tc>
          <w:tcPr>
            <w:tcW w:w="1242" w:type="dxa"/>
            <w:vAlign w:val="top"/>
          </w:tcPr>
          <w:p w14:paraId="726526F7">
            <w:pPr>
              <w:rPr>
                <w:rFonts w:ascii="Arial"/>
                <w:color w:val="auto"/>
                <w:sz w:val="21"/>
                <w:highlight w:val="none"/>
              </w:rPr>
            </w:pPr>
          </w:p>
        </w:tc>
        <w:tc>
          <w:tcPr>
            <w:tcW w:w="1163" w:type="dxa"/>
            <w:vAlign w:val="top"/>
          </w:tcPr>
          <w:p w14:paraId="36C65103">
            <w:pPr>
              <w:rPr>
                <w:rFonts w:ascii="Arial"/>
                <w:color w:val="auto"/>
                <w:sz w:val="21"/>
                <w:highlight w:val="none"/>
              </w:rPr>
            </w:pPr>
          </w:p>
        </w:tc>
        <w:tc>
          <w:tcPr>
            <w:tcW w:w="1187" w:type="dxa"/>
            <w:vAlign w:val="top"/>
          </w:tcPr>
          <w:p w14:paraId="20C4A535">
            <w:pPr>
              <w:rPr>
                <w:rFonts w:ascii="Arial"/>
                <w:color w:val="auto"/>
                <w:sz w:val="21"/>
                <w:highlight w:val="none"/>
              </w:rPr>
            </w:pPr>
          </w:p>
        </w:tc>
        <w:tc>
          <w:tcPr>
            <w:tcW w:w="995" w:type="dxa"/>
            <w:vAlign w:val="top"/>
          </w:tcPr>
          <w:p w14:paraId="7C65BC3F">
            <w:pPr>
              <w:rPr>
                <w:rFonts w:ascii="Arial"/>
                <w:color w:val="auto"/>
                <w:sz w:val="21"/>
                <w:highlight w:val="none"/>
              </w:rPr>
            </w:pPr>
          </w:p>
        </w:tc>
        <w:tc>
          <w:tcPr>
            <w:tcW w:w="1311" w:type="dxa"/>
            <w:vAlign w:val="top"/>
          </w:tcPr>
          <w:p w14:paraId="62736ACF">
            <w:pPr>
              <w:rPr>
                <w:rFonts w:ascii="Arial"/>
                <w:color w:val="auto"/>
                <w:sz w:val="21"/>
                <w:highlight w:val="none"/>
              </w:rPr>
            </w:pPr>
          </w:p>
        </w:tc>
        <w:tc>
          <w:tcPr>
            <w:tcW w:w="1316" w:type="dxa"/>
            <w:vAlign w:val="top"/>
          </w:tcPr>
          <w:p w14:paraId="36D765AF">
            <w:pPr>
              <w:rPr>
                <w:rFonts w:ascii="Arial"/>
                <w:color w:val="auto"/>
                <w:sz w:val="21"/>
                <w:highlight w:val="none"/>
              </w:rPr>
            </w:pPr>
          </w:p>
        </w:tc>
        <w:tc>
          <w:tcPr>
            <w:tcW w:w="1062" w:type="dxa"/>
            <w:tcBorders>
              <w:right w:val="single" w:color="000000" w:sz="6" w:space="0"/>
            </w:tcBorders>
            <w:vAlign w:val="top"/>
          </w:tcPr>
          <w:p w14:paraId="490BF738">
            <w:pPr>
              <w:rPr>
                <w:rFonts w:ascii="Arial"/>
                <w:color w:val="auto"/>
                <w:sz w:val="21"/>
                <w:highlight w:val="none"/>
              </w:rPr>
            </w:pPr>
          </w:p>
        </w:tc>
      </w:tr>
      <w:tr w14:paraId="24A76E5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42" w:type="dxa"/>
            <w:tcBorders>
              <w:left w:val="single" w:color="000000" w:sz="6" w:space="0"/>
            </w:tcBorders>
            <w:vAlign w:val="top"/>
          </w:tcPr>
          <w:p w14:paraId="1532A10E">
            <w:pPr>
              <w:rPr>
                <w:rFonts w:ascii="Arial"/>
                <w:color w:val="auto"/>
                <w:sz w:val="21"/>
                <w:highlight w:val="none"/>
              </w:rPr>
            </w:pPr>
          </w:p>
        </w:tc>
        <w:tc>
          <w:tcPr>
            <w:tcW w:w="1230" w:type="dxa"/>
            <w:vAlign w:val="top"/>
          </w:tcPr>
          <w:p w14:paraId="05430590">
            <w:pPr>
              <w:rPr>
                <w:rFonts w:ascii="Arial"/>
                <w:color w:val="auto"/>
                <w:sz w:val="21"/>
                <w:highlight w:val="none"/>
              </w:rPr>
            </w:pPr>
          </w:p>
        </w:tc>
        <w:tc>
          <w:tcPr>
            <w:tcW w:w="837" w:type="dxa"/>
            <w:vAlign w:val="top"/>
          </w:tcPr>
          <w:p w14:paraId="730315B5">
            <w:pPr>
              <w:rPr>
                <w:rFonts w:ascii="Arial"/>
                <w:color w:val="auto"/>
                <w:sz w:val="21"/>
                <w:highlight w:val="none"/>
              </w:rPr>
            </w:pPr>
          </w:p>
        </w:tc>
        <w:tc>
          <w:tcPr>
            <w:tcW w:w="810" w:type="dxa"/>
            <w:vAlign w:val="top"/>
          </w:tcPr>
          <w:p w14:paraId="73F2D232">
            <w:pPr>
              <w:rPr>
                <w:rFonts w:ascii="Arial"/>
                <w:color w:val="auto"/>
                <w:sz w:val="21"/>
                <w:highlight w:val="none"/>
              </w:rPr>
            </w:pPr>
          </w:p>
        </w:tc>
        <w:tc>
          <w:tcPr>
            <w:tcW w:w="868" w:type="dxa"/>
            <w:vAlign w:val="top"/>
          </w:tcPr>
          <w:p w14:paraId="74B65F57">
            <w:pPr>
              <w:rPr>
                <w:rFonts w:ascii="Arial"/>
                <w:color w:val="auto"/>
                <w:sz w:val="21"/>
                <w:highlight w:val="none"/>
              </w:rPr>
            </w:pPr>
          </w:p>
        </w:tc>
        <w:tc>
          <w:tcPr>
            <w:tcW w:w="1342" w:type="dxa"/>
            <w:vAlign w:val="top"/>
          </w:tcPr>
          <w:p w14:paraId="46A4A713">
            <w:pPr>
              <w:rPr>
                <w:rFonts w:ascii="Arial"/>
                <w:color w:val="auto"/>
                <w:sz w:val="21"/>
                <w:highlight w:val="none"/>
              </w:rPr>
            </w:pPr>
          </w:p>
        </w:tc>
        <w:tc>
          <w:tcPr>
            <w:tcW w:w="1242" w:type="dxa"/>
            <w:vAlign w:val="top"/>
          </w:tcPr>
          <w:p w14:paraId="11B80225">
            <w:pPr>
              <w:rPr>
                <w:rFonts w:ascii="Arial"/>
                <w:color w:val="auto"/>
                <w:sz w:val="21"/>
                <w:highlight w:val="none"/>
              </w:rPr>
            </w:pPr>
          </w:p>
        </w:tc>
        <w:tc>
          <w:tcPr>
            <w:tcW w:w="1163" w:type="dxa"/>
            <w:vAlign w:val="top"/>
          </w:tcPr>
          <w:p w14:paraId="611DDE21">
            <w:pPr>
              <w:rPr>
                <w:rFonts w:ascii="Arial"/>
                <w:color w:val="auto"/>
                <w:sz w:val="21"/>
                <w:highlight w:val="none"/>
              </w:rPr>
            </w:pPr>
          </w:p>
        </w:tc>
        <w:tc>
          <w:tcPr>
            <w:tcW w:w="1187" w:type="dxa"/>
            <w:vAlign w:val="top"/>
          </w:tcPr>
          <w:p w14:paraId="7EC79942">
            <w:pPr>
              <w:rPr>
                <w:rFonts w:ascii="Arial"/>
                <w:color w:val="auto"/>
                <w:sz w:val="21"/>
                <w:highlight w:val="none"/>
              </w:rPr>
            </w:pPr>
          </w:p>
        </w:tc>
        <w:tc>
          <w:tcPr>
            <w:tcW w:w="995" w:type="dxa"/>
            <w:vAlign w:val="top"/>
          </w:tcPr>
          <w:p w14:paraId="532D5597">
            <w:pPr>
              <w:rPr>
                <w:rFonts w:ascii="Arial"/>
                <w:color w:val="auto"/>
                <w:sz w:val="21"/>
                <w:highlight w:val="none"/>
              </w:rPr>
            </w:pPr>
          </w:p>
        </w:tc>
        <w:tc>
          <w:tcPr>
            <w:tcW w:w="1311" w:type="dxa"/>
            <w:vAlign w:val="top"/>
          </w:tcPr>
          <w:p w14:paraId="353DCAC6">
            <w:pPr>
              <w:rPr>
                <w:rFonts w:ascii="Arial"/>
                <w:color w:val="auto"/>
                <w:sz w:val="21"/>
                <w:highlight w:val="none"/>
              </w:rPr>
            </w:pPr>
          </w:p>
        </w:tc>
        <w:tc>
          <w:tcPr>
            <w:tcW w:w="1316" w:type="dxa"/>
            <w:vAlign w:val="top"/>
          </w:tcPr>
          <w:p w14:paraId="34556DB3">
            <w:pPr>
              <w:rPr>
                <w:rFonts w:ascii="Arial"/>
                <w:color w:val="auto"/>
                <w:sz w:val="21"/>
                <w:highlight w:val="none"/>
              </w:rPr>
            </w:pPr>
          </w:p>
        </w:tc>
        <w:tc>
          <w:tcPr>
            <w:tcW w:w="1062" w:type="dxa"/>
            <w:tcBorders>
              <w:right w:val="single" w:color="000000" w:sz="6" w:space="0"/>
            </w:tcBorders>
            <w:vAlign w:val="top"/>
          </w:tcPr>
          <w:p w14:paraId="18E23D33">
            <w:pPr>
              <w:rPr>
                <w:rFonts w:ascii="Arial"/>
                <w:color w:val="auto"/>
                <w:sz w:val="21"/>
                <w:highlight w:val="none"/>
              </w:rPr>
            </w:pPr>
          </w:p>
        </w:tc>
      </w:tr>
      <w:tr w14:paraId="53E7BD4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7" w:hRule="atLeast"/>
        </w:trPr>
        <w:tc>
          <w:tcPr>
            <w:tcW w:w="642" w:type="dxa"/>
            <w:tcBorders>
              <w:left w:val="single" w:color="000000" w:sz="6" w:space="0"/>
            </w:tcBorders>
            <w:vAlign w:val="top"/>
          </w:tcPr>
          <w:p w14:paraId="08087C1D">
            <w:pPr>
              <w:rPr>
                <w:rFonts w:ascii="Arial"/>
                <w:color w:val="auto"/>
                <w:sz w:val="21"/>
                <w:highlight w:val="none"/>
              </w:rPr>
            </w:pPr>
          </w:p>
        </w:tc>
        <w:tc>
          <w:tcPr>
            <w:tcW w:w="1230" w:type="dxa"/>
            <w:vAlign w:val="top"/>
          </w:tcPr>
          <w:p w14:paraId="10335CF0">
            <w:pPr>
              <w:rPr>
                <w:rFonts w:ascii="Arial"/>
                <w:color w:val="auto"/>
                <w:sz w:val="21"/>
                <w:highlight w:val="none"/>
              </w:rPr>
            </w:pPr>
          </w:p>
        </w:tc>
        <w:tc>
          <w:tcPr>
            <w:tcW w:w="837" w:type="dxa"/>
            <w:vAlign w:val="top"/>
          </w:tcPr>
          <w:p w14:paraId="21719A0A">
            <w:pPr>
              <w:rPr>
                <w:rFonts w:ascii="Arial"/>
                <w:color w:val="auto"/>
                <w:sz w:val="21"/>
                <w:highlight w:val="none"/>
              </w:rPr>
            </w:pPr>
          </w:p>
        </w:tc>
        <w:tc>
          <w:tcPr>
            <w:tcW w:w="810" w:type="dxa"/>
            <w:vAlign w:val="top"/>
          </w:tcPr>
          <w:p w14:paraId="64017059">
            <w:pPr>
              <w:rPr>
                <w:rFonts w:ascii="Arial"/>
                <w:color w:val="auto"/>
                <w:sz w:val="21"/>
                <w:highlight w:val="none"/>
              </w:rPr>
            </w:pPr>
          </w:p>
        </w:tc>
        <w:tc>
          <w:tcPr>
            <w:tcW w:w="868" w:type="dxa"/>
            <w:vAlign w:val="top"/>
          </w:tcPr>
          <w:p w14:paraId="51F11D26">
            <w:pPr>
              <w:rPr>
                <w:rFonts w:ascii="Arial"/>
                <w:color w:val="auto"/>
                <w:sz w:val="21"/>
                <w:highlight w:val="none"/>
              </w:rPr>
            </w:pPr>
          </w:p>
        </w:tc>
        <w:tc>
          <w:tcPr>
            <w:tcW w:w="1342" w:type="dxa"/>
            <w:vAlign w:val="top"/>
          </w:tcPr>
          <w:p w14:paraId="056A3957">
            <w:pPr>
              <w:rPr>
                <w:rFonts w:ascii="Arial"/>
                <w:color w:val="auto"/>
                <w:sz w:val="21"/>
                <w:highlight w:val="none"/>
              </w:rPr>
            </w:pPr>
          </w:p>
        </w:tc>
        <w:tc>
          <w:tcPr>
            <w:tcW w:w="1242" w:type="dxa"/>
            <w:vAlign w:val="top"/>
          </w:tcPr>
          <w:p w14:paraId="21B717A2">
            <w:pPr>
              <w:rPr>
                <w:rFonts w:ascii="Arial"/>
                <w:color w:val="auto"/>
                <w:sz w:val="21"/>
                <w:highlight w:val="none"/>
              </w:rPr>
            </w:pPr>
          </w:p>
        </w:tc>
        <w:tc>
          <w:tcPr>
            <w:tcW w:w="1163" w:type="dxa"/>
            <w:vAlign w:val="top"/>
          </w:tcPr>
          <w:p w14:paraId="3AE8BA68">
            <w:pPr>
              <w:rPr>
                <w:rFonts w:ascii="Arial"/>
                <w:color w:val="auto"/>
                <w:sz w:val="21"/>
                <w:highlight w:val="none"/>
              </w:rPr>
            </w:pPr>
          </w:p>
        </w:tc>
        <w:tc>
          <w:tcPr>
            <w:tcW w:w="1187" w:type="dxa"/>
            <w:vAlign w:val="top"/>
          </w:tcPr>
          <w:p w14:paraId="405E8D27">
            <w:pPr>
              <w:rPr>
                <w:rFonts w:ascii="Arial"/>
                <w:color w:val="auto"/>
                <w:sz w:val="21"/>
                <w:highlight w:val="none"/>
              </w:rPr>
            </w:pPr>
          </w:p>
        </w:tc>
        <w:tc>
          <w:tcPr>
            <w:tcW w:w="995" w:type="dxa"/>
            <w:vAlign w:val="top"/>
          </w:tcPr>
          <w:p w14:paraId="69E83F24">
            <w:pPr>
              <w:rPr>
                <w:rFonts w:ascii="Arial"/>
                <w:color w:val="auto"/>
                <w:sz w:val="21"/>
                <w:highlight w:val="none"/>
              </w:rPr>
            </w:pPr>
          </w:p>
        </w:tc>
        <w:tc>
          <w:tcPr>
            <w:tcW w:w="1311" w:type="dxa"/>
            <w:vAlign w:val="top"/>
          </w:tcPr>
          <w:p w14:paraId="6EEE31B6">
            <w:pPr>
              <w:rPr>
                <w:rFonts w:ascii="Arial"/>
                <w:color w:val="auto"/>
                <w:sz w:val="21"/>
                <w:highlight w:val="none"/>
              </w:rPr>
            </w:pPr>
          </w:p>
        </w:tc>
        <w:tc>
          <w:tcPr>
            <w:tcW w:w="1316" w:type="dxa"/>
            <w:vAlign w:val="top"/>
          </w:tcPr>
          <w:p w14:paraId="05A05186">
            <w:pPr>
              <w:rPr>
                <w:rFonts w:ascii="Arial"/>
                <w:color w:val="auto"/>
                <w:sz w:val="21"/>
                <w:highlight w:val="none"/>
              </w:rPr>
            </w:pPr>
          </w:p>
        </w:tc>
        <w:tc>
          <w:tcPr>
            <w:tcW w:w="1062" w:type="dxa"/>
            <w:tcBorders>
              <w:right w:val="single" w:color="000000" w:sz="6" w:space="0"/>
            </w:tcBorders>
            <w:vAlign w:val="top"/>
          </w:tcPr>
          <w:p w14:paraId="775E343C">
            <w:pPr>
              <w:rPr>
                <w:rFonts w:ascii="Arial"/>
                <w:color w:val="auto"/>
                <w:sz w:val="21"/>
                <w:highlight w:val="none"/>
              </w:rPr>
            </w:pPr>
          </w:p>
        </w:tc>
      </w:tr>
      <w:tr w14:paraId="23F2ACA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42" w:type="dxa"/>
            <w:tcBorders>
              <w:left w:val="single" w:color="000000" w:sz="6" w:space="0"/>
            </w:tcBorders>
            <w:vAlign w:val="top"/>
          </w:tcPr>
          <w:p w14:paraId="77B9FF39">
            <w:pPr>
              <w:rPr>
                <w:rFonts w:ascii="Arial"/>
                <w:color w:val="auto"/>
                <w:sz w:val="21"/>
                <w:highlight w:val="none"/>
              </w:rPr>
            </w:pPr>
          </w:p>
        </w:tc>
        <w:tc>
          <w:tcPr>
            <w:tcW w:w="1230" w:type="dxa"/>
            <w:vAlign w:val="top"/>
          </w:tcPr>
          <w:p w14:paraId="4C46570E">
            <w:pPr>
              <w:rPr>
                <w:rFonts w:ascii="Arial"/>
                <w:color w:val="auto"/>
                <w:sz w:val="21"/>
                <w:highlight w:val="none"/>
              </w:rPr>
            </w:pPr>
          </w:p>
        </w:tc>
        <w:tc>
          <w:tcPr>
            <w:tcW w:w="837" w:type="dxa"/>
            <w:vAlign w:val="top"/>
          </w:tcPr>
          <w:p w14:paraId="2C7586C6">
            <w:pPr>
              <w:rPr>
                <w:rFonts w:ascii="Arial"/>
                <w:color w:val="auto"/>
                <w:sz w:val="21"/>
                <w:highlight w:val="none"/>
              </w:rPr>
            </w:pPr>
          </w:p>
        </w:tc>
        <w:tc>
          <w:tcPr>
            <w:tcW w:w="810" w:type="dxa"/>
            <w:vAlign w:val="top"/>
          </w:tcPr>
          <w:p w14:paraId="2805A89E">
            <w:pPr>
              <w:rPr>
                <w:rFonts w:ascii="Arial"/>
                <w:color w:val="auto"/>
                <w:sz w:val="21"/>
                <w:highlight w:val="none"/>
              </w:rPr>
            </w:pPr>
          </w:p>
        </w:tc>
        <w:tc>
          <w:tcPr>
            <w:tcW w:w="868" w:type="dxa"/>
            <w:vAlign w:val="top"/>
          </w:tcPr>
          <w:p w14:paraId="7A715D2E">
            <w:pPr>
              <w:rPr>
                <w:rFonts w:ascii="Arial"/>
                <w:color w:val="auto"/>
                <w:sz w:val="21"/>
                <w:highlight w:val="none"/>
              </w:rPr>
            </w:pPr>
          </w:p>
        </w:tc>
        <w:tc>
          <w:tcPr>
            <w:tcW w:w="1342" w:type="dxa"/>
            <w:vAlign w:val="top"/>
          </w:tcPr>
          <w:p w14:paraId="51CBEADF">
            <w:pPr>
              <w:rPr>
                <w:rFonts w:ascii="Arial"/>
                <w:color w:val="auto"/>
                <w:sz w:val="21"/>
                <w:highlight w:val="none"/>
              </w:rPr>
            </w:pPr>
          </w:p>
        </w:tc>
        <w:tc>
          <w:tcPr>
            <w:tcW w:w="1242" w:type="dxa"/>
            <w:vAlign w:val="top"/>
          </w:tcPr>
          <w:p w14:paraId="61E4B05A">
            <w:pPr>
              <w:rPr>
                <w:rFonts w:ascii="Arial"/>
                <w:color w:val="auto"/>
                <w:sz w:val="21"/>
                <w:highlight w:val="none"/>
              </w:rPr>
            </w:pPr>
          </w:p>
        </w:tc>
        <w:tc>
          <w:tcPr>
            <w:tcW w:w="1163" w:type="dxa"/>
            <w:vAlign w:val="top"/>
          </w:tcPr>
          <w:p w14:paraId="5FC9FA90">
            <w:pPr>
              <w:rPr>
                <w:rFonts w:ascii="Arial"/>
                <w:color w:val="auto"/>
                <w:sz w:val="21"/>
                <w:highlight w:val="none"/>
              </w:rPr>
            </w:pPr>
          </w:p>
        </w:tc>
        <w:tc>
          <w:tcPr>
            <w:tcW w:w="1187" w:type="dxa"/>
            <w:vAlign w:val="top"/>
          </w:tcPr>
          <w:p w14:paraId="4A33C188">
            <w:pPr>
              <w:rPr>
                <w:rFonts w:ascii="Arial"/>
                <w:color w:val="auto"/>
                <w:sz w:val="21"/>
                <w:highlight w:val="none"/>
              </w:rPr>
            </w:pPr>
          </w:p>
        </w:tc>
        <w:tc>
          <w:tcPr>
            <w:tcW w:w="995" w:type="dxa"/>
            <w:vAlign w:val="top"/>
          </w:tcPr>
          <w:p w14:paraId="7EBD0171">
            <w:pPr>
              <w:rPr>
                <w:rFonts w:ascii="Arial"/>
                <w:color w:val="auto"/>
                <w:sz w:val="21"/>
                <w:highlight w:val="none"/>
              </w:rPr>
            </w:pPr>
          </w:p>
        </w:tc>
        <w:tc>
          <w:tcPr>
            <w:tcW w:w="1311" w:type="dxa"/>
            <w:vAlign w:val="top"/>
          </w:tcPr>
          <w:p w14:paraId="426421E4">
            <w:pPr>
              <w:rPr>
                <w:rFonts w:ascii="Arial"/>
                <w:color w:val="auto"/>
                <w:sz w:val="21"/>
                <w:highlight w:val="none"/>
              </w:rPr>
            </w:pPr>
          </w:p>
        </w:tc>
        <w:tc>
          <w:tcPr>
            <w:tcW w:w="1316" w:type="dxa"/>
            <w:vAlign w:val="top"/>
          </w:tcPr>
          <w:p w14:paraId="6006E291">
            <w:pPr>
              <w:rPr>
                <w:rFonts w:ascii="Arial"/>
                <w:color w:val="auto"/>
                <w:sz w:val="21"/>
                <w:highlight w:val="none"/>
              </w:rPr>
            </w:pPr>
          </w:p>
        </w:tc>
        <w:tc>
          <w:tcPr>
            <w:tcW w:w="1062" w:type="dxa"/>
            <w:tcBorders>
              <w:right w:val="single" w:color="000000" w:sz="6" w:space="0"/>
            </w:tcBorders>
            <w:vAlign w:val="top"/>
          </w:tcPr>
          <w:p w14:paraId="3265690D">
            <w:pPr>
              <w:rPr>
                <w:rFonts w:ascii="Arial"/>
                <w:color w:val="auto"/>
                <w:sz w:val="21"/>
                <w:highlight w:val="none"/>
              </w:rPr>
            </w:pPr>
          </w:p>
        </w:tc>
      </w:tr>
      <w:tr w14:paraId="745C12C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642" w:type="dxa"/>
            <w:tcBorders>
              <w:left w:val="single" w:color="000000" w:sz="6" w:space="0"/>
            </w:tcBorders>
            <w:vAlign w:val="top"/>
          </w:tcPr>
          <w:p w14:paraId="12AD3AF0">
            <w:pPr>
              <w:rPr>
                <w:rFonts w:ascii="Arial"/>
                <w:color w:val="auto"/>
                <w:sz w:val="21"/>
                <w:highlight w:val="none"/>
              </w:rPr>
            </w:pPr>
          </w:p>
        </w:tc>
        <w:tc>
          <w:tcPr>
            <w:tcW w:w="1230" w:type="dxa"/>
            <w:vAlign w:val="top"/>
          </w:tcPr>
          <w:p w14:paraId="15E78558">
            <w:pPr>
              <w:rPr>
                <w:rFonts w:ascii="Arial"/>
                <w:color w:val="auto"/>
                <w:sz w:val="21"/>
                <w:highlight w:val="none"/>
              </w:rPr>
            </w:pPr>
          </w:p>
        </w:tc>
        <w:tc>
          <w:tcPr>
            <w:tcW w:w="837" w:type="dxa"/>
            <w:vAlign w:val="top"/>
          </w:tcPr>
          <w:p w14:paraId="3176825F">
            <w:pPr>
              <w:rPr>
                <w:rFonts w:ascii="Arial"/>
                <w:color w:val="auto"/>
                <w:sz w:val="21"/>
                <w:highlight w:val="none"/>
              </w:rPr>
            </w:pPr>
          </w:p>
        </w:tc>
        <w:tc>
          <w:tcPr>
            <w:tcW w:w="810" w:type="dxa"/>
            <w:vAlign w:val="top"/>
          </w:tcPr>
          <w:p w14:paraId="1CF0A3AB">
            <w:pPr>
              <w:rPr>
                <w:rFonts w:ascii="Arial"/>
                <w:color w:val="auto"/>
                <w:sz w:val="21"/>
                <w:highlight w:val="none"/>
              </w:rPr>
            </w:pPr>
          </w:p>
        </w:tc>
        <w:tc>
          <w:tcPr>
            <w:tcW w:w="868" w:type="dxa"/>
            <w:vAlign w:val="top"/>
          </w:tcPr>
          <w:p w14:paraId="31768165">
            <w:pPr>
              <w:rPr>
                <w:rFonts w:ascii="Arial"/>
                <w:color w:val="auto"/>
                <w:sz w:val="21"/>
                <w:highlight w:val="none"/>
              </w:rPr>
            </w:pPr>
          </w:p>
        </w:tc>
        <w:tc>
          <w:tcPr>
            <w:tcW w:w="1342" w:type="dxa"/>
            <w:vAlign w:val="top"/>
          </w:tcPr>
          <w:p w14:paraId="0667DA2F">
            <w:pPr>
              <w:rPr>
                <w:rFonts w:ascii="Arial"/>
                <w:color w:val="auto"/>
                <w:sz w:val="21"/>
                <w:highlight w:val="none"/>
              </w:rPr>
            </w:pPr>
          </w:p>
        </w:tc>
        <w:tc>
          <w:tcPr>
            <w:tcW w:w="1242" w:type="dxa"/>
            <w:vAlign w:val="top"/>
          </w:tcPr>
          <w:p w14:paraId="2D729722">
            <w:pPr>
              <w:rPr>
                <w:rFonts w:ascii="Arial"/>
                <w:color w:val="auto"/>
                <w:sz w:val="21"/>
                <w:highlight w:val="none"/>
              </w:rPr>
            </w:pPr>
          </w:p>
        </w:tc>
        <w:tc>
          <w:tcPr>
            <w:tcW w:w="1163" w:type="dxa"/>
            <w:vAlign w:val="top"/>
          </w:tcPr>
          <w:p w14:paraId="02CB02B2">
            <w:pPr>
              <w:rPr>
                <w:rFonts w:ascii="Arial"/>
                <w:color w:val="auto"/>
                <w:sz w:val="21"/>
                <w:highlight w:val="none"/>
              </w:rPr>
            </w:pPr>
          </w:p>
        </w:tc>
        <w:tc>
          <w:tcPr>
            <w:tcW w:w="1187" w:type="dxa"/>
            <w:vAlign w:val="top"/>
          </w:tcPr>
          <w:p w14:paraId="2B956FE0">
            <w:pPr>
              <w:rPr>
                <w:rFonts w:ascii="Arial"/>
                <w:color w:val="auto"/>
                <w:sz w:val="21"/>
                <w:highlight w:val="none"/>
              </w:rPr>
            </w:pPr>
          </w:p>
        </w:tc>
        <w:tc>
          <w:tcPr>
            <w:tcW w:w="995" w:type="dxa"/>
            <w:vAlign w:val="top"/>
          </w:tcPr>
          <w:p w14:paraId="16C2F551">
            <w:pPr>
              <w:rPr>
                <w:rFonts w:ascii="Arial"/>
                <w:color w:val="auto"/>
                <w:sz w:val="21"/>
                <w:highlight w:val="none"/>
              </w:rPr>
            </w:pPr>
          </w:p>
        </w:tc>
        <w:tc>
          <w:tcPr>
            <w:tcW w:w="1311" w:type="dxa"/>
            <w:vAlign w:val="top"/>
          </w:tcPr>
          <w:p w14:paraId="7DACA60D">
            <w:pPr>
              <w:rPr>
                <w:rFonts w:ascii="Arial"/>
                <w:color w:val="auto"/>
                <w:sz w:val="21"/>
                <w:highlight w:val="none"/>
              </w:rPr>
            </w:pPr>
          </w:p>
        </w:tc>
        <w:tc>
          <w:tcPr>
            <w:tcW w:w="1316" w:type="dxa"/>
            <w:vAlign w:val="top"/>
          </w:tcPr>
          <w:p w14:paraId="4E88FDE9">
            <w:pPr>
              <w:rPr>
                <w:rFonts w:ascii="Arial"/>
                <w:color w:val="auto"/>
                <w:sz w:val="21"/>
                <w:highlight w:val="none"/>
              </w:rPr>
            </w:pPr>
          </w:p>
        </w:tc>
        <w:tc>
          <w:tcPr>
            <w:tcW w:w="1062" w:type="dxa"/>
            <w:tcBorders>
              <w:right w:val="single" w:color="000000" w:sz="6" w:space="0"/>
            </w:tcBorders>
            <w:vAlign w:val="top"/>
          </w:tcPr>
          <w:p w14:paraId="0B8988C1">
            <w:pPr>
              <w:rPr>
                <w:rFonts w:ascii="Arial"/>
                <w:color w:val="auto"/>
                <w:sz w:val="21"/>
                <w:highlight w:val="none"/>
              </w:rPr>
            </w:pPr>
          </w:p>
        </w:tc>
      </w:tr>
      <w:tr w14:paraId="196EB16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18" w:hRule="atLeast"/>
        </w:trPr>
        <w:tc>
          <w:tcPr>
            <w:tcW w:w="642" w:type="dxa"/>
            <w:tcBorders>
              <w:left w:val="single" w:color="000000" w:sz="6" w:space="0"/>
            </w:tcBorders>
            <w:vAlign w:val="top"/>
          </w:tcPr>
          <w:p w14:paraId="5708C4CA">
            <w:pPr>
              <w:rPr>
                <w:rFonts w:ascii="Arial"/>
                <w:color w:val="auto"/>
                <w:sz w:val="21"/>
                <w:highlight w:val="none"/>
              </w:rPr>
            </w:pPr>
          </w:p>
        </w:tc>
        <w:tc>
          <w:tcPr>
            <w:tcW w:w="1230" w:type="dxa"/>
            <w:vAlign w:val="top"/>
          </w:tcPr>
          <w:p w14:paraId="47685919">
            <w:pPr>
              <w:rPr>
                <w:rFonts w:ascii="Arial"/>
                <w:color w:val="auto"/>
                <w:sz w:val="21"/>
                <w:highlight w:val="none"/>
              </w:rPr>
            </w:pPr>
          </w:p>
        </w:tc>
        <w:tc>
          <w:tcPr>
            <w:tcW w:w="837" w:type="dxa"/>
            <w:vAlign w:val="top"/>
          </w:tcPr>
          <w:p w14:paraId="366315D0">
            <w:pPr>
              <w:rPr>
                <w:rFonts w:ascii="Arial"/>
                <w:color w:val="auto"/>
                <w:sz w:val="21"/>
                <w:highlight w:val="none"/>
              </w:rPr>
            </w:pPr>
          </w:p>
        </w:tc>
        <w:tc>
          <w:tcPr>
            <w:tcW w:w="810" w:type="dxa"/>
            <w:vAlign w:val="top"/>
          </w:tcPr>
          <w:p w14:paraId="00A61FE6">
            <w:pPr>
              <w:rPr>
                <w:rFonts w:ascii="Arial"/>
                <w:color w:val="auto"/>
                <w:sz w:val="21"/>
                <w:highlight w:val="none"/>
              </w:rPr>
            </w:pPr>
          </w:p>
        </w:tc>
        <w:tc>
          <w:tcPr>
            <w:tcW w:w="868" w:type="dxa"/>
            <w:vAlign w:val="top"/>
          </w:tcPr>
          <w:p w14:paraId="7464064B">
            <w:pPr>
              <w:rPr>
                <w:rFonts w:ascii="Arial"/>
                <w:color w:val="auto"/>
                <w:sz w:val="21"/>
                <w:highlight w:val="none"/>
              </w:rPr>
            </w:pPr>
          </w:p>
        </w:tc>
        <w:tc>
          <w:tcPr>
            <w:tcW w:w="1342" w:type="dxa"/>
            <w:vAlign w:val="top"/>
          </w:tcPr>
          <w:p w14:paraId="550FD37F">
            <w:pPr>
              <w:rPr>
                <w:rFonts w:ascii="Arial"/>
                <w:color w:val="auto"/>
                <w:sz w:val="21"/>
                <w:highlight w:val="none"/>
              </w:rPr>
            </w:pPr>
          </w:p>
        </w:tc>
        <w:tc>
          <w:tcPr>
            <w:tcW w:w="1242" w:type="dxa"/>
            <w:vAlign w:val="top"/>
          </w:tcPr>
          <w:p w14:paraId="376A65D0">
            <w:pPr>
              <w:rPr>
                <w:rFonts w:ascii="Arial"/>
                <w:color w:val="auto"/>
                <w:sz w:val="21"/>
                <w:highlight w:val="none"/>
              </w:rPr>
            </w:pPr>
          </w:p>
        </w:tc>
        <w:tc>
          <w:tcPr>
            <w:tcW w:w="1163" w:type="dxa"/>
            <w:vAlign w:val="top"/>
          </w:tcPr>
          <w:p w14:paraId="124EB377">
            <w:pPr>
              <w:rPr>
                <w:rFonts w:ascii="Arial"/>
                <w:color w:val="auto"/>
                <w:sz w:val="21"/>
                <w:highlight w:val="none"/>
              </w:rPr>
            </w:pPr>
          </w:p>
        </w:tc>
        <w:tc>
          <w:tcPr>
            <w:tcW w:w="1187" w:type="dxa"/>
            <w:vAlign w:val="top"/>
          </w:tcPr>
          <w:p w14:paraId="335EFEE5">
            <w:pPr>
              <w:rPr>
                <w:rFonts w:ascii="Arial"/>
                <w:color w:val="auto"/>
                <w:sz w:val="21"/>
                <w:highlight w:val="none"/>
              </w:rPr>
            </w:pPr>
          </w:p>
        </w:tc>
        <w:tc>
          <w:tcPr>
            <w:tcW w:w="995" w:type="dxa"/>
            <w:vAlign w:val="top"/>
          </w:tcPr>
          <w:p w14:paraId="7F21592C">
            <w:pPr>
              <w:rPr>
                <w:rFonts w:ascii="Arial"/>
                <w:color w:val="auto"/>
                <w:sz w:val="21"/>
                <w:highlight w:val="none"/>
              </w:rPr>
            </w:pPr>
          </w:p>
        </w:tc>
        <w:tc>
          <w:tcPr>
            <w:tcW w:w="1311" w:type="dxa"/>
            <w:vAlign w:val="top"/>
          </w:tcPr>
          <w:p w14:paraId="7EA0343D">
            <w:pPr>
              <w:rPr>
                <w:rFonts w:ascii="Arial"/>
                <w:color w:val="auto"/>
                <w:sz w:val="21"/>
                <w:highlight w:val="none"/>
              </w:rPr>
            </w:pPr>
          </w:p>
        </w:tc>
        <w:tc>
          <w:tcPr>
            <w:tcW w:w="1316" w:type="dxa"/>
            <w:vAlign w:val="top"/>
          </w:tcPr>
          <w:p w14:paraId="1815467F">
            <w:pPr>
              <w:rPr>
                <w:rFonts w:ascii="Arial"/>
                <w:color w:val="auto"/>
                <w:sz w:val="21"/>
                <w:highlight w:val="none"/>
              </w:rPr>
            </w:pPr>
          </w:p>
        </w:tc>
        <w:tc>
          <w:tcPr>
            <w:tcW w:w="1062" w:type="dxa"/>
            <w:tcBorders>
              <w:right w:val="single" w:color="000000" w:sz="6" w:space="0"/>
            </w:tcBorders>
            <w:vAlign w:val="top"/>
          </w:tcPr>
          <w:p w14:paraId="76911E96">
            <w:pPr>
              <w:rPr>
                <w:rFonts w:ascii="Arial"/>
                <w:color w:val="auto"/>
                <w:sz w:val="21"/>
                <w:highlight w:val="none"/>
              </w:rPr>
            </w:pPr>
          </w:p>
        </w:tc>
      </w:tr>
      <w:tr w14:paraId="508993B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20" w:hRule="atLeast"/>
        </w:trPr>
        <w:tc>
          <w:tcPr>
            <w:tcW w:w="642" w:type="dxa"/>
            <w:tcBorders>
              <w:left w:val="single" w:color="000000" w:sz="6" w:space="0"/>
            </w:tcBorders>
            <w:vAlign w:val="top"/>
          </w:tcPr>
          <w:p w14:paraId="1A1FC589">
            <w:pPr>
              <w:rPr>
                <w:rFonts w:ascii="Arial"/>
                <w:color w:val="auto"/>
                <w:sz w:val="21"/>
                <w:highlight w:val="none"/>
              </w:rPr>
            </w:pPr>
          </w:p>
        </w:tc>
        <w:tc>
          <w:tcPr>
            <w:tcW w:w="1230" w:type="dxa"/>
            <w:vAlign w:val="top"/>
          </w:tcPr>
          <w:p w14:paraId="300EA0B0">
            <w:pPr>
              <w:rPr>
                <w:rFonts w:ascii="Arial"/>
                <w:color w:val="auto"/>
                <w:sz w:val="21"/>
                <w:highlight w:val="none"/>
              </w:rPr>
            </w:pPr>
          </w:p>
        </w:tc>
        <w:tc>
          <w:tcPr>
            <w:tcW w:w="837" w:type="dxa"/>
            <w:vAlign w:val="top"/>
          </w:tcPr>
          <w:p w14:paraId="38D54F4E">
            <w:pPr>
              <w:rPr>
                <w:rFonts w:ascii="Arial"/>
                <w:color w:val="auto"/>
                <w:sz w:val="21"/>
                <w:highlight w:val="none"/>
              </w:rPr>
            </w:pPr>
          </w:p>
        </w:tc>
        <w:tc>
          <w:tcPr>
            <w:tcW w:w="810" w:type="dxa"/>
            <w:vAlign w:val="top"/>
          </w:tcPr>
          <w:p w14:paraId="049C8116">
            <w:pPr>
              <w:rPr>
                <w:rFonts w:ascii="Arial"/>
                <w:color w:val="auto"/>
                <w:sz w:val="21"/>
                <w:highlight w:val="none"/>
              </w:rPr>
            </w:pPr>
          </w:p>
        </w:tc>
        <w:tc>
          <w:tcPr>
            <w:tcW w:w="868" w:type="dxa"/>
            <w:vAlign w:val="top"/>
          </w:tcPr>
          <w:p w14:paraId="038782B8">
            <w:pPr>
              <w:rPr>
                <w:rFonts w:ascii="Arial"/>
                <w:color w:val="auto"/>
                <w:sz w:val="21"/>
                <w:highlight w:val="none"/>
              </w:rPr>
            </w:pPr>
          </w:p>
        </w:tc>
        <w:tc>
          <w:tcPr>
            <w:tcW w:w="1342" w:type="dxa"/>
            <w:vAlign w:val="top"/>
          </w:tcPr>
          <w:p w14:paraId="7B3E5DE3">
            <w:pPr>
              <w:rPr>
                <w:rFonts w:ascii="Arial"/>
                <w:color w:val="auto"/>
                <w:sz w:val="21"/>
                <w:highlight w:val="none"/>
              </w:rPr>
            </w:pPr>
          </w:p>
        </w:tc>
        <w:tc>
          <w:tcPr>
            <w:tcW w:w="1242" w:type="dxa"/>
            <w:vAlign w:val="top"/>
          </w:tcPr>
          <w:p w14:paraId="66EA85C1">
            <w:pPr>
              <w:rPr>
                <w:rFonts w:ascii="Arial"/>
                <w:color w:val="auto"/>
                <w:sz w:val="21"/>
                <w:highlight w:val="none"/>
              </w:rPr>
            </w:pPr>
          </w:p>
        </w:tc>
        <w:tc>
          <w:tcPr>
            <w:tcW w:w="1163" w:type="dxa"/>
            <w:vAlign w:val="top"/>
          </w:tcPr>
          <w:p w14:paraId="329516A6">
            <w:pPr>
              <w:rPr>
                <w:rFonts w:ascii="Arial"/>
                <w:color w:val="auto"/>
                <w:sz w:val="21"/>
                <w:highlight w:val="none"/>
              </w:rPr>
            </w:pPr>
          </w:p>
        </w:tc>
        <w:tc>
          <w:tcPr>
            <w:tcW w:w="1187" w:type="dxa"/>
            <w:vAlign w:val="top"/>
          </w:tcPr>
          <w:p w14:paraId="057E83E4">
            <w:pPr>
              <w:rPr>
                <w:rFonts w:ascii="Arial"/>
                <w:color w:val="auto"/>
                <w:sz w:val="21"/>
                <w:highlight w:val="none"/>
              </w:rPr>
            </w:pPr>
          </w:p>
        </w:tc>
        <w:tc>
          <w:tcPr>
            <w:tcW w:w="995" w:type="dxa"/>
            <w:vAlign w:val="top"/>
          </w:tcPr>
          <w:p w14:paraId="2087F5FA">
            <w:pPr>
              <w:rPr>
                <w:rFonts w:ascii="Arial"/>
                <w:color w:val="auto"/>
                <w:sz w:val="21"/>
                <w:highlight w:val="none"/>
              </w:rPr>
            </w:pPr>
          </w:p>
        </w:tc>
        <w:tc>
          <w:tcPr>
            <w:tcW w:w="1311" w:type="dxa"/>
            <w:vAlign w:val="top"/>
          </w:tcPr>
          <w:p w14:paraId="2189D5CE">
            <w:pPr>
              <w:rPr>
                <w:rFonts w:ascii="Arial"/>
                <w:color w:val="auto"/>
                <w:sz w:val="21"/>
                <w:highlight w:val="none"/>
              </w:rPr>
            </w:pPr>
          </w:p>
        </w:tc>
        <w:tc>
          <w:tcPr>
            <w:tcW w:w="1316" w:type="dxa"/>
            <w:vAlign w:val="top"/>
          </w:tcPr>
          <w:p w14:paraId="3EB1C047">
            <w:pPr>
              <w:rPr>
                <w:rFonts w:ascii="Arial"/>
                <w:color w:val="auto"/>
                <w:sz w:val="21"/>
                <w:highlight w:val="none"/>
              </w:rPr>
            </w:pPr>
          </w:p>
        </w:tc>
        <w:tc>
          <w:tcPr>
            <w:tcW w:w="1062" w:type="dxa"/>
            <w:tcBorders>
              <w:right w:val="single" w:color="000000" w:sz="6" w:space="0"/>
            </w:tcBorders>
            <w:vAlign w:val="top"/>
          </w:tcPr>
          <w:p w14:paraId="5BD849F5">
            <w:pPr>
              <w:rPr>
                <w:rFonts w:ascii="Arial"/>
                <w:color w:val="auto"/>
                <w:sz w:val="21"/>
                <w:highlight w:val="none"/>
              </w:rPr>
            </w:pPr>
          </w:p>
        </w:tc>
      </w:tr>
      <w:tr w14:paraId="153A99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0" w:hRule="atLeast"/>
        </w:trPr>
        <w:tc>
          <w:tcPr>
            <w:tcW w:w="642" w:type="dxa"/>
            <w:tcBorders>
              <w:left w:val="single" w:color="000000" w:sz="6" w:space="0"/>
              <w:bottom w:val="single" w:color="000000" w:sz="6" w:space="0"/>
            </w:tcBorders>
            <w:vAlign w:val="top"/>
          </w:tcPr>
          <w:p w14:paraId="6A248596">
            <w:pPr>
              <w:rPr>
                <w:rFonts w:ascii="Arial"/>
                <w:color w:val="auto"/>
                <w:sz w:val="21"/>
                <w:highlight w:val="none"/>
              </w:rPr>
            </w:pPr>
          </w:p>
        </w:tc>
        <w:tc>
          <w:tcPr>
            <w:tcW w:w="1230" w:type="dxa"/>
            <w:tcBorders>
              <w:bottom w:val="single" w:color="000000" w:sz="6" w:space="0"/>
            </w:tcBorders>
            <w:vAlign w:val="top"/>
          </w:tcPr>
          <w:p w14:paraId="4F16F31E">
            <w:pPr>
              <w:rPr>
                <w:rFonts w:ascii="Arial"/>
                <w:color w:val="auto"/>
                <w:sz w:val="21"/>
                <w:highlight w:val="none"/>
              </w:rPr>
            </w:pPr>
          </w:p>
        </w:tc>
        <w:tc>
          <w:tcPr>
            <w:tcW w:w="837" w:type="dxa"/>
            <w:tcBorders>
              <w:bottom w:val="single" w:color="000000" w:sz="6" w:space="0"/>
            </w:tcBorders>
            <w:vAlign w:val="top"/>
          </w:tcPr>
          <w:p w14:paraId="6B2ED614">
            <w:pPr>
              <w:rPr>
                <w:rFonts w:ascii="Arial"/>
                <w:color w:val="auto"/>
                <w:sz w:val="21"/>
                <w:highlight w:val="none"/>
              </w:rPr>
            </w:pPr>
          </w:p>
        </w:tc>
        <w:tc>
          <w:tcPr>
            <w:tcW w:w="810" w:type="dxa"/>
            <w:tcBorders>
              <w:bottom w:val="single" w:color="000000" w:sz="6" w:space="0"/>
            </w:tcBorders>
            <w:vAlign w:val="top"/>
          </w:tcPr>
          <w:p w14:paraId="09E13D85">
            <w:pPr>
              <w:rPr>
                <w:rFonts w:ascii="Arial"/>
                <w:color w:val="auto"/>
                <w:sz w:val="21"/>
                <w:highlight w:val="none"/>
              </w:rPr>
            </w:pPr>
          </w:p>
        </w:tc>
        <w:tc>
          <w:tcPr>
            <w:tcW w:w="868" w:type="dxa"/>
            <w:tcBorders>
              <w:bottom w:val="single" w:color="000000" w:sz="6" w:space="0"/>
            </w:tcBorders>
            <w:vAlign w:val="top"/>
          </w:tcPr>
          <w:p w14:paraId="7229583F">
            <w:pPr>
              <w:rPr>
                <w:rFonts w:ascii="Arial"/>
                <w:color w:val="auto"/>
                <w:sz w:val="21"/>
                <w:highlight w:val="none"/>
              </w:rPr>
            </w:pPr>
          </w:p>
        </w:tc>
        <w:tc>
          <w:tcPr>
            <w:tcW w:w="1342" w:type="dxa"/>
            <w:tcBorders>
              <w:bottom w:val="single" w:color="000000" w:sz="6" w:space="0"/>
            </w:tcBorders>
            <w:vAlign w:val="top"/>
          </w:tcPr>
          <w:p w14:paraId="6643A068">
            <w:pPr>
              <w:rPr>
                <w:rFonts w:ascii="Arial"/>
                <w:color w:val="auto"/>
                <w:sz w:val="21"/>
                <w:highlight w:val="none"/>
              </w:rPr>
            </w:pPr>
          </w:p>
        </w:tc>
        <w:tc>
          <w:tcPr>
            <w:tcW w:w="1242" w:type="dxa"/>
            <w:tcBorders>
              <w:bottom w:val="single" w:color="000000" w:sz="6" w:space="0"/>
            </w:tcBorders>
            <w:vAlign w:val="top"/>
          </w:tcPr>
          <w:p w14:paraId="56CB195F">
            <w:pPr>
              <w:rPr>
                <w:rFonts w:ascii="Arial"/>
                <w:color w:val="auto"/>
                <w:sz w:val="21"/>
                <w:highlight w:val="none"/>
              </w:rPr>
            </w:pPr>
          </w:p>
        </w:tc>
        <w:tc>
          <w:tcPr>
            <w:tcW w:w="1163" w:type="dxa"/>
            <w:tcBorders>
              <w:bottom w:val="single" w:color="000000" w:sz="6" w:space="0"/>
            </w:tcBorders>
            <w:vAlign w:val="top"/>
          </w:tcPr>
          <w:p w14:paraId="244A80BF">
            <w:pPr>
              <w:rPr>
                <w:rFonts w:ascii="Arial"/>
                <w:color w:val="auto"/>
                <w:sz w:val="21"/>
                <w:highlight w:val="none"/>
              </w:rPr>
            </w:pPr>
          </w:p>
        </w:tc>
        <w:tc>
          <w:tcPr>
            <w:tcW w:w="1187" w:type="dxa"/>
            <w:tcBorders>
              <w:bottom w:val="single" w:color="000000" w:sz="6" w:space="0"/>
            </w:tcBorders>
            <w:vAlign w:val="top"/>
          </w:tcPr>
          <w:p w14:paraId="2D3EB47D">
            <w:pPr>
              <w:rPr>
                <w:rFonts w:ascii="Arial"/>
                <w:color w:val="auto"/>
                <w:sz w:val="21"/>
                <w:highlight w:val="none"/>
              </w:rPr>
            </w:pPr>
          </w:p>
        </w:tc>
        <w:tc>
          <w:tcPr>
            <w:tcW w:w="995" w:type="dxa"/>
            <w:tcBorders>
              <w:bottom w:val="single" w:color="000000" w:sz="6" w:space="0"/>
            </w:tcBorders>
            <w:vAlign w:val="top"/>
          </w:tcPr>
          <w:p w14:paraId="7E7A2EAD">
            <w:pPr>
              <w:rPr>
                <w:rFonts w:ascii="Arial"/>
                <w:color w:val="auto"/>
                <w:sz w:val="21"/>
                <w:highlight w:val="none"/>
              </w:rPr>
            </w:pPr>
          </w:p>
        </w:tc>
        <w:tc>
          <w:tcPr>
            <w:tcW w:w="1311" w:type="dxa"/>
            <w:tcBorders>
              <w:bottom w:val="single" w:color="000000" w:sz="6" w:space="0"/>
            </w:tcBorders>
            <w:vAlign w:val="top"/>
          </w:tcPr>
          <w:p w14:paraId="249D368E">
            <w:pPr>
              <w:rPr>
                <w:rFonts w:ascii="Arial"/>
                <w:color w:val="auto"/>
                <w:sz w:val="21"/>
                <w:highlight w:val="none"/>
              </w:rPr>
            </w:pPr>
          </w:p>
        </w:tc>
        <w:tc>
          <w:tcPr>
            <w:tcW w:w="1316" w:type="dxa"/>
            <w:tcBorders>
              <w:bottom w:val="single" w:color="000000" w:sz="6" w:space="0"/>
            </w:tcBorders>
            <w:vAlign w:val="top"/>
          </w:tcPr>
          <w:p w14:paraId="3FEFCDC7">
            <w:pPr>
              <w:rPr>
                <w:rFonts w:ascii="Arial"/>
                <w:color w:val="auto"/>
                <w:sz w:val="21"/>
                <w:highlight w:val="none"/>
              </w:rPr>
            </w:pPr>
          </w:p>
        </w:tc>
        <w:tc>
          <w:tcPr>
            <w:tcW w:w="1062" w:type="dxa"/>
            <w:tcBorders>
              <w:bottom w:val="single" w:color="000000" w:sz="6" w:space="0"/>
              <w:right w:val="single" w:color="000000" w:sz="6" w:space="0"/>
            </w:tcBorders>
            <w:vAlign w:val="top"/>
          </w:tcPr>
          <w:p w14:paraId="6CFF48E6">
            <w:pPr>
              <w:rPr>
                <w:rFonts w:ascii="Arial"/>
                <w:color w:val="auto"/>
                <w:sz w:val="21"/>
                <w:highlight w:val="none"/>
              </w:rPr>
            </w:pPr>
          </w:p>
        </w:tc>
      </w:tr>
    </w:tbl>
    <w:p w14:paraId="56C7AC2C">
      <w:pPr>
        <w:rPr>
          <w:color w:val="auto"/>
          <w:highlight w:val="none"/>
        </w:rPr>
        <w:sectPr>
          <w:footerReference r:id="rId17" w:type="default"/>
          <w:pgSz w:w="16843" w:h="11905" w:orient="landscape"/>
          <w:pgMar w:top="1621" w:right="1429" w:bottom="1361" w:left="1253" w:header="0" w:footer="1094" w:gutter="0"/>
          <w:pgNumType w:fmt="decimal"/>
          <w:cols w:space="0" w:num="1"/>
          <w:rtlGutter w:val="0"/>
          <w:docGrid w:linePitch="0" w:charSpace="0"/>
        </w:sectPr>
      </w:pPr>
    </w:p>
    <w:p w14:paraId="4010D16C">
      <w:pPr>
        <w:spacing w:before="55" w:line="219" w:lineRule="auto"/>
        <w:ind w:left="3000"/>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招标人供应材料价格表</w:t>
      </w:r>
    </w:p>
    <w:p w14:paraId="319D522C">
      <w:pPr>
        <w:spacing w:before="206" w:line="220" w:lineRule="auto"/>
        <w:ind w:left="1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页</w:t>
      </w:r>
    </w:p>
    <w:p w14:paraId="20551D27">
      <w:pPr>
        <w:spacing w:line="143" w:lineRule="exact"/>
        <w:rPr>
          <w:color w:val="auto"/>
          <w:highlight w:val="none"/>
        </w:rPr>
      </w:pPr>
    </w:p>
    <w:tbl>
      <w:tblPr>
        <w:tblStyle w:val="32"/>
        <w:tblW w:w="9148"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836"/>
        <w:gridCol w:w="2540"/>
        <w:gridCol w:w="2003"/>
        <w:gridCol w:w="1004"/>
        <w:gridCol w:w="1253"/>
        <w:gridCol w:w="1512"/>
      </w:tblGrid>
      <w:tr w14:paraId="7D85CD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836" w:type="dxa"/>
            <w:tcBorders>
              <w:top w:val="single" w:color="000000" w:sz="6" w:space="0"/>
              <w:left w:val="single" w:color="000000" w:sz="6" w:space="0"/>
            </w:tcBorders>
            <w:vAlign w:val="top"/>
          </w:tcPr>
          <w:p w14:paraId="6F6912CE">
            <w:pPr>
              <w:pStyle w:val="33"/>
              <w:spacing w:before="275" w:line="221" w:lineRule="auto"/>
              <w:ind w:left="175"/>
              <w:rPr>
                <w:color w:val="auto"/>
                <w:sz w:val="24"/>
                <w:szCs w:val="24"/>
                <w:highlight w:val="none"/>
              </w:rPr>
            </w:pPr>
            <w:r>
              <w:rPr>
                <w:color w:val="auto"/>
                <w:spacing w:val="-3"/>
                <w:sz w:val="24"/>
                <w:szCs w:val="24"/>
                <w:highlight w:val="none"/>
              </w:rPr>
              <w:t>序号</w:t>
            </w:r>
          </w:p>
        </w:tc>
        <w:tc>
          <w:tcPr>
            <w:tcW w:w="2540" w:type="dxa"/>
            <w:tcBorders>
              <w:top w:val="single" w:color="000000" w:sz="6" w:space="0"/>
            </w:tcBorders>
            <w:vAlign w:val="top"/>
          </w:tcPr>
          <w:p w14:paraId="6546E9C9">
            <w:pPr>
              <w:pStyle w:val="33"/>
              <w:spacing w:before="275" w:line="219" w:lineRule="auto"/>
              <w:ind w:left="792"/>
              <w:rPr>
                <w:color w:val="auto"/>
                <w:sz w:val="24"/>
                <w:szCs w:val="24"/>
                <w:highlight w:val="none"/>
              </w:rPr>
            </w:pPr>
            <w:r>
              <w:rPr>
                <w:color w:val="auto"/>
                <w:spacing w:val="-2"/>
                <w:sz w:val="24"/>
                <w:szCs w:val="24"/>
                <w:highlight w:val="none"/>
              </w:rPr>
              <w:t>材料名称</w:t>
            </w:r>
          </w:p>
        </w:tc>
        <w:tc>
          <w:tcPr>
            <w:tcW w:w="2003" w:type="dxa"/>
            <w:tcBorders>
              <w:top w:val="single" w:color="000000" w:sz="6" w:space="0"/>
            </w:tcBorders>
            <w:vAlign w:val="top"/>
          </w:tcPr>
          <w:p w14:paraId="03AC11C8">
            <w:pPr>
              <w:pStyle w:val="33"/>
              <w:spacing w:before="275" w:line="220" w:lineRule="auto"/>
              <w:ind w:left="526"/>
              <w:rPr>
                <w:color w:val="auto"/>
                <w:sz w:val="24"/>
                <w:szCs w:val="24"/>
                <w:highlight w:val="none"/>
              </w:rPr>
            </w:pPr>
            <w:r>
              <w:rPr>
                <w:color w:val="auto"/>
                <w:spacing w:val="-2"/>
                <w:sz w:val="24"/>
                <w:szCs w:val="24"/>
                <w:highlight w:val="none"/>
              </w:rPr>
              <w:t>规格型号</w:t>
            </w:r>
          </w:p>
        </w:tc>
        <w:tc>
          <w:tcPr>
            <w:tcW w:w="1004" w:type="dxa"/>
            <w:tcBorders>
              <w:top w:val="single" w:color="000000" w:sz="6" w:space="0"/>
            </w:tcBorders>
            <w:vAlign w:val="top"/>
          </w:tcPr>
          <w:p w14:paraId="29AC6F5A">
            <w:pPr>
              <w:pStyle w:val="33"/>
              <w:spacing w:before="42" w:line="343" w:lineRule="auto"/>
              <w:ind w:left="270" w:right="258"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1253" w:type="dxa"/>
            <w:tcBorders>
              <w:top w:val="single" w:color="000000" w:sz="6" w:space="0"/>
            </w:tcBorders>
            <w:vAlign w:val="top"/>
          </w:tcPr>
          <w:p w14:paraId="70309BEA">
            <w:pPr>
              <w:pStyle w:val="33"/>
              <w:spacing w:before="42" w:line="343" w:lineRule="auto"/>
              <w:ind w:left="279" w:right="263" w:hanging="6"/>
              <w:rPr>
                <w:color w:val="auto"/>
                <w:sz w:val="24"/>
                <w:szCs w:val="24"/>
                <w:highlight w:val="none"/>
              </w:rPr>
            </w:pPr>
            <w:r>
              <w:rPr>
                <w:color w:val="auto"/>
                <w:spacing w:val="-4"/>
                <w:sz w:val="24"/>
                <w:szCs w:val="24"/>
                <w:highlight w:val="none"/>
              </w:rPr>
              <w:t>供应价</w:t>
            </w:r>
            <w:r>
              <w:rPr>
                <w:color w:val="auto"/>
                <w:spacing w:val="1"/>
                <w:sz w:val="24"/>
                <w:szCs w:val="24"/>
                <w:highlight w:val="none"/>
              </w:rPr>
              <w:t xml:space="preserve"> </w:t>
            </w:r>
            <w:r>
              <w:rPr>
                <w:color w:val="auto"/>
                <w:spacing w:val="-8"/>
                <w:sz w:val="24"/>
                <w:szCs w:val="24"/>
                <w:highlight w:val="none"/>
              </w:rPr>
              <w:t>（元）</w:t>
            </w:r>
          </w:p>
        </w:tc>
        <w:tc>
          <w:tcPr>
            <w:tcW w:w="1512" w:type="dxa"/>
            <w:tcBorders>
              <w:top w:val="single" w:color="000000" w:sz="6" w:space="0"/>
              <w:right w:val="single" w:color="000000" w:sz="6" w:space="0"/>
            </w:tcBorders>
            <w:vAlign w:val="top"/>
          </w:tcPr>
          <w:p w14:paraId="12BA321C">
            <w:pPr>
              <w:pStyle w:val="33"/>
              <w:spacing w:before="42" w:line="343" w:lineRule="auto"/>
              <w:ind w:left="409" w:right="388" w:hanging="4"/>
              <w:rPr>
                <w:color w:val="auto"/>
                <w:sz w:val="24"/>
                <w:szCs w:val="24"/>
                <w:highlight w:val="none"/>
              </w:rPr>
            </w:pPr>
            <w:r>
              <w:rPr>
                <w:color w:val="auto"/>
                <w:spacing w:val="-4"/>
                <w:sz w:val="24"/>
                <w:szCs w:val="24"/>
                <w:highlight w:val="none"/>
              </w:rPr>
              <w:t>预算价</w:t>
            </w:r>
            <w:r>
              <w:rPr>
                <w:color w:val="auto"/>
                <w:sz w:val="24"/>
                <w:szCs w:val="24"/>
                <w:highlight w:val="none"/>
              </w:rPr>
              <w:t xml:space="preserve"> </w:t>
            </w:r>
            <w:r>
              <w:rPr>
                <w:color w:val="auto"/>
                <w:spacing w:val="-8"/>
                <w:sz w:val="24"/>
                <w:szCs w:val="24"/>
                <w:highlight w:val="none"/>
              </w:rPr>
              <w:t>（元）</w:t>
            </w:r>
          </w:p>
        </w:tc>
      </w:tr>
      <w:tr w14:paraId="05679C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3A98E700">
            <w:pPr>
              <w:rPr>
                <w:rFonts w:ascii="Arial"/>
                <w:color w:val="auto"/>
                <w:sz w:val="21"/>
                <w:highlight w:val="none"/>
              </w:rPr>
            </w:pPr>
          </w:p>
        </w:tc>
        <w:tc>
          <w:tcPr>
            <w:tcW w:w="2540" w:type="dxa"/>
            <w:vAlign w:val="top"/>
          </w:tcPr>
          <w:p w14:paraId="5FDE72C7">
            <w:pPr>
              <w:rPr>
                <w:rFonts w:ascii="Arial"/>
                <w:color w:val="auto"/>
                <w:sz w:val="21"/>
                <w:highlight w:val="none"/>
              </w:rPr>
            </w:pPr>
          </w:p>
        </w:tc>
        <w:tc>
          <w:tcPr>
            <w:tcW w:w="2003" w:type="dxa"/>
            <w:vAlign w:val="top"/>
          </w:tcPr>
          <w:p w14:paraId="300DD135">
            <w:pPr>
              <w:rPr>
                <w:rFonts w:ascii="Arial"/>
                <w:color w:val="auto"/>
                <w:sz w:val="21"/>
                <w:highlight w:val="none"/>
              </w:rPr>
            </w:pPr>
          </w:p>
        </w:tc>
        <w:tc>
          <w:tcPr>
            <w:tcW w:w="1004" w:type="dxa"/>
            <w:vAlign w:val="top"/>
          </w:tcPr>
          <w:p w14:paraId="08F4A566">
            <w:pPr>
              <w:rPr>
                <w:rFonts w:ascii="Arial"/>
                <w:color w:val="auto"/>
                <w:sz w:val="21"/>
                <w:highlight w:val="none"/>
              </w:rPr>
            </w:pPr>
          </w:p>
        </w:tc>
        <w:tc>
          <w:tcPr>
            <w:tcW w:w="1253" w:type="dxa"/>
            <w:vAlign w:val="top"/>
          </w:tcPr>
          <w:p w14:paraId="07797B7F">
            <w:pPr>
              <w:rPr>
                <w:rFonts w:ascii="Arial"/>
                <w:color w:val="auto"/>
                <w:sz w:val="21"/>
                <w:highlight w:val="none"/>
              </w:rPr>
            </w:pPr>
          </w:p>
        </w:tc>
        <w:tc>
          <w:tcPr>
            <w:tcW w:w="1512" w:type="dxa"/>
            <w:tcBorders>
              <w:right w:val="single" w:color="000000" w:sz="6" w:space="0"/>
            </w:tcBorders>
            <w:vAlign w:val="top"/>
          </w:tcPr>
          <w:p w14:paraId="108B9429">
            <w:pPr>
              <w:rPr>
                <w:rFonts w:ascii="Arial"/>
                <w:color w:val="auto"/>
                <w:sz w:val="21"/>
                <w:highlight w:val="none"/>
              </w:rPr>
            </w:pPr>
          </w:p>
        </w:tc>
      </w:tr>
      <w:tr w14:paraId="5AFACD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36" w:type="dxa"/>
            <w:tcBorders>
              <w:left w:val="single" w:color="000000" w:sz="6" w:space="0"/>
            </w:tcBorders>
            <w:vAlign w:val="top"/>
          </w:tcPr>
          <w:p w14:paraId="5374FD8B">
            <w:pPr>
              <w:rPr>
                <w:rFonts w:ascii="Arial"/>
                <w:color w:val="auto"/>
                <w:sz w:val="21"/>
                <w:highlight w:val="none"/>
              </w:rPr>
            </w:pPr>
          </w:p>
        </w:tc>
        <w:tc>
          <w:tcPr>
            <w:tcW w:w="2540" w:type="dxa"/>
            <w:vAlign w:val="top"/>
          </w:tcPr>
          <w:p w14:paraId="3E4E4DEE">
            <w:pPr>
              <w:rPr>
                <w:rFonts w:ascii="Arial"/>
                <w:color w:val="auto"/>
                <w:sz w:val="21"/>
                <w:highlight w:val="none"/>
              </w:rPr>
            </w:pPr>
          </w:p>
        </w:tc>
        <w:tc>
          <w:tcPr>
            <w:tcW w:w="2003" w:type="dxa"/>
            <w:vAlign w:val="top"/>
          </w:tcPr>
          <w:p w14:paraId="11539279">
            <w:pPr>
              <w:rPr>
                <w:rFonts w:ascii="Arial"/>
                <w:color w:val="auto"/>
                <w:sz w:val="21"/>
                <w:highlight w:val="none"/>
              </w:rPr>
            </w:pPr>
          </w:p>
        </w:tc>
        <w:tc>
          <w:tcPr>
            <w:tcW w:w="1004" w:type="dxa"/>
            <w:vAlign w:val="top"/>
          </w:tcPr>
          <w:p w14:paraId="03AE92EF">
            <w:pPr>
              <w:rPr>
                <w:rFonts w:ascii="Arial"/>
                <w:color w:val="auto"/>
                <w:sz w:val="21"/>
                <w:highlight w:val="none"/>
              </w:rPr>
            </w:pPr>
          </w:p>
        </w:tc>
        <w:tc>
          <w:tcPr>
            <w:tcW w:w="1253" w:type="dxa"/>
            <w:vAlign w:val="top"/>
          </w:tcPr>
          <w:p w14:paraId="7E6ED06B">
            <w:pPr>
              <w:rPr>
                <w:rFonts w:ascii="Arial"/>
                <w:color w:val="auto"/>
                <w:sz w:val="21"/>
                <w:highlight w:val="none"/>
              </w:rPr>
            </w:pPr>
          </w:p>
        </w:tc>
        <w:tc>
          <w:tcPr>
            <w:tcW w:w="1512" w:type="dxa"/>
            <w:tcBorders>
              <w:right w:val="single" w:color="000000" w:sz="6" w:space="0"/>
            </w:tcBorders>
            <w:vAlign w:val="top"/>
          </w:tcPr>
          <w:p w14:paraId="0DBFE753">
            <w:pPr>
              <w:rPr>
                <w:rFonts w:ascii="Arial"/>
                <w:color w:val="auto"/>
                <w:sz w:val="21"/>
                <w:highlight w:val="none"/>
              </w:rPr>
            </w:pPr>
          </w:p>
        </w:tc>
      </w:tr>
      <w:tr w14:paraId="2DCDB6C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37404E8B">
            <w:pPr>
              <w:rPr>
                <w:rFonts w:ascii="Arial"/>
                <w:color w:val="auto"/>
                <w:sz w:val="21"/>
                <w:highlight w:val="none"/>
              </w:rPr>
            </w:pPr>
          </w:p>
        </w:tc>
        <w:tc>
          <w:tcPr>
            <w:tcW w:w="2540" w:type="dxa"/>
            <w:vAlign w:val="top"/>
          </w:tcPr>
          <w:p w14:paraId="632B833D">
            <w:pPr>
              <w:rPr>
                <w:rFonts w:ascii="Arial"/>
                <w:color w:val="auto"/>
                <w:sz w:val="21"/>
                <w:highlight w:val="none"/>
              </w:rPr>
            </w:pPr>
          </w:p>
        </w:tc>
        <w:tc>
          <w:tcPr>
            <w:tcW w:w="2003" w:type="dxa"/>
            <w:vAlign w:val="top"/>
          </w:tcPr>
          <w:p w14:paraId="5DCFABD7">
            <w:pPr>
              <w:rPr>
                <w:rFonts w:ascii="Arial"/>
                <w:color w:val="auto"/>
                <w:sz w:val="21"/>
                <w:highlight w:val="none"/>
              </w:rPr>
            </w:pPr>
          </w:p>
        </w:tc>
        <w:tc>
          <w:tcPr>
            <w:tcW w:w="1004" w:type="dxa"/>
            <w:vAlign w:val="top"/>
          </w:tcPr>
          <w:p w14:paraId="4A6FB556">
            <w:pPr>
              <w:rPr>
                <w:rFonts w:ascii="Arial"/>
                <w:color w:val="auto"/>
                <w:sz w:val="21"/>
                <w:highlight w:val="none"/>
              </w:rPr>
            </w:pPr>
          </w:p>
        </w:tc>
        <w:tc>
          <w:tcPr>
            <w:tcW w:w="1253" w:type="dxa"/>
            <w:vAlign w:val="top"/>
          </w:tcPr>
          <w:p w14:paraId="2E02174F">
            <w:pPr>
              <w:rPr>
                <w:rFonts w:ascii="Arial"/>
                <w:color w:val="auto"/>
                <w:sz w:val="21"/>
                <w:highlight w:val="none"/>
              </w:rPr>
            </w:pPr>
          </w:p>
        </w:tc>
        <w:tc>
          <w:tcPr>
            <w:tcW w:w="1512" w:type="dxa"/>
            <w:tcBorders>
              <w:right w:val="single" w:color="000000" w:sz="6" w:space="0"/>
            </w:tcBorders>
            <w:vAlign w:val="top"/>
          </w:tcPr>
          <w:p w14:paraId="6762F8CD">
            <w:pPr>
              <w:rPr>
                <w:rFonts w:ascii="Arial"/>
                <w:color w:val="auto"/>
                <w:sz w:val="21"/>
                <w:highlight w:val="none"/>
              </w:rPr>
            </w:pPr>
          </w:p>
        </w:tc>
      </w:tr>
      <w:tr w14:paraId="620B560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20AAB5E0">
            <w:pPr>
              <w:rPr>
                <w:rFonts w:ascii="Arial"/>
                <w:color w:val="auto"/>
                <w:sz w:val="21"/>
                <w:highlight w:val="none"/>
              </w:rPr>
            </w:pPr>
          </w:p>
        </w:tc>
        <w:tc>
          <w:tcPr>
            <w:tcW w:w="2540" w:type="dxa"/>
            <w:vAlign w:val="top"/>
          </w:tcPr>
          <w:p w14:paraId="5006F7D5">
            <w:pPr>
              <w:rPr>
                <w:rFonts w:ascii="Arial"/>
                <w:color w:val="auto"/>
                <w:sz w:val="21"/>
                <w:highlight w:val="none"/>
              </w:rPr>
            </w:pPr>
          </w:p>
        </w:tc>
        <w:tc>
          <w:tcPr>
            <w:tcW w:w="2003" w:type="dxa"/>
            <w:vAlign w:val="top"/>
          </w:tcPr>
          <w:p w14:paraId="28E8C1A3">
            <w:pPr>
              <w:rPr>
                <w:rFonts w:ascii="Arial"/>
                <w:color w:val="auto"/>
                <w:sz w:val="21"/>
                <w:highlight w:val="none"/>
              </w:rPr>
            </w:pPr>
          </w:p>
        </w:tc>
        <w:tc>
          <w:tcPr>
            <w:tcW w:w="1004" w:type="dxa"/>
            <w:vAlign w:val="top"/>
          </w:tcPr>
          <w:p w14:paraId="6E1C5C81">
            <w:pPr>
              <w:rPr>
                <w:rFonts w:ascii="Arial"/>
                <w:color w:val="auto"/>
                <w:sz w:val="21"/>
                <w:highlight w:val="none"/>
              </w:rPr>
            </w:pPr>
          </w:p>
        </w:tc>
        <w:tc>
          <w:tcPr>
            <w:tcW w:w="1253" w:type="dxa"/>
            <w:vAlign w:val="top"/>
          </w:tcPr>
          <w:p w14:paraId="763A9155">
            <w:pPr>
              <w:rPr>
                <w:rFonts w:ascii="Arial"/>
                <w:color w:val="auto"/>
                <w:sz w:val="21"/>
                <w:highlight w:val="none"/>
              </w:rPr>
            </w:pPr>
          </w:p>
        </w:tc>
        <w:tc>
          <w:tcPr>
            <w:tcW w:w="1512" w:type="dxa"/>
            <w:tcBorders>
              <w:right w:val="single" w:color="000000" w:sz="6" w:space="0"/>
            </w:tcBorders>
            <w:vAlign w:val="top"/>
          </w:tcPr>
          <w:p w14:paraId="1F23861B">
            <w:pPr>
              <w:rPr>
                <w:rFonts w:ascii="Arial"/>
                <w:color w:val="auto"/>
                <w:sz w:val="21"/>
                <w:highlight w:val="none"/>
              </w:rPr>
            </w:pPr>
          </w:p>
        </w:tc>
      </w:tr>
      <w:tr w14:paraId="2730D82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36" w:type="dxa"/>
            <w:tcBorders>
              <w:left w:val="single" w:color="000000" w:sz="6" w:space="0"/>
            </w:tcBorders>
            <w:vAlign w:val="top"/>
          </w:tcPr>
          <w:p w14:paraId="1EF27CFC">
            <w:pPr>
              <w:rPr>
                <w:rFonts w:ascii="Arial"/>
                <w:color w:val="auto"/>
                <w:sz w:val="21"/>
                <w:highlight w:val="none"/>
              </w:rPr>
            </w:pPr>
          </w:p>
        </w:tc>
        <w:tc>
          <w:tcPr>
            <w:tcW w:w="2540" w:type="dxa"/>
            <w:vAlign w:val="top"/>
          </w:tcPr>
          <w:p w14:paraId="64BAFAC2">
            <w:pPr>
              <w:rPr>
                <w:rFonts w:ascii="Arial"/>
                <w:color w:val="auto"/>
                <w:sz w:val="21"/>
                <w:highlight w:val="none"/>
              </w:rPr>
            </w:pPr>
          </w:p>
        </w:tc>
        <w:tc>
          <w:tcPr>
            <w:tcW w:w="2003" w:type="dxa"/>
            <w:vAlign w:val="top"/>
          </w:tcPr>
          <w:p w14:paraId="2D652A72">
            <w:pPr>
              <w:rPr>
                <w:rFonts w:ascii="Arial"/>
                <w:color w:val="auto"/>
                <w:sz w:val="21"/>
                <w:highlight w:val="none"/>
              </w:rPr>
            </w:pPr>
          </w:p>
        </w:tc>
        <w:tc>
          <w:tcPr>
            <w:tcW w:w="1004" w:type="dxa"/>
            <w:vAlign w:val="top"/>
          </w:tcPr>
          <w:p w14:paraId="0661EB87">
            <w:pPr>
              <w:rPr>
                <w:rFonts w:ascii="Arial"/>
                <w:color w:val="auto"/>
                <w:sz w:val="21"/>
                <w:highlight w:val="none"/>
              </w:rPr>
            </w:pPr>
          </w:p>
        </w:tc>
        <w:tc>
          <w:tcPr>
            <w:tcW w:w="1253" w:type="dxa"/>
            <w:vAlign w:val="top"/>
          </w:tcPr>
          <w:p w14:paraId="7DCB099F">
            <w:pPr>
              <w:rPr>
                <w:rFonts w:ascii="Arial"/>
                <w:color w:val="auto"/>
                <w:sz w:val="21"/>
                <w:highlight w:val="none"/>
              </w:rPr>
            </w:pPr>
          </w:p>
        </w:tc>
        <w:tc>
          <w:tcPr>
            <w:tcW w:w="1512" w:type="dxa"/>
            <w:tcBorders>
              <w:right w:val="single" w:color="000000" w:sz="6" w:space="0"/>
            </w:tcBorders>
            <w:vAlign w:val="top"/>
          </w:tcPr>
          <w:p w14:paraId="5D9B3E6A">
            <w:pPr>
              <w:rPr>
                <w:rFonts w:ascii="Arial"/>
                <w:color w:val="auto"/>
                <w:sz w:val="21"/>
                <w:highlight w:val="none"/>
              </w:rPr>
            </w:pPr>
          </w:p>
        </w:tc>
      </w:tr>
      <w:tr w14:paraId="373AF6D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2C95377D">
            <w:pPr>
              <w:rPr>
                <w:rFonts w:ascii="Arial"/>
                <w:color w:val="auto"/>
                <w:sz w:val="21"/>
                <w:highlight w:val="none"/>
              </w:rPr>
            </w:pPr>
          </w:p>
        </w:tc>
        <w:tc>
          <w:tcPr>
            <w:tcW w:w="2540" w:type="dxa"/>
            <w:vAlign w:val="top"/>
          </w:tcPr>
          <w:p w14:paraId="1C5108CB">
            <w:pPr>
              <w:rPr>
                <w:rFonts w:ascii="Arial"/>
                <w:color w:val="auto"/>
                <w:sz w:val="21"/>
                <w:highlight w:val="none"/>
              </w:rPr>
            </w:pPr>
          </w:p>
        </w:tc>
        <w:tc>
          <w:tcPr>
            <w:tcW w:w="2003" w:type="dxa"/>
            <w:vAlign w:val="top"/>
          </w:tcPr>
          <w:p w14:paraId="47D46547">
            <w:pPr>
              <w:rPr>
                <w:rFonts w:ascii="Arial"/>
                <w:color w:val="auto"/>
                <w:sz w:val="21"/>
                <w:highlight w:val="none"/>
              </w:rPr>
            </w:pPr>
          </w:p>
        </w:tc>
        <w:tc>
          <w:tcPr>
            <w:tcW w:w="1004" w:type="dxa"/>
            <w:vAlign w:val="top"/>
          </w:tcPr>
          <w:p w14:paraId="46558E78">
            <w:pPr>
              <w:rPr>
                <w:rFonts w:ascii="Arial"/>
                <w:color w:val="auto"/>
                <w:sz w:val="21"/>
                <w:highlight w:val="none"/>
              </w:rPr>
            </w:pPr>
          </w:p>
        </w:tc>
        <w:tc>
          <w:tcPr>
            <w:tcW w:w="1253" w:type="dxa"/>
            <w:vAlign w:val="top"/>
          </w:tcPr>
          <w:p w14:paraId="4C4D0349">
            <w:pPr>
              <w:rPr>
                <w:rFonts w:ascii="Arial"/>
                <w:color w:val="auto"/>
                <w:sz w:val="21"/>
                <w:highlight w:val="none"/>
              </w:rPr>
            </w:pPr>
          </w:p>
        </w:tc>
        <w:tc>
          <w:tcPr>
            <w:tcW w:w="1512" w:type="dxa"/>
            <w:tcBorders>
              <w:right w:val="single" w:color="000000" w:sz="6" w:space="0"/>
            </w:tcBorders>
            <w:vAlign w:val="top"/>
          </w:tcPr>
          <w:p w14:paraId="158EA4EF">
            <w:pPr>
              <w:rPr>
                <w:rFonts w:ascii="Arial"/>
                <w:color w:val="auto"/>
                <w:sz w:val="21"/>
                <w:highlight w:val="none"/>
              </w:rPr>
            </w:pPr>
          </w:p>
        </w:tc>
      </w:tr>
      <w:tr w14:paraId="6DD11F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05C260BF">
            <w:pPr>
              <w:rPr>
                <w:rFonts w:ascii="Arial"/>
                <w:color w:val="auto"/>
                <w:sz w:val="21"/>
                <w:highlight w:val="none"/>
              </w:rPr>
            </w:pPr>
          </w:p>
        </w:tc>
        <w:tc>
          <w:tcPr>
            <w:tcW w:w="2540" w:type="dxa"/>
            <w:vAlign w:val="top"/>
          </w:tcPr>
          <w:p w14:paraId="3B6DECF9">
            <w:pPr>
              <w:rPr>
                <w:rFonts w:ascii="Arial"/>
                <w:color w:val="auto"/>
                <w:sz w:val="21"/>
                <w:highlight w:val="none"/>
              </w:rPr>
            </w:pPr>
          </w:p>
        </w:tc>
        <w:tc>
          <w:tcPr>
            <w:tcW w:w="2003" w:type="dxa"/>
            <w:vAlign w:val="top"/>
          </w:tcPr>
          <w:p w14:paraId="1F29B297">
            <w:pPr>
              <w:rPr>
                <w:rFonts w:ascii="Arial"/>
                <w:color w:val="auto"/>
                <w:sz w:val="21"/>
                <w:highlight w:val="none"/>
              </w:rPr>
            </w:pPr>
          </w:p>
        </w:tc>
        <w:tc>
          <w:tcPr>
            <w:tcW w:w="1004" w:type="dxa"/>
            <w:vAlign w:val="top"/>
          </w:tcPr>
          <w:p w14:paraId="2B9A7E08">
            <w:pPr>
              <w:rPr>
                <w:rFonts w:ascii="Arial"/>
                <w:color w:val="auto"/>
                <w:sz w:val="21"/>
                <w:highlight w:val="none"/>
              </w:rPr>
            </w:pPr>
          </w:p>
        </w:tc>
        <w:tc>
          <w:tcPr>
            <w:tcW w:w="1253" w:type="dxa"/>
            <w:vAlign w:val="top"/>
          </w:tcPr>
          <w:p w14:paraId="1B4D601E">
            <w:pPr>
              <w:rPr>
                <w:rFonts w:ascii="Arial"/>
                <w:color w:val="auto"/>
                <w:sz w:val="21"/>
                <w:highlight w:val="none"/>
              </w:rPr>
            </w:pPr>
          </w:p>
        </w:tc>
        <w:tc>
          <w:tcPr>
            <w:tcW w:w="1512" w:type="dxa"/>
            <w:tcBorders>
              <w:right w:val="single" w:color="000000" w:sz="6" w:space="0"/>
            </w:tcBorders>
            <w:vAlign w:val="top"/>
          </w:tcPr>
          <w:p w14:paraId="382C6E93">
            <w:pPr>
              <w:rPr>
                <w:rFonts w:ascii="Arial"/>
                <w:color w:val="auto"/>
                <w:sz w:val="21"/>
                <w:highlight w:val="none"/>
              </w:rPr>
            </w:pPr>
          </w:p>
        </w:tc>
      </w:tr>
      <w:tr w14:paraId="7E1FF6C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36" w:type="dxa"/>
            <w:tcBorders>
              <w:left w:val="single" w:color="000000" w:sz="6" w:space="0"/>
            </w:tcBorders>
            <w:vAlign w:val="top"/>
          </w:tcPr>
          <w:p w14:paraId="0D48C0A9">
            <w:pPr>
              <w:rPr>
                <w:rFonts w:ascii="Arial"/>
                <w:color w:val="auto"/>
                <w:sz w:val="21"/>
                <w:highlight w:val="none"/>
              </w:rPr>
            </w:pPr>
          </w:p>
        </w:tc>
        <w:tc>
          <w:tcPr>
            <w:tcW w:w="2540" w:type="dxa"/>
            <w:vAlign w:val="top"/>
          </w:tcPr>
          <w:p w14:paraId="465A0197">
            <w:pPr>
              <w:rPr>
                <w:rFonts w:ascii="Arial"/>
                <w:color w:val="auto"/>
                <w:sz w:val="21"/>
                <w:highlight w:val="none"/>
              </w:rPr>
            </w:pPr>
          </w:p>
        </w:tc>
        <w:tc>
          <w:tcPr>
            <w:tcW w:w="2003" w:type="dxa"/>
            <w:vAlign w:val="top"/>
          </w:tcPr>
          <w:p w14:paraId="2F98B51E">
            <w:pPr>
              <w:rPr>
                <w:rFonts w:ascii="Arial"/>
                <w:color w:val="auto"/>
                <w:sz w:val="21"/>
                <w:highlight w:val="none"/>
              </w:rPr>
            </w:pPr>
          </w:p>
        </w:tc>
        <w:tc>
          <w:tcPr>
            <w:tcW w:w="1004" w:type="dxa"/>
            <w:vAlign w:val="top"/>
          </w:tcPr>
          <w:p w14:paraId="2A0256B5">
            <w:pPr>
              <w:rPr>
                <w:rFonts w:ascii="Arial"/>
                <w:color w:val="auto"/>
                <w:sz w:val="21"/>
                <w:highlight w:val="none"/>
              </w:rPr>
            </w:pPr>
          </w:p>
        </w:tc>
        <w:tc>
          <w:tcPr>
            <w:tcW w:w="1253" w:type="dxa"/>
            <w:vAlign w:val="top"/>
          </w:tcPr>
          <w:p w14:paraId="77C575A7">
            <w:pPr>
              <w:rPr>
                <w:rFonts w:ascii="Arial"/>
                <w:color w:val="auto"/>
                <w:sz w:val="21"/>
                <w:highlight w:val="none"/>
              </w:rPr>
            </w:pPr>
          </w:p>
        </w:tc>
        <w:tc>
          <w:tcPr>
            <w:tcW w:w="1512" w:type="dxa"/>
            <w:tcBorders>
              <w:right w:val="single" w:color="000000" w:sz="6" w:space="0"/>
            </w:tcBorders>
            <w:vAlign w:val="top"/>
          </w:tcPr>
          <w:p w14:paraId="481DE9B5">
            <w:pPr>
              <w:rPr>
                <w:rFonts w:ascii="Arial"/>
                <w:color w:val="auto"/>
                <w:sz w:val="21"/>
                <w:highlight w:val="none"/>
              </w:rPr>
            </w:pPr>
          </w:p>
        </w:tc>
      </w:tr>
      <w:tr w14:paraId="54C726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0C4D6E7E">
            <w:pPr>
              <w:rPr>
                <w:rFonts w:ascii="Arial"/>
                <w:color w:val="auto"/>
                <w:sz w:val="21"/>
                <w:highlight w:val="none"/>
              </w:rPr>
            </w:pPr>
          </w:p>
        </w:tc>
        <w:tc>
          <w:tcPr>
            <w:tcW w:w="2540" w:type="dxa"/>
            <w:vAlign w:val="top"/>
          </w:tcPr>
          <w:p w14:paraId="08A79E4E">
            <w:pPr>
              <w:rPr>
                <w:rFonts w:ascii="Arial"/>
                <w:color w:val="auto"/>
                <w:sz w:val="21"/>
                <w:highlight w:val="none"/>
              </w:rPr>
            </w:pPr>
          </w:p>
        </w:tc>
        <w:tc>
          <w:tcPr>
            <w:tcW w:w="2003" w:type="dxa"/>
            <w:vAlign w:val="top"/>
          </w:tcPr>
          <w:p w14:paraId="44FBBDCD">
            <w:pPr>
              <w:rPr>
                <w:rFonts w:ascii="Arial"/>
                <w:color w:val="auto"/>
                <w:sz w:val="21"/>
                <w:highlight w:val="none"/>
              </w:rPr>
            </w:pPr>
          </w:p>
        </w:tc>
        <w:tc>
          <w:tcPr>
            <w:tcW w:w="1004" w:type="dxa"/>
            <w:vAlign w:val="top"/>
          </w:tcPr>
          <w:p w14:paraId="3D07BDA2">
            <w:pPr>
              <w:rPr>
                <w:rFonts w:ascii="Arial"/>
                <w:color w:val="auto"/>
                <w:sz w:val="21"/>
                <w:highlight w:val="none"/>
              </w:rPr>
            </w:pPr>
          </w:p>
        </w:tc>
        <w:tc>
          <w:tcPr>
            <w:tcW w:w="1253" w:type="dxa"/>
            <w:vAlign w:val="top"/>
          </w:tcPr>
          <w:p w14:paraId="3B452E92">
            <w:pPr>
              <w:rPr>
                <w:rFonts w:ascii="Arial"/>
                <w:color w:val="auto"/>
                <w:sz w:val="21"/>
                <w:highlight w:val="none"/>
              </w:rPr>
            </w:pPr>
          </w:p>
        </w:tc>
        <w:tc>
          <w:tcPr>
            <w:tcW w:w="1512" w:type="dxa"/>
            <w:tcBorders>
              <w:right w:val="single" w:color="000000" w:sz="6" w:space="0"/>
            </w:tcBorders>
            <w:vAlign w:val="top"/>
          </w:tcPr>
          <w:p w14:paraId="76CD2E26">
            <w:pPr>
              <w:rPr>
                <w:rFonts w:ascii="Arial"/>
                <w:color w:val="auto"/>
                <w:sz w:val="21"/>
                <w:highlight w:val="none"/>
              </w:rPr>
            </w:pPr>
          </w:p>
        </w:tc>
      </w:tr>
      <w:tr w14:paraId="7E45CBE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6A9F4DBC">
            <w:pPr>
              <w:rPr>
                <w:rFonts w:ascii="Arial"/>
                <w:color w:val="auto"/>
                <w:sz w:val="21"/>
                <w:highlight w:val="none"/>
              </w:rPr>
            </w:pPr>
          </w:p>
        </w:tc>
        <w:tc>
          <w:tcPr>
            <w:tcW w:w="2540" w:type="dxa"/>
            <w:vAlign w:val="top"/>
          </w:tcPr>
          <w:p w14:paraId="613510B2">
            <w:pPr>
              <w:rPr>
                <w:rFonts w:ascii="Arial"/>
                <w:color w:val="auto"/>
                <w:sz w:val="21"/>
                <w:highlight w:val="none"/>
              </w:rPr>
            </w:pPr>
          </w:p>
        </w:tc>
        <w:tc>
          <w:tcPr>
            <w:tcW w:w="2003" w:type="dxa"/>
            <w:vAlign w:val="top"/>
          </w:tcPr>
          <w:p w14:paraId="15B97425">
            <w:pPr>
              <w:rPr>
                <w:rFonts w:ascii="Arial"/>
                <w:color w:val="auto"/>
                <w:sz w:val="21"/>
                <w:highlight w:val="none"/>
              </w:rPr>
            </w:pPr>
          </w:p>
        </w:tc>
        <w:tc>
          <w:tcPr>
            <w:tcW w:w="1004" w:type="dxa"/>
            <w:vAlign w:val="top"/>
          </w:tcPr>
          <w:p w14:paraId="38392425">
            <w:pPr>
              <w:rPr>
                <w:rFonts w:ascii="Arial"/>
                <w:color w:val="auto"/>
                <w:sz w:val="21"/>
                <w:highlight w:val="none"/>
              </w:rPr>
            </w:pPr>
          </w:p>
        </w:tc>
        <w:tc>
          <w:tcPr>
            <w:tcW w:w="1253" w:type="dxa"/>
            <w:vAlign w:val="top"/>
          </w:tcPr>
          <w:p w14:paraId="3E673316">
            <w:pPr>
              <w:rPr>
                <w:rFonts w:ascii="Arial"/>
                <w:color w:val="auto"/>
                <w:sz w:val="21"/>
                <w:highlight w:val="none"/>
              </w:rPr>
            </w:pPr>
          </w:p>
        </w:tc>
        <w:tc>
          <w:tcPr>
            <w:tcW w:w="1512" w:type="dxa"/>
            <w:tcBorders>
              <w:right w:val="single" w:color="000000" w:sz="6" w:space="0"/>
            </w:tcBorders>
            <w:vAlign w:val="top"/>
          </w:tcPr>
          <w:p w14:paraId="13D14148">
            <w:pPr>
              <w:rPr>
                <w:rFonts w:ascii="Arial"/>
                <w:color w:val="auto"/>
                <w:sz w:val="21"/>
                <w:highlight w:val="none"/>
              </w:rPr>
            </w:pPr>
          </w:p>
        </w:tc>
      </w:tr>
      <w:tr w14:paraId="56DB1E2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3" w:hRule="atLeast"/>
        </w:trPr>
        <w:tc>
          <w:tcPr>
            <w:tcW w:w="836" w:type="dxa"/>
            <w:tcBorders>
              <w:left w:val="single" w:color="000000" w:sz="6" w:space="0"/>
            </w:tcBorders>
            <w:vAlign w:val="top"/>
          </w:tcPr>
          <w:p w14:paraId="4C742CB3">
            <w:pPr>
              <w:rPr>
                <w:rFonts w:ascii="Arial"/>
                <w:color w:val="auto"/>
                <w:sz w:val="21"/>
                <w:highlight w:val="none"/>
              </w:rPr>
            </w:pPr>
          </w:p>
        </w:tc>
        <w:tc>
          <w:tcPr>
            <w:tcW w:w="2540" w:type="dxa"/>
            <w:vAlign w:val="top"/>
          </w:tcPr>
          <w:p w14:paraId="52E59B8D">
            <w:pPr>
              <w:rPr>
                <w:rFonts w:ascii="Arial"/>
                <w:color w:val="auto"/>
                <w:sz w:val="21"/>
                <w:highlight w:val="none"/>
              </w:rPr>
            </w:pPr>
          </w:p>
        </w:tc>
        <w:tc>
          <w:tcPr>
            <w:tcW w:w="2003" w:type="dxa"/>
            <w:vAlign w:val="top"/>
          </w:tcPr>
          <w:p w14:paraId="335DA5CE">
            <w:pPr>
              <w:rPr>
                <w:rFonts w:ascii="Arial"/>
                <w:color w:val="auto"/>
                <w:sz w:val="21"/>
                <w:highlight w:val="none"/>
              </w:rPr>
            </w:pPr>
          </w:p>
        </w:tc>
        <w:tc>
          <w:tcPr>
            <w:tcW w:w="1004" w:type="dxa"/>
            <w:vAlign w:val="top"/>
          </w:tcPr>
          <w:p w14:paraId="22342462">
            <w:pPr>
              <w:rPr>
                <w:rFonts w:ascii="Arial"/>
                <w:color w:val="auto"/>
                <w:sz w:val="21"/>
                <w:highlight w:val="none"/>
              </w:rPr>
            </w:pPr>
          </w:p>
        </w:tc>
        <w:tc>
          <w:tcPr>
            <w:tcW w:w="1253" w:type="dxa"/>
            <w:vAlign w:val="top"/>
          </w:tcPr>
          <w:p w14:paraId="513A91D9">
            <w:pPr>
              <w:rPr>
                <w:rFonts w:ascii="Arial"/>
                <w:color w:val="auto"/>
                <w:sz w:val="21"/>
                <w:highlight w:val="none"/>
              </w:rPr>
            </w:pPr>
          </w:p>
        </w:tc>
        <w:tc>
          <w:tcPr>
            <w:tcW w:w="1512" w:type="dxa"/>
            <w:tcBorders>
              <w:right w:val="single" w:color="000000" w:sz="6" w:space="0"/>
            </w:tcBorders>
            <w:vAlign w:val="top"/>
          </w:tcPr>
          <w:p w14:paraId="47712A94">
            <w:pPr>
              <w:rPr>
                <w:rFonts w:ascii="Arial"/>
                <w:color w:val="auto"/>
                <w:sz w:val="21"/>
                <w:highlight w:val="none"/>
              </w:rPr>
            </w:pPr>
          </w:p>
        </w:tc>
      </w:tr>
      <w:tr w14:paraId="2F083CA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4931B4FF">
            <w:pPr>
              <w:rPr>
                <w:rFonts w:ascii="Arial"/>
                <w:color w:val="auto"/>
                <w:sz w:val="21"/>
                <w:highlight w:val="none"/>
              </w:rPr>
            </w:pPr>
          </w:p>
        </w:tc>
        <w:tc>
          <w:tcPr>
            <w:tcW w:w="2540" w:type="dxa"/>
            <w:vAlign w:val="top"/>
          </w:tcPr>
          <w:p w14:paraId="7F6FB61C">
            <w:pPr>
              <w:rPr>
                <w:rFonts w:ascii="Arial"/>
                <w:color w:val="auto"/>
                <w:sz w:val="21"/>
                <w:highlight w:val="none"/>
              </w:rPr>
            </w:pPr>
          </w:p>
        </w:tc>
        <w:tc>
          <w:tcPr>
            <w:tcW w:w="2003" w:type="dxa"/>
            <w:vAlign w:val="top"/>
          </w:tcPr>
          <w:p w14:paraId="573A29F9">
            <w:pPr>
              <w:rPr>
                <w:rFonts w:ascii="Arial"/>
                <w:color w:val="auto"/>
                <w:sz w:val="21"/>
                <w:highlight w:val="none"/>
              </w:rPr>
            </w:pPr>
          </w:p>
        </w:tc>
        <w:tc>
          <w:tcPr>
            <w:tcW w:w="1004" w:type="dxa"/>
            <w:vAlign w:val="top"/>
          </w:tcPr>
          <w:p w14:paraId="1647B6BD">
            <w:pPr>
              <w:rPr>
                <w:rFonts w:ascii="Arial"/>
                <w:color w:val="auto"/>
                <w:sz w:val="21"/>
                <w:highlight w:val="none"/>
              </w:rPr>
            </w:pPr>
          </w:p>
        </w:tc>
        <w:tc>
          <w:tcPr>
            <w:tcW w:w="1253" w:type="dxa"/>
            <w:vAlign w:val="top"/>
          </w:tcPr>
          <w:p w14:paraId="47376880">
            <w:pPr>
              <w:rPr>
                <w:rFonts w:ascii="Arial"/>
                <w:color w:val="auto"/>
                <w:sz w:val="21"/>
                <w:highlight w:val="none"/>
              </w:rPr>
            </w:pPr>
          </w:p>
        </w:tc>
        <w:tc>
          <w:tcPr>
            <w:tcW w:w="1512" w:type="dxa"/>
            <w:tcBorders>
              <w:right w:val="single" w:color="000000" w:sz="6" w:space="0"/>
            </w:tcBorders>
            <w:vAlign w:val="top"/>
          </w:tcPr>
          <w:p w14:paraId="132C6F5E">
            <w:pPr>
              <w:rPr>
                <w:rFonts w:ascii="Arial"/>
                <w:color w:val="auto"/>
                <w:sz w:val="21"/>
                <w:highlight w:val="none"/>
              </w:rPr>
            </w:pPr>
          </w:p>
        </w:tc>
      </w:tr>
      <w:tr w14:paraId="06FC6E2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687084F8">
            <w:pPr>
              <w:rPr>
                <w:rFonts w:ascii="Arial"/>
                <w:color w:val="auto"/>
                <w:sz w:val="21"/>
                <w:highlight w:val="none"/>
              </w:rPr>
            </w:pPr>
          </w:p>
        </w:tc>
        <w:tc>
          <w:tcPr>
            <w:tcW w:w="2540" w:type="dxa"/>
            <w:vAlign w:val="top"/>
          </w:tcPr>
          <w:p w14:paraId="0C11D166">
            <w:pPr>
              <w:rPr>
                <w:rFonts w:ascii="Arial"/>
                <w:color w:val="auto"/>
                <w:sz w:val="21"/>
                <w:highlight w:val="none"/>
              </w:rPr>
            </w:pPr>
          </w:p>
        </w:tc>
        <w:tc>
          <w:tcPr>
            <w:tcW w:w="2003" w:type="dxa"/>
            <w:vAlign w:val="top"/>
          </w:tcPr>
          <w:p w14:paraId="41A7C6A6">
            <w:pPr>
              <w:rPr>
                <w:rFonts w:ascii="Arial"/>
                <w:color w:val="auto"/>
                <w:sz w:val="21"/>
                <w:highlight w:val="none"/>
              </w:rPr>
            </w:pPr>
          </w:p>
        </w:tc>
        <w:tc>
          <w:tcPr>
            <w:tcW w:w="1004" w:type="dxa"/>
            <w:vAlign w:val="top"/>
          </w:tcPr>
          <w:p w14:paraId="2700B287">
            <w:pPr>
              <w:rPr>
                <w:rFonts w:ascii="Arial"/>
                <w:color w:val="auto"/>
                <w:sz w:val="21"/>
                <w:highlight w:val="none"/>
              </w:rPr>
            </w:pPr>
          </w:p>
        </w:tc>
        <w:tc>
          <w:tcPr>
            <w:tcW w:w="1253" w:type="dxa"/>
            <w:vAlign w:val="top"/>
          </w:tcPr>
          <w:p w14:paraId="4247AEDF">
            <w:pPr>
              <w:rPr>
                <w:rFonts w:ascii="Arial"/>
                <w:color w:val="auto"/>
                <w:sz w:val="21"/>
                <w:highlight w:val="none"/>
              </w:rPr>
            </w:pPr>
          </w:p>
        </w:tc>
        <w:tc>
          <w:tcPr>
            <w:tcW w:w="1512" w:type="dxa"/>
            <w:tcBorders>
              <w:right w:val="single" w:color="000000" w:sz="6" w:space="0"/>
            </w:tcBorders>
            <w:vAlign w:val="top"/>
          </w:tcPr>
          <w:p w14:paraId="0F643FF9">
            <w:pPr>
              <w:rPr>
                <w:rFonts w:ascii="Arial"/>
                <w:color w:val="auto"/>
                <w:sz w:val="21"/>
                <w:highlight w:val="none"/>
              </w:rPr>
            </w:pPr>
          </w:p>
        </w:tc>
      </w:tr>
      <w:tr w14:paraId="3EC6029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2" w:hRule="atLeast"/>
        </w:trPr>
        <w:tc>
          <w:tcPr>
            <w:tcW w:w="836" w:type="dxa"/>
            <w:tcBorders>
              <w:left w:val="single" w:color="000000" w:sz="6" w:space="0"/>
            </w:tcBorders>
            <w:vAlign w:val="top"/>
          </w:tcPr>
          <w:p w14:paraId="347DFBFF">
            <w:pPr>
              <w:rPr>
                <w:rFonts w:ascii="Arial"/>
                <w:color w:val="auto"/>
                <w:sz w:val="21"/>
                <w:highlight w:val="none"/>
              </w:rPr>
            </w:pPr>
          </w:p>
        </w:tc>
        <w:tc>
          <w:tcPr>
            <w:tcW w:w="2540" w:type="dxa"/>
            <w:vAlign w:val="top"/>
          </w:tcPr>
          <w:p w14:paraId="5427840F">
            <w:pPr>
              <w:rPr>
                <w:rFonts w:ascii="Arial"/>
                <w:color w:val="auto"/>
                <w:sz w:val="21"/>
                <w:highlight w:val="none"/>
              </w:rPr>
            </w:pPr>
          </w:p>
        </w:tc>
        <w:tc>
          <w:tcPr>
            <w:tcW w:w="2003" w:type="dxa"/>
            <w:vAlign w:val="top"/>
          </w:tcPr>
          <w:p w14:paraId="5E26BE9B">
            <w:pPr>
              <w:rPr>
                <w:rFonts w:ascii="Arial"/>
                <w:color w:val="auto"/>
                <w:sz w:val="21"/>
                <w:highlight w:val="none"/>
              </w:rPr>
            </w:pPr>
          </w:p>
        </w:tc>
        <w:tc>
          <w:tcPr>
            <w:tcW w:w="1004" w:type="dxa"/>
            <w:vAlign w:val="top"/>
          </w:tcPr>
          <w:p w14:paraId="5014B3E8">
            <w:pPr>
              <w:rPr>
                <w:rFonts w:ascii="Arial"/>
                <w:color w:val="auto"/>
                <w:sz w:val="21"/>
                <w:highlight w:val="none"/>
              </w:rPr>
            </w:pPr>
          </w:p>
        </w:tc>
        <w:tc>
          <w:tcPr>
            <w:tcW w:w="1253" w:type="dxa"/>
            <w:vAlign w:val="top"/>
          </w:tcPr>
          <w:p w14:paraId="039B7D05">
            <w:pPr>
              <w:rPr>
                <w:rFonts w:ascii="Arial"/>
                <w:color w:val="auto"/>
                <w:sz w:val="21"/>
                <w:highlight w:val="none"/>
              </w:rPr>
            </w:pPr>
          </w:p>
        </w:tc>
        <w:tc>
          <w:tcPr>
            <w:tcW w:w="1512" w:type="dxa"/>
            <w:tcBorders>
              <w:right w:val="single" w:color="000000" w:sz="6" w:space="0"/>
            </w:tcBorders>
            <w:vAlign w:val="top"/>
          </w:tcPr>
          <w:p w14:paraId="7367B51A">
            <w:pPr>
              <w:rPr>
                <w:rFonts w:ascii="Arial"/>
                <w:color w:val="auto"/>
                <w:sz w:val="21"/>
                <w:highlight w:val="none"/>
              </w:rPr>
            </w:pPr>
          </w:p>
        </w:tc>
      </w:tr>
      <w:tr w14:paraId="3843F2B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0461D48C">
            <w:pPr>
              <w:rPr>
                <w:rFonts w:ascii="Arial"/>
                <w:color w:val="auto"/>
                <w:sz w:val="21"/>
                <w:highlight w:val="none"/>
              </w:rPr>
            </w:pPr>
          </w:p>
        </w:tc>
        <w:tc>
          <w:tcPr>
            <w:tcW w:w="2540" w:type="dxa"/>
            <w:vAlign w:val="top"/>
          </w:tcPr>
          <w:p w14:paraId="4BB0F523">
            <w:pPr>
              <w:rPr>
                <w:rFonts w:ascii="Arial"/>
                <w:color w:val="auto"/>
                <w:sz w:val="21"/>
                <w:highlight w:val="none"/>
              </w:rPr>
            </w:pPr>
          </w:p>
        </w:tc>
        <w:tc>
          <w:tcPr>
            <w:tcW w:w="2003" w:type="dxa"/>
            <w:vAlign w:val="top"/>
          </w:tcPr>
          <w:p w14:paraId="7EE5D51A">
            <w:pPr>
              <w:rPr>
                <w:rFonts w:ascii="Arial"/>
                <w:color w:val="auto"/>
                <w:sz w:val="21"/>
                <w:highlight w:val="none"/>
              </w:rPr>
            </w:pPr>
          </w:p>
        </w:tc>
        <w:tc>
          <w:tcPr>
            <w:tcW w:w="1004" w:type="dxa"/>
            <w:vAlign w:val="top"/>
          </w:tcPr>
          <w:p w14:paraId="5822D6A6">
            <w:pPr>
              <w:rPr>
                <w:rFonts w:ascii="Arial"/>
                <w:color w:val="auto"/>
                <w:sz w:val="21"/>
                <w:highlight w:val="none"/>
              </w:rPr>
            </w:pPr>
          </w:p>
        </w:tc>
        <w:tc>
          <w:tcPr>
            <w:tcW w:w="1253" w:type="dxa"/>
            <w:vAlign w:val="top"/>
          </w:tcPr>
          <w:p w14:paraId="2D348EAF">
            <w:pPr>
              <w:rPr>
                <w:rFonts w:ascii="Arial"/>
                <w:color w:val="auto"/>
                <w:sz w:val="21"/>
                <w:highlight w:val="none"/>
              </w:rPr>
            </w:pPr>
          </w:p>
        </w:tc>
        <w:tc>
          <w:tcPr>
            <w:tcW w:w="1512" w:type="dxa"/>
            <w:tcBorders>
              <w:right w:val="single" w:color="000000" w:sz="6" w:space="0"/>
            </w:tcBorders>
            <w:vAlign w:val="top"/>
          </w:tcPr>
          <w:p w14:paraId="4FC6A46A">
            <w:pPr>
              <w:rPr>
                <w:rFonts w:ascii="Arial"/>
                <w:color w:val="auto"/>
                <w:sz w:val="21"/>
                <w:highlight w:val="none"/>
              </w:rPr>
            </w:pPr>
          </w:p>
        </w:tc>
      </w:tr>
      <w:tr w14:paraId="3BFD460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35" w:hRule="atLeast"/>
        </w:trPr>
        <w:tc>
          <w:tcPr>
            <w:tcW w:w="836" w:type="dxa"/>
            <w:tcBorders>
              <w:left w:val="single" w:color="000000" w:sz="6" w:space="0"/>
            </w:tcBorders>
            <w:vAlign w:val="top"/>
          </w:tcPr>
          <w:p w14:paraId="18903DAC">
            <w:pPr>
              <w:rPr>
                <w:rFonts w:ascii="Arial"/>
                <w:color w:val="auto"/>
                <w:sz w:val="21"/>
                <w:highlight w:val="none"/>
              </w:rPr>
            </w:pPr>
          </w:p>
        </w:tc>
        <w:tc>
          <w:tcPr>
            <w:tcW w:w="2540" w:type="dxa"/>
            <w:vAlign w:val="top"/>
          </w:tcPr>
          <w:p w14:paraId="747835AB">
            <w:pPr>
              <w:rPr>
                <w:rFonts w:ascii="Arial"/>
                <w:color w:val="auto"/>
                <w:sz w:val="21"/>
                <w:highlight w:val="none"/>
              </w:rPr>
            </w:pPr>
          </w:p>
        </w:tc>
        <w:tc>
          <w:tcPr>
            <w:tcW w:w="2003" w:type="dxa"/>
            <w:vAlign w:val="top"/>
          </w:tcPr>
          <w:p w14:paraId="3FB54D43">
            <w:pPr>
              <w:rPr>
                <w:rFonts w:ascii="Arial"/>
                <w:color w:val="auto"/>
                <w:sz w:val="21"/>
                <w:highlight w:val="none"/>
              </w:rPr>
            </w:pPr>
          </w:p>
        </w:tc>
        <w:tc>
          <w:tcPr>
            <w:tcW w:w="1004" w:type="dxa"/>
            <w:vAlign w:val="top"/>
          </w:tcPr>
          <w:p w14:paraId="2C3A59A4">
            <w:pPr>
              <w:rPr>
                <w:rFonts w:ascii="Arial"/>
                <w:color w:val="auto"/>
                <w:sz w:val="21"/>
                <w:highlight w:val="none"/>
              </w:rPr>
            </w:pPr>
          </w:p>
        </w:tc>
        <w:tc>
          <w:tcPr>
            <w:tcW w:w="1253" w:type="dxa"/>
            <w:vAlign w:val="top"/>
          </w:tcPr>
          <w:p w14:paraId="06323D02">
            <w:pPr>
              <w:rPr>
                <w:rFonts w:ascii="Arial"/>
                <w:color w:val="auto"/>
                <w:sz w:val="21"/>
                <w:highlight w:val="none"/>
              </w:rPr>
            </w:pPr>
          </w:p>
        </w:tc>
        <w:tc>
          <w:tcPr>
            <w:tcW w:w="1512" w:type="dxa"/>
            <w:tcBorders>
              <w:right w:val="single" w:color="000000" w:sz="6" w:space="0"/>
            </w:tcBorders>
            <w:vAlign w:val="top"/>
          </w:tcPr>
          <w:p w14:paraId="16026BC0">
            <w:pPr>
              <w:rPr>
                <w:rFonts w:ascii="Arial"/>
                <w:color w:val="auto"/>
                <w:sz w:val="21"/>
                <w:highlight w:val="none"/>
              </w:rPr>
            </w:pPr>
          </w:p>
        </w:tc>
      </w:tr>
      <w:tr w14:paraId="1F06F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836" w:type="dxa"/>
            <w:tcBorders>
              <w:left w:val="single" w:color="000000" w:sz="6" w:space="0"/>
              <w:bottom w:val="single" w:color="000000" w:sz="6" w:space="0"/>
            </w:tcBorders>
            <w:vAlign w:val="top"/>
          </w:tcPr>
          <w:p w14:paraId="330F7144">
            <w:pPr>
              <w:rPr>
                <w:rFonts w:ascii="Arial"/>
                <w:color w:val="auto"/>
                <w:sz w:val="21"/>
                <w:highlight w:val="none"/>
              </w:rPr>
            </w:pPr>
          </w:p>
        </w:tc>
        <w:tc>
          <w:tcPr>
            <w:tcW w:w="2540" w:type="dxa"/>
            <w:tcBorders>
              <w:bottom w:val="single" w:color="000000" w:sz="6" w:space="0"/>
            </w:tcBorders>
            <w:vAlign w:val="top"/>
          </w:tcPr>
          <w:p w14:paraId="61F22079">
            <w:pPr>
              <w:rPr>
                <w:rFonts w:ascii="Arial"/>
                <w:color w:val="auto"/>
                <w:sz w:val="21"/>
                <w:highlight w:val="none"/>
              </w:rPr>
            </w:pPr>
          </w:p>
        </w:tc>
        <w:tc>
          <w:tcPr>
            <w:tcW w:w="2003" w:type="dxa"/>
            <w:tcBorders>
              <w:bottom w:val="single" w:color="000000" w:sz="6" w:space="0"/>
            </w:tcBorders>
            <w:vAlign w:val="top"/>
          </w:tcPr>
          <w:p w14:paraId="126078BD">
            <w:pPr>
              <w:rPr>
                <w:rFonts w:ascii="Arial"/>
                <w:color w:val="auto"/>
                <w:sz w:val="21"/>
                <w:highlight w:val="none"/>
              </w:rPr>
            </w:pPr>
          </w:p>
        </w:tc>
        <w:tc>
          <w:tcPr>
            <w:tcW w:w="1004" w:type="dxa"/>
            <w:tcBorders>
              <w:bottom w:val="single" w:color="000000" w:sz="6" w:space="0"/>
            </w:tcBorders>
            <w:vAlign w:val="top"/>
          </w:tcPr>
          <w:p w14:paraId="0842FD13">
            <w:pPr>
              <w:rPr>
                <w:rFonts w:ascii="Arial"/>
                <w:color w:val="auto"/>
                <w:sz w:val="21"/>
                <w:highlight w:val="none"/>
              </w:rPr>
            </w:pPr>
          </w:p>
        </w:tc>
        <w:tc>
          <w:tcPr>
            <w:tcW w:w="1253" w:type="dxa"/>
            <w:tcBorders>
              <w:bottom w:val="single" w:color="000000" w:sz="6" w:space="0"/>
            </w:tcBorders>
            <w:vAlign w:val="top"/>
          </w:tcPr>
          <w:p w14:paraId="31C651B2">
            <w:pPr>
              <w:rPr>
                <w:rFonts w:ascii="Arial"/>
                <w:color w:val="auto"/>
                <w:sz w:val="21"/>
                <w:highlight w:val="none"/>
              </w:rPr>
            </w:pPr>
          </w:p>
        </w:tc>
        <w:tc>
          <w:tcPr>
            <w:tcW w:w="1512" w:type="dxa"/>
            <w:tcBorders>
              <w:bottom w:val="single" w:color="000000" w:sz="6" w:space="0"/>
              <w:right w:val="single" w:color="000000" w:sz="6" w:space="0"/>
            </w:tcBorders>
            <w:vAlign w:val="top"/>
          </w:tcPr>
          <w:p w14:paraId="1C9B935C">
            <w:pPr>
              <w:rPr>
                <w:rFonts w:ascii="Arial"/>
                <w:color w:val="auto"/>
                <w:sz w:val="21"/>
                <w:highlight w:val="none"/>
              </w:rPr>
            </w:pPr>
          </w:p>
        </w:tc>
      </w:tr>
    </w:tbl>
    <w:p w14:paraId="50FC398F">
      <w:pPr>
        <w:pStyle w:val="3"/>
        <w:rPr>
          <w:color w:val="auto"/>
          <w:highlight w:val="none"/>
        </w:rPr>
      </w:pPr>
    </w:p>
    <w:p w14:paraId="53BB9900">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05926FB0">
      <w:pPr>
        <w:spacing w:before="55" w:line="219" w:lineRule="auto"/>
        <w:ind w:left="2439"/>
        <w:rPr>
          <w:rFonts w:ascii="宋体" w:hAnsi="宋体" w:eastAsia="宋体" w:cs="宋体"/>
          <w:color w:val="auto"/>
          <w:sz w:val="28"/>
          <w:szCs w:val="28"/>
          <w:highlight w:val="none"/>
        </w:rPr>
      </w:pPr>
      <w:r>
        <w:rPr>
          <w:rFonts w:ascii="宋体" w:hAnsi="宋体" w:eastAsia="宋体" w:cs="宋体"/>
          <w:b/>
          <w:bCs/>
          <w:color w:val="auto"/>
          <w:spacing w:val="-3"/>
          <w:sz w:val="28"/>
          <w:szCs w:val="28"/>
          <w:highlight w:val="none"/>
        </w:rPr>
        <w:t>主要材料用量及预算价格汇总表</w:t>
      </w:r>
    </w:p>
    <w:p w14:paraId="0BCFC881">
      <w:pPr>
        <w:spacing w:before="206" w:line="220" w:lineRule="auto"/>
        <w:ind w:left="13"/>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z w:val="24"/>
          <w:szCs w:val="24"/>
          <w:highlight w:val="none"/>
        </w:rPr>
        <w:t xml:space="preserve">                     </w:t>
      </w:r>
      <w:r>
        <w:rPr>
          <w:rFonts w:ascii="宋体" w:hAnsi="宋体" w:eastAsia="宋体" w:cs="宋体"/>
          <w:color w:val="auto"/>
          <w:spacing w:val="-1"/>
          <w:sz w:val="24"/>
          <w:szCs w:val="24"/>
          <w:highlight w:val="none"/>
        </w:rPr>
        <w:t>第</w:t>
      </w:r>
      <w:r>
        <w:rPr>
          <w:rFonts w:ascii="宋体" w:hAnsi="宋体" w:eastAsia="宋体" w:cs="宋体"/>
          <w:color w:val="auto"/>
          <w:spacing w:val="12"/>
          <w:sz w:val="24"/>
          <w:szCs w:val="24"/>
          <w:highlight w:val="none"/>
        </w:rPr>
        <w:t xml:space="preserve">  </w:t>
      </w:r>
      <w:r>
        <w:rPr>
          <w:rFonts w:ascii="宋体" w:hAnsi="宋体" w:eastAsia="宋体" w:cs="宋体"/>
          <w:color w:val="auto"/>
          <w:spacing w:val="-2"/>
          <w:sz w:val="24"/>
          <w:szCs w:val="24"/>
          <w:highlight w:val="none"/>
        </w:rPr>
        <w:t>页共</w:t>
      </w:r>
      <w:r>
        <w:rPr>
          <w:rFonts w:ascii="宋体" w:hAnsi="宋体" w:eastAsia="宋体" w:cs="宋体"/>
          <w:color w:val="auto"/>
          <w:spacing w:val="7"/>
          <w:sz w:val="24"/>
          <w:szCs w:val="24"/>
          <w:highlight w:val="none"/>
        </w:rPr>
        <w:t xml:space="preserve">  </w:t>
      </w:r>
      <w:r>
        <w:rPr>
          <w:rFonts w:ascii="宋体" w:hAnsi="宋体" w:eastAsia="宋体" w:cs="宋体"/>
          <w:color w:val="auto"/>
          <w:spacing w:val="-2"/>
          <w:sz w:val="24"/>
          <w:szCs w:val="24"/>
          <w:highlight w:val="none"/>
        </w:rPr>
        <w:t>页</w:t>
      </w:r>
    </w:p>
    <w:p w14:paraId="2C683237">
      <w:pPr>
        <w:spacing w:line="143" w:lineRule="exact"/>
        <w:rPr>
          <w:color w:val="auto"/>
          <w:highlight w:val="none"/>
        </w:rPr>
      </w:pPr>
    </w:p>
    <w:tbl>
      <w:tblPr>
        <w:tblStyle w:val="32"/>
        <w:tblW w:w="9076"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74"/>
        <w:gridCol w:w="1608"/>
        <w:gridCol w:w="1557"/>
        <w:gridCol w:w="848"/>
        <w:gridCol w:w="992"/>
        <w:gridCol w:w="1306"/>
        <w:gridCol w:w="1272"/>
        <w:gridCol w:w="719"/>
      </w:tblGrid>
      <w:tr w14:paraId="3FA6EA3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44" w:hRule="atLeast"/>
        </w:trPr>
        <w:tc>
          <w:tcPr>
            <w:tcW w:w="774" w:type="dxa"/>
            <w:tcBorders>
              <w:top w:val="single" w:color="000000" w:sz="6" w:space="0"/>
              <w:left w:val="single" w:color="000000" w:sz="6" w:space="0"/>
            </w:tcBorders>
            <w:vAlign w:val="top"/>
          </w:tcPr>
          <w:p w14:paraId="7DC7C2BC">
            <w:pPr>
              <w:pStyle w:val="33"/>
              <w:spacing w:before="275" w:line="221" w:lineRule="auto"/>
              <w:ind w:left="144"/>
              <w:rPr>
                <w:color w:val="auto"/>
                <w:sz w:val="24"/>
                <w:szCs w:val="24"/>
                <w:highlight w:val="none"/>
              </w:rPr>
            </w:pPr>
            <w:r>
              <w:rPr>
                <w:color w:val="auto"/>
                <w:spacing w:val="-3"/>
                <w:sz w:val="24"/>
                <w:szCs w:val="24"/>
                <w:highlight w:val="none"/>
              </w:rPr>
              <w:t>序号</w:t>
            </w:r>
          </w:p>
        </w:tc>
        <w:tc>
          <w:tcPr>
            <w:tcW w:w="1608" w:type="dxa"/>
            <w:tcBorders>
              <w:top w:val="single" w:color="000000" w:sz="6" w:space="0"/>
            </w:tcBorders>
            <w:vAlign w:val="top"/>
          </w:tcPr>
          <w:p w14:paraId="39FB723D">
            <w:pPr>
              <w:pStyle w:val="33"/>
              <w:spacing w:before="275" w:line="219" w:lineRule="auto"/>
              <w:ind w:left="324"/>
              <w:rPr>
                <w:color w:val="auto"/>
                <w:sz w:val="24"/>
                <w:szCs w:val="24"/>
                <w:highlight w:val="none"/>
              </w:rPr>
            </w:pPr>
            <w:r>
              <w:rPr>
                <w:color w:val="auto"/>
                <w:spacing w:val="-2"/>
                <w:sz w:val="24"/>
                <w:szCs w:val="24"/>
                <w:highlight w:val="none"/>
              </w:rPr>
              <w:t>材料名称</w:t>
            </w:r>
          </w:p>
        </w:tc>
        <w:tc>
          <w:tcPr>
            <w:tcW w:w="1557" w:type="dxa"/>
            <w:tcBorders>
              <w:top w:val="single" w:color="000000" w:sz="6" w:space="0"/>
            </w:tcBorders>
            <w:vAlign w:val="top"/>
          </w:tcPr>
          <w:p w14:paraId="502D7B63">
            <w:pPr>
              <w:pStyle w:val="33"/>
              <w:spacing w:before="275" w:line="220" w:lineRule="auto"/>
              <w:ind w:left="310"/>
              <w:rPr>
                <w:color w:val="auto"/>
                <w:sz w:val="24"/>
                <w:szCs w:val="24"/>
                <w:highlight w:val="none"/>
              </w:rPr>
            </w:pPr>
            <w:r>
              <w:rPr>
                <w:color w:val="auto"/>
                <w:spacing w:val="-4"/>
                <w:sz w:val="24"/>
                <w:szCs w:val="24"/>
                <w:highlight w:val="none"/>
              </w:rPr>
              <w:t>型号规格</w:t>
            </w:r>
          </w:p>
        </w:tc>
        <w:tc>
          <w:tcPr>
            <w:tcW w:w="848" w:type="dxa"/>
            <w:tcBorders>
              <w:top w:val="single" w:color="000000" w:sz="6" w:space="0"/>
            </w:tcBorders>
            <w:vAlign w:val="top"/>
          </w:tcPr>
          <w:p w14:paraId="066981D1">
            <w:pPr>
              <w:pStyle w:val="33"/>
              <w:spacing w:before="42" w:line="343" w:lineRule="auto"/>
              <w:ind w:left="191" w:right="181" w:hanging="1"/>
              <w:rPr>
                <w:color w:val="auto"/>
                <w:sz w:val="24"/>
                <w:szCs w:val="24"/>
                <w:highlight w:val="none"/>
              </w:rPr>
            </w:pPr>
            <w:r>
              <w:rPr>
                <w:color w:val="auto"/>
                <w:spacing w:val="-5"/>
                <w:sz w:val="24"/>
                <w:szCs w:val="24"/>
                <w:highlight w:val="none"/>
              </w:rPr>
              <w:t>计量</w:t>
            </w:r>
            <w:r>
              <w:rPr>
                <w:color w:val="auto"/>
                <w:sz w:val="24"/>
                <w:szCs w:val="24"/>
                <w:highlight w:val="none"/>
              </w:rPr>
              <w:t xml:space="preserve"> </w:t>
            </w:r>
            <w:r>
              <w:rPr>
                <w:color w:val="auto"/>
                <w:spacing w:val="-6"/>
                <w:sz w:val="24"/>
                <w:szCs w:val="24"/>
                <w:highlight w:val="none"/>
              </w:rPr>
              <w:t>单位</w:t>
            </w:r>
          </w:p>
        </w:tc>
        <w:tc>
          <w:tcPr>
            <w:tcW w:w="992" w:type="dxa"/>
            <w:tcBorders>
              <w:top w:val="single" w:color="000000" w:sz="6" w:space="0"/>
            </w:tcBorders>
            <w:vAlign w:val="top"/>
          </w:tcPr>
          <w:p w14:paraId="2038DA29">
            <w:pPr>
              <w:pStyle w:val="33"/>
              <w:spacing w:before="275" w:line="220" w:lineRule="auto"/>
              <w:ind w:left="263"/>
              <w:rPr>
                <w:color w:val="auto"/>
                <w:sz w:val="24"/>
                <w:szCs w:val="24"/>
                <w:highlight w:val="none"/>
              </w:rPr>
            </w:pPr>
            <w:r>
              <w:rPr>
                <w:color w:val="auto"/>
                <w:spacing w:val="-3"/>
                <w:sz w:val="24"/>
                <w:szCs w:val="24"/>
                <w:highlight w:val="none"/>
              </w:rPr>
              <w:t>数量</w:t>
            </w:r>
          </w:p>
        </w:tc>
        <w:tc>
          <w:tcPr>
            <w:tcW w:w="1306" w:type="dxa"/>
            <w:tcBorders>
              <w:top w:val="single" w:color="000000" w:sz="6" w:space="0"/>
            </w:tcBorders>
            <w:vAlign w:val="top"/>
          </w:tcPr>
          <w:p w14:paraId="7CC474AB">
            <w:pPr>
              <w:pStyle w:val="33"/>
              <w:spacing w:before="42" w:line="343" w:lineRule="auto"/>
              <w:ind w:left="305" w:right="290" w:hanging="4"/>
              <w:rPr>
                <w:color w:val="auto"/>
                <w:sz w:val="24"/>
                <w:szCs w:val="24"/>
                <w:highlight w:val="none"/>
              </w:rPr>
            </w:pPr>
            <w:r>
              <w:rPr>
                <w:color w:val="auto"/>
                <w:spacing w:val="-4"/>
                <w:sz w:val="24"/>
                <w:szCs w:val="24"/>
                <w:highlight w:val="none"/>
              </w:rPr>
              <w:t>预算价</w:t>
            </w:r>
            <w:r>
              <w:rPr>
                <w:color w:val="auto"/>
                <w:sz w:val="24"/>
                <w:szCs w:val="24"/>
                <w:highlight w:val="none"/>
              </w:rPr>
              <w:t xml:space="preserve"> </w:t>
            </w:r>
            <w:r>
              <w:rPr>
                <w:color w:val="auto"/>
                <w:spacing w:val="-8"/>
                <w:sz w:val="24"/>
                <w:szCs w:val="24"/>
                <w:highlight w:val="none"/>
              </w:rPr>
              <w:t>（元）</w:t>
            </w:r>
          </w:p>
        </w:tc>
        <w:tc>
          <w:tcPr>
            <w:tcW w:w="1272" w:type="dxa"/>
            <w:tcBorders>
              <w:top w:val="single" w:color="000000" w:sz="6" w:space="0"/>
            </w:tcBorders>
            <w:vAlign w:val="top"/>
          </w:tcPr>
          <w:p w14:paraId="20D77905">
            <w:pPr>
              <w:pStyle w:val="33"/>
              <w:spacing w:before="42" w:line="343" w:lineRule="auto"/>
              <w:ind w:left="293" w:right="149" w:hanging="126"/>
              <w:rPr>
                <w:color w:val="auto"/>
                <w:sz w:val="24"/>
                <w:szCs w:val="24"/>
                <w:highlight w:val="none"/>
              </w:rPr>
            </w:pPr>
            <w:r>
              <w:rPr>
                <w:color w:val="auto"/>
                <w:spacing w:val="-3"/>
                <w:sz w:val="24"/>
                <w:szCs w:val="24"/>
                <w:highlight w:val="none"/>
              </w:rPr>
              <w:t>材料补差</w:t>
            </w:r>
            <w:r>
              <w:rPr>
                <w:color w:val="auto"/>
                <w:spacing w:val="1"/>
                <w:sz w:val="24"/>
                <w:szCs w:val="24"/>
                <w:highlight w:val="none"/>
              </w:rPr>
              <w:t xml:space="preserve"> </w:t>
            </w:r>
            <w:r>
              <w:rPr>
                <w:color w:val="auto"/>
                <w:spacing w:val="-8"/>
                <w:sz w:val="24"/>
                <w:szCs w:val="24"/>
                <w:highlight w:val="none"/>
              </w:rPr>
              <w:t>（元）</w:t>
            </w:r>
          </w:p>
        </w:tc>
        <w:tc>
          <w:tcPr>
            <w:tcW w:w="719" w:type="dxa"/>
            <w:tcBorders>
              <w:top w:val="single" w:color="000000" w:sz="6" w:space="0"/>
              <w:right w:val="single" w:color="000000" w:sz="6" w:space="0"/>
            </w:tcBorders>
            <w:vAlign w:val="top"/>
          </w:tcPr>
          <w:p w14:paraId="7C488D82">
            <w:pPr>
              <w:pStyle w:val="33"/>
              <w:spacing w:before="275" w:line="221" w:lineRule="auto"/>
              <w:ind w:left="129"/>
              <w:rPr>
                <w:color w:val="auto"/>
                <w:sz w:val="24"/>
                <w:szCs w:val="24"/>
                <w:highlight w:val="none"/>
              </w:rPr>
            </w:pPr>
            <w:r>
              <w:rPr>
                <w:color w:val="auto"/>
                <w:spacing w:val="-4"/>
                <w:sz w:val="24"/>
                <w:szCs w:val="24"/>
                <w:highlight w:val="none"/>
              </w:rPr>
              <w:t>备注</w:t>
            </w:r>
          </w:p>
        </w:tc>
      </w:tr>
      <w:tr w14:paraId="5D987D2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7C18F7DF">
            <w:pPr>
              <w:rPr>
                <w:rFonts w:ascii="Arial"/>
                <w:color w:val="auto"/>
                <w:sz w:val="21"/>
                <w:highlight w:val="none"/>
              </w:rPr>
            </w:pPr>
          </w:p>
        </w:tc>
        <w:tc>
          <w:tcPr>
            <w:tcW w:w="1608" w:type="dxa"/>
            <w:vAlign w:val="top"/>
          </w:tcPr>
          <w:p w14:paraId="35DC9C3D">
            <w:pPr>
              <w:rPr>
                <w:rFonts w:ascii="Arial"/>
                <w:color w:val="auto"/>
                <w:sz w:val="21"/>
                <w:highlight w:val="none"/>
              </w:rPr>
            </w:pPr>
          </w:p>
        </w:tc>
        <w:tc>
          <w:tcPr>
            <w:tcW w:w="1557" w:type="dxa"/>
            <w:vAlign w:val="top"/>
          </w:tcPr>
          <w:p w14:paraId="6DCE2723">
            <w:pPr>
              <w:rPr>
                <w:rFonts w:ascii="Arial"/>
                <w:color w:val="auto"/>
                <w:sz w:val="21"/>
                <w:highlight w:val="none"/>
              </w:rPr>
            </w:pPr>
          </w:p>
        </w:tc>
        <w:tc>
          <w:tcPr>
            <w:tcW w:w="848" w:type="dxa"/>
            <w:vAlign w:val="top"/>
          </w:tcPr>
          <w:p w14:paraId="273C6867">
            <w:pPr>
              <w:rPr>
                <w:rFonts w:ascii="Arial"/>
                <w:color w:val="auto"/>
                <w:sz w:val="21"/>
                <w:highlight w:val="none"/>
              </w:rPr>
            </w:pPr>
          </w:p>
        </w:tc>
        <w:tc>
          <w:tcPr>
            <w:tcW w:w="992" w:type="dxa"/>
            <w:vAlign w:val="top"/>
          </w:tcPr>
          <w:p w14:paraId="0414B24E">
            <w:pPr>
              <w:rPr>
                <w:rFonts w:ascii="Arial"/>
                <w:color w:val="auto"/>
                <w:sz w:val="21"/>
                <w:highlight w:val="none"/>
              </w:rPr>
            </w:pPr>
          </w:p>
        </w:tc>
        <w:tc>
          <w:tcPr>
            <w:tcW w:w="1306" w:type="dxa"/>
            <w:vAlign w:val="top"/>
          </w:tcPr>
          <w:p w14:paraId="611014E2">
            <w:pPr>
              <w:rPr>
                <w:rFonts w:ascii="Arial"/>
                <w:color w:val="auto"/>
                <w:sz w:val="21"/>
                <w:highlight w:val="none"/>
              </w:rPr>
            </w:pPr>
          </w:p>
        </w:tc>
        <w:tc>
          <w:tcPr>
            <w:tcW w:w="1272" w:type="dxa"/>
            <w:vAlign w:val="top"/>
          </w:tcPr>
          <w:p w14:paraId="4D9D087D">
            <w:pPr>
              <w:rPr>
                <w:rFonts w:ascii="Arial"/>
                <w:color w:val="auto"/>
                <w:sz w:val="21"/>
                <w:highlight w:val="none"/>
              </w:rPr>
            </w:pPr>
          </w:p>
        </w:tc>
        <w:tc>
          <w:tcPr>
            <w:tcW w:w="719" w:type="dxa"/>
            <w:tcBorders>
              <w:right w:val="single" w:color="000000" w:sz="6" w:space="0"/>
            </w:tcBorders>
            <w:vAlign w:val="top"/>
          </w:tcPr>
          <w:p w14:paraId="7CD6B830">
            <w:pPr>
              <w:rPr>
                <w:rFonts w:ascii="Arial"/>
                <w:color w:val="auto"/>
                <w:sz w:val="21"/>
                <w:highlight w:val="none"/>
              </w:rPr>
            </w:pPr>
          </w:p>
        </w:tc>
      </w:tr>
      <w:tr w14:paraId="0C3A87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2F56C307">
            <w:pPr>
              <w:rPr>
                <w:rFonts w:ascii="Arial"/>
                <w:color w:val="auto"/>
                <w:sz w:val="21"/>
                <w:highlight w:val="none"/>
              </w:rPr>
            </w:pPr>
          </w:p>
        </w:tc>
        <w:tc>
          <w:tcPr>
            <w:tcW w:w="1608" w:type="dxa"/>
            <w:vAlign w:val="top"/>
          </w:tcPr>
          <w:p w14:paraId="61CBD559">
            <w:pPr>
              <w:rPr>
                <w:rFonts w:ascii="Arial"/>
                <w:color w:val="auto"/>
                <w:sz w:val="21"/>
                <w:highlight w:val="none"/>
              </w:rPr>
            </w:pPr>
          </w:p>
        </w:tc>
        <w:tc>
          <w:tcPr>
            <w:tcW w:w="1557" w:type="dxa"/>
            <w:vAlign w:val="top"/>
          </w:tcPr>
          <w:p w14:paraId="3C86AD17">
            <w:pPr>
              <w:rPr>
                <w:rFonts w:ascii="Arial"/>
                <w:color w:val="auto"/>
                <w:sz w:val="21"/>
                <w:highlight w:val="none"/>
              </w:rPr>
            </w:pPr>
          </w:p>
        </w:tc>
        <w:tc>
          <w:tcPr>
            <w:tcW w:w="848" w:type="dxa"/>
            <w:vAlign w:val="top"/>
          </w:tcPr>
          <w:p w14:paraId="43C42FA2">
            <w:pPr>
              <w:rPr>
                <w:rFonts w:ascii="Arial"/>
                <w:color w:val="auto"/>
                <w:sz w:val="21"/>
                <w:highlight w:val="none"/>
              </w:rPr>
            </w:pPr>
          </w:p>
        </w:tc>
        <w:tc>
          <w:tcPr>
            <w:tcW w:w="992" w:type="dxa"/>
            <w:vAlign w:val="top"/>
          </w:tcPr>
          <w:p w14:paraId="7A18C972">
            <w:pPr>
              <w:rPr>
                <w:rFonts w:ascii="Arial"/>
                <w:color w:val="auto"/>
                <w:sz w:val="21"/>
                <w:highlight w:val="none"/>
              </w:rPr>
            </w:pPr>
          </w:p>
        </w:tc>
        <w:tc>
          <w:tcPr>
            <w:tcW w:w="1306" w:type="dxa"/>
            <w:vAlign w:val="top"/>
          </w:tcPr>
          <w:p w14:paraId="5653B140">
            <w:pPr>
              <w:rPr>
                <w:rFonts w:ascii="Arial"/>
                <w:color w:val="auto"/>
                <w:sz w:val="21"/>
                <w:highlight w:val="none"/>
              </w:rPr>
            </w:pPr>
          </w:p>
        </w:tc>
        <w:tc>
          <w:tcPr>
            <w:tcW w:w="1272" w:type="dxa"/>
            <w:vAlign w:val="top"/>
          </w:tcPr>
          <w:p w14:paraId="3AC6EFF5">
            <w:pPr>
              <w:rPr>
                <w:rFonts w:ascii="Arial"/>
                <w:color w:val="auto"/>
                <w:sz w:val="21"/>
                <w:highlight w:val="none"/>
              </w:rPr>
            </w:pPr>
          </w:p>
        </w:tc>
        <w:tc>
          <w:tcPr>
            <w:tcW w:w="719" w:type="dxa"/>
            <w:tcBorders>
              <w:right w:val="single" w:color="000000" w:sz="6" w:space="0"/>
            </w:tcBorders>
            <w:vAlign w:val="top"/>
          </w:tcPr>
          <w:p w14:paraId="177AC92E">
            <w:pPr>
              <w:rPr>
                <w:rFonts w:ascii="Arial"/>
                <w:color w:val="auto"/>
                <w:sz w:val="21"/>
                <w:highlight w:val="none"/>
              </w:rPr>
            </w:pPr>
          </w:p>
        </w:tc>
      </w:tr>
      <w:tr w14:paraId="1D08749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67EFC895">
            <w:pPr>
              <w:rPr>
                <w:rFonts w:ascii="Arial"/>
                <w:color w:val="auto"/>
                <w:sz w:val="21"/>
                <w:highlight w:val="none"/>
              </w:rPr>
            </w:pPr>
          </w:p>
        </w:tc>
        <w:tc>
          <w:tcPr>
            <w:tcW w:w="1608" w:type="dxa"/>
            <w:vAlign w:val="top"/>
          </w:tcPr>
          <w:p w14:paraId="2C92929C">
            <w:pPr>
              <w:rPr>
                <w:rFonts w:ascii="Arial"/>
                <w:color w:val="auto"/>
                <w:sz w:val="21"/>
                <w:highlight w:val="none"/>
              </w:rPr>
            </w:pPr>
          </w:p>
        </w:tc>
        <w:tc>
          <w:tcPr>
            <w:tcW w:w="1557" w:type="dxa"/>
            <w:vAlign w:val="top"/>
          </w:tcPr>
          <w:p w14:paraId="78B412A9">
            <w:pPr>
              <w:rPr>
                <w:rFonts w:ascii="Arial"/>
                <w:color w:val="auto"/>
                <w:sz w:val="21"/>
                <w:highlight w:val="none"/>
              </w:rPr>
            </w:pPr>
          </w:p>
        </w:tc>
        <w:tc>
          <w:tcPr>
            <w:tcW w:w="848" w:type="dxa"/>
            <w:vAlign w:val="top"/>
          </w:tcPr>
          <w:p w14:paraId="6ECEFF0A">
            <w:pPr>
              <w:rPr>
                <w:rFonts w:ascii="Arial"/>
                <w:color w:val="auto"/>
                <w:sz w:val="21"/>
                <w:highlight w:val="none"/>
              </w:rPr>
            </w:pPr>
          </w:p>
        </w:tc>
        <w:tc>
          <w:tcPr>
            <w:tcW w:w="992" w:type="dxa"/>
            <w:vAlign w:val="top"/>
          </w:tcPr>
          <w:p w14:paraId="3B4AD1EA">
            <w:pPr>
              <w:rPr>
                <w:rFonts w:ascii="Arial"/>
                <w:color w:val="auto"/>
                <w:sz w:val="21"/>
                <w:highlight w:val="none"/>
              </w:rPr>
            </w:pPr>
          </w:p>
        </w:tc>
        <w:tc>
          <w:tcPr>
            <w:tcW w:w="1306" w:type="dxa"/>
            <w:vAlign w:val="top"/>
          </w:tcPr>
          <w:p w14:paraId="1E59A02F">
            <w:pPr>
              <w:rPr>
                <w:rFonts w:ascii="Arial"/>
                <w:color w:val="auto"/>
                <w:sz w:val="21"/>
                <w:highlight w:val="none"/>
              </w:rPr>
            </w:pPr>
          </w:p>
        </w:tc>
        <w:tc>
          <w:tcPr>
            <w:tcW w:w="1272" w:type="dxa"/>
            <w:vAlign w:val="top"/>
          </w:tcPr>
          <w:p w14:paraId="4951D311">
            <w:pPr>
              <w:rPr>
                <w:rFonts w:ascii="Arial"/>
                <w:color w:val="auto"/>
                <w:sz w:val="21"/>
                <w:highlight w:val="none"/>
              </w:rPr>
            </w:pPr>
          </w:p>
        </w:tc>
        <w:tc>
          <w:tcPr>
            <w:tcW w:w="719" w:type="dxa"/>
            <w:tcBorders>
              <w:right w:val="single" w:color="000000" w:sz="6" w:space="0"/>
            </w:tcBorders>
            <w:vAlign w:val="top"/>
          </w:tcPr>
          <w:p w14:paraId="6F6D84AA">
            <w:pPr>
              <w:rPr>
                <w:rFonts w:ascii="Arial"/>
                <w:color w:val="auto"/>
                <w:sz w:val="21"/>
                <w:highlight w:val="none"/>
              </w:rPr>
            </w:pPr>
          </w:p>
        </w:tc>
      </w:tr>
      <w:tr w14:paraId="236B83E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1CBB07DF">
            <w:pPr>
              <w:rPr>
                <w:rFonts w:ascii="Arial"/>
                <w:color w:val="auto"/>
                <w:sz w:val="21"/>
                <w:highlight w:val="none"/>
              </w:rPr>
            </w:pPr>
          </w:p>
        </w:tc>
        <w:tc>
          <w:tcPr>
            <w:tcW w:w="1608" w:type="dxa"/>
            <w:vAlign w:val="top"/>
          </w:tcPr>
          <w:p w14:paraId="4ACD5F10">
            <w:pPr>
              <w:rPr>
                <w:rFonts w:ascii="Arial"/>
                <w:color w:val="auto"/>
                <w:sz w:val="21"/>
                <w:highlight w:val="none"/>
              </w:rPr>
            </w:pPr>
          </w:p>
        </w:tc>
        <w:tc>
          <w:tcPr>
            <w:tcW w:w="1557" w:type="dxa"/>
            <w:vAlign w:val="top"/>
          </w:tcPr>
          <w:p w14:paraId="5F51BC2E">
            <w:pPr>
              <w:rPr>
                <w:rFonts w:ascii="Arial"/>
                <w:color w:val="auto"/>
                <w:sz w:val="21"/>
                <w:highlight w:val="none"/>
              </w:rPr>
            </w:pPr>
          </w:p>
        </w:tc>
        <w:tc>
          <w:tcPr>
            <w:tcW w:w="848" w:type="dxa"/>
            <w:vAlign w:val="top"/>
          </w:tcPr>
          <w:p w14:paraId="4BC2E720">
            <w:pPr>
              <w:rPr>
                <w:rFonts w:ascii="Arial"/>
                <w:color w:val="auto"/>
                <w:sz w:val="21"/>
                <w:highlight w:val="none"/>
              </w:rPr>
            </w:pPr>
          </w:p>
        </w:tc>
        <w:tc>
          <w:tcPr>
            <w:tcW w:w="992" w:type="dxa"/>
            <w:vAlign w:val="top"/>
          </w:tcPr>
          <w:p w14:paraId="0D6500CB">
            <w:pPr>
              <w:rPr>
                <w:rFonts w:ascii="Arial"/>
                <w:color w:val="auto"/>
                <w:sz w:val="21"/>
                <w:highlight w:val="none"/>
              </w:rPr>
            </w:pPr>
          </w:p>
        </w:tc>
        <w:tc>
          <w:tcPr>
            <w:tcW w:w="1306" w:type="dxa"/>
            <w:vAlign w:val="top"/>
          </w:tcPr>
          <w:p w14:paraId="18C2A31D">
            <w:pPr>
              <w:rPr>
                <w:rFonts w:ascii="Arial"/>
                <w:color w:val="auto"/>
                <w:sz w:val="21"/>
                <w:highlight w:val="none"/>
              </w:rPr>
            </w:pPr>
          </w:p>
        </w:tc>
        <w:tc>
          <w:tcPr>
            <w:tcW w:w="1272" w:type="dxa"/>
            <w:vAlign w:val="top"/>
          </w:tcPr>
          <w:p w14:paraId="195289E0">
            <w:pPr>
              <w:rPr>
                <w:rFonts w:ascii="Arial"/>
                <w:color w:val="auto"/>
                <w:sz w:val="21"/>
                <w:highlight w:val="none"/>
              </w:rPr>
            </w:pPr>
          </w:p>
        </w:tc>
        <w:tc>
          <w:tcPr>
            <w:tcW w:w="719" w:type="dxa"/>
            <w:tcBorders>
              <w:right w:val="single" w:color="000000" w:sz="6" w:space="0"/>
            </w:tcBorders>
            <w:vAlign w:val="top"/>
          </w:tcPr>
          <w:p w14:paraId="795194C0">
            <w:pPr>
              <w:rPr>
                <w:rFonts w:ascii="Arial"/>
                <w:color w:val="auto"/>
                <w:sz w:val="21"/>
                <w:highlight w:val="none"/>
              </w:rPr>
            </w:pPr>
          </w:p>
        </w:tc>
      </w:tr>
      <w:tr w14:paraId="20D99E9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7" w:hRule="atLeast"/>
        </w:trPr>
        <w:tc>
          <w:tcPr>
            <w:tcW w:w="774" w:type="dxa"/>
            <w:tcBorders>
              <w:left w:val="single" w:color="000000" w:sz="6" w:space="0"/>
            </w:tcBorders>
            <w:vAlign w:val="top"/>
          </w:tcPr>
          <w:p w14:paraId="358712C9">
            <w:pPr>
              <w:rPr>
                <w:rFonts w:ascii="Arial"/>
                <w:color w:val="auto"/>
                <w:sz w:val="21"/>
                <w:highlight w:val="none"/>
              </w:rPr>
            </w:pPr>
          </w:p>
        </w:tc>
        <w:tc>
          <w:tcPr>
            <w:tcW w:w="1608" w:type="dxa"/>
            <w:vAlign w:val="top"/>
          </w:tcPr>
          <w:p w14:paraId="61C301AA">
            <w:pPr>
              <w:rPr>
                <w:rFonts w:ascii="Arial"/>
                <w:color w:val="auto"/>
                <w:sz w:val="21"/>
                <w:highlight w:val="none"/>
              </w:rPr>
            </w:pPr>
          </w:p>
        </w:tc>
        <w:tc>
          <w:tcPr>
            <w:tcW w:w="1557" w:type="dxa"/>
            <w:vAlign w:val="top"/>
          </w:tcPr>
          <w:p w14:paraId="7718CDBC">
            <w:pPr>
              <w:rPr>
                <w:rFonts w:ascii="Arial"/>
                <w:color w:val="auto"/>
                <w:sz w:val="21"/>
                <w:highlight w:val="none"/>
              </w:rPr>
            </w:pPr>
          </w:p>
        </w:tc>
        <w:tc>
          <w:tcPr>
            <w:tcW w:w="848" w:type="dxa"/>
            <w:vAlign w:val="top"/>
          </w:tcPr>
          <w:p w14:paraId="56090122">
            <w:pPr>
              <w:rPr>
                <w:rFonts w:ascii="Arial"/>
                <w:color w:val="auto"/>
                <w:sz w:val="21"/>
                <w:highlight w:val="none"/>
              </w:rPr>
            </w:pPr>
          </w:p>
        </w:tc>
        <w:tc>
          <w:tcPr>
            <w:tcW w:w="992" w:type="dxa"/>
            <w:vAlign w:val="top"/>
          </w:tcPr>
          <w:p w14:paraId="36378553">
            <w:pPr>
              <w:rPr>
                <w:rFonts w:ascii="Arial"/>
                <w:color w:val="auto"/>
                <w:sz w:val="21"/>
                <w:highlight w:val="none"/>
              </w:rPr>
            </w:pPr>
          </w:p>
        </w:tc>
        <w:tc>
          <w:tcPr>
            <w:tcW w:w="1306" w:type="dxa"/>
            <w:vAlign w:val="top"/>
          </w:tcPr>
          <w:p w14:paraId="11689AF4">
            <w:pPr>
              <w:rPr>
                <w:rFonts w:ascii="Arial"/>
                <w:color w:val="auto"/>
                <w:sz w:val="21"/>
                <w:highlight w:val="none"/>
              </w:rPr>
            </w:pPr>
          </w:p>
        </w:tc>
        <w:tc>
          <w:tcPr>
            <w:tcW w:w="1272" w:type="dxa"/>
            <w:vAlign w:val="top"/>
          </w:tcPr>
          <w:p w14:paraId="26CE12AA">
            <w:pPr>
              <w:rPr>
                <w:rFonts w:ascii="Arial"/>
                <w:color w:val="auto"/>
                <w:sz w:val="21"/>
                <w:highlight w:val="none"/>
              </w:rPr>
            </w:pPr>
          </w:p>
        </w:tc>
        <w:tc>
          <w:tcPr>
            <w:tcW w:w="719" w:type="dxa"/>
            <w:tcBorders>
              <w:right w:val="single" w:color="000000" w:sz="6" w:space="0"/>
            </w:tcBorders>
            <w:vAlign w:val="top"/>
          </w:tcPr>
          <w:p w14:paraId="4C388029">
            <w:pPr>
              <w:rPr>
                <w:rFonts w:ascii="Arial"/>
                <w:color w:val="auto"/>
                <w:sz w:val="21"/>
                <w:highlight w:val="none"/>
              </w:rPr>
            </w:pPr>
          </w:p>
        </w:tc>
      </w:tr>
      <w:tr w14:paraId="6D31ECA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65C5D2EB">
            <w:pPr>
              <w:rPr>
                <w:rFonts w:ascii="Arial"/>
                <w:color w:val="auto"/>
                <w:sz w:val="21"/>
                <w:highlight w:val="none"/>
              </w:rPr>
            </w:pPr>
          </w:p>
        </w:tc>
        <w:tc>
          <w:tcPr>
            <w:tcW w:w="1608" w:type="dxa"/>
            <w:vAlign w:val="top"/>
          </w:tcPr>
          <w:p w14:paraId="2624E2A0">
            <w:pPr>
              <w:rPr>
                <w:rFonts w:ascii="Arial"/>
                <w:color w:val="auto"/>
                <w:sz w:val="21"/>
                <w:highlight w:val="none"/>
              </w:rPr>
            </w:pPr>
          </w:p>
        </w:tc>
        <w:tc>
          <w:tcPr>
            <w:tcW w:w="1557" w:type="dxa"/>
            <w:vAlign w:val="top"/>
          </w:tcPr>
          <w:p w14:paraId="5762482F">
            <w:pPr>
              <w:rPr>
                <w:rFonts w:ascii="Arial"/>
                <w:color w:val="auto"/>
                <w:sz w:val="21"/>
                <w:highlight w:val="none"/>
              </w:rPr>
            </w:pPr>
          </w:p>
        </w:tc>
        <w:tc>
          <w:tcPr>
            <w:tcW w:w="848" w:type="dxa"/>
            <w:vAlign w:val="top"/>
          </w:tcPr>
          <w:p w14:paraId="5A6D3C34">
            <w:pPr>
              <w:rPr>
                <w:rFonts w:ascii="Arial"/>
                <w:color w:val="auto"/>
                <w:sz w:val="21"/>
                <w:highlight w:val="none"/>
              </w:rPr>
            </w:pPr>
          </w:p>
        </w:tc>
        <w:tc>
          <w:tcPr>
            <w:tcW w:w="992" w:type="dxa"/>
            <w:vAlign w:val="top"/>
          </w:tcPr>
          <w:p w14:paraId="63407FA2">
            <w:pPr>
              <w:rPr>
                <w:rFonts w:ascii="Arial"/>
                <w:color w:val="auto"/>
                <w:sz w:val="21"/>
                <w:highlight w:val="none"/>
              </w:rPr>
            </w:pPr>
          </w:p>
        </w:tc>
        <w:tc>
          <w:tcPr>
            <w:tcW w:w="1306" w:type="dxa"/>
            <w:vAlign w:val="top"/>
          </w:tcPr>
          <w:p w14:paraId="78B21549">
            <w:pPr>
              <w:rPr>
                <w:rFonts w:ascii="Arial"/>
                <w:color w:val="auto"/>
                <w:sz w:val="21"/>
                <w:highlight w:val="none"/>
              </w:rPr>
            </w:pPr>
          </w:p>
        </w:tc>
        <w:tc>
          <w:tcPr>
            <w:tcW w:w="1272" w:type="dxa"/>
            <w:vAlign w:val="top"/>
          </w:tcPr>
          <w:p w14:paraId="0C279074">
            <w:pPr>
              <w:rPr>
                <w:rFonts w:ascii="Arial"/>
                <w:color w:val="auto"/>
                <w:sz w:val="21"/>
                <w:highlight w:val="none"/>
              </w:rPr>
            </w:pPr>
          </w:p>
        </w:tc>
        <w:tc>
          <w:tcPr>
            <w:tcW w:w="719" w:type="dxa"/>
            <w:tcBorders>
              <w:right w:val="single" w:color="000000" w:sz="6" w:space="0"/>
            </w:tcBorders>
            <w:vAlign w:val="top"/>
          </w:tcPr>
          <w:p w14:paraId="073B4104">
            <w:pPr>
              <w:rPr>
                <w:rFonts w:ascii="Arial"/>
                <w:color w:val="auto"/>
                <w:sz w:val="21"/>
                <w:highlight w:val="none"/>
              </w:rPr>
            </w:pPr>
          </w:p>
        </w:tc>
      </w:tr>
      <w:tr w14:paraId="05A789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199257D7">
            <w:pPr>
              <w:rPr>
                <w:rFonts w:ascii="Arial"/>
                <w:color w:val="auto"/>
                <w:sz w:val="21"/>
                <w:highlight w:val="none"/>
              </w:rPr>
            </w:pPr>
          </w:p>
        </w:tc>
        <w:tc>
          <w:tcPr>
            <w:tcW w:w="1608" w:type="dxa"/>
            <w:vAlign w:val="top"/>
          </w:tcPr>
          <w:p w14:paraId="57E67C12">
            <w:pPr>
              <w:rPr>
                <w:rFonts w:ascii="Arial"/>
                <w:color w:val="auto"/>
                <w:sz w:val="21"/>
                <w:highlight w:val="none"/>
              </w:rPr>
            </w:pPr>
          </w:p>
        </w:tc>
        <w:tc>
          <w:tcPr>
            <w:tcW w:w="1557" w:type="dxa"/>
            <w:vAlign w:val="top"/>
          </w:tcPr>
          <w:p w14:paraId="345B9621">
            <w:pPr>
              <w:rPr>
                <w:rFonts w:ascii="Arial"/>
                <w:color w:val="auto"/>
                <w:sz w:val="21"/>
                <w:highlight w:val="none"/>
              </w:rPr>
            </w:pPr>
          </w:p>
        </w:tc>
        <w:tc>
          <w:tcPr>
            <w:tcW w:w="848" w:type="dxa"/>
            <w:vAlign w:val="top"/>
          </w:tcPr>
          <w:p w14:paraId="7DE73790">
            <w:pPr>
              <w:rPr>
                <w:rFonts w:ascii="Arial"/>
                <w:color w:val="auto"/>
                <w:sz w:val="21"/>
                <w:highlight w:val="none"/>
              </w:rPr>
            </w:pPr>
          </w:p>
        </w:tc>
        <w:tc>
          <w:tcPr>
            <w:tcW w:w="992" w:type="dxa"/>
            <w:vAlign w:val="top"/>
          </w:tcPr>
          <w:p w14:paraId="5DBAB3FF">
            <w:pPr>
              <w:rPr>
                <w:rFonts w:ascii="Arial"/>
                <w:color w:val="auto"/>
                <w:sz w:val="21"/>
                <w:highlight w:val="none"/>
              </w:rPr>
            </w:pPr>
          </w:p>
        </w:tc>
        <w:tc>
          <w:tcPr>
            <w:tcW w:w="1306" w:type="dxa"/>
            <w:vAlign w:val="top"/>
          </w:tcPr>
          <w:p w14:paraId="534EC5E6">
            <w:pPr>
              <w:rPr>
                <w:rFonts w:ascii="Arial"/>
                <w:color w:val="auto"/>
                <w:sz w:val="21"/>
                <w:highlight w:val="none"/>
              </w:rPr>
            </w:pPr>
          </w:p>
        </w:tc>
        <w:tc>
          <w:tcPr>
            <w:tcW w:w="1272" w:type="dxa"/>
            <w:vAlign w:val="top"/>
          </w:tcPr>
          <w:p w14:paraId="5E2DC07C">
            <w:pPr>
              <w:rPr>
                <w:rFonts w:ascii="Arial"/>
                <w:color w:val="auto"/>
                <w:sz w:val="21"/>
                <w:highlight w:val="none"/>
              </w:rPr>
            </w:pPr>
          </w:p>
        </w:tc>
        <w:tc>
          <w:tcPr>
            <w:tcW w:w="719" w:type="dxa"/>
            <w:tcBorders>
              <w:right w:val="single" w:color="000000" w:sz="6" w:space="0"/>
            </w:tcBorders>
            <w:vAlign w:val="top"/>
          </w:tcPr>
          <w:p w14:paraId="0881F8C1">
            <w:pPr>
              <w:rPr>
                <w:rFonts w:ascii="Arial"/>
                <w:color w:val="auto"/>
                <w:sz w:val="21"/>
                <w:highlight w:val="none"/>
              </w:rPr>
            </w:pPr>
          </w:p>
        </w:tc>
      </w:tr>
      <w:tr w14:paraId="43FE1F7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2F2BBD58">
            <w:pPr>
              <w:rPr>
                <w:rFonts w:ascii="Arial"/>
                <w:color w:val="auto"/>
                <w:sz w:val="21"/>
                <w:highlight w:val="none"/>
              </w:rPr>
            </w:pPr>
          </w:p>
        </w:tc>
        <w:tc>
          <w:tcPr>
            <w:tcW w:w="1608" w:type="dxa"/>
            <w:vAlign w:val="top"/>
          </w:tcPr>
          <w:p w14:paraId="3914DFF8">
            <w:pPr>
              <w:rPr>
                <w:rFonts w:ascii="Arial"/>
                <w:color w:val="auto"/>
                <w:sz w:val="21"/>
                <w:highlight w:val="none"/>
              </w:rPr>
            </w:pPr>
          </w:p>
        </w:tc>
        <w:tc>
          <w:tcPr>
            <w:tcW w:w="1557" w:type="dxa"/>
            <w:vAlign w:val="top"/>
          </w:tcPr>
          <w:p w14:paraId="6DB7B60E">
            <w:pPr>
              <w:rPr>
                <w:rFonts w:ascii="Arial"/>
                <w:color w:val="auto"/>
                <w:sz w:val="21"/>
                <w:highlight w:val="none"/>
              </w:rPr>
            </w:pPr>
          </w:p>
        </w:tc>
        <w:tc>
          <w:tcPr>
            <w:tcW w:w="848" w:type="dxa"/>
            <w:vAlign w:val="top"/>
          </w:tcPr>
          <w:p w14:paraId="5DF9A760">
            <w:pPr>
              <w:rPr>
                <w:rFonts w:ascii="Arial"/>
                <w:color w:val="auto"/>
                <w:sz w:val="21"/>
                <w:highlight w:val="none"/>
              </w:rPr>
            </w:pPr>
          </w:p>
        </w:tc>
        <w:tc>
          <w:tcPr>
            <w:tcW w:w="992" w:type="dxa"/>
            <w:vAlign w:val="top"/>
          </w:tcPr>
          <w:p w14:paraId="4ADEBA16">
            <w:pPr>
              <w:rPr>
                <w:rFonts w:ascii="Arial"/>
                <w:color w:val="auto"/>
                <w:sz w:val="21"/>
                <w:highlight w:val="none"/>
              </w:rPr>
            </w:pPr>
          </w:p>
        </w:tc>
        <w:tc>
          <w:tcPr>
            <w:tcW w:w="1306" w:type="dxa"/>
            <w:vAlign w:val="top"/>
          </w:tcPr>
          <w:p w14:paraId="75772C22">
            <w:pPr>
              <w:rPr>
                <w:rFonts w:ascii="Arial"/>
                <w:color w:val="auto"/>
                <w:sz w:val="21"/>
                <w:highlight w:val="none"/>
              </w:rPr>
            </w:pPr>
          </w:p>
        </w:tc>
        <w:tc>
          <w:tcPr>
            <w:tcW w:w="1272" w:type="dxa"/>
            <w:vAlign w:val="top"/>
          </w:tcPr>
          <w:p w14:paraId="1F22FBB3">
            <w:pPr>
              <w:rPr>
                <w:rFonts w:ascii="Arial"/>
                <w:color w:val="auto"/>
                <w:sz w:val="21"/>
                <w:highlight w:val="none"/>
              </w:rPr>
            </w:pPr>
          </w:p>
        </w:tc>
        <w:tc>
          <w:tcPr>
            <w:tcW w:w="719" w:type="dxa"/>
            <w:tcBorders>
              <w:right w:val="single" w:color="000000" w:sz="6" w:space="0"/>
            </w:tcBorders>
            <w:vAlign w:val="top"/>
          </w:tcPr>
          <w:p w14:paraId="7E17600E">
            <w:pPr>
              <w:rPr>
                <w:rFonts w:ascii="Arial"/>
                <w:color w:val="auto"/>
                <w:sz w:val="21"/>
                <w:highlight w:val="none"/>
              </w:rPr>
            </w:pPr>
          </w:p>
        </w:tc>
      </w:tr>
      <w:tr w14:paraId="6F72D8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4E7C3FFD">
            <w:pPr>
              <w:rPr>
                <w:rFonts w:ascii="Arial"/>
                <w:color w:val="auto"/>
                <w:sz w:val="21"/>
                <w:highlight w:val="none"/>
              </w:rPr>
            </w:pPr>
          </w:p>
        </w:tc>
        <w:tc>
          <w:tcPr>
            <w:tcW w:w="1608" w:type="dxa"/>
            <w:vAlign w:val="top"/>
          </w:tcPr>
          <w:p w14:paraId="5FD808ED">
            <w:pPr>
              <w:rPr>
                <w:rFonts w:ascii="Arial"/>
                <w:color w:val="auto"/>
                <w:sz w:val="21"/>
                <w:highlight w:val="none"/>
              </w:rPr>
            </w:pPr>
          </w:p>
        </w:tc>
        <w:tc>
          <w:tcPr>
            <w:tcW w:w="1557" w:type="dxa"/>
            <w:vAlign w:val="top"/>
          </w:tcPr>
          <w:p w14:paraId="24508085">
            <w:pPr>
              <w:rPr>
                <w:rFonts w:ascii="Arial"/>
                <w:color w:val="auto"/>
                <w:sz w:val="21"/>
                <w:highlight w:val="none"/>
              </w:rPr>
            </w:pPr>
          </w:p>
        </w:tc>
        <w:tc>
          <w:tcPr>
            <w:tcW w:w="848" w:type="dxa"/>
            <w:vAlign w:val="top"/>
          </w:tcPr>
          <w:p w14:paraId="33648997">
            <w:pPr>
              <w:rPr>
                <w:rFonts w:ascii="Arial"/>
                <w:color w:val="auto"/>
                <w:sz w:val="21"/>
                <w:highlight w:val="none"/>
              </w:rPr>
            </w:pPr>
          </w:p>
        </w:tc>
        <w:tc>
          <w:tcPr>
            <w:tcW w:w="992" w:type="dxa"/>
            <w:vAlign w:val="top"/>
          </w:tcPr>
          <w:p w14:paraId="59C1C131">
            <w:pPr>
              <w:rPr>
                <w:rFonts w:ascii="Arial"/>
                <w:color w:val="auto"/>
                <w:sz w:val="21"/>
                <w:highlight w:val="none"/>
              </w:rPr>
            </w:pPr>
          </w:p>
        </w:tc>
        <w:tc>
          <w:tcPr>
            <w:tcW w:w="1306" w:type="dxa"/>
            <w:vAlign w:val="top"/>
          </w:tcPr>
          <w:p w14:paraId="31555E1F">
            <w:pPr>
              <w:rPr>
                <w:rFonts w:ascii="Arial"/>
                <w:color w:val="auto"/>
                <w:sz w:val="21"/>
                <w:highlight w:val="none"/>
              </w:rPr>
            </w:pPr>
          </w:p>
        </w:tc>
        <w:tc>
          <w:tcPr>
            <w:tcW w:w="1272" w:type="dxa"/>
            <w:vAlign w:val="top"/>
          </w:tcPr>
          <w:p w14:paraId="23231F7A">
            <w:pPr>
              <w:rPr>
                <w:rFonts w:ascii="Arial"/>
                <w:color w:val="auto"/>
                <w:sz w:val="21"/>
                <w:highlight w:val="none"/>
              </w:rPr>
            </w:pPr>
          </w:p>
        </w:tc>
        <w:tc>
          <w:tcPr>
            <w:tcW w:w="719" w:type="dxa"/>
            <w:tcBorders>
              <w:right w:val="single" w:color="000000" w:sz="6" w:space="0"/>
            </w:tcBorders>
            <w:vAlign w:val="top"/>
          </w:tcPr>
          <w:p w14:paraId="688E73D1">
            <w:pPr>
              <w:rPr>
                <w:rFonts w:ascii="Arial"/>
                <w:color w:val="auto"/>
                <w:sz w:val="21"/>
                <w:highlight w:val="none"/>
              </w:rPr>
            </w:pPr>
          </w:p>
        </w:tc>
      </w:tr>
      <w:tr w14:paraId="4D2E960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266C3B64">
            <w:pPr>
              <w:rPr>
                <w:rFonts w:ascii="Arial"/>
                <w:color w:val="auto"/>
                <w:sz w:val="21"/>
                <w:highlight w:val="none"/>
              </w:rPr>
            </w:pPr>
          </w:p>
        </w:tc>
        <w:tc>
          <w:tcPr>
            <w:tcW w:w="1608" w:type="dxa"/>
            <w:vAlign w:val="top"/>
          </w:tcPr>
          <w:p w14:paraId="799857D1">
            <w:pPr>
              <w:rPr>
                <w:rFonts w:ascii="Arial"/>
                <w:color w:val="auto"/>
                <w:sz w:val="21"/>
                <w:highlight w:val="none"/>
              </w:rPr>
            </w:pPr>
          </w:p>
        </w:tc>
        <w:tc>
          <w:tcPr>
            <w:tcW w:w="1557" w:type="dxa"/>
            <w:vAlign w:val="top"/>
          </w:tcPr>
          <w:p w14:paraId="60DDB4F5">
            <w:pPr>
              <w:rPr>
                <w:rFonts w:ascii="Arial"/>
                <w:color w:val="auto"/>
                <w:sz w:val="21"/>
                <w:highlight w:val="none"/>
              </w:rPr>
            </w:pPr>
          </w:p>
        </w:tc>
        <w:tc>
          <w:tcPr>
            <w:tcW w:w="848" w:type="dxa"/>
            <w:vAlign w:val="top"/>
          </w:tcPr>
          <w:p w14:paraId="0870A225">
            <w:pPr>
              <w:rPr>
                <w:rFonts w:ascii="Arial"/>
                <w:color w:val="auto"/>
                <w:sz w:val="21"/>
                <w:highlight w:val="none"/>
              </w:rPr>
            </w:pPr>
          </w:p>
        </w:tc>
        <w:tc>
          <w:tcPr>
            <w:tcW w:w="992" w:type="dxa"/>
            <w:vAlign w:val="top"/>
          </w:tcPr>
          <w:p w14:paraId="609CDC3E">
            <w:pPr>
              <w:rPr>
                <w:rFonts w:ascii="Arial"/>
                <w:color w:val="auto"/>
                <w:sz w:val="21"/>
                <w:highlight w:val="none"/>
              </w:rPr>
            </w:pPr>
          </w:p>
        </w:tc>
        <w:tc>
          <w:tcPr>
            <w:tcW w:w="1306" w:type="dxa"/>
            <w:vAlign w:val="top"/>
          </w:tcPr>
          <w:p w14:paraId="3169ABD1">
            <w:pPr>
              <w:rPr>
                <w:rFonts w:ascii="Arial"/>
                <w:color w:val="auto"/>
                <w:sz w:val="21"/>
                <w:highlight w:val="none"/>
              </w:rPr>
            </w:pPr>
          </w:p>
        </w:tc>
        <w:tc>
          <w:tcPr>
            <w:tcW w:w="1272" w:type="dxa"/>
            <w:vAlign w:val="top"/>
          </w:tcPr>
          <w:p w14:paraId="314A682C">
            <w:pPr>
              <w:rPr>
                <w:rFonts w:ascii="Arial"/>
                <w:color w:val="auto"/>
                <w:sz w:val="21"/>
                <w:highlight w:val="none"/>
              </w:rPr>
            </w:pPr>
          </w:p>
        </w:tc>
        <w:tc>
          <w:tcPr>
            <w:tcW w:w="719" w:type="dxa"/>
            <w:tcBorders>
              <w:right w:val="single" w:color="000000" w:sz="6" w:space="0"/>
            </w:tcBorders>
            <w:vAlign w:val="top"/>
          </w:tcPr>
          <w:p w14:paraId="5DEBC5BE">
            <w:pPr>
              <w:rPr>
                <w:rFonts w:ascii="Arial"/>
                <w:color w:val="auto"/>
                <w:sz w:val="21"/>
                <w:highlight w:val="none"/>
              </w:rPr>
            </w:pPr>
          </w:p>
        </w:tc>
      </w:tr>
      <w:tr w14:paraId="6938E58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49" w:hRule="atLeast"/>
        </w:trPr>
        <w:tc>
          <w:tcPr>
            <w:tcW w:w="774" w:type="dxa"/>
            <w:tcBorders>
              <w:left w:val="single" w:color="000000" w:sz="6" w:space="0"/>
            </w:tcBorders>
            <w:vAlign w:val="top"/>
          </w:tcPr>
          <w:p w14:paraId="3E840658">
            <w:pPr>
              <w:rPr>
                <w:rFonts w:ascii="Arial"/>
                <w:color w:val="auto"/>
                <w:sz w:val="21"/>
                <w:highlight w:val="none"/>
              </w:rPr>
            </w:pPr>
          </w:p>
        </w:tc>
        <w:tc>
          <w:tcPr>
            <w:tcW w:w="1608" w:type="dxa"/>
            <w:vAlign w:val="top"/>
          </w:tcPr>
          <w:p w14:paraId="5562C6BC">
            <w:pPr>
              <w:rPr>
                <w:rFonts w:ascii="Arial"/>
                <w:color w:val="auto"/>
                <w:sz w:val="21"/>
                <w:highlight w:val="none"/>
              </w:rPr>
            </w:pPr>
          </w:p>
        </w:tc>
        <w:tc>
          <w:tcPr>
            <w:tcW w:w="1557" w:type="dxa"/>
            <w:vAlign w:val="top"/>
          </w:tcPr>
          <w:p w14:paraId="4E3FA8E3">
            <w:pPr>
              <w:rPr>
                <w:rFonts w:ascii="Arial"/>
                <w:color w:val="auto"/>
                <w:sz w:val="21"/>
                <w:highlight w:val="none"/>
              </w:rPr>
            </w:pPr>
          </w:p>
        </w:tc>
        <w:tc>
          <w:tcPr>
            <w:tcW w:w="848" w:type="dxa"/>
            <w:vAlign w:val="top"/>
          </w:tcPr>
          <w:p w14:paraId="133BDB34">
            <w:pPr>
              <w:rPr>
                <w:rFonts w:ascii="Arial"/>
                <w:color w:val="auto"/>
                <w:sz w:val="21"/>
                <w:highlight w:val="none"/>
              </w:rPr>
            </w:pPr>
          </w:p>
        </w:tc>
        <w:tc>
          <w:tcPr>
            <w:tcW w:w="992" w:type="dxa"/>
            <w:vAlign w:val="top"/>
          </w:tcPr>
          <w:p w14:paraId="65F9C12C">
            <w:pPr>
              <w:rPr>
                <w:rFonts w:ascii="Arial"/>
                <w:color w:val="auto"/>
                <w:sz w:val="21"/>
                <w:highlight w:val="none"/>
              </w:rPr>
            </w:pPr>
          </w:p>
        </w:tc>
        <w:tc>
          <w:tcPr>
            <w:tcW w:w="1306" w:type="dxa"/>
            <w:vAlign w:val="top"/>
          </w:tcPr>
          <w:p w14:paraId="0A3BD490">
            <w:pPr>
              <w:rPr>
                <w:rFonts w:ascii="Arial"/>
                <w:color w:val="auto"/>
                <w:sz w:val="21"/>
                <w:highlight w:val="none"/>
              </w:rPr>
            </w:pPr>
          </w:p>
        </w:tc>
        <w:tc>
          <w:tcPr>
            <w:tcW w:w="1272" w:type="dxa"/>
            <w:vAlign w:val="top"/>
          </w:tcPr>
          <w:p w14:paraId="32C4AC9D">
            <w:pPr>
              <w:rPr>
                <w:rFonts w:ascii="Arial"/>
                <w:color w:val="auto"/>
                <w:sz w:val="21"/>
                <w:highlight w:val="none"/>
              </w:rPr>
            </w:pPr>
          </w:p>
        </w:tc>
        <w:tc>
          <w:tcPr>
            <w:tcW w:w="719" w:type="dxa"/>
            <w:tcBorders>
              <w:right w:val="single" w:color="000000" w:sz="6" w:space="0"/>
            </w:tcBorders>
            <w:vAlign w:val="top"/>
          </w:tcPr>
          <w:p w14:paraId="7FEA8B64">
            <w:pPr>
              <w:rPr>
                <w:rFonts w:ascii="Arial"/>
                <w:color w:val="auto"/>
                <w:sz w:val="21"/>
                <w:highlight w:val="none"/>
              </w:rPr>
            </w:pPr>
          </w:p>
        </w:tc>
      </w:tr>
      <w:tr w14:paraId="2A67C05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10A47187">
            <w:pPr>
              <w:rPr>
                <w:rFonts w:ascii="Arial"/>
                <w:color w:val="auto"/>
                <w:sz w:val="21"/>
                <w:highlight w:val="none"/>
              </w:rPr>
            </w:pPr>
          </w:p>
        </w:tc>
        <w:tc>
          <w:tcPr>
            <w:tcW w:w="1608" w:type="dxa"/>
            <w:vAlign w:val="top"/>
          </w:tcPr>
          <w:p w14:paraId="45EDCEBD">
            <w:pPr>
              <w:rPr>
                <w:rFonts w:ascii="Arial"/>
                <w:color w:val="auto"/>
                <w:sz w:val="21"/>
                <w:highlight w:val="none"/>
              </w:rPr>
            </w:pPr>
          </w:p>
        </w:tc>
        <w:tc>
          <w:tcPr>
            <w:tcW w:w="1557" w:type="dxa"/>
            <w:vAlign w:val="top"/>
          </w:tcPr>
          <w:p w14:paraId="75E1BA45">
            <w:pPr>
              <w:rPr>
                <w:rFonts w:ascii="Arial"/>
                <w:color w:val="auto"/>
                <w:sz w:val="21"/>
                <w:highlight w:val="none"/>
              </w:rPr>
            </w:pPr>
          </w:p>
        </w:tc>
        <w:tc>
          <w:tcPr>
            <w:tcW w:w="848" w:type="dxa"/>
            <w:vAlign w:val="top"/>
          </w:tcPr>
          <w:p w14:paraId="0E8CA89F">
            <w:pPr>
              <w:rPr>
                <w:rFonts w:ascii="Arial"/>
                <w:color w:val="auto"/>
                <w:sz w:val="21"/>
                <w:highlight w:val="none"/>
              </w:rPr>
            </w:pPr>
          </w:p>
        </w:tc>
        <w:tc>
          <w:tcPr>
            <w:tcW w:w="992" w:type="dxa"/>
            <w:vAlign w:val="top"/>
          </w:tcPr>
          <w:p w14:paraId="37367454">
            <w:pPr>
              <w:rPr>
                <w:rFonts w:ascii="Arial"/>
                <w:color w:val="auto"/>
                <w:sz w:val="21"/>
                <w:highlight w:val="none"/>
              </w:rPr>
            </w:pPr>
          </w:p>
        </w:tc>
        <w:tc>
          <w:tcPr>
            <w:tcW w:w="1306" w:type="dxa"/>
            <w:vAlign w:val="top"/>
          </w:tcPr>
          <w:p w14:paraId="707D99B4">
            <w:pPr>
              <w:rPr>
                <w:rFonts w:ascii="Arial"/>
                <w:color w:val="auto"/>
                <w:sz w:val="21"/>
                <w:highlight w:val="none"/>
              </w:rPr>
            </w:pPr>
          </w:p>
        </w:tc>
        <w:tc>
          <w:tcPr>
            <w:tcW w:w="1272" w:type="dxa"/>
            <w:vAlign w:val="top"/>
          </w:tcPr>
          <w:p w14:paraId="4031EA3A">
            <w:pPr>
              <w:rPr>
                <w:rFonts w:ascii="Arial"/>
                <w:color w:val="auto"/>
                <w:sz w:val="21"/>
                <w:highlight w:val="none"/>
              </w:rPr>
            </w:pPr>
          </w:p>
        </w:tc>
        <w:tc>
          <w:tcPr>
            <w:tcW w:w="719" w:type="dxa"/>
            <w:tcBorders>
              <w:right w:val="single" w:color="000000" w:sz="6" w:space="0"/>
            </w:tcBorders>
            <w:vAlign w:val="top"/>
          </w:tcPr>
          <w:p w14:paraId="6A6703F0">
            <w:pPr>
              <w:rPr>
                <w:rFonts w:ascii="Arial"/>
                <w:color w:val="auto"/>
                <w:sz w:val="21"/>
                <w:highlight w:val="none"/>
              </w:rPr>
            </w:pPr>
          </w:p>
        </w:tc>
      </w:tr>
      <w:tr w14:paraId="2E8113B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3ABA9F25">
            <w:pPr>
              <w:rPr>
                <w:rFonts w:ascii="Arial"/>
                <w:color w:val="auto"/>
                <w:sz w:val="21"/>
                <w:highlight w:val="none"/>
              </w:rPr>
            </w:pPr>
          </w:p>
        </w:tc>
        <w:tc>
          <w:tcPr>
            <w:tcW w:w="1608" w:type="dxa"/>
            <w:vAlign w:val="top"/>
          </w:tcPr>
          <w:p w14:paraId="72E80915">
            <w:pPr>
              <w:rPr>
                <w:rFonts w:ascii="Arial"/>
                <w:color w:val="auto"/>
                <w:sz w:val="21"/>
                <w:highlight w:val="none"/>
              </w:rPr>
            </w:pPr>
          </w:p>
        </w:tc>
        <w:tc>
          <w:tcPr>
            <w:tcW w:w="1557" w:type="dxa"/>
            <w:vAlign w:val="top"/>
          </w:tcPr>
          <w:p w14:paraId="53533E11">
            <w:pPr>
              <w:rPr>
                <w:rFonts w:ascii="Arial"/>
                <w:color w:val="auto"/>
                <w:sz w:val="21"/>
                <w:highlight w:val="none"/>
              </w:rPr>
            </w:pPr>
          </w:p>
        </w:tc>
        <w:tc>
          <w:tcPr>
            <w:tcW w:w="848" w:type="dxa"/>
            <w:vAlign w:val="top"/>
          </w:tcPr>
          <w:p w14:paraId="2EECB335">
            <w:pPr>
              <w:rPr>
                <w:rFonts w:ascii="Arial"/>
                <w:color w:val="auto"/>
                <w:sz w:val="21"/>
                <w:highlight w:val="none"/>
              </w:rPr>
            </w:pPr>
          </w:p>
        </w:tc>
        <w:tc>
          <w:tcPr>
            <w:tcW w:w="992" w:type="dxa"/>
            <w:vAlign w:val="top"/>
          </w:tcPr>
          <w:p w14:paraId="26EC34DB">
            <w:pPr>
              <w:rPr>
                <w:rFonts w:ascii="Arial"/>
                <w:color w:val="auto"/>
                <w:sz w:val="21"/>
                <w:highlight w:val="none"/>
              </w:rPr>
            </w:pPr>
          </w:p>
        </w:tc>
        <w:tc>
          <w:tcPr>
            <w:tcW w:w="1306" w:type="dxa"/>
            <w:vAlign w:val="top"/>
          </w:tcPr>
          <w:p w14:paraId="05FBAF77">
            <w:pPr>
              <w:rPr>
                <w:rFonts w:ascii="Arial"/>
                <w:color w:val="auto"/>
                <w:sz w:val="21"/>
                <w:highlight w:val="none"/>
              </w:rPr>
            </w:pPr>
          </w:p>
        </w:tc>
        <w:tc>
          <w:tcPr>
            <w:tcW w:w="1272" w:type="dxa"/>
            <w:vAlign w:val="top"/>
          </w:tcPr>
          <w:p w14:paraId="5C29118F">
            <w:pPr>
              <w:rPr>
                <w:rFonts w:ascii="Arial"/>
                <w:color w:val="auto"/>
                <w:sz w:val="21"/>
                <w:highlight w:val="none"/>
              </w:rPr>
            </w:pPr>
          </w:p>
        </w:tc>
        <w:tc>
          <w:tcPr>
            <w:tcW w:w="719" w:type="dxa"/>
            <w:tcBorders>
              <w:right w:val="single" w:color="000000" w:sz="6" w:space="0"/>
            </w:tcBorders>
            <w:vAlign w:val="top"/>
          </w:tcPr>
          <w:p w14:paraId="0AC6FA44">
            <w:pPr>
              <w:rPr>
                <w:rFonts w:ascii="Arial"/>
                <w:color w:val="auto"/>
                <w:sz w:val="21"/>
                <w:highlight w:val="none"/>
              </w:rPr>
            </w:pPr>
          </w:p>
        </w:tc>
      </w:tr>
      <w:tr w14:paraId="448E5864">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0D24BCAD">
            <w:pPr>
              <w:rPr>
                <w:rFonts w:ascii="Arial"/>
                <w:color w:val="auto"/>
                <w:sz w:val="21"/>
                <w:highlight w:val="none"/>
              </w:rPr>
            </w:pPr>
          </w:p>
        </w:tc>
        <w:tc>
          <w:tcPr>
            <w:tcW w:w="1608" w:type="dxa"/>
            <w:vAlign w:val="top"/>
          </w:tcPr>
          <w:p w14:paraId="753AD585">
            <w:pPr>
              <w:rPr>
                <w:rFonts w:ascii="Arial"/>
                <w:color w:val="auto"/>
                <w:sz w:val="21"/>
                <w:highlight w:val="none"/>
              </w:rPr>
            </w:pPr>
          </w:p>
        </w:tc>
        <w:tc>
          <w:tcPr>
            <w:tcW w:w="1557" w:type="dxa"/>
            <w:vAlign w:val="top"/>
          </w:tcPr>
          <w:p w14:paraId="08139305">
            <w:pPr>
              <w:rPr>
                <w:rFonts w:ascii="Arial"/>
                <w:color w:val="auto"/>
                <w:sz w:val="21"/>
                <w:highlight w:val="none"/>
              </w:rPr>
            </w:pPr>
          </w:p>
        </w:tc>
        <w:tc>
          <w:tcPr>
            <w:tcW w:w="848" w:type="dxa"/>
            <w:vAlign w:val="top"/>
          </w:tcPr>
          <w:p w14:paraId="0D8EB631">
            <w:pPr>
              <w:rPr>
                <w:rFonts w:ascii="Arial"/>
                <w:color w:val="auto"/>
                <w:sz w:val="21"/>
                <w:highlight w:val="none"/>
              </w:rPr>
            </w:pPr>
          </w:p>
        </w:tc>
        <w:tc>
          <w:tcPr>
            <w:tcW w:w="992" w:type="dxa"/>
            <w:vAlign w:val="top"/>
          </w:tcPr>
          <w:p w14:paraId="2D35027D">
            <w:pPr>
              <w:rPr>
                <w:rFonts w:ascii="Arial"/>
                <w:color w:val="auto"/>
                <w:sz w:val="21"/>
                <w:highlight w:val="none"/>
              </w:rPr>
            </w:pPr>
          </w:p>
        </w:tc>
        <w:tc>
          <w:tcPr>
            <w:tcW w:w="1306" w:type="dxa"/>
            <w:vAlign w:val="top"/>
          </w:tcPr>
          <w:p w14:paraId="7D6E3520">
            <w:pPr>
              <w:rPr>
                <w:rFonts w:ascii="Arial"/>
                <w:color w:val="auto"/>
                <w:sz w:val="21"/>
                <w:highlight w:val="none"/>
              </w:rPr>
            </w:pPr>
          </w:p>
        </w:tc>
        <w:tc>
          <w:tcPr>
            <w:tcW w:w="1272" w:type="dxa"/>
            <w:vAlign w:val="top"/>
          </w:tcPr>
          <w:p w14:paraId="7D674FE0">
            <w:pPr>
              <w:rPr>
                <w:rFonts w:ascii="Arial"/>
                <w:color w:val="auto"/>
                <w:sz w:val="21"/>
                <w:highlight w:val="none"/>
              </w:rPr>
            </w:pPr>
          </w:p>
        </w:tc>
        <w:tc>
          <w:tcPr>
            <w:tcW w:w="719" w:type="dxa"/>
            <w:tcBorders>
              <w:right w:val="single" w:color="000000" w:sz="6" w:space="0"/>
            </w:tcBorders>
            <w:vAlign w:val="top"/>
          </w:tcPr>
          <w:p w14:paraId="368CD1F0">
            <w:pPr>
              <w:rPr>
                <w:rFonts w:ascii="Arial"/>
                <w:color w:val="auto"/>
                <w:sz w:val="21"/>
                <w:highlight w:val="none"/>
              </w:rPr>
            </w:pPr>
          </w:p>
        </w:tc>
      </w:tr>
      <w:tr w14:paraId="6EDC7BC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4CEBAF16">
            <w:pPr>
              <w:rPr>
                <w:rFonts w:ascii="Arial"/>
                <w:color w:val="auto"/>
                <w:sz w:val="21"/>
                <w:highlight w:val="none"/>
              </w:rPr>
            </w:pPr>
          </w:p>
        </w:tc>
        <w:tc>
          <w:tcPr>
            <w:tcW w:w="1608" w:type="dxa"/>
            <w:vAlign w:val="top"/>
          </w:tcPr>
          <w:p w14:paraId="56EEFB0E">
            <w:pPr>
              <w:rPr>
                <w:rFonts w:ascii="Arial"/>
                <w:color w:val="auto"/>
                <w:sz w:val="21"/>
                <w:highlight w:val="none"/>
              </w:rPr>
            </w:pPr>
          </w:p>
        </w:tc>
        <w:tc>
          <w:tcPr>
            <w:tcW w:w="1557" w:type="dxa"/>
            <w:vAlign w:val="top"/>
          </w:tcPr>
          <w:p w14:paraId="2AE5CA04">
            <w:pPr>
              <w:rPr>
                <w:rFonts w:ascii="Arial"/>
                <w:color w:val="auto"/>
                <w:sz w:val="21"/>
                <w:highlight w:val="none"/>
              </w:rPr>
            </w:pPr>
          </w:p>
        </w:tc>
        <w:tc>
          <w:tcPr>
            <w:tcW w:w="848" w:type="dxa"/>
            <w:vAlign w:val="top"/>
          </w:tcPr>
          <w:p w14:paraId="2B2BE328">
            <w:pPr>
              <w:rPr>
                <w:rFonts w:ascii="Arial"/>
                <w:color w:val="auto"/>
                <w:sz w:val="21"/>
                <w:highlight w:val="none"/>
              </w:rPr>
            </w:pPr>
          </w:p>
        </w:tc>
        <w:tc>
          <w:tcPr>
            <w:tcW w:w="992" w:type="dxa"/>
            <w:vAlign w:val="top"/>
          </w:tcPr>
          <w:p w14:paraId="6ACEA9C4">
            <w:pPr>
              <w:rPr>
                <w:rFonts w:ascii="Arial"/>
                <w:color w:val="auto"/>
                <w:sz w:val="21"/>
                <w:highlight w:val="none"/>
              </w:rPr>
            </w:pPr>
          </w:p>
        </w:tc>
        <w:tc>
          <w:tcPr>
            <w:tcW w:w="1306" w:type="dxa"/>
            <w:vAlign w:val="top"/>
          </w:tcPr>
          <w:p w14:paraId="0D70F7B7">
            <w:pPr>
              <w:rPr>
                <w:rFonts w:ascii="Arial"/>
                <w:color w:val="auto"/>
                <w:sz w:val="21"/>
                <w:highlight w:val="none"/>
              </w:rPr>
            </w:pPr>
          </w:p>
        </w:tc>
        <w:tc>
          <w:tcPr>
            <w:tcW w:w="1272" w:type="dxa"/>
            <w:vAlign w:val="top"/>
          </w:tcPr>
          <w:p w14:paraId="7FEB5AC8">
            <w:pPr>
              <w:rPr>
                <w:rFonts w:ascii="Arial"/>
                <w:color w:val="auto"/>
                <w:sz w:val="21"/>
                <w:highlight w:val="none"/>
              </w:rPr>
            </w:pPr>
          </w:p>
        </w:tc>
        <w:tc>
          <w:tcPr>
            <w:tcW w:w="719" w:type="dxa"/>
            <w:tcBorders>
              <w:right w:val="single" w:color="000000" w:sz="6" w:space="0"/>
            </w:tcBorders>
            <w:vAlign w:val="top"/>
          </w:tcPr>
          <w:p w14:paraId="0DEE663A">
            <w:pPr>
              <w:rPr>
                <w:rFonts w:ascii="Arial"/>
                <w:color w:val="auto"/>
                <w:sz w:val="21"/>
                <w:highlight w:val="none"/>
              </w:rPr>
            </w:pPr>
          </w:p>
        </w:tc>
      </w:tr>
      <w:tr w14:paraId="7A673F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50" w:hRule="atLeast"/>
        </w:trPr>
        <w:tc>
          <w:tcPr>
            <w:tcW w:w="774" w:type="dxa"/>
            <w:tcBorders>
              <w:left w:val="single" w:color="000000" w:sz="6" w:space="0"/>
            </w:tcBorders>
            <w:vAlign w:val="top"/>
          </w:tcPr>
          <w:p w14:paraId="3963D38F">
            <w:pPr>
              <w:rPr>
                <w:rFonts w:ascii="Arial"/>
                <w:color w:val="auto"/>
                <w:sz w:val="21"/>
                <w:highlight w:val="none"/>
              </w:rPr>
            </w:pPr>
          </w:p>
        </w:tc>
        <w:tc>
          <w:tcPr>
            <w:tcW w:w="1608" w:type="dxa"/>
            <w:vAlign w:val="top"/>
          </w:tcPr>
          <w:p w14:paraId="39ED6787">
            <w:pPr>
              <w:rPr>
                <w:rFonts w:ascii="Arial"/>
                <w:color w:val="auto"/>
                <w:sz w:val="21"/>
                <w:highlight w:val="none"/>
              </w:rPr>
            </w:pPr>
          </w:p>
        </w:tc>
        <w:tc>
          <w:tcPr>
            <w:tcW w:w="1557" w:type="dxa"/>
            <w:vAlign w:val="top"/>
          </w:tcPr>
          <w:p w14:paraId="759E72F7">
            <w:pPr>
              <w:rPr>
                <w:rFonts w:ascii="Arial"/>
                <w:color w:val="auto"/>
                <w:sz w:val="21"/>
                <w:highlight w:val="none"/>
              </w:rPr>
            </w:pPr>
          </w:p>
        </w:tc>
        <w:tc>
          <w:tcPr>
            <w:tcW w:w="848" w:type="dxa"/>
            <w:vAlign w:val="top"/>
          </w:tcPr>
          <w:p w14:paraId="5CE52F08">
            <w:pPr>
              <w:rPr>
                <w:rFonts w:ascii="Arial"/>
                <w:color w:val="auto"/>
                <w:sz w:val="21"/>
                <w:highlight w:val="none"/>
              </w:rPr>
            </w:pPr>
          </w:p>
        </w:tc>
        <w:tc>
          <w:tcPr>
            <w:tcW w:w="992" w:type="dxa"/>
            <w:vAlign w:val="top"/>
          </w:tcPr>
          <w:p w14:paraId="4C7DA1A3">
            <w:pPr>
              <w:rPr>
                <w:rFonts w:ascii="Arial"/>
                <w:color w:val="auto"/>
                <w:sz w:val="21"/>
                <w:highlight w:val="none"/>
              </w:rPr>
            </w:pPr>
          </w:p>
        </w:tc>
        <w:tc>
          <w:tcPr>
            <w:tcW w:w="1306" w:type="dxa"/>
            <w:vAlign w:val="top"/>
          </w:tcPr>
          <w:p w14:paraId="64A1B0CE">
            <w:pPr>
              <w:rPr>
                <w:rFonts w:ascii="Arial"/>
                <w:color w:val="auto"/>
                <w:sz w:val="21"/>
                <w:highlight w:val="none"/>
              </w:rPr>
            </w:pPr>
          </w:p>
        </w:tc>
        <w:tc>
          <w:tcPr>
            <w:tcW w:w="1272" w:type="dxa"/>
            <w:vAlign w:val="top"/>
          </w:tcPr>
          <w:p w14:paraId="70339323">
            <w:pPr>
              <w:rPr>
                <w:rFonts w:ascii="Arial"/>
                <w:color w:val="auto"/>
                <w:sz w:val="21"/>
                <w:highlight w:val="none"/>
              </w:rPr>
            </w:pPr>
          </w:p>
        </w:tc>
        <w:tc>
          <w:tcPr>
            <w:tcW w:w="719" w:type="dxa"/>
            <w:tcBorders>
              <w:right w:val="single" w:color="000000" w:sz="6" w:space="0"/>
            </w:tcBorders>
            <w:vAlign w:val="top"/>
          </w:tcPr>
          <w:p w14:paraId="7309913D">
            <w:pPr>
              <w:rPr>
                <w:rFonts w:ascii="Arial"/>
                <w:color w:val="auto"/>
                <w:sz w:val="21"/>
                <w:highlight w:val="none"/>
              </w:rPr>
            </w:pPr>
          </w:p>
        </w:tc>
      </w:tr>
      <w:tr w14:paraId="431B1B95">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664" w:hRule="atLeast"/>
        </w:trPr>
        <w:tc>
          <w:tcPr>
            <w:tcW w:w="774" w:type="dxa"/>
            <w:tcBorders>
              <w:left w:val="single" w:color="000000" w:sz="6" w:space="0"/>
              <w:bottom w:val="single" w:color="000000" w:sz="6" w:space="0"/>
            </w:tcBorders>
            <w:vAlign w:val="top"/>
          </w:tcPr>
          <w:p w14:paraId="67146C06">
            <w:pPr>
              <w:rPr>
                <w:rFonts w:ascii="Arial"/>
                <w:color w:val="auto"/>
                <w:sz w:val="21"/>
                <w:highlight w:val="none"/>
              </w:rPr>
            </w:pPr>
          </w:p>
        </w:tc>
        <w:tc>
          <w:tcPr>
            <w:tcW w:w="1608" w:type="dxa"/>
            <w:tcBorders>
              <w:bottom w:val="single" w:color="000000" w:sz="6" w:space="0"/>
            </w:tcBorders>
            <w:vAlign w:val="top"/>
          </w:tcPr>
          <w:p w14:paraId="01162558">
            <w:pPr>
              <w:rPr>
                <w:rFonts w:ascii="Arial"/>
                <w:color w:val="auto"/>
                <w:sz w:val="21"/>
                <w:highlight w:val="none"/>
              </w:rPr>
            </w:pPr>
          </w:p>
        </w:tc>
        <w:tc>
          <w:tcPr>
            <w:tcW w:w="1557" w:type="dxa"/>
            <w:tcBorders>
              <w:bottom w:val="single" w:color="000000" w:sz="6" w:space="0"/>
            </w:tcBorders>
            <w:vAlign w:val="top"/>
          </w:tcPr>
          <w:p w14:paraId="2C6FE287">
            <w:pPr>
              <w:rPr>
                <w:rFonts w:ascii="Arial"/>
                <w:color w:val="auto"/>
                <w:sz w:val="21"/>
                <w:highlight w:val="none"/>
              </w:rPr>
            </w:pPr>
          </w:p>
        </w:tc>
        <w:tc>
          <w:tcPr>
            <w:tcW w:w="848" w:type="dxa"/>
            <w:tcBorders>
              <w:bottom w:val="single" w:color="000000" w:sz="6" w:space="0"/>
            </w:tcBorders>
            <w:vAlign w:val="top"/>
          </w:tcPr>
          <w:p w14:paraId="6B099E71">
            <w:pPr>
              <w:rPr>
                <w:rFonts w:ascii="Arial"/>
                <w:color w:val="auto"/>
                <w:sz w:val="21"/>
                <w:highlight w:val="none"/>
              </w:rPr>
            </w:pPr>
          </w:p>
        </w:tc>
        <w:tc>
          <w:tcPr>
            <w:tcW w:w="992" w:type="dxa"/>
            <w:tcBorders>
              <w:bottom w:val="single" w:color="000000" w:sz="6" w:space="0"/>
            </w:tcBorders>
            <w:vAlign w:val="top"/>
          </w:tcPr>
          <w:p w14:paraId="1BFD074B">
            <w:pPr>
              <w:rPr>
                <w:rFonts w:ascii="Arial"/>
                <w:color w:val="auto"/>
                <w:sz w:val="21"/>
                <w:highlight w:val="none"/>
              </w:rPr>
            </w:pPr>
          </w:p>
        </w:tc>
        <w:tc>
          <w:tcPr>
            <w:tcW w:w="1306" w:type="dxa"/>
            <w:tcBorders>
              <w:bottom w:val="single" w:color="000000" w:sz="6" w:space="0"/>
            </w:tcBorders>
            <w:vAlign w:val="top"/>
          </w:tcPr>
          <w:p w14:paraId="2272F3BB">
            <w:pPr>
              <w:rPr>
                <w:rFonts w:ascii="Arial"/>
                <w:color w:val="auto"/>
                <w:sz w:val="21"/>
                <w:highlight w:val="none"/>
              </w:rPr>
            </w:pPr>
          </w:p>
        </w:tc>
        <w:tc>
          <w:tcPr>
            <w:tcW w:w="1272" w:type="dxa"/>
            <w:tcBorders>
              <w:bottom w:val="single" w:color="000000" w:sz="6" w:space="0"/>
            </w:tcBorders>
            <w:vAlign w:val="top"/>
          </w:tcPr>
          <w:p w14:paraId="06DD2B02">
            <w:pPr>
              <w:rPr>
                <w:rFonts w:ascii="Arial"/>
                <w:color w:val="auto"/>
                <w:sz w:val="21"/>
                <w:highlight w:val="none"/>
              </w:rPr>
            </w:pPr>
          </w:p>
        </w:tc>
        <w:tc>
          <w:tcPr>
            <w:tcW w:w="719" w:type="dxa"/>
            <w:tcBorders>
              <w:bottom w:val="single" w:color="000000" w:sz="6" w:space="0"/>
              <w:right w:val="single" w:color="000000" w:sz="6" w:space="0"/>
            </w:tcBorders>
            <w:vAlign w:val="top"/>
          </w:tcPr>
          <w:p w14:paraId="7296F5C9">
            <w:pPr>
              <w:rPr>
                <w:rFonts w:ascii="Arial"/>
                <w:color w:val="auto"/>
                <w:sz w:val="21"/>
                <w:highlight w:val="none"/>
              </w:rPr>
            </w:pPr>
          </w:p>
        </w:tc>
      </w:tr>
    </w:tbl>
    <w:p w14:paraId="209E2330">
      <w:pPr>
        <w:pStyle w:val="3"/>
        <w:rPr>
          <w:color w:val="auto"/>
          <w:highlight w:val="none"/>
        </w:rPr>
      </w:pPr>
    </w:p>
    <w:p w14:paraId="604E2F98">
      <w:pPr>
        <w:rPr>
          <w:color w:val="auto"/>
          <w:highlight w:val="none"/>
        </w:rPr>
        <w:sectPr>
          <w:pgSz w:w="11905" w:h="16843"/>
          <w:pgMar w:top="1429" w:right="1361" w:bottom="1253" w:left="1621" w:header="0" w:footer="1094" w:gutter="0"/>
          <w:pgNumType w:fmt="decimal"/>
          <w:cols w:space="0" w:num="1"/>
          <w:rtlGutter w:val="0"/>
          <w:docGrid w:linePitch="0" w:charSpace="0"/>
        </w:sectPr>
      </w:pPr>
    </w:p>
    <w:p w14:paraId="580F050C">
      <w:pPr>
        <w:pStyle w:val="3"/>
        <w:spacing w:line="263" w:lineRule="auto"/>
        <w:rPr>
          <w:color w:val="auto"/>
          <w:highlight w:val="none"/>
        </w:rPr>
      </w:pPr>
    </w:p>
    <w:p w14:paraId="7BC70FD7">
      <w:pPr>
        <w:spacing w:before="91" w:line="219" w:lineRule="auto"/>
        <w:ind w:left="5571"/>
        <w:rPr>
          <w:rFonts w:ascii="宋体" w:hAnsi="宋体" w:eastAsia="宋体" w:cs="宋体"/>
          <w:color w:val="auto"/>
          <w:sz w:val="28"/>
          <w:szCs w:val="28"/>
          <w:highlight w:val="none"/>
        </w:rPr>
      </w:pPr>
      <w:r>
        <w:rPr>
          <w:rFonts w:ascii="宋体" w:hAnsi="宋体" w:eastAsia="宋体" w:cs="宋体"/>
          <w:b/>
          <w:bCs/>
          <w:color w:val="auto"/>
          <w:spacing w:val="-3"/>
          <w:sz w:val="28"/>
          <w:szCs w:val="28"/>
          <w:highlight w:val="none"/>
        </w:rPr>
        <w:t>施工机械台班费汇总表</w:t>
      </w:r>
    </w:p>
    <w:p w14:paraId="3ED855D8">
      <w:pPr>
        <w:spacing w:before="205" w:line="220" w:lineRule="auto"/>
        <w:rPr>
          <w:rFonts w:ascii="宋体" w:hAnsi="宋体" w:eastAsia="宋体" w:cs="宋体"/>
          <w:color w:val="auto"/>
          <w:sz w:val="24"/>
          <w:szCs w:val="24"/>
          <w:highlight w:val="none"/>
        </w:rPr>
      </w:pPr>
      <w:r>
        <w:rPr>
          <w:rFonts w:ascii="宋体" w:hAnsi="宋体" w:eastAsia="宋体" w:cs="宋体"/>
          <w:color w:val="auto"/>
          <w:spacing w:val="-1"/>
          <w:sz w:val="24"/>
          <w:szCs w:val="24"/>
          <w:highlight w:val="none"/>
        </w:rPr>
        <w:t>项目及标段名称：</w:t>
      </w:r>
      <w:r>
        <w:rPr>
          <w:rFonts w:ascii="宋体" w:hAnsi="宋体" w:eastAsia="宋体" w:cs="宋体"/>
          <w:color w:val="auto"/>
          <w:spacing w:val="-1"/>
          <w:sz w:val="24"/>
          <w:szCs w:val="24"/>
          <w:highlight w:val="none"/>
          <w:u w:val="single" w:color="auto"/>
        </w:rPr>
        <w:t xml:space="preserve">                        </w:t>
      </w:r>
      <w:r>
        <w:rPr>
          <w:rFonts w:ascii="宋体" w:hAnsi="宋体" w:eastAsia="宋体" w:cs="宋体"/>
          <w:color w:val="auto"/>
          <w:spacing w:val="-1"/>
          <w:sz w:val="24"/>
          <w:szCs w:val="24"/>
          <w:highlight w:val="none"/>
        </w:rPr>
        <w:t xml:space="preserve">                                                        </w:t>
      </w:r>
      <w:r>
        <w:rPr>
          <w:rFonts w:ascii="宋体" w:hAnsi="宋体" w:eastAsia="宋体" w:cs="宋体"/>
          <w:color w:val="auto"/>
          <w:spacing w:val="-2"/>
          <w:sz w:val="24"/>
          <w:szCs w:val="24"/>
          <w:highlight w:val="none"/>
        </w:rPr>
        <w:t xml:space="preserve">        第  页共  页</w:t>
      </w:r>
    </w:p>
    <w:p w14:paraId="7EB47996">
      <w:pPr>
        <w:spacing w:line="143" w:lineRule="exact"/>
        <w:rPr>
          <w:color w:val="auto"/>
          <w:highlight w:val="none"/>
        </w:rPr>
      </w:pPr>
    </w:p>
    <w:tbl>
      <w:tblPr>
        <w:tblStyle w:val="32"/>
        <w:tblW w:w="12479" w:type="dxa"/>
        <w:tblInd w:w="726"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535"/>
        <w:gridCol w:w="726"/>
        <w:gridCol w:w="726"/>
        <w:gridCol w:w="856"/>
        <w:gridCol w:w="1131"/>
        <w:gridCol w:w="1134"/>
        <w:gridCol w:w="1131"/>
        <w:gridCol w:w="1134"/>
        <w:gridCol w:w="1131"/>
        <w:gridCol w:w="1134"/>
        <w:gridCol w:w="1132"/>
        <w:gridCol w:w="851"/>
        <w:gridCol w:w="858"/>
      </w:tblGrid>
      <w:tr w14:paraId="188D75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00" w:hRule="atLeast"/>
        </w:trPr>
        <w:tc>
          <w:tcPr>
            <w:tcW w:w="535" w:type="dxa"/>
            <w:vMerge w:val="restart"/>
            <w:tcBorders>
              <w:top w:val="single" w:color="000000" w:sz="6" w:space="0"/>
              <w:left w:val="single" w:color="000000" w:sz="6" w:space="0"/>
              <w:bottom w:val="nil"/>
            </w:tcBorders>
            <w:textDirection w:val="tbRlV"/>
            <w:vAlign w:val="top"/>
          </w:tcPr>
          <w:p w14:paraId="26F3F9D7">
            <w:pPr>
              <w:pStyle w:val="33"/>
              <w:spacing w:before="146" w:line="210" w:lineRule="auto"/>
              <w:ind w:left="722"/>
              <w:rPr>
                <w:color w:val="auto"/>
                <w:sz w:val="24"/>
                <w:szCs w:val="24"/>
                <w:highlight w:val="none"/>
              </w:rPr>
            </w:pPr>
            <w:r>
              <w:rPr>
                <w:color w:val="auto"/>
                <w:sz w:val="24"/>
                <w:szCs w:val="24"/>
                <w:highlight w:val="none"/>
              </w:rPr>
              <w:t>序</w:t>
            </w:r>
            <w:r>
              <w:rPr>
                <w:color w:val="auto"/>
                <w:spacing w:val="-48"/>
                <w:sz w:val="24"/>
                <w:szCs w:val="24"/>
                <w:highlight w:val="none"/>
              </w:rPr>
              <w:t xml:space="preserve"> </w:t>
            </w:r>
            <w:r>
              <w:rPr>
                <w:color w:val="auto"/>
                <w:sz w:val="24"/>
                <w:szCs w:val="24"/>
                <w:highlight w:val="none"/>
              </w:rPr>
              <w:t>号</w:t>
            </w:r>
          </w:p>
        </w:tc>
        <w:tc>
          <w:tcPr>
            <w:tcW w:w="726" w:type="dxa"/>
            <w:vMerge w:val="restart"/>
            <w:tcBorders>
              <w:top w:val="single" w:color="000000" w:sz="6" w:space="0"/>
              <w:bottom w:val="nil"/>
            </w:tcBorders>
            <w:vAlign w:val="top"/>
          </w:tcPr>
          <w:p w14:paraId="4FD397AD">
            <w:pPr>
              <w:spacing w:line="319" w:lineRule="auto"/>
              <w:rPr>
                <w:rFonts w:ascii="Arial"/>
                <w:color w:val="auto"/>
                <w:sz w:val="21"/>
                <w:highlight w:val="none"/>
              </w:rPr>
            </w:pPr>
          </w:p>
          <w:p w14:paraId="7D3424F3">
            <w:pPr>
              <w:spacing w:line="320" w:lineRule="auto"/>
              <w:rPr>
                <w:rFonts w:ascii="Arial"/>
                <w:color w:val="auto"/>
                <w:sz w:val="21"/>
                <w:highlight w:val="none"/>
              </w:rPr>
            </w:pPr>
          </w:p>
          <w:p w14:paraId="1736B4C9">
            <w:pPr>
              <w:pStyle w:val="33"/>
              <w:spacing w:before="78" w:line="231" w:lineRule="auto"/>
              <w:ind w:left="126" w:right="126" w:hanging="3"/>
              <w:rPr>
                <w:color w:val="auto"/>
                <w:sz w:val="24"/>
                <w:szCs w:val="24"/>
                <w:highlight w:val="none"/>
              </w:rPr>
            </w:pPr>
            <w:r>
              <w:rPr>
                <w:color w:val="auto"/>
                <w:spacing w:val="-5"/>
                <w:sz w:val="24"/>
                <w:szCs w:val="24"/>
                <w:highlight w:val="none"/>
              </w:rPr>
              <w:t>机械</w:t>
            </w:r>
            <w:r>
              <w:rPr>
                <w:color w:val="auto"/>
                <w:sz w:val="24"/>
                <w:szCs w:val="24"/>
                <w:highlight w:val="none"/>
              </w:rPr>
              <w:t xml:space="preserve"> </w:t>
            </w:r>
            <w:r>
              <w:rPr>
                <w:color w:val="auto"/>
                <w:spacing w:val="-7"/>
                <w:sz w:val="24"/>
                <w:szCs w:val="24"/>
                <w:highlight w:val="none"/>
              </w:rPr>
              <w:t>名称</w:t>
            </w:r>
          </w:p>
        </w:tc>
        <w:tc>
          <w:tcPr>
            <w:tcW w:w="726" w:type="dxa"/>
            <w:vMerge w:val="restart"/>
            <w:tcBorders>
              <w:top w:val="single" w:color="000000" w:sz="6" w:space="0"/>
              <w:bottom w:val="nil"/>
            </w:tcBorders>
            <w:vAlign w:val="top"/>
          </w:tcPr>
          <w:p w14:paraId="7F023705">
            <w:pPr>
              <w:spacing w:line="319" w:lineRule="auto"/>
              <w:rPr>
                <w:rFonts w:ascii="Arial"/>
                <w:color w:val="auto"/>
                <w:sz w:val="21"/>
                <w:highlight w:val="none"/>
              </w:rPr>
            </w:pPr>
          </w:p>
          <w:p w14:paraId="3BB1B649">
            <w:pPr>
              <w:spacing w:line="320" w:lineRule="auto"/>
              <w:rPr>
                <w:rFonts w:ascii="Arial"/>
                <w:color w:val="auto"/>
                <w:sz w:val="21"/>
                <w:highlight w:val="none"/>
              </w:rPr>
            </w:pPr>
          </w:p>
          <w:p w14:paraId="1448CCE0">
            <w:pPr>
              <w:pStyle w:val="33"/>
              <w:spacing w:before="78" w:line="230" w:lineRule="auto"/>
              <w:ind w:left="126" w:right="124" w:firstLine="6"/>
              <w:rPr>
                <w:color w:val="auto"/>
                <w:sz w:val="24"/>
                <w:szCs w:val="24"/>
                <w:highlight w:val="none"/>
              </w:rPr>
            </w:pPr>
            <w:r>
              <w:rPr>
                <w:color w:val="auto"/>
                <w:spacing w:val="-9"/>
                <w:sz w:val="24"/>
                <w:szCs w:val="24"/>
                <w:highlight w:val="none"/>
              </w:rPr>
              <w:t>型号</w:t>
            </w:r>
            <w:r>
              <w:rPr>
                <w:color w:val="auto"/>
                <w:sz w:val="24"/>
                <w:szCs w:val="24"/>
                <w:highlight w:val="none"/>
              </w:rPr>
              <w:t xml:space="preserve"> </w:t>
            </w:r>
            <w:r>
              <w:rPr>
                <w:color w:val="auto"/>
                <w:spacing w:val="-6"/>
                <w:sz w:val="24"/>
                <w:szCs w:val="24"/>
                <w:highlight w:val="none"/>
              </w:rPr>
              <w:t>规格</w:t>
            </w:r>
          </w:p>
        </w:tc>
        <w:tc>
          <w:tcPr>
            <w:tcW w:w="856" w:type="dxa"/>
            <w:vMerge w:val="restart"/>
            <w:tcBorders>
              <w:top w:val="single" w:color="000000" w:sz="6" w:space="0"/>
              <w:bottom w:val="nil"/>
            </w:tcBorders>
            <w:vAlign w:val="top"/>
          </w:tcPr>
          <w:p w14:paraId="0A0D5DFB">
            <w:pPr>
              <w:spacing w:line="320" w:lineRule="auto"/>
              <w:rPr>
                <w:rFonts w:ascii="Arial"/>
                <w:color w:val="auto"/>
                <w:sz w:val="21"/>
                <w:highlight w:val="none"/>
              </w:rPr>
            </w:pPr>
          </w:p>
          <w:p w14:paraId="0E333885">
            <w:pPr>
              <w:spacing w:line="320" w:lineRule="auto"/>
              <w:rPr>
                <w:rFonts w:ascii="Arial"/>
                <w:color w:val="auto"/>
                <w:sz w:val="21"/>
                <w:highlight w:val="none"/>
              </w:rPr>
            </w:pPr>
          </w:p>
          <w:p w14:paraId="00B0C8C6">
            <w:pPr>
              <w:pStyle w:val="33"/>
              <w:spacing w:before="78" w:line="230" w:lineRule="auto"/>
              <w:ind w:left="204" w:right="188" w:hanging="9"/>
              <w:rPr>
                <w:color w:val="auto"/>
                <w:sz w:val="24"/>
                <w:szCs w:val="24"/>
                <w:highlight w:val="none"/>
              </w:rPr>
            </w:pPr>
            <w:r>
              <w:rPr>
                <w:color w:val="auto"/>
                <w:spacing w:val="-7"/>
                <w:sz w:val="24"/>
                <w:szCs w:val="24"/>
                <w:highlight w:val="none"/>
              </w:rPr>
              <w:t>一类</w:t>
            </w:r>
            <w:r>
              <w:rPr>
                <w:color w:val="auto"/>
                <w:sz w:val="24"/>
                <w:szCs w:val="24"/>
                <w:highlight w:val="none"/>
              </w:rPr>
              <w:t xml:space="preserve"> </w:t>
            </w:r>
            <w:r>
              <w:rPr>
                <w:color w:val="auto"/>
                <w:spacing w:val="-12"/>
                <w:sz w:val="24"/>
                <w:szCs w:val="24"/>
                <w:highlight w:val="none"/>
              </w:rPr>
              <w:t>费用</w:t>
            </w:r>
          </w:p>
        </w:tc>
        <w:tc>
          <w:tcPr>
            <w:tcW w:w="7927" w:type="dxa"/>
            <w:gridSpan w:val="7"/>
            <w:tcBorders>
              <w:top w:val="single" w:color="000000" w:sz="6" w:space="0"/>
            </w:tcBorders>
            <w:vAlign w:val="top"/>
          </w:tcPr>
          <w:p w14:paraId="0B364E22">
            <w:pPr>
              <w:pStyle w:val="33"/>
              <w:spacing w:before="128" w:line="220" w:lineRule="auto"/>
              <w:ind w:left="3496"/>
              <w:rPr>
                <w:color w:val="auto"/>
                <w:sz w:val="24"/>
                <w:szCs w:val="24"/>
                <w:highlight w:val="none"/>
              </w:rPr>
            </w:pPr>
            <w:r>
              <w:rPr>
                <w:color w:val="auto"/>
                <w:spacing w:val="-3"/>
                <w:sz w:val="24"/>
                <w:szCs w:val="24"/>
                <w:highlight w:val="none"/>
              </w:rPr>
              <w:t>二类费用</w:t>
            </w:r>
          </w:p>
        </w:tc>
        <w:tc>
          <w:tcPr>
            <w:tcW w:w="851" w:type="dxa"/>
            <w:vMerge w:val="restart"/>
            <w:tcBorders>
              <w:top w:val="single" w:color="000000" w:sz="6" w:space="0"/>
              <w:bottom w:val="nil"/>
            </w:tcBorders>
            <w:vAlign w:val="top"/>
          </w:tcPr>
          <w:p w14:paraId="3E9B0733">
            <w:pPr>
              <w:spacing w:line="265" w:lineRule="auto"/>
              <w:rPr>
                <w:rFonts w:ascii="Arial"/>
                <w:color w:val="auto"/>
                <w:sz w:val="21"/>
                <w:highlight w:val="none"/>
              </w:rPr>
            </w:pPr>
          </w:p>
          <w:p w14:paraId="7879823D">
            <w:pPr>
              <w:spacing w:line="265" w:lineRule="auto"/>
              <w:rPr>
                <w:rFonts w:ascii="Arial"/>
                <w:color w:val="auto"/>
                <w:sz w:val="21"/>
                <w:highlight w:val="none"/>
              </w:rPr>
            </w:pPr>
          </w:p>
          <w:p w14:paraId="2245CA3B">
            <w:pPr>
              <w:spacing w:line="265" w:lineRule="auto"/>
              <w:rPr>
                <w:rFonts w:ascii="Arial"/>
                <w:color w:val="auto"/>
                <w:sz w:val="21"/>
                <w:highlight w:val="none"/>
              </w:rPr>
            </w:pPr>
          </w:p>
          <w:p w14:paraId="3C690335">
            <w:pPr>
              <w:pStyle w:val="33"/>
              <w:spacing w:before="78" w:line="221" w:lineRule="auto"/>
              <w:ind w:left="200"/>
              <w:rPr>
                <w:color w:val="auto"/>
                <w:sz w:val="24"/>
                <w:szCs w:val="24"/>
                <w:highlight w:val="none"/>
              </w:rPr>
            </w:pPr>
            <w:r>
              <w:rPr>
                <w:color w:val="auto"/>
                <w:spacing w:val="-3"/>
                <w:sz w:val="24"/>
                <w:szCs w:val="24"/>
                <w:highlight w:val="none"/>
              </w:rPr>
              <w:t>合计</w:t>
            </w:r>
          </w:p>
        </w:tc>
        <w:tc>
          <w:tcPr>
            <w:tcW w:w="858" w:type="dxa"/>
            <w:vMerge w:val="restart"/>
            <w:tcBorders>
              <w:top w:val="single" w:color="000000" w:sz="6" w:space="0"/>
              <w:bottom w:val="nil"/>
              <w:right w:val="single" w:color="000000" w:sz="6" w:space="0"/>
            </w:tcBorders>
            <w:vAlign w:val="top"/>
          </w:tcPr>
          <w:p w14:paraId="3782117B">
            <w:pPr>
              <w:spacing w:line="265" w:lineRule="auto"/>
              <w:rPr>
                <w:rFonts w:ascii="Arial"/>
                <w:color w:val="auto"/>
                <w:sz w:val="21"/>
                <w:highlight w:val="none"/>
              </w:rPr>
            </w:pPr>
          </w:p>
          <w:p w14:paraId="119AA000">
            <w:pPr>
              <w:spacing w:line="265" w:lineRule="auto"/>
              <w:rPr>
                <w:rFonts w:ascii="Arial"/>
                <w:color w:val="auto"/>
                <w:sz w:val="21"/>
                <w:highlight w:val="none"/>
              </w:rPr>
            </w:pPr>
          </w:p>
          <w:p w14:paraId="6CC1C907">
            <w:pPr>
              <w:spacing w:line="265" w:lineRule="auto"/>
              <w:rPr>
                <w:rFonts w:ascii="Arial"/>
                <w:color w:val="auto"/>
                <w:sz w:val="21"/>
                <w:highlight w:val="none"/>
              </w:rPr>
            </w:pPr>
          </w:p>
          <w:p w14:paraId="287B2FAC">
            <w:pPr>
              <w:pStyle w:val="33"/>
              <w:spacing w:before="78" w:line="220" w:lineRule="auto"/>
              <w:ind w:left="198"/>
              <w:rPr>
                <w:color w:val="auto"/>
                <w:sz w:val="24"/>
                <w:szCs w:val="24"/>
                <w:highlight w:val="none"/>
              </w:rPr>
            </w:pPr>
            <w:r>
              <w:rPr>
                <w:color w:val="auto"/>
                <w:spacing w:val="-3"/>
                <w:sz w:val="24"/>
                <w:szCs w:val="24"/>
                <w:highlight w:val="none"/>
              </w:rPr>
              <w:t>补差</w:t>
            </w:r>
          </w:p>
        </w:tc>
      </w:tr>
      <w:tr w14:paraId="5F7AD32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936" w:hRule="atLeast"/>
        </w:trPr>
        <w:tc>
          <w:tcPr>
            <w:tcW w:w="535" w:type="dxa"/>
            <w:vMerge w:val="continue"/>
            <w:tcBorders>
              <w:top w:val="nil"/>
              <w:left w:val="single" w:color="000000" w:sz="6" w:space="0"/>
              <w:bottom w:val="nil"/>
            </w:tcBorders>
            <w:textDirection w:val="tbRlV"/>
            <w:vAlign w:val="top"/>
          </w:tcPr>
          <w:p w14:paraId="0A7997F9">
            <w:pPr>
              <w:rPr>
                <w:rFonts w:ascii="Arial"/>
                <w:color w:val="auto"/>
                <w:sz w:val="21"/>
                <w:highlight w:val="none"/>
              </w:rPr>
            </w:pPr>
          </w:p>
        </w:tc>
        <w:tc>
          <w:tcPr>
            <w:tcW w:w="726" w:type="dxa"/>
            <w:vMerge w:val="continue"/>
            <w:tcBorders>
              <w:top w:val="nil"/>
              <w:bottom w:val="nil"/>
            </w:tcBorders>
            <w:vAlign w:val="top"/>
          </w:tcPr>
          <w:p w14:paraId="41F66AA7">
            <w:pPr>
              <w:rPr>
                <w:rFonts w:ascii="Arial"/>
                <w:color w:val="auto"/>
                <w:sz w:val="21"/>
                <w:highlight w:val="none"/>
              </w:rPr>
            </w:pPr>
          </w:p>
        </w:tc>
        <w:tc>
          <w:tcPr>
            <w:tcW w:w="726" w:type="dxa"/>
            <w:vMerge w:val="continue"/>
            <w:tcBorders>
              <w:top w:val="nil"/>
              <w:bottom w:val="nil"/>
            </w:tcBorders>
            <w:vAlign w:val="top"/>
          </w:tcPr>
          <w:p w14:paraId="21B0E063">
            <w:pPr>
              <w:rPr>
                <w:rFonts w:ascii="Arial"/>
                <w:color w:val="auto"/>
                <w:sz w:val="21"/>
                <w:highlight w:val="none"/>
              </w:rPr>
            </w:pPr>
          </w:p>
        </w:tc>
        <w:tc>
          <w:tcPr>
            <w:tcW w:w="856" w:type="dxa"/>
            <w:vMerge w:val="continue"/>
            <w:tcBorders>
              <w:top w:val="nil"/>
              <w:bottom w:val="nil"/>
            </w:tcBorders>
            <w:vAlign w:val="top"/>
          </w:tcPr>
          <w:p w14:paraId="78EBCD59">
            <w:pPr>
              <w:rPr>
                <w:rFonts w:ascii="Arial"/>
                <w:color w:val="auto"/>
                <w:sz w:val="21"/>
                <w:highlight w:val="none"/>
              </w:rPr>
            </w:pPr>
          </w:p>
        </w:tc>
        <w:tc>
          <w:tcPr>
            <w:tcW w:w="1131" w:type="dxa"/>
            <w:vAlign w:val="top"/>
          </w:tcPr>
          <w:p w14:paraId="5BBC2E4A">
            <w:pPr>
              <w:pStyle w:val="33"/>
              <w:spacing w:before="36" w:line="228" w:lineRule="auto"/>
              <w:ind w:left="335" w:right="326" w:hanging="4"/>
              <w:jc w:val="both"/>
              <w:rPr>
                <w:color w:val="auto"/>
                <w:sz w:val="24"/>
                <w:szCs w:val="24"/>
                <w:highlight w:val="none"/>
              </w:rPr>
            </w:pPr>
            <w:r>
              <w:rPr>
                <w:color w:val="auto"/>
                <w:spacing w:val="-6"/>
                <w:sz w:val="24"/>
                <w:szCs w:val="24"/>
                <w:highlight w:val="none"/>
              </w:rPr>
              <w:t>人工</w:t>
            </w:r>
            <w:r>
              <w:rPr>
                <w:color w:val="auto"/>
                <w:sz w:val="24"/>
                <w:szCs w:val="24"/>
                <w:highlight w:val="none"/>
              </w:rPr>
              <w:t xml:space="preserve"> </w:t>
            </w:r>
            <w:r>
              <w:rPr>
                <w:color w:val="auto"/>
                <w:spacing w:val="-15"/>
                <w:sz w:val="24"/>
                <w:szCs w:val="24"/>
                <w:highlight w:val="none"/>
              </w:rPr>
              <w:t>（工</w:t>
            </w:r>
            <w:r>
              <w:rPr>
                <w:color w:val="auto"/>
                <w:sz w:val="24"/>
                <w:szCs w:val="24"/>
                <w:highlight w:val="none"/>
              </w:rPr>
              <w:t xml:space="preserve"> </w:t>
            </w:r>
            <w:r>
              <w:rPr>
                <w:color w:val="auto"/>
                <w:spacing w:val="-8"/>
                <w:sz w:val="24"/>
                <w:szCs w:val="24"/>
                <w:highlight w:val="none"/>
              </w:rPr>
              <w:t>日）</w:t>
            </w:r>
          </w:p>
        </w:tc>
        <w:tc>
          <w:tcPr>
            <w:tcW w:w="1134" w:type="dxa"/>
            <w:vAlign w:val="top"/>
          </w:tcPr>
          <w:p w14:paraId="5DEA1805">
            <w:pPr>
              <w:pStyle w:val="33"/>
              <w:spacing w:before="190" w:line="226" w:lineRule="auto"/>
              <w:ind w:left="219" w:right="220" w:firstLine="113"/>
              <w:rPr>
                <w:color w:val="auto"/>
                <w:sz w:val="24"/>
                <w:szCs w:val="24"/>
                <w:highlight w:val="none"/>
              </w:rPr>
            </w:pPr>
            <w:r>
              <w:rPr>
                <w:color w:val="auto"/>
                <w:spacing w:val="-5"/>
                <w:sz w:val="24"/>
                <w:szCs w:val="24"/>
                <w:highlight w:val="none"/>
              </w:rPr>
              <w:t>汽油</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kg</w:t>
            </w:r>
            <w:r>
              <w:rPr>
                <w:color w:val="auto"/>
                <w:spacing w:val="-8"/>
                <w:sz w:val="24"/>
                <w:szCs w:val="24"/>
                <w:highlight w:val="none"/>
              </w:rPr>
              <w:t>）</w:t>
            </w:r>
          </w:p>
        </w:tc>
        <w:tc>
          <w:tcPr>
            <w:tcW w:w="1131" w:type="dxa"/>
            <w:vAlign w:val="top"/>
          </w:tcPr>
          <w:p w14:paraId="6F302FFE">
            <w:pPr>
              <w:pStyle w:val="33"/>
              <w:spacing w:before="190" w:line="226" w:lineRule="auto"/>
              <w:ind w:left="218" w:right="219" w:firstLine="113"/>
              <w:rPr>
                <w:color w:val="auto"/>
                <w:sz w:val="24"/>
                <w:szCs w:val="24"/>
                <w:highlight w:val="none"/>
              </w:rPr>
            </w:pPr>
            <w:r>
              <w:rPr>
                <w:color w:val="auto"/>
                <w:spacing w:val="-5"/>
                <w:sz w:val="24"/>
                <w:szCs w:val="24"/>
                <w:highlight w:val="none"/>
              </w:rPr>
              <w:t>柴油</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kg</w:t>
            </w:r>
            <w:r>
              <w:rPr>
                <w:color w:val="auto"/>
                <w:spacing w:val="-8"/>
                <w:sz w:val="24"/>
                <w:szCs w:val="24"/>
                <w:highlight w:val="none"/>
              </w:rPr>
              <w:t>）</w:t>
            </w:r>
          </w:p>
        </w:tc>
        <w:tc>
          <w:tcPr>
            <w:tcW w:w="1134" w:type="dxa"/>
            <w:vAlign w:val="top"/>
          </w:tcPr>
          <w:p w14:paraId="23AC0233">
            <w:pPr>
              <w:pStyle w:val="33"/>
              <w:spacing w:before="37" w:line="225" w:lineRule="auto"/>
              <w:ind w:left="484"/>
              <w:rPr>
                <w:color w:val="auto"/>
                <w:sz w:val="24"/>
                <w:szCs w:val="24"/>
                <w:highlight w:val="none"/>
              </w:rPr>
            </w:pPr>
            <w:r>
              <w:rPr>
                <w:color w:val="auto"/>
                <w:sz w:val="24"/>
                <w:szCs w:val="24"/>
                <w:highlight w:val="none"/>
              </w:rPr>
              <w:t>电</w:t>
            </w:r>
          </w:p>
          <w:p w14:paraId="1952A13D">
            <w:pPr>
              <w:pStyle w:val="33"/>
              <w:spacing w:before="16" w:line="233" w:lineRule="auto"/>
              <w:ind w:left="198"/>
              <w:rPr>
                <w:rFonts w:ascii="Times New Roman" w:hAnsi="Times New Roman" w:eastAsia="Times New Roman" w:cs="Times New Roman"/>
                <w:color w:val="auto"/>
                <w:sz w:val="24"/>
                <w:szCs w:val="24"/>
                <w:highlight w:val="none"/>
              </w:rPr>
            </w:pPr>
            <w:r>
              <w:rPr>
                <w:color w:val="auto"/>
                <w:spacing w:val="-4"/>
                <w:sz w:val="24"/>
                <w:szCs w:val="24"/>
                <w:highlight w:val="none"/>
              </w:rPr>
              <w:t>（</w:t>
            </w:r>
            <w:r>
              <w:rPr>
                <w:rFonts w:ascii="Times New Roman" w:hAnsi="Times New Roman" w:eastAsia="Times New Roman" w:cs="Times New Roman"/>
                <w:color w:val="auto"/>
                <w:spacing w:val="-4"/>
                <w:sz w:val="24"/>
                <w:szCs w:val="24"/>
                <w:highlight w:val="none"/>
              </w:rPr>
              <w:t>kW.h</w:t>
            </w:r>
          </w:p>
          <w:p w14:paraId="5E4BF77B">
            <w:pPr>
              <w:pStyle w:val="33"/>
              <w:spacing w:before="9" w:line="206" w:lineRule="auto"/>
              <w:ind w:left="481"/>
              <w:rPr>
                <w:color w:val="auto"/>
                <w:sz w:val="24"/>
                <w:szCs w:val="24"/>
                <w:highlight w:val="none"/>
              </w:rPr>
            </w:pPr>
            <w:r>
              <w:rPr>
                <w:color w:val="auto"/>
                <w:sz w:val="24"/>
                <w:szCs w:val="24"/>
                <w:highlight w:val="none"/>
              </w:rPr>
              <w:t>)</w:t>
            </w:r>
          </w:p>
        </w:tc>
        <w:tc>
          <w:tcPr>
            <w:tcW w:w="1131" w:type="dxa"/>
            <w:vAlign w:val="top"/>
          </w:tcPr>
          <w:p w14:paraId="428B09EF">
            <w:pPr>
              <w:pStyle w:val="33"/>
              <w:spacing w:before="190" w:line="236" w:lineRule="auto"/>
              <w:ind w:left="207" w:right="201" w:firstLine="248"/>
              <w:rPr>
                <w:color w:val="auto"/>
                <w:sz w:val="24"/>
                <w:szCs w:val="24"/>
                <w:highlight w:val="none"/>
              </w:rPr>
            </w:pPr>
            <w:r>
              <w:rPr>
                <w:color w:val="auto"/>
                <w:spacing w:val="-11"/>
                <w:sz w:val="24"/>
                <w:szCs w:val="24"/>
                <w:highlight w:val="none"/>
              </w:rPr>
              <w:t>风</w:t>
            </w:r>
            <w:r>
              <w:rPr>
                <w:color w:val="auto"/>
                <w:sz w:val="24"/>
                <w:szCs w:val="24"/>
                <w:highlight w:val="none"/>
              </w:rPr>
              <w:t xml:space="preserve">   </w:t>
            </w:r>
            <w:r>
              <w:rPr>
                <w:color w:val="auto"/>
                <w:spacing w:val="-8"/>
                <w:sz w:val="24"/>
                <w:szCs w:val="24"/>
                <w:highlight w:val="none"/>
              </w:rPr>
              <w:t>（</w:t>
            </w:r>
            <w:r>
              <w:rPr>
                <w:rFonts w:ascii="Times New Roman" w:hAnsi="Times New Roman" w:eastAsia="Times New Roman" w:cs="Times New Roman"/>
                <w:color w:val="auto"/>
                <w:spacing w:val="-8"/>
                <w:sz w:val="24"/>
                <w:szCs w:val="24"/>
                <w:highlight w:val="none"/>
              </w:rPr>
              <w:t>m</w:t>
            </w:r>
            <w:r>
              <w:rPr>
                <w:rFonts w:ascii="Times New Roman" w:hAnsi="Times New Roman" w:eastAsia="Times New Roman" w:cs="Times New Roman"/>
                <w:color w:val="auto"/>
                <w:spacing w:val="-8"/>
                <w:position w:val="8"/>
                <w:sz w:val="16"/>
                <w:szCs w:val="16"/>
                <w:highlight w:val="none"/>
              </w:rPr>
              <w:t>3</w:t>
            </w:r>
            <w:r>
              <w:rPr>
                <w:color w:val="auto"/>
                <w:spacing w:val="-8"/>
                <w:sz w:val="24"/>
                <w:szCs w:val="24"/>
                <w:highlight w:val="none"/>
              </w:rPr>
              <w:t>）</w:t>
            </w:r>
          </w:p>
        </w:tc>
        <w:tc>
          <w:tcPr>
            <w:tcW w:w="1134" w:type="dxa"/>
            <w:vAlign w:val="top"/>
          </w:tcPr>
          <w:p w14:paraId="57FB0F8D">
            <w:pPr>
              <w:spacing w:line="266" w:lineRule="auto"/>
              <w:rPr>
                <w:rFonts w:ascii="Arial"/>
                <w:color w:val="auto"/>
                <w:sz w:val="21"/>
                <w:highlight w:val="none"/>
              </w:rPr>
            </w:pPr>
          </w:p>
          <w:p w14:paraId="0DDB998A">
            <w:pPr>
              <w:pStyle w:val="33"/>
              <w:spacing w:before="78" w:line="220" w:lineRule="auto"/>
              <w:ind w:left="188"/>
              <w:rPr>
                <w:color w:val="auto"/>
                <w:sz w:val="24"/>
                <w:szCs w:val="24"/>
                <w:highlight w:val="none"/>
              </w:rPr>
            </w:pPr>
            <w:r>
              <w:rPr>
                <w:color w:val="auto"/>
                <w:spacing w:val="-3"/>
                <w:sz w:val="24"/>
                <w:szCs w:val="24"/>
                <w:highlight w:val="none"/>
              </w:rPr>
              <w:t>水（</w:t>
            </w:r>
            <w:r>
              <w:rPr>
                <w:rFonts w:ascii="Times New Roman" w:hAnsi="Times New Roman" w:eastAsia="Times New Roman" w:cs="Times New Roman"/>
                <w:color w:val="auto"/>
                <w:spacing w:val="-3"/>
                <w:sz w:val="24"/>
                <w:szCs w:val="24"/>
                <w:highlight w:val="none"/>
              </w:rPr>
              <w:t>t</w:t>
            </w:r>
            <w:r>
              <w:rPr>
                <w:color w:val="auto"/>
                <w:spacing w:val="-3"/>
                <w:sz w:val="24"/>
                <w:szCs w:val="24"/>
                <w:highlight w:val="none"/>
              </w:rPr>
              <w:t>）</w:t>
            </w:r>
          </w:p>
        </w:tc>
        <w:tc>
          <w:tcPr>
            <w:tcW w:w="1132" w:type="dxa"/>
            <w:vMerge w:val="restart"/>
            <w:tcBorders>
              <w:bottom w:val="nil"/>
            </w:tcBorders>
            <w:vAlign w:val="top"/>
          </w:tcPr>
          <w:p w14:paraId="670E2DDC">
            <w:pPr>
              <w:spacing w:line="270" w:lineRule="auto"/>
              <w:rPr>
                <w:rFonts w:ascii="Arial"/>
                <w:color w:val="auto"/>
                <w:sz w:val="21"/>
                <w:highlight w:val="none"/>
              </w:rPr>
            </w:pPr>
          </w:p>
          <w:p w14:paraId="6A2C747E">
            <w:pPr>
              <w:spacing w:line="271" w:lineRule="auto"/>
              <w:rPr>
                <w:rFonts w:ascii="Arial"/>
                <w:color w:val="auto"/>
                <w:sz w:val="21"/>
                <w:highlight w:val="none"/>
              </w:rPr>
            </w:pPr>
          </w:p>
          <w:p w14:paraId="30563F2C">
            <w:pPr>
              <w:pStyle w:val="33"/>
              <w:spacing w:before="78" w:line="221" w:lineRule="auto"/>
              <w:ind w:left="344"/>
              <w:rPr>
                <w:color w:val="auto"/>
                <w:sz w:val="24"/>
                <w:szCs w:val="24"/>
                <w:highlight w:val="none"/>
              </w:rPr>
            </w:pPr>
            <w:r>
              <w:rPr>
                <w:color w:val="auto"/>
                <w:spacing w:val="-4"/>
                <w:sz w:val="24"/>
                <w:szCs w:val="24"/>
                <w:highlight w:val="none"/>
              </w:rPr>
              <w:t>小计</w:t>
            </w:r>
          </w:p>
        </w:tc>
        <w:tc>
          <w:tcPr>
            <w:tcW w:w="851" w:type="dxa"/>
            <w:vMerge w:val="continue"/>
            <w:tcBorders>
              <w:top w:val="nil"/>
              <w:bottom w:val="nil"/>
            </w:tcBorders>
            <w:vAlign w:val="top"/>
          </w:tcPr>
          <w:p w14:paraId="59EC53C6">
            <w:pPr>
              <w:rPr>
                <w:rFonts w:ascii="Arial"/>
                <w:color w:val="auto"/>
                <w:sz w:val="21"/>
                <w:highlight w:val="none"/>
              </w:rPr>
            </w:pPr>
          </w:p>
        </w:tc>
        <w:tc>
          <w:tcPr>
            <w:tcW w:w="858" w:type="dxa"/>
            <w:vMerge w:val="continue"/>
            <w:tcBorders>
              <w:top w:val="nil"/>
              <w:bottom w:val="nil"/>
              <w:right w:val="single" w:color="000000" w:sz="6" w:space="0"/>
            </w:tcBorders>
            <w:vAlign w:val="top"/>
          </w:tcPr>
          <w:p w14:paraId="43D85920">
            <w:pPr>
              <w:rPr>
                <w:rFonts w:ascii="Arial"/>
                <w:color w:val="auto"/>
                <w:sz w:val="21"/>
                <w:highlight w:val="none"/>
              </w:rPr>
            </w:pPr>
          </w:p>
        </w:tc>
      </w:tr>
      <w:tr w14:paraId="15223546">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43" w:hRule="atLeast"/>
        </w:trPr>
        <w:tc>
          <w:tcPr>
            <w:tcW w:w="535" w:type="dxa"/>
            <w:vMerge w:val="continue"/>
            <w:tcBorders>
              <w:top w:val="nil"/>
              <w:left w:val="single" w:color="000000" w:sz="6" w:space="0"/>
            </w:tcBorders>
            <w:textDirection w:val="tbRlV"/>
            <w:vAlign w:val="top"/>
          </w:tcPr>
          <w:p w14:paraId="2C233EED">
            <w:pPr>
              <w:rPr>
                <w:rFonts w:ascii="Arial"/>
                <w:color w:val="auto"/>
                <w:sz w:val="21"/>
                <w:highlight w:val="none"/>
              </w:rPr>
            </w:pPr>
          </w:p>
        </w:tc>
        <w:tc>
          <w:tcPr>
            <w:tcW w:w="726" w:type="dxa"/>
            <w:vMerge w:val="continue"/>
            <w:tcBorders>
              <w:top w:val="nil"/>
            </w:tcBorders>
            <w:vAlign w:val="top"/>
          </w:tcPr>
          <w:p w14:paraId="232A7AD8">
            <w:pPr>
              <w:rPr>
                <w:rFonts w:ascii="Arial"/>
                <w:color w:val="auto"/>
                <w:sz w:val="21"/>
                <w:highlight w:val="none"/>
              </w:rPr>
            </w:pPr>
          </w:p>
        </w:tc>
        <w:tc>
          <w:tcPr>
            <w:tcW w:w="726" w:type="dxa"/>
            <w:vMerge w:val="continue"/>
            <w:tcBorders>
              <w:top w:val="nil"/>
            </w:tcBorders>
            <w:vAlign w:val="top"/>
          </w:tcPr>
          <w:p w14:paraId="3D5454BE">
            <w:pPr>
              <w:rPr>
                <w:rFonts w:ascii="Arial"/>
                <w:color w:val="auto"/>
                <w:sz w:val="21"/>
                <w:highlight w:val="none"/>
              </w:rPr>
            </w:pPr>
          </w:p>
        </w:tc>
        <w:tc>
          <w:tcPr>
            <w:tcW w:w="856" w:type="dxa"/>
            <w:vMerge w:val="continue"/>
            <w:tcBorders>
              <w:top w:val="nil"/>
            </w:tcBorders>
            <w:vAlign w:val="top"/>
          </w:tcPr>
          <w:p w14:paraId="40822698">
            <w:pPr>
              <w:rPr>
                <w:rFonts w:ascii="Arial"/>
                <w:color w:val="auto"/>
                <w:sz w:val="21"/>
                <w:highlight w:val="none"/>
              </w:rPr>
            </w:pPr>
          </w:p>
        </w:tc>
        <w:tc>
          <w:tcPr>
            <w:tcW w:w="1131" w:type="dxa"/>
            <w:vAlign w:val="top"/>
          </w:tcPr>
          <w:p w14:paraId="03C7C794">
            <w:pPr>
              <w:pStyle w:val="33"/>
              <w:spacing w:before="154" w:line="218" w:lineRule="auto"/>
              <w:ind w:left="117"/>
              <w:rPr>
                <w:color w:val="auto"/>
                <w:sz w:val="24"/>
                <w:szCs w:val="24"/>
                <w:highlight w:val="none"/>
              </w:rPr>
            </w:pPr>
            <w:r>
              <w:rPr>
                <w:color w:val="auto"/>
                <w:spacing w:val="-6"/>
                <w:sz w:val="24"/>
                <w:szCs w:val="24"/>
                <w:highlight w:val="none"/>
              </w:rPr>
              <w:t>（单价）</w:t>
            </w:r>
          </w:p>
        </w:tc>
        <w:tc>
          <w:tcPr>
            <w:tcW w:w="1134" w:type="dxa"/>
            <w:vAlign w:val="top"/>
          </w:tcPr>
          <w:p w14:paraId="2E3F6E4F">
            <w:pPr>
              <w:pStyle w:val="33"/>
              <w:spacing w:before="154" w:line="218" w:lineRule="auto"/>
              <w:ind w:left="121"/>
              <w:rPr>
                <w:color w:val="auto"/>
                <w:sz w:val="24"/>
                <w:szCs w:val="24"/>
                <w:highlight w:val="none"/>
              </w:rPr>
            </w:pPr>
            <w:r>
              <w:rPr>
                <w:color w:val="auto"/>
                <w:spacing w:val="-6"/>
                <w:sz w:val="24"/>
                <w:szCs w:val="24"/>
                <w:highlight w:val="none"/>
              </w:rPr>
              <w:t>（单价）</w:t>
            </w:r>
          </w:p>
        </w:tc>
        <w:tc>
          <w:tcPr>
            <w:tcW w:w="1131" w:type="dxa"/>
            <w:vAlign w:val="top"/>
          </w:tcPr>
          <w:p w14:paraId="31744076">
            <w:pPr>
              <w:pStyle w:val="33"/>
              <w:spacing w:before="154" w:line="218" w:lineRule="auto"/>
              <w:ind w:left="120"/>
              <w:rPr>
                <w:color w:val="auto"/>
                <w:sz w:val="24"/>
                <w:szCs w:val="24"/>
                <w:highlight w:val="none"/>
              </w:rPr>
            </w:pPr>
            <w:r>
              <w:rPr>
                <w:color w:val="auto"/>
                <w:spacing w:val="-6"/>
                <w:sz w:val="24"/>
                <w:szCs w:val="24"/>
                <w:highlight w:val="none"/>
              </w:rPr>
              <w:t>（单价）</w:t>
            </w:r>
          </w:p>
        </w:tc>
        <w:tc>
          <w:tcPr>
            <w:tcW w:w="1134" w:type="dxa"/>
            <w:vAlign w:val="top"/>
          </w:tcPr>
          <w:p w14:paraId="17F1DA94">
            <w:pPr>
              <w:pStyle w:val="33"/>
              <w:spacing w:before="154" w:line="218" w:lineRule="auto"/>
              <w:ind w:left="124"/>
              <w:rPr>
                <w:color w:val="auto"/>
                <w:sz w:val="24"/>
                <w:szCs w:val="24"/>
                <w:highlight w:val="none"/>
              </w:rPr>
            </w:pPr>
            <w:r>
              <w:rPr>
                <w:color w:val="auto"/>
                <w:spacing w:val="-6"/>
                <w:sz w:val="24"/>
                <w:szCs w:val="24"/>
                <w:highlight w:val="none"/>
              </w:rPr>
              <w:t>（单价）</w:t>
            </w:r>
          </w:p>
        </w:tc>
        <w:tc>
          <w:tcPr>
            <w:tcW w:w="1131" w:type="dxa"/>
            <w:vAlign w:val="top"/>
          </w:tcPr>
          <w:p w14:paraId="1F713B80">
            <w:pPr>
              <w:pStyle w:val="33"/>
              <w:spacing w:before="154" w:line="218" w:lineRule="auto"/>
              <w:ind w:left="123"/>
              <w:rPr>
                <w:color w:val="auto"/>
                <w:sz w:val="24"/>
                <w:szCs w:val="24"/>
                <w:highlight w:val="none"/>
              </w:rPr>
            </w:pPr>
            <w:r>
              <w:rPr>
                <w:color w:val="auto"/>
                <w:spacing w:val="-6"/>
                <w:sz w:val="24"/>
                <w:szCs w:val="24"/>
                <w:highlight w:val="none"/>
              </w:rPr>
              <w:t>（单价）</w:t>
            </w:r>
          </w:p>
        </w:tc>
        <w:tc>
          <w:tcPr>
            <w:tcW w:w="1134" w:type="dxa"/>
            <w:vAlign w:val="top"/>
          </w:tcPr>
          <w:p w14:paraId="70CD7DE9">
            <w:pPr>
              <w:pStyle w:val="33"/>
              <w:spacing w:before="154" w:line="218" w:lineRule="auto"/>
              <w:ind w:left="127"/>
              <w:rPr>
                <w:color w:val="auto"/>
                <w:sz w:val="24"/>
                <w:szCs w:val="24"/>
                <w:highlight w:val="none"/>
              </w:rPr>
            </w:pPr>
            <w:r>
              <w:rPr>
                <w:color w:val="auto"/>
                <w:spacing w:val="-6"/>
                <w:sz w:val="24"/>
                <w:szCs w:val="24"/>
                <w:highlight w:val="none"/>
              </w:rPr>
              <w:t>（单价）</w:t>
            </w:r>
          </w:p>
        </w:tc>
        <w:tc>
          <w:tcPr>
            <w:tcW w:w="1132" w:type="dxa"/>
            <w:vMerge w:val="continue"/>
            <w:tcBorders>
              <w:top w:val="nil"/>
            </w:tcBorders>
            <w:vAlign w:val="top"/>
          </w:tcPr>
          <w:p w14:paraId="11B038DC">
            <w:pPr>
              <w:rPr>
                <w:rFonts w:ascii="Arial"/>
                <w:color w:val="auto"/>
                <w:sz w:val="21"/>
                <w:highlight w:val="none"/>
              </w:rPr>
            </w:pPr>
          </w:p>
        </w:tc>
        <w:tc>
          <w:tcPr>
            <w:tcW w:w="851" w:type="dxa"/>
            <w:vMerge w:val="continue"/>
            <w:tcBorders>
              <w:top w:val="nil"/>
            </w:tcBorders>
            <w:vAlign w:val="top"/>
          </w:tcPr>
          <w:p w14:paraId="172F7015">
            <w:pPr>
              <w:rPr>
                <w:rFonts w:ascii="Arial"/>
                <w:color w:val="auto"/>
                <w:sz w:val="21"/>
                <w:highlight w:val="none"/>
              </w:rPr>
            </w:pPr>
          </w:p>
        </w:tc>
        <w:tc>
          <w:tcPr>
            <w:tcW w:w="858" w:type="dxa"/>
            <w:vMerge w:val="continue"/>
            <w:tcBorders>
              <w:top w:val="nil"/>
              <w:right w:val="single" w:color="000000" w:sz="6" w:space="0"/>
            </w:tcBorders>
            <w:vAlign w:val="top"/>
          </w:tcPr>
          <w:p w14:paraId="34B1A71F">
            <w:pPr>
              <w:rPr>
                <w:rFonts w:ascii="Arial"/>
                <w:color w:val="auto"/>
                <w:sz w:val="21"/>
                <w:highlight w:val="none"/>
              </w:rPr>
            </w:pPr>
          </w:p>
        </w:tc>
      </w:tr>
      <w:tr w14:paraId="55943C3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5" w:type="dxa"/>
            <w:tcBorders>
              <w:left w:val="single" w:color="000000" w:sz="6" w:space="0"/>
            </w:tcBorders>
            <w:vAlign w:val="top"/>
          </w:tcPr>
          <w:p w14:paraId="4843516C">
            <w:pPr>
              <w:rPr>
                <w:rFonts w:ascii="Arial"/>
                <w:color w:val="auto"/>
                <w:sz w:val="21"/>
                <w:highlight w:val="none"/>
              </w:rPr>
            </w:pPr>
          </w:p>
        </w:tc>
        <w:tc>
          <w:tcPr>
            <w:tcW w:w="726" w:type="dxa"/>
            <w:vAlign w:val="top"/>
          </w:tcPr>
          <w:p w14:paraId="3FDBCF6C">
            <w:pPr>
              <w:rPr>
                <w:rFonts w:ascii="Arial"/>
                <w:color w:val="auto"/>
                <w:sz w:val="21"/>
                <w:highlight w:val="none"/>
              </w:rPr>
            </w:pPr>
          </w:p>
        </w:tc>
        <w:tc>
          <w:tcPr>
            <w:tcW w:w="726" w:type="dxa"/>
            <w:vAlign w:val="top"/>
          </w:tcPr>
          <w:p w14:paraId="4D3709CD">
            <w:pPr>
              <w:rPr>
                <w:rFonts w:ascii="Arial"/>
                <w:color w:val="auto"/>
                <w:sz w:val="21"/>
                <w:highlight w:val="none"/>
              </w:rPr>
            </w:pPr>
          </w:p>
        </w:tc>
        <w:tc>
          <w:tcPr>
            <w:tcW w:w="856" w:type="dxa"/>
            <w:vAlign w:val="top"/>
          </w:tcPr>
          <w:p w14:paraId="3F469E56">
            <w:pPr>
              <w:rPr>
                <w:rFonts w:ascii="Arial"/>
                <w:color w:val="auto"/>
                <w:sz w:val="21"/>
                <w:highlight w:val="none"/>
              </w:rPr>
            </w:pPr>
          </w:p>
        </w:tc>
        <w:tc>
          <w:tcPr>
            <w:tcW w:w="1131" w:type="dxa"/>
            <w:vAlign w:val="top"/>
          </w:tcPr>
          <w:p w14:paraId="3125F192">
            <w:pPr>
              <w:rPr>
                <w:rFonts w:ascii="Arial"/>
                <w:color w:val="auto"/>
                <w:sz w:val="21"/>
                <w:highlight w:val="none"/>
              </w:rPr>
            </w:pPr>
          </w:p>
        </w:tc>
        <w:tc>
          <w:tcPr>
            <w:tcW w:w="1134" w:type="dxa"/>
            <w:vAlign w:val="top"/>
          </w:tcPr>
          <w:p w14:paraId="102AF14F">
            <w:pPr>
              <w:rPr>
                <w:rFonts w:ascii="Arial"/>
                <w:color w:val="auto"/>
                <w:sz w:val="21"/>
                <w:highlight w:val="none"/>
              </w:rPr>
            </w:pPr>
          </w:p>
        </w:tc>
        <w:tc>
          <w:tcPr>
            <w:tcW w:w="1131" w:type="dxa"/>
            <w:vAlign w:val="top"/>
          </w:tcPr>
          <w:p w14:paraId="7282C72B">
            <w:pPr>
              <w:rPr>
                <w:rFonts w:ascii="Arial"/>
                <w:color w:val="auto"/>
                <w:sz w:val="21"/>
                <w:highlight w:val="none"/>
              </w:rPr>
            </w:pPr>
          </w:p>
        </w:tc>
        <w:tc>
          <w:tcPr>
            <w:tcW w:w="1134" w:type="dxa"/>
            <w:vAlign w:val="top"/>
          </w:tcPr>
          <w:p w14:paraId="3DE79051">
            <w:pPr>
              <w:rPr>
                <w:rFonts w:ascii="Arial"/>
                <w:color w:val="auto"/>
                <w:sz w:val="21"/>
                <w:highlight w:val="none"/>
              </w:rPr>
            </w:pPr>
          </w:p>
        </w:tc>
        <w:tc>
          <w:tcPr>
            <w:tcW w:w="1131" w:type="dxa"/>
            <w:vAlign w:val="top"/>
          </w:tcPr>
          <w:p w14:paraId="2E1FE608">
            <w:pPr>
              <w:rPr>
                <w:rFonts w:ascii="Arial"/>
                <w:color w:val="auto"/>
                <w:sz w:val="21"/>
                <w:highlight w:val="none"/>
              </w:rPr>
            </w:pPr>
          </w:p>
        </w:tc>
        <w:tc>
          <w:tcPr>
            <w:tcW w:w="1134" w:type="dxa"/>
            <w:vAlign w:val="top"/>
          </w:tcPr>
          <w:p w14:paraId="5CACD35A">
            <w:pPr>
              <w:rPr>
                <w:rFonts w:ascii="Arial"/>
                <w:color w:val="auto"/>
                <w:sz w:val="21"/>
                <w:highlight w:val="none"/>
              </w:rPr>
            </w:pPr>
          </w:p>
        </w:tc>
        <w:tc>
          <w:tcPr>
            <w:tcW w:w="1132" w:type="dxa"/>
            <w:vAlign w:val="top"/>
          </w:tcPr>
          <w:p w14:paraId="155D9017">
            <w:pPr>
              <w:rPr>
                <w:rFonts w:ascii="Arial"/>
                <w:color w:val="auto"/>
                <w:sz w:val="21"/>
                <w:highlight w:val="none"/>
              </w:rPr>
            </w:pPr>
          </w:p>
        </w:tc>
        <w:tc>
          <w:tcPr>
            <w:tcW w:w="851" w:type="dxa"/>
            <w:vAlign w:val="top"/>
          </w:tcPr>
          <w:p w14:paraId="63D3B190">
            <w:pPr>
              <w:rPr>
                <w:rFonts w:ascii="Arial"/>
                <w:color w:val="auto"/>
                <w:sz w:val="21"/>
                <w:highlight w:val="none"/>
              </w:rPr>
            </w:pPr>
          </w:p>
        </w:tc>
        <w:tc>
          <w:tcPr>
            <w:tcW w:w="858" w:type="dxa"/>
            <w:tcBorders>
              <w:right w:val="single" w:color="000000" w:sz="6" w:space="0"/>
            </w:tcBorders>
            <w:vAlign w:val="top"/>
          </w:tcPr>
          <w:p w14:paraId="3E4F2364">
            <w:pPr>
              <w:rPr>
                <w:rFonts w:ascii="Arial"/>
                <w:color w:val="auto"/>
                <w:sz w:val="21"/>
                <w:highlight w:val="none"/>
              </w:rPr>
            </w:pPr>
          </w:p>
        </w:tc>
      </w:tr>
      <w:tr w14:paraId="292A225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35" w:type="dxa"/>
            <w:tcBorders>
              <w:left w:val="single" w:color="000000" w:sz="6" w:space="0"/>
            </w:tcBorders>
            <w:vAlign w:val="top"/>
          </w:tcPr>
          <w:p w14:paraId="079A103A">
            <w:pPr>
              <w:rPr>
                <w:rFonts w:ascii="Arial"/>
                <w:color w:val="auto"/>
                <w:sz w:val="21"/>
                <w:highlight w:val="none"/>
              </w:rPr>
            </w:pPr>
          </w:p>
        </w:tc>
        <w:tc>
          <w:tcPr>
            <w:tcW w:w="726" w:type="dxa"/>
            <w:vAlign w:val="top"/>
          </w:tcPr>
          <w:p w14:paraId="745A599F">
            <w:pPr>
              <w:rPr>
                <w:rFonts w:ascii="Arial"/>
                <w:color w:val="auto"/>
                <w:sz w:val="21"/>
                <w:highlight w:val="none"/>
              </w:rPr>
            </w:pPr>
          </w:p>
        </w:tc>
        <w:tc>
          <w:tcPr>
            <w:tcW w:w="726" w:type="dxa"/>
            <w:vAlign w:val="top"/>
          </w:tcPr>
          <w:p w14:paraId="7601875A">
            <w:pPr>
              <w:rPr>
                <w:rFonts w:ascii="Arial"/>
                <w:color w:val="auto"/>
                <w:sz w:val="21"/>
                <w:highlight w:val="none"/>
              </w:rPr>
            </w:pPr>
          </w:p>
        </w:tc>
        <w:tc>
          <w:tcPr>
            <w:tcW w:w="856" w:type="dxa"/>
            <w:vAlign w:val="top"/>
          </w:tcPr>
          <w:p w14:paraId="3712DD8D">
            <w:pPr>
              <w:rPr>
                <w:rFonts w:ascii="Arial"/>
                <w:color w:val="auto"/>
                <w:sz w:val="21"/>
                <w:highlight w:val="none"/>
              </w:rPr>
            </w:pPr>
          </w:p>
        </w:tc>
        <w:tc>
          <w:tcPr>
            <w:tcW w:w="1131" w:type="dxa"/>
            <w:vAlign w:val="top"/>
          </w:tcPr>
          <w:p w14:paraId="4E2F1EC6">
            <w:pPr>
              <w:rPr>
                <w:rFonts w:ascii="Arial"/>
                <w:color w:val="auto"/>
                <w:sz w:val="21"/>
                <w:highlight w:val="none"/>
              </w:rPr>
            </w:pPr>
          </w:p>
        </w:tc>
        <w:tc>
          <w:tcPr>
            <w:tcW w:w="1134" w:type="dxa"/>
            <w:vAlign w:val="top"/>
          </w:tcPr>
          <w:p w14:paraId="278E8910">
            <w:pPr>
              <w:rPr>
                <w:rFonts w:ascii="Arial"/>
                <w:color w:val="auto"/>
                <w:sz w:val="21"/>
                <w:highlight w:val="none"/>
              </w:rPr>
            </w:pPr>
          </w:p>
        </w:tc>
        <w:tc>
          <w:tcPr>
            <w:tcW w:w="1131" w:type="dxa"/>
            <w:vAlign w:val="top"/>
          </w:tcPr>
          <w:p w14:paraId="378FD376">
            <w:pPr>
              <w:rPr>
                <w:rFonts w:ascii="Arial"/>
                <w:color w:val="auto"/>
                <w:sz w:val="21"/>
                <w:highlight w:val="none"/>
              </w:rPr>
            </w:pPr>
          </w:p>
        </w:tc>
        <w:tc>
          <w:tcPr>
            <w:tcW w:w="1134" w:type="dxa"/>
            <w:vAlign w:val="top"/>
          </w:tcPr>
          <w:p w14:paraId="77B071B8">
            <w:pPr>
              <w:rPr>
                <w:rFonts w:ascii="Arial"/>
                <w:color w:val="auto"/>
                <w:sz w:val="21"/>
                <w:highlight w:val="none"/>
              </w:rPr>
            </w:pPr>
          </w:p>
        </w:tc>
        <w:tc>
          <w:tcPr>
            <w:tcW w:w="1131" w:type="dxa"/>
            <w:vAlign w:val="top"/>
          </w:tcPr>
          <w:p w14:paraId="36DEF088">
            <w:pPr>
              <w:rPr>
                <w:rFonts w:ascii="Arial"/>
                <w:color w:val="auto"/>
                <w:sz w:val="21"/>
                <w:highlight w:val="none"/>
              </w:rPr>
            </w:pPr>
          </w:p>
        </w:tc>
        <w:tc>
          <w:tcPr>
            <w:tcW w:w="1134" w:type="dxa"/>
            <w:vAlign w:val="top"/>
          </w:tcPr>
          <w:p w14:paraId="70AA4C09">
            <w:pPr>
              <w:rPr>
                <w:rFonts w:ascii="Arial"/>
                <w:color w:val="auto"/>
                <w:sz w:val="21"/>
                <w:highlight w:val="none"/>
              </w:rPr>
            </w:pPr>
          </w:p>
        </w:tc>
        <w:tc>
          <w:tcPr>
            <w:tcW w:w="1132" w:type="dxa"/>
            <w:vAlign w:val="top"/>
          </w:tcPr>
          <w:p w14:paraId="036A519F">
            <w:pPr>
              <w:rPr>
                <w:rFonts w:ascii="Arial"/>
                <w:color w:val="auto"/>
                <w:sz w:val="21"/>
                <w:highlight w:val="none"/>
              </w:rPr>
            </w:pPr>
          </w:p>
        </w:tc>
        <w:tc>
          <w:tcPr>
            <w:tcW w:w="851" w:type="dxa"/>
            <w:vAlign w:val="top"/>
          </w:tcPr>
          <w:p w14:paraId="263C1D95">
            <w:pPr>
              <w:rPr>
                <w:rFonts w:ascii="Arial"/>
                <w:color w:val="auto"/>
                <w:sz w:val="21"/>
                <w:highlight w:val="none"/>
              </w:rPr>
            </w:pPr>
          </w:p>
        </w:tc>
        <w:tc>
          <w:tcPr>
            <w:tcW w:w="858" w:type="dxa"/>
            <w:tcBorders>
              <w:right w:val="single" w:color="000000" w:sz="6" w:space="0"/>
            </w:tcBorders>
            <w:vAlign w:val="top"/>
          </w:tcPr>
          <w:p w14:paraId="691EB957">
            <w:pPr>
              <w:rPr>
                <w:rFonts w:ascii="Arial"/>
                <w:color w:val="auto"/>
                <w:sz w:val="21"/>
                <w:highlight w:val="none"/>
              </w:rPr>
            </w:pPr>
          </w:p>
        </w:tc>
      </w:tr>
      <w:tr w14:paraId="00590DD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5" w:type="dxa"/>
            <w:tcBorders>
              <w:left w:val="single" w:color="000000" w:sz="6" w:space="0"/>
            </w:tcBorders>
            <w:vAlign w:val="top"/>
          </w:tcPr>
          <w:p w14:paraId="5804A4FD">
            <w:pPr>
              <w:rPr>
                <w:rFonts w:ascii="Arial"/>
                <w:color w:val="auto"/>
                <w:sz w:val="21"/>
                <w:highlight w:val="none"/>
              </w:rPr>
            </w:pPr>
          </w:p>
        </w:tc>
        <w:tc>
          <w:tcPr>
            <w:tcW w:w="726" w:type="dxa"/>
            <w:vAlign w:val="top"/>
          </w:tcPr>
          <w:p w14:paraId="5090F363">
            <w:pPr>
              <w:rPr>
                <w:rFonts w:ascii="Arial"/>
                <w:color w:val="auto"/>
                <w:sz w:val="21"/>
                <w:highlight w:val="none"/>
              </w:rPr>
            </w:pPr>
          </w:p>
        </w:tc>
        <w:tc>
          <w:tcPr>
            <w:tcW w:w="726" w:type="dxa"/>
            <w:vAlign w:val="top"/>
          </w:tcPr>
          <w:p w14:paraId="44EE71E4">
            <w:pPr>
              <w:rPr>
                <w:rFonts w:ascii="Arial"/>
                <w:color w:val="auto"/>
                <w:sz w:val="21"/>
                <w:highlight w:val="none"/>
              </w:rPr>
            </w:pPr>
          </w:p>
        </w:tc>
        <w:tc>
          <w:tcPr>
            <w:tcW w:w="856" w:type="dxa"/>
            <w:vAlign w:val="top"/>
          </w:tcPr>
          <w:p w14:paraId="4345CEF7">
            <w:pPr>
              <w:rPr>
                <w:rFonts w:ascii="Arial"/>
                <w:color w:val="auto"/>
                <w:sz w:val="21"/>
                <w:highlight w:val="none"/>
              </w:rPr>
            </w:pPr>
          </w:p>
        </w:tc>
        <w:tc>
          <w:tcPr>
            <w:tcW w:w="1131" w:type="dxa"/>
            <w:vAlign w:val="top"/>
          </w:tcPr>
          <w:p w14:paraId="4C6F1BB8">
            <w:pPr>
              <w:rPr>
                <w:rFonts w:ascii="Arial"/>
                <w:color w:val="auto"/>
                <w:sz w:val="21"/>
                <w:highlight w:val="none"/>
              </w:rPr>
            </w:pPr>
          </w:p>
        </w:tc>
        <w:tc>
          <w:tcPr>
            <w:tcW w:w="1134" w:type="dxa"/>
            <w:vAlign w:val="top"/>
          </w:tcPr>
          <w:p w14:paraId="3DE2AE83">
            <w:pPr>
              <w:rPr>
                <w:rFonts w:ascii="Arial"/>
                <w:color w:val="auto"/>
                <w:sz w:val="21"/>
                <w:highlight w:val="none"/>
              </w:rPr>
            </w:pPr>
          </w:p>
        </w:tc>
        <w:tc>
          <w:tcPr>
            <w:tcW w:w="1131" w:type="dxa"/>
            <w:vAlign w:val="top"/>
          </w:tcPr>
          <w:p w14:paraId="15A0D0BF">
            <w:pPr>
              <w:rPr>
                <w:rFonts w:ascii="Arial"/>
                <w:color w:val="auto"/>
                <w:sz w:val="21"/>
                <w:highlight w:val="none"/>
              </w:rPr>
            </w:pPr>
          </w:p>
        </w:tc>
        <w:tc>
          <w:tcPr>
            <w:tcW w:w="1134" w:type="dxa"/>
            <w:vAlign w:val="top"/>
          </w:tcPr>
          <w:p w14:paraId="7B67F02C">
            <w:pPr>
              <w:rPr>
                <w:rFonts w:ascii="Arial"/>
                <w:color w:val="auto"/>
                <w:sz w:val="21"/>
                <w:highlight w:val="none"/>
              </w:rPr>
            </w:pPr>
          </w:p>
        </w:tc>
        <w:tc>
          <w:tcPr>
            <w:tcW w:w="1131" w:type="dxa"/>
            <w:vAlign w:val="top"/>
          </w:tcPr>
          <w:p w14:paraId="3735C332">
            <w:pPr>
              <w:rPr>
                <w:rFonts w:ascii="Arial"/>
                <w:color w:val="auto"/>
                <w:sz w:val="21"/>
                <w:highlight w:val="none"/>
              </w:rPr>
            </w:pPr>
          </w:p>
        </w:tc>
        <w:tc>
          <w:tcPr>
            <w:tcW w:w="1134" w:type="dxa"/>
            <w:vAlign w:val="top"/>
          </w:tcPr>
          <w:p w14:paraId="3821F0C4">
            <w:pPr>
              <w:rPr>
                <w:rFonts w:ascii="Arial"/>
                <w:color w:val="auto"/>
                <w:sz w:val="21"/>
                <w:highlight w:val="none"/>
              </w:rPr>
            </w:pPr>
          </w:p>
        </w:tc>
        <w:tc>
          <w:tcPr>
            <w:tcW w:w="1132" w:type="dxa"/>
            <w:vAlign w:val="top"/>
          </w:tcPr>
          <w:p w14:paraId="063749B4">
            <w:pPr>
              <w:rPr>
                <w:rFonts w:ascii="Arial"/>
                <w:color w:val="auto"/>
                <w:sz w:val="21"/>
                <w:highlight w:val="none"/>
              </w:rPr>
            </w:pPr>
          </w:p>
        </w:tc>
        <w:tc>
          <w:tcPr>
            <w:tcW w:w="851" w:type="dxa"/>
            <w:vAlign w:val="top"/>
          </w:tcPr>
          <w:p w14:paraId="4B3EB824">
            <w:pPr>
              <w:rPr>
                <w:rFonts w:ascii="Arial"/>
                <w:color w:val="auto"/>
                <w:sz w:val="21"/>
                <w:highlight w:val="none"/>
              </w:rPr>
            </w:pPr>
          </w:p>
        </w:tc>
        <w:tc>
          <w:tcPr>
            <w:tcW w:w="858" w:type="dxa"/>
            <w:tcBorders>
              <w:right w:val="single" w:color="000000" w:sz="6" w:space="0"/>
            </w:tcBorders>
            <w:vAlign w:val="top"/>
          </w:tcPr>
          <w:p w14:paraId="0C72FCBB">
            <w:pPr>
              <w:rPr>
                <w:rFonts w:ascii="Arial"/>
                <w:color w:val="auto"/>
                <w:sz w:val="21"/>
                <w:highlight w:val="none"/>
              </w:rPr>
            </w:pPr>
          </w:p>
        </w:tc>
      </w:tr>
      <w:tr w14:paraId="262BA72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5" w:type="dxa"/>
            <w:tcBorders>
              <w:left w:val="single" w:color="000000" w:sz="6" w:space="0"/>
            </w:tcBorders>
            <w:vAlign w:val="top"/>
          </w:tcPr>
          <w:p w14:paraId="6E4DDFEA">
            <w:pPr>
              <w:rPr>
                <w:rFonts w:ascii="Arial"/>
                <w:color w:val="auto"/>
                <w:sz w:val="21"/>
                <w:highlight w:val="none"/>
              </w:rPr>
            </w:pPr>
          </w:p>
        </w:tc>
        <w:tc>
          <w:tcPr>
            <w:tcW w:w="726" w:type="dxa"/>
            <w:vAlign w:val="top"/>
          </w:tcPr>
          <w:p w14:paraId="68481A23">
            <w:pPr>
              <w:rPr>
                <w:rFonts w:ascii="Arial"/>
                <w:color w:val="auto"/>
                <w:sz w:val="21"/>
                <w:highlight w:val="none"/>
              </w:rPr>
            </w:pPr>
          </w:p>
        </w:tc>
        <w:tc>
          <w:tcPr>
            <w:tcW w:w="726" w:type="dxa"/>
            <w:vAlign w:val="top"/>
          </w:tcPr>
          <w:p w14:paraId="1A8D33C6">
            <w:pPr>
              <w:rPr>
                <w:rFonts w:ascii="Arial"/>
                <w:color w:val="auto"/>
                <w:sz w:val="21"/>
                <w:highlight w:val="none"/>
              </w:rPr>
            </w:pPr>
          </w:p>
        </w:tc>
        <w:tc>
          <w:tcPr>
            <w:tcW w:w="856" w:type="dxa"/>
            <w:vAlign w:val="top"/>
          </w:tcPr>
          <w:p w14:paraId="5D860ED6">
            <w:pPr>
              <w:rPr>
                <w:rFonts w:ascii="Arial"/>
                <w:color w:val="auto"/>
                <w:sz w:val="21"/>
                <w:highlight w:val="none"/>
              </w:rPr>
            </w:pPr>
          </w:p>
        </w:tc>
        <w:tc>
          <w:tcPr>
            <w:tcW w:w="1131" w:type="dxa"/>
            <w:vAlign w:val="top"/>
          </w:tcPr>
          <w:p w14:paraId="37164C61">
            <w:pPr>
              <w:rPr>
                <w:rFonts w:ascii="Arial"/>
                <w:color w:val="auto"/>
                <w:sz w:val="21"/>
                <w:highlight w:val="none"/>
              </w:rPr>
            </w:pPr>
          </w:p>
        </w:tc>
        <w:tc>
          <w:tcPr>
            <w:tcW w:w="1134" w:type="dxa"/>
            <w:vAlign w:val="top"/>
          </w:tcPr>
          <w:p w14:paraId="50B3E0F0">
            <w:pPr>
              <w:rPr>
                <w:rFonts w:ascii="Arial"/>
                <w:color w:val="auto"/>
                <w:sz w:val="21"/>
                <w:highlight w:val="none"/>
              </w:rPr>
            </w:pPr>
          </w:p>
        </w:tc>
        <w:tc>
          <w:tcPr>
            <w:tcW w:w="1131" w:type="dxa"/>
            <w:vAlign w:val="top"/>
          </w:tcPr>
          <w:p w14:paraId="32A006D4">
            <w:pPr>
              <w:rPr>
                <w:rFonts w:ascii="Arial"/>
                <w:color w:val="auto"/>
                <w:sz w:val="21"/>
                <w:highlight w:val="none"/>
              </w:rPr>
            </w:pPr>
          </w:p>
        </w:tc>
        <w:tc>
          <w:tcPr>
            <w:tcW w:w="1134" w:type="dxa"/>
            <w:vAlign w:val="top"/>
          </w:tcPr>
          <w:p w14:paraId="1FDE2278">
            <w:pPr>
              <w:rPr>
                <w:rFonts w:ascii="Arial"/>
                <w:color w:val="auto"/>
                <w:sz w:val="21"/>
                <w:highlight w:val="none"/>
              </w:rPr>
            </w:pPr>
          </w:p>
        </w:tc>
        <w:tc>
          <w:tcPr>
            <w:tcW w:w="1131" w:type="dxa"/>
            <w:vAlign w:val="top"/>
          </w:tcPr>
          <w:p w14:paraId="513F8CEA">
            <w:pPr>
              <w:rPr>
                <w:rFonts w:ascii="Arial"/>
                <w:color w:val="auto"/>
                <w:sz w:val="21"/>
                <w:highlight w:val="none"/>
              </w:rPr>
            </w:pPr>
          </w:p>
        </w:tc>
        <w:tc>
          <w:tcPr>
            <w:tcW w:w="1134" w:type="dxa"/>
            <w:vAlign w:val="top"/>
          </w:tcPr>
          <w:p w14:paraId="67BA5D98">
            <w:pPr>
              <w:rPr>
                <w:rFonts w:ascii="Arial"/>
                <w:color w:val="auto"/>
                <w:sz w:val="21"/>
                <w:highlight w:val="none"/>
              </w:rPr>
            </w:pPr>
          </w:p>
        </w:tc>
        <w:tc>
          <w:tcPr>
            <w:tcW w:w="1132" w:type="dxa"/>
            <w:vAlign w:val="top"/>
          </w:tcPr>
          <w:p w14:paraId="3F1BBF09">
            <w:pPr>
              <w:rPr>
                <w:rFonts w:ascii="Arial"/>
                <w:color w:val="auto"/>
                <w:sz w:val="21"/>
                <w:highlight w:val="none"/>
              </w:rPr>
            </w:pPr>
          </w:p>
        </w:tc>
        <w:tc>
          <w:tcPr>
            <w:tcW w:w="851" w:type="dxa"/>
            <w:vAlign w:val="top"/>
          </w:tcPr>
          <w:p w14:paraId="49211494">
            <w:pPr>
              <w:rPr>
                <w:rFonts w:ascii="Arial"/>
                <w:color w:val="auto"/>
                <w:sz w:val="21"/>
                <w:highlight w:val="none"/>
              </w:rPr>
            </w:pPr>
          </w:p>
        </w:tc>
        <w:tc>
          <w:tcPr>
            <w:tcW w:w="858" w:type="dxa"/>
            <w:tcBorders>
              <w:right w:val="single" w:color="000000" w:sz="6" w:space="0"/>
            </w:tcBorders>
            <w:vAlign w:val="top"/>
          </w:tcPr>
          <w:p w14:paraId="762B7691">
            <w:pPr>
              <w:rPr>
                <w:rFonts w:ascii="Arial"/>
                <w:color w:val="auto"/>
                <w:sz w:val="21"/>
                <w:highlight w:val="none"/>
              </w:rPr>
            </w:pPr>
          </w:p>
        </w:tc>
      </w:tr>
      <w:tr w14:paraId="212D14B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8" w:hRule="atLeast"/>
        </w:trPr>
        <w:tc>
          <w:tcPr>
            <w:tcW w:w="535" w:type="dxa"/>
            <w:tcBorders>
              <w:left w:val="single" w:color="000000" w:sz="6" w:space="0"/>
            </w:tcBorders>
            <w:vAlign w:val="top"/>
          </w:tcPr>
          <w:p w14:paraId="2B7E547C">
            <w:pPr>
              <w:rPr>
                <w:rFonts w:ascii="Arial"/>
                <w:color w:val="auto"/>
                <w:sz w:val="21"/>
                <w:highlight w:val="none"/>
              </w:rPr>
            </w:pPr>
          </w:p>
        </w:tc>
        <w:tc>
          <w:tcPr>
            <w:tcW w:w="726" w:type="dxa"/>
            <w:vAlign w:val="top"/>
          </w:tcPr>
          <w:p w14:paraId="37D1C4D8">
            <w:pPr>
              <w:rPr>
                <w:rFonts w:ascii="Arial"/>
                <w:color w:val="auto"/>
                <w:sz w:val="21"/>
                <w:highlight w:val="none"/>
              </w:rPr>
            </w:pPr>
          </w:p>
        </w:tc>
        <w:tc>
          <w:tcPr>
            <w:tcW w:w="726" w:type="dxa"/>
            <w:vAlign w:val="top"/>
          </w:tcPr>
          <w:p w14:paraId="260761C1">
            <w:pPr>
              <w:rPr>
                <w:rFonts w:ascii="Arial"/>
                <w:color w:val="auto"/>
                <w:sz w:val="21"/>
                <w:highlight w:val="none"/>
              </w:rPr>
            </w:pPr>
          </w:p>
        </w:tc>
        <w:tc>
          <w:tcPr>
            <w:tcW w:w="856" w:type="dxa"/>
            <w:vAlign w:val="top"/>
          </w:tcPr>
          <w:p w14:paraId="22F90664">
            <w:pPr>
              <w:rPr>
                <w:rFonts w:ascii="Arial"/>
                <w:color w:val="auto"/>
                <w:sz w:val="21"/>
                <w:highlight w:val="none"/>
              </w:rPr>
            </w:pPr>
          </w:p>
        </w:tc>
        <w:tc>
          <w:tcPr>
            <w:tcW w:w="1131" w:type="dxa"/>
            <w:vAlign w:val="top"/>
          </w:tcPr>
          <w:p w14:paraId="4AEF8AB9">
            <w:pPr>
              <w:rPr>
                <w:rFonts w:ascii="Arial"/>
                <w:color w:val="auto"/>
                <w:sz w:val="21"/>
                <w:highlight w:val="none"/>
              </w:rPr>
            </w:pPr>
          </w:p>
        </w:tc>
        <w:tc>
          <w:tcPr>
            <w:tcW w:w="1134" w:type="dxa"/>
            <w:vAlign w:val="top"/>
          </w:tcPr>
          <w:p w14:paraId="187AEA4E">
            <w:pPr>
              <w:rPr>
                <w:rFonts w:ascii="Arial"/>
                <w:color w:val="auto"/>
                <w:sz w:val="21"/>
                <w:highlight w:val="none"/>
              </w:rPr>
            </w:pPr>
          </w:p>
        </w:tc>
        <w:tc>
          <w:tcPr>
            <w:tcW w:w="1131" w:type="dxa"/>
            <w:vAlign w:val="top"/>
          </w:tcPr>
          <w:p w14:paraId="0CFAC5BE">
            <w:pPr>
              <w:rPr>
                <w:rFonts w:ascii="Arial"/>
                <w:color w:val="auto"/>
                <w:sz w:val="21"/>
                <w:highlight w:val="none"/>
              </w:rPr>
            </w:pPr>
          </w:p>
        </w:tc>
        <w:tc>
          <w:tcPr>
            <w:tcW w:w="1134" w:type="dxa"/>
            <w:vAlign w:val="top"/>
          </w:tcPr>
          <w:p w14:paraId="48D94B11">
            <w:pPr>
              <w:rPr>
                <w:rFonts w:ascii="Arial"/>
                <w:color w:val="auto"/>
                <w:sz w:val="21"/>
                <w:highlight w:val="none"/>
              </w:rPr>
            </w:pPr>
          </w:p>
        </w:tc>
        <w:tc>
          <w:tcPr>
            <w:tcW w:w="1131" w:type="dxa"/>
            <w:vAlign w:val="top"/>
          </w:tcPr>
          <w:p w14:paraId="1CBD79A0">
            <w:pPr>
              <w:rPr>
                <w:rFonts w:ascii="Arial"/>
                <w:color w:val="auto"/>
                <w:sz w:val="21"/>
                <w:highlight w:val="none"/>
              </w:rPr>
            </w:pPr>
          </w:p>
        </w:tc>
        <w:tc>
          <w:tcPr>
            <w:tcW w:w="1134" w:type="dxa"/>
            <w:vAlign w:val="top"/>
          </w:tcPr>
          <w:p w14:paraId="3A6E8BB6">
            <w:pPr>
              <w:rPr>
                <w:rFonts w:ascii="Arial"/>
                <w:color w:val="auto"/>
                <w:sz w:val="21"/>
                <w:highlight w:val="none"/>
              </w:rPr>
            </w:pPr>
          </w:p>
        </w:tc>
        <w:tc>
          <w:tcPr>
            <w:tcW w:w="1132" w:type="dxa"/>
            <w:vAlign w:val="top"/>
          </w:tcPr>
          <w:p w14:paraId="1505005C">
            <w:pPr>
              <w:rPr>
                <w:rFonts w:ascii="Arial"/>
                <w:color w:val="auto"/>
                <w:sz w:val="21"/>
                <w:highlight w:val="none"/>
              </w:rPr>
            </w:pPr>
          </w:p>
        </w:tc>
        <w:tc>
          <w:tcPr>
            <w:tcW w:w="851" w:type="dxa"/>
            <w:vAlign w:val="top"/>
          </w:tcPr>
          <w:p w14:paraId="43C30B09">
            <w:pPr>
              <w:rPr>
                <w:rFonts w:ascii="Arial"/>
                <w:color w:val="auto"/>
                <w:sz w:val="21"/>
                <w:highlight w:val="none"/>
              </w:rPr>
            </w:pPr>
          </w:p>
        </w:tc>
        <w:tc>
          <w:tcPr>
            <w:tcW w:w="858" w:type="dxa"/>
            <w:tcBorders>
              <w:right w:val="single" w:color="000000" w:sz="6" w:space="0"/>
            </w:tcBorders>
            <w:vAlign w:val="top"/>
          </w:tcPr>
          <w:p w14:paraId="45FA3F2D">
            <w:pPr>
              <w:rPr>
                <w:rFonts w:ascii="Arial"/>
                <w:color w:val="auto"/>
                <w:sz w:val="21"/>
                <w:highlight w:val="none"/>
              </w:rPr>
            </w:pPr>
          </w:p>
        </w:tc>
      </w:tr>
      <w:tr w14:paraId="29A9A5E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09" w:hRule="atLeast"/>
        </w:trPr>
        <w:tc>
          <w:tcPr>
            <w:tcW w:w="535" w:type="dxa"/>
            <w:tcBorders>
              <w:left w:val="single" w:color="000000" w:sz="6" w:space="0"/>
            </w:tcBorders>
            <w:vAlign w:val="top"/>
          </w:tcPr>
          <w:p w14:paraId="72F58271">
            <w:pPr>
              <w:rPr>
                <w:rFonts w:ascii="Arial"/>
                <w:color w:val="auto"/>
                <w:sz w:val="21"/>
                <w:highlight w:val="none"/>
              </w:rPr>
            </w:pPr>
          </w:p>
        </w:tc>
        <w:tc>
          <w:tcPr>
            <w:tcW w:w="726" w:type="dxa"/>
            <w:vAlign w:val="top"/>
          </w:tcPr>
          <w:p w14:paraId="42E482C4">
            <w:pPr>
              <w:rPr>
                <w:rFonts w:ascii="Arial"/>
                <w:color w:val="auto"/>
                <w:sz w:val="21"/>
                <w:highlight w:val="none"/>
              </w:rPr>
            </w:pPr>
          </w:p>
        </w:tc>
        <w:tc>
          <w:tcPr>
            <w:tcW w:w="726" w:type="dxa"/>
            <w:vAlign w:val="top"/>
          </w:tcPr>
          <w:p w14:paraId="1CF95888">
            <w:pPr>
              <w:rPr>
                <w:rFonts w:ascii="Arial"/>
                <w:color w:val="auto"/>
                <w:sz w:val="21"/>
                <w:highlight w:val="none"/>
              </w:rPr>
            </w:pPr>
          </w:p>
        </w:tc>
        <w:tc>
          <w:tcPr>
            <w:tcW w:w="856" w:type="dxa"/>
            <w:vAlign w:val="top"/>
          </w:tcPr>
          <w:p w14:paraId="5F003788">
            <w:pPr>
              <w:rPr>
                <w:rFonts w:ascii="Arial"/>
                <w:color w:val="auto"/>
                <w:sz w:val="21"/>
                <w:highlight w:val="none"/>
              </w:rPr>
            </w:pPr>
          </w:p>
        </w:tc>
        <w:tc>
          <w:tcPr>
            <w:tcW w:w="1131" w:type="dxa"/>
            <w:vAlign w:val="top"/>
          </w:tcPr>
          <w:p w14:paraId="0FC69D6F">
            <w:pPr>
              <w:rPr>
                <w:rFonts w:ascii="Arial"/>
                <w:color w:val="auto"/>
                <w:sz w:val="21"/>
                <w:highlight w:val="none"/>
              </w:rPr>
            </w:pPr>
          </w:p>
        </w:tc>
        <w:tc>
          <w:tcPr>
            <w:tcW w:w="1134" w:type="dxa"/>
            <w:vAlign w:val="top"/>
          </w:tcPr>
          <w:p w14:paraId="7F17D2C2">
            <w:pPr>
              <w:rPr>
                <w:rFonts w:ascii="Arial"/>
                <w:color w:val="auto"/>
                <w:sz w:val="21"/>
                <w:highlight w:val="none"/>
              </w:rPr>
            </w:pPr>
          </w:p>
        </w:tc>
        <w:tc>
          <w:tcPr>
            <w:tcW w:w="1131" w:type="dxa"/>
            <w:vAlign w:val="top"/>
          </w:tcPr>
          <w:p w14:paraId="1892D9CB">
            <w:pPr>
              <w:rPr>
                <w:rFonts w:ascii="Arial"/>
                <w:color w:val="auto"/>
                <w:sz w:val="21"/>
                <w:highlight w:val="none"/>
              </w:rPr>
            </w:pPr>
          </w:p>
        </w:tc>
        <w:tc>
          <w:tcPr>
            <w:tcW w:w="1134" w:type="dxa"/>
            <w:vAlign w:val="top"/>
          </w:tcPr>
          <w:p w14:paraId="063C2121">
            <w:pPr>
              <w:rPr>
                <w:rFonts w:ascii="Arial"/>
                <w:color w:val="auto"/>
                <w:sz w:val="21"/>
                <w:highlight w:val="none"/>
              </w:rPr>
            </w:pPr>
          </w:p>
        </w:tc>
        <w:tc>
          <w:tcPr>
            <w:tcW w:w="1131" w:type="dxa"/>
            <w:vAlign w:val="top"/>
          </w:tcPr>
          <w:p w14:paraId="538DB2F3">
            <w:pPr>
              <w:rPr>
                <w:rFonts w:ascii="Arial"/>
                <w:color w:val="auto"/>
                <w:sz w:val="21"/>
                <w:highlight w:val="none"/>
              </w:rPr>
            </w:pPr>
          </w:p>
        </w:tc>
        <w:tc>
          <w:tcPr>
            <w:tcW w:w="1134" w:type="dxa"/>
            <w:vAlign w:val="top"/>
          </w:tcPr>
          <w:p w14:paraId="4F2AA5CB">
            <w:pPr>
              <w:rPr>
                <w:rFonts w:ascii="Arial"/>
                <w:color w:val="auto"/>
                <w:sz w:val="21"/>
                <w:highlight w:val="none"/>
              </w:rPr>
            </w:pPr>
          </w:p>
        </w:tc>
        <w:tc>
          <w:tcPr>
            <w:tcW w:w="1132" w:type="dxa"/>
            <w:vAlign w:val="top"/>
          </w:tcPr>
          <w:p w14:paraId="0CA06875">
            <w:pPr>
              <w:rPr>
                <w:rFonts w:ascii="Arial"/>
                <w:color w:val="auto"/>
                <w:sz w:val="21"/>
                <w:highlight w:val="none"/>
              </w:rPr>
            </w:pPr>
          </w:p>
        </w:tc>
        <w:tc>
          <w:tcPr>
            <w:tcW w:w="851" w:type="dxa"/>
            <w:vAlign w:val="top"/>
          </w:tcPr>
          <w:p w14:paraId="6EDE99F7">
            <w:pPr>
              <w:rPr>
                <w:rFonts w:ascii="Arial"/>
                <w:color w:val="auto"/>
                <w:sz w:val="21"/>
                <w:highlight w:val="none"/>
              </w:rPr>
            </w:pPr>
          </w:p>
        </w:tc>
        <w:tc>
          <w:tcPr>
            <w:tcW w:w="858" w:type="dxa"/>
            <w:tcBorders>
              <w:right w:val="single" w:color="000000" w:sz="6" w:space="0"/>
            </w:tcBorders>
            <w:vAlign w:val="top"/>
          </w:tcPr>
          <w:p w14:paraId="069F85B2">
            <w:pPr>
              <w:rPr>
                <w:rFonts w:ascii="Arial"/>
                <w:color w:val="auto"/>
                <w:sz w:val="21"/>
                <w:highlight w:val="none"/>
              </w:rPr>
            </w:pPr>
          </w:p>
        </w:tc>
      </w:tr>
      <w:tr w14:paraId="77B24D8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3" w:hRule="atLeast"/>
        </w:trPr>
        <w:tc>
          <w:tcPr>
            <w:tcW w:w="535" w:type="dxa"/>
            <w:tcBorders>
              <w:left w:val="single" w:color="000000" w:sz="6" w:space="0"/>
              <w:bottom w:val="single" w:color="000000" w:sz="6" w:space="0"/>
            </w:tcBorders>
            <w:vAlign w:val="top"/>
          </w:tcPr>
          <w:p w14:paraId="2146B7B2">
            <w:pPr>
              <w:rPr>
                <w:rFonts w:ascii="Arial"/>
                <w:color w:val="auto"/>
                <w:sz w:val="21"/>
                <w:highlight w:val="none"/>
              </w:rPr>
            </w:pPr>
          </w:p>
        </w:tc>
        <w:tc>
          <w:tcPr>
            <w:tcW w:w="726" w:type="dxa"/>
            <w:tcBorders>
              <w:bottom w:val="single" w:color="000000" w:sz="6" w:space="0"/>
            </w:tcBorders>
            <w:vAlign w:val="top"/>
          </w:tcPr>
          <w:p w14:paraId="0D0DDE73">
            <w:pPr>
              <w:rPr>
                <w:rFonts w:ascii="Arial"/>
                <w:color w:val="auto"/>
                <w:sz w:val="21"/>
                <w:highlight w:val="none"/>
              </w:rPr>
            </w:pPr>
          </w:p>
        </w:tc>
        <w:tc>
          <w:tcPr>
            <w:tcW w:w="726" w:type="dxa"/>
            <w:tcBorders>
              <w:bottom w:val="single" w:color="000000" w:sz="6" w:space="0"/>
            </w:tcBorders>
            <w:vAlign w:val="top"/>
          </w:tcPr>
          <w:p w14:paraId="01EF3164">
            <w:pPr>
              <w:rPr>
                <w:rFonts w:ascii="Arial"/>
                <w:color w:val="auto"/>
                <w:sz w:val="21"/>
                <w:highlight w:val="none"/>
              </w:rPr>
            </w:pPr>
          </w:p>
        </w:tc>
        <w:tc>
          <w:tcPr>
            <w:tcW w:w="856" w:type="dxa"/>
            <w:tcBorders>
              <w:bottom w:val="single" w:color="000000" w:sz="6" w:space="0"/>
            </w:tcBorders>
            <w:vAlign w:val="top"/>
          </w:tcPr>
          <w:p w14:paraId="7F6D12B2">
            <w:pPr>
              <w:rPr>
                <w:rFonts w:ascii="Arial"/>
                <w:color w:val="auto"/>
                <w:sz w:val="21"/>
                <w:highlight w:val="none"/>
              </w:rPr>
            </w:pPr>
          </w:p>
        </w:tc>
        <w:tc>
          <w:tcPr>
            <w:tcW w:w="1131" w:type="dxa"/>
            <w:tcBorders>
              <w:bottom w:val="single" w:color="000000" w:sz="6" w:space="0"/>
            </w:tcBorders>
            <w:vAlign w:val="top"/>
          </w:tcPr>
          <w:p w14:paraId="3A75F18A">
            <w:pPr>
              <w:rPr>
                <w:rFonts w:ascii="Arial"/>
                <w:color w:val="auto"/>
                <w:sz w:val="21"/>
                <w:highlight w:val="none"/>
              </w:rPr>
            </w:pPr>
          </w:p>
        </w:tc>
        <w:tc>
          <w:tcPr>
            <w:tcW w:w="1134" w:type="dxa"/>
            <w:tcBorders>
              <w:bottom w:val="single" w:color="000000" w:sz="6" w:space="0"/>
            </w:tcBorders>
            <w:vAlign w:val="top"/>
          </w:tcPr>
          <w:p w14:paraId="6F4C7463">
            <w:pPr>
              <w:rPr>
                <w:rFonts w:ascii="Arial"/>
                <w:color w:val="auto"/>
                <w:sz w:val="21"/>
                <w:highlight w:val="none"/>
              </w:rPr>
            </w:pPr>
          </w:p>
        </w:tc>
        <w:tc>
          <w:tcPr>
            <w:tcW w:w="1131" w:type="dxa"/>
            <w:tcBorders>
              <w:bottom w:val="single" w:color="000000" w:sz="6" w:space="0"/>
            </w:tcBorders>
            <w:vAlign w:val="top"/>
          </w:tcPr>
          <w:p w14:paraId="619A510B">
            <w:pPr>
              <w:rPr>
                <w:rFonts w:ascii="Arial"/>
                <w:color w:val="auto"/>
                <w:sz w:val="21"/>
                <w:highlight w:val="none"/>
              </w:rPr>
            </w:pPr>
          </w:p>
        </w:tc>
        <w:tc>
          <w:tcPr>
            <w:tcW w:w="1134" w:type="dxa"/>
            <w:tcBorders>
              <w:bottom w:val="single" w:color="000000" w:sz="6" w:space="0"/>
            </w:tcBorders>
            <w:vAlign w:val="top"/>
          </w:tcPr>
          <w:p w14:paraId="49269CAC">
            <w:pPr>
              <w:rPr>
                <w:rFonts w:ascii="Arial"/>
                <w:color w:val="auto"/>
                <w:sz w:val="21"/>
                <w:highlight w:val="none"/>
              </w:rPr>
            </w:pPr>
          </w:p>
        </w:tc>
        <w:tc>
          <w:tcPr>
            <w:tcW w:w="1131" w:type="dxa"/>
            <w:tcBorders>
              <w:bottom w:val="single" w:color="000000" w:sz="6" w:space="0"/>
            </w:tcBorders>
            <w:vAlign w:val="top"/>
          </w:tcPr>
          <w:p w14:paraId="48CFD876">
            <w:pPr>
              <w:rPr>
                <w:rFonts w:ascii="Arial"/>
                <w:color w:val="auto"/>
                <w:sz w:val="21"/>
                <w:highlight w:val="none"/>
              </w:rPr>
            </w:pPr>
          </w:p>
        </w:tc>
        <w:tc>
          <w:tcPr>
            <w:tcW w:w="1134" w:type="dxa"/>
            <w:tcBorders>
              <w:bottom w:val="single" w:color="000000" w:sz="6" w:space="0"/>
            </w:tcBorders>
            <w:vAlign w:val="top"/>
          </w:tcPr>
          <w:p w14:paraId="4ED6C91C">
            <w:pPr>
              <w:rPr>
                <w:rFonts w:ascii="Arial"/>
                <w:color w:val="auto"/>
                <w:sz w:val="21"/>
                <w:highlight w:val="none"/>
              </w:rPr>
            </w:pPr>
          </w:p>
        </w:tc>
        <w:tc>
          <w:tcPr>
            <w:tcW w:w="1132" w:type="dxa"/>
            <w:tcBorders>
              <w:bottom w:val="single" w:color="000000" w:sz="6" w:space="0"/>
            </w:tcBorders>
            <w:vAlign w:val="top"/>
          </w:tcPr>
          <w:p w14:paraId="7750423E">
            <w:pPr>
              <w:rPr>
                <w:rFonts w:ascii="Arial"/>
                <w:color w:val="auto"/>
                <w:sz w:val="21"/>
                <w:highlight w:val="none"/>
              </w:rPr>
            </w:pPr>
          </w:p>
        </w:tc>
        <w:tc>
          <w:tcPr>
            <w:tcW w:w="851" w:type="dxa"/>
            <w:tcBorders>
              <w:bottom w:val="single" w:color="000000" w:sz="6" w:space="0"/>
            </w:tcBorders>
            <w:vAlign w:val="top"/>
          </w:tcPr>
          <w:p w14:paraId="735219BD">
            <w:pPr>
              <w:rPr>
                <w:rFonts w:ascii="Arial"/>
                <w:color w:val="auto"/>
                <w:sz w:val="21"/>
                <w:highlight w:val="none"/>
              </w:rPr>
            </w:pPr>
          </w:p>
        </w:tc>
        <w:tc>
          <w:tcPr>
            <w:tcW w:w="858" w:type="dxa"/>
            <w:tcBorders>
              <w:bottom w:val="single" w:color="000000" w:sz="6" w:space="0"/>
              <w:right w:val="single" w:color="000000" w:sz="6" w:space="0"/>
            </w:tcBorders>
            <w:vAlign w:val="top"/>
          </w:tcPr>
          <w:p w14:paraId="490635B5">
            <w:pPr>
              <w:rPr>
                <w:rFonts w:ascii="Arial"/>
                <w:color w:val="auto"/>
                <w:sz w:val="21"/>
                <w:highlight w:val="none"/>
              </w:rPr>
            </w:pPr>
          </w:p>
        </w:tc>
      </w:tr>
    </w:tbl>
    <w:p w14:paraId="55FF7286">
      <w:pPr>
        <w:pStyle w:val="3"/>
        <w:rPr>
          <w:color w:val="auto"/>
          <w:highlight w:val="none"/>
        </w:rPr>
      </w:pPr>
    </w:p>
    <w:p w14:paraId="66532E78">
      <w:pPr>
        <w:rPr>
          <w:color w:val="auto"/>
          <w:highlight w:val="none"/>
        </w:rPr>
        <w:sectPr>
          <w:pgSz w:w="16843" w:h="11905" w:orient="landscape"/>
          <w:pgMar w:top="1621" w:right="1429" w:bottom="1361" w:left="1253" w:header="0" w:footer="1094" w:gutter="0"/>
          <w:pgNumType w:fmt="decimal"/>
          <w:cols w:space="0" w:num="1"/>
          <w:rtlGutter w:val="0"/>
          <w:docGrid w:linePitch="0" w:charSpace="0"/>
        </w:sectPr>
      </w:pPr>
    </w:p>
    <w:p w14:paraId="7E86407F">
      <w:pPr>
        <w:spacing w:before="55" w:line="219" w:lineRule="auto"/>
        <w:ind w:left="2570"/>
        <w:rPr>
          <w:rFonts w:ascii="宋体" w:hAnsi="宋体" w:eastAsia="宋体" w:cs="宋体"/>
          <w:color w:val="auto"/>
          <w:sz w:val="28"/>
          <w:szCs w:val="28"/>
          <w:highlight w:val="none"/>
        </w:rPr>
      </w:pPr>
      <w:r>
        <w:rPr>
          <w:rFonts w:ascii="宋体" w:hAnsi="宋体" w:eastAsia="宋体" w:cs="宋体"/>
          <w:b/>
          <w:bCs/>
          <w:color w:val="auto"/>
          <w:spacing w:val="-4"/>
          <w:sz w:val="28"/>
          <w:szCs w:val="28"/>
          <w:highlight w:val="none"/>
        </w:rPr>
        <w:t>总价项目分类分项工程分解表</w:t>
      </w:r>
    </w:p>
    <w:p w14:paraId="01C80822">
      <w:pPr>
        <w:pStyle w:val="3"/>
        <w:spacing w:line="269" w:lineRule="auto"/>
        <w:rPr>
          <w:color w:val="auto"/>
          <w:highlight w:val="none"/>
        </w:rPr>
      </w:pPr>
    </w:p>
    <w:p w14:paraId="7FF0449E">
      <w:pPr>
        <w:pStyle w:val="3"/>
        <w:spacing w:line="270" w:lineRule="auto"/>
        <w:rPr>
          <w:color w:val="auto"/>
          <w:highlight w:val="none"/>
        </w:rPr>
      </w:pPr>
    </w:p>
    <w:p w14:paraId="2D3FA314">
      <w:pPr>
        <w:spacing w:before="78" w:line="347" w:lineRule="auto"/>
        <w:ind w:right="3" w:firstLine="484"/>
        <w:rPr>
          <w:rFonts w:ascii="宋体" w:hAnsi="宋体" w:eastAsia="宋体" w:cs="宋体"/>
          <w:color w:val="auto"/>
          <w:sz w:val="24"/>
          <w:szCs w:val="24"/>
          <w:highlight w:val="none"/>
        </w:rPr>
      </w:pPr>
      <w:r>
        <w:rPr>
          <w:rFonts w:ascii="宋体" w:hAnsi="宋体" w:eastAsia="宋体" w:cs="宋体"/>
          <w:color w:val="auto"/>
          <w:spacing w:val="-3"/>
          <w:sz w:val="24"/>
          <w:szCs w:val="24"/>
          <w:highlight w:val="none"/>
        </w:rPr>
        <w:t>若招标人要求对总价项目进行分解的，可按分类分项工程量清</w:t>
      </w:r>
      <w:r>
        <w:rPr>
          <w:rFonts w:ascii="宋体" w:hAnsi="宋体" w:eastAsia="宋体" w:cs="宋体"/>
          <w:color w:val="auto"/>
          <w:spacing w:val="-4"/>
          <w:sz w:val="24"/>
          <w:szCs w:val="24"/>
          <w:highlight w:val="none"/>
        </w:rPr>
        <w:t>单计价表的格式进</w:t>
      </w:r>
      <w:r>
        <w:rPr>
          <w:rFonts w:ascii="宋体" w:hAnsi="宋体" w:eastAsia="宋体" w:cs="宋体"/>
          <w:color w:val="auto"/>
          <w:sz w:val="24"/>
          <w:szCs w:val="24"/>
          <w:highlight w:val="none"/>
        </w:rPr>
        <w:t xml:space="preserve"> </w:t>
      </w:r>
      <w:r>
        <w:rPr>
          <w:rFonts w:ascii="宋体" w:hAnsi="宋体" w:eastAsia="宋体" w:cs="宋体"/>
          <w:color w:val="auto"/>
          <w:spacing w:val="-10"/>
          <w:sz w:val="24"/>
          <w:szCs w:val="24"/>
          <w:highlight w:val="none"/>
        </w:rPr>
        <w:t>行分解。</w:t>
      </w:r>
    </w:p>
    <w:p w14:paraId="197065DB">
      <w:pPr>
        <w:spacing w:line="347"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71D512BB">
      <w:pPr>
        <w:spacing w:before="55" w:line="219" w:lineRule="auto"/>
        <w:ind w:left="3821"/>
        <w:rPr>
          <w:rFonts w:ascii="宋体" w:hAnsi="宋体" w:eastAsia="宋体" w:cs="宋体"/>
          <w:color w:val="auto"/>
          <w:sz w:val="28"/>
          <w:szCs w:val="28"/>
          <w:highlight w:val="none"/>
        </w:rPr>
      </w:pPr>
      <w:r>
        <w:rPr>
          <w:rFonts w:ascii="宋体" w:hAnsi="宋体" w:eastAsia="宋体" w:cs="宋体"/>
          <w:b/>
          <w:bCs/>
          <w:color w:val="auto"/>
          <w:spacing w:val="-5"/>
          <w:sz w:val="28"/>
          <w:szCs w:val="28"/>
          <w:highlight w:val="none"/>
        </w:rPr>
        <w:t>单价计算表</w:t>
      </w:r>
    </w:p>
    <w:p w14:paraId="1E49AC53">
      <w:pPr>
        <w:spacing w:line="171" w:lineRule="exact"/>
        <w:rPr>
          <w:color w:val="auto"/>
          <w:highlight w:val="none"/>
        </w:rPr>
      </w:pPr>
    </w:p>
    <w:tbl>
      <w:tblPr>
        <w:tblStyle w:val="32"/>
        <w:tblW w:w="9009" w:type="dxa"/>
        <w:tblInd w:w="7"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755"/>
        <w:gridCol w:w="2760"/>
        <w:gridCol w:w="990"/>
        <w:gridCol w:w="1557"/>
        <w:gridCol w:w="1414"/>
        <w:gridCol w:w="1533"/>
      </w:tblGrid>
      <w:tr w14:paraId="73979F6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9" w:hRule="atLeast"/>
        </w:trPr>
        <w:tc>
          <w:tcPr>
            <w:tcW w:w="4505" w:type="dxa"/>
            <w:gridSpan w:val="3"/>
            <w:tcBorders>
              <w:top w:val="single" w:color="000000" w:sz="6" w:space="0"/>
              <w:left w:val="single" w:color="000000" w:sz="6" w:space="0"/>
            </w:tcBorders>
            <w:vAlign w:val="top"/>
          </w:tcPr>
          <w:p w14:paraId="4AF5DF80">
            <w:pPr>
              <w:pStyle w:val="33"/>
              <w:spacing w:before="138" w:line="218" w:lineRule="auto"/>
              <w:ind w:left="1777"/>
              <w:rPr>
                <w:color w:val="auto"/>
                <w:sz w:val="24"/>
                <w:szCs w:val="24"/>
                <w:highlight w:val="none"/>
              </w:rPr>
            </w:pPr>
            <w:r>
              <w:rPr>
                <w:color w:val="auto"/>
                <w:spacing w:val="-3"/>
                <w:sz w:val="24"/>
                <w:szCs w:val="24"/>
                <w:highlight w:val="none"/>
              </w:rPr>
              <w:t>单价序号</w:t>
            </w:r>
          </w:p>
        </w:tc>
        <w:tc>
          <w:tcPr>
            <w:tcW w:w="4504" w:type="dxa"/>
            <w:gridSpan w:val="3"/>
            <w:tcBorders>
              <w:top w:val="single" w:color="000000" w:sz="6" w:space="0"/>
              <w:right w:val="single" w:color="000000" w:sz="6" w:space="0"/>
            </w:tcBorders>
            <w:vAlign w:val="top"/>
          </w:tcPr>
          <w:p w14:paraId="6AE8F21E">
            <w:pPr>
              <w:rPr>
                <w:rFonts w:ascii="Arial"/>
                <w:color w:val="auto"/>
                <w:sz w:val="21"/>
                <w:highlight w:val="none"/>
              </w:rPr>
            </w:pPr>
          </w:p>
        </w:tc>
      </w:tr>
      <w:tr w14:paraId="72C73762">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505" w:type="dxa"/>
            <w:gridSpan w:val="3"/>
            <w:tcBorders>
              <w:left w:val="single" w:color="000000" w:sz="6" w:space="0"/>
            </w:tcBorders>
            <w:vAlign w:val="top"/>
          </w:tcPr>
          <w:p w14:paraId="3A3C3CBF">
            <w:pPr>
              <w:pStyle w:val="33"/>
              <w:spacing w:before="135" w:line="220" w:lineRule="auto"/>
              <w:ind w:left="1779"/>
              <w:rPr>
                <w:color w:val="auto"/>
                <w:sz w:val="24"/>
                <w:szCs w:val="24"/>
                <w:highlight w:val="none"/>
              </w:rPr>
            </w:pPr>
            <w:r>
              <w:rPr>
                <w:color w:val="auto"/>
                <w:spacing w:val="-3"/>
                <w:sz w:val="24"/>
                <w:szCs w:val="24"/>
                <w:highlight w:val="none"/>
              </w:rPr>
              <w:t>项目名称</w:t>
            </w:r>
          </w:p>
        </w:tc>
        <w:tc>
          <w:tcPr>
            <w:tcW w:w="4504" w:type="dxa"/>
            <w:gridSpan w:val="3"/>
            <w:tcBorders>
              <w:right w:val="single" w:color="000000" w:sz="6" w:space="0"/>
            </w:tcBorders>
            <w:vAlign w:val="top"/>
          </w:tcPr>
          <w:p w14:paraId="59EED88C">
            <w:pPr>
              <w:rPr>
                <w:rFonts w:ascii="Arial"/>
                <w:color w:val="auto"/>
                <w:sz w:val="21"/>
                <w:highlight w:val="none"/>
              </w:rPr>
            </w:pPr>
          </w:p>
        </w:tc>
      </w:tr>
      <w:tr w14:paraId="6B19056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505" w:type="dxa"/>
            <w:gridSpan w:val="3"/>
            <w:tcBorders>
              <w:left w:val="single" w:color="000000" w:sz="6" w:space="0"/>
            </w:tcBorders>
            <w:vAlign w:val="top"/>
          </w:tcPr>
          <w:p w14:paraId="211CC4B3">
            <w:pPr>
              <w:pStyle w:val="33"/>
              <w:spacing w:before="137" w:line="220" w:lineRule="auto"/>
              <w:ind w:left="1780"/>
              <w:rPr>
                <w:color w:val="auto"/>
                <w:sz w:val="24"/>
                <w:szCs w:val="24"/>
                <w:highlight w:val="none"/>
              </w:rPr>
            </w:pPr>
            <w:r>
              <w:rPr>
                <w:color w:val="auto"/>
                <w:spacing w:val="-3"/>
                <w:sz w:val="24"/>
                <w:szCs w:val="24"/>
                <w:highlight w:val="none"/>
              </w:rPr>
              <w:t>定额编号</w:t>
            </w:r>
          </w:p>
        </w:tc>
        <w:tc>
          <w:tcPr>
            <w:tcW w:w="4504" w:type="dxa"/>
            <w:gridSpan w:val="3"/>
            <w:tcBorders>
              <w:right w:val="single" w:color="000000" w:sz="6" w:space="0"/>
            </w:tcBorders>
            <w:vAlign w:val="top"/>
          </w:tcPr>
          <w:p w14:paraId="6F2EA9DC">
            <w:pPr>
              <w:rPr>
                <w:rFonts w:ascii="Arial"/>
                <w:color w:val="auto"/>
                <w:sz w:val="21"/>
                <w:highlight w:val="none"/>
              </w:rPr>
            </w:pPr>
          </w:p>
        </w:tc>
      </w:tr>
      <w:tr w14:paraId="21C3877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5" w:hRule="atLeast"/>
        </w:trPr>
        <w:tc>
          <w:tcPr>
            <w:tcW w:w="4505" w:type="dxa"/>
            <w:gridSpan w:val="3"/>
            <w:tcBorders>
              <w:left w:val="single" w:color="000000" w:sz="6" w:space="0"/>
            </w:tcBorders>
            <w:vAlign w:val="top"/>
          </w:tcPr>
          <w:p w14:paraId="5E3FAC7C">
            <w:pPr>
              <w:pStyle w:val="33"/>
              <w:spacing w:before="137" w:line="220" w:lineRule="auto"/>
              <w:ind w:left="1774"/>
              <w:rPr>
                <w:color w:val="auto"/>
                <w:sz w:val="24"/>
                <w:szCs w:val="24"/>
                <w:highlight w:val="none"/>
              </w:rPr>
            </w:pPr>
            <w:r>
              <w:rPr>
                <w:color w:val="auto"/>
                <w:spacing w:val="-2"/>
                <w:sz w:val="24"/>
                <w:szCs w:val="24"/>
                <w:highlight w:val="none"/>
              </w:rPr>
              <w:t>施工措施</w:t>
            </w:r>
          </w:p>
        </w:tc>
        <w:tc>
          <w:tcPr>
            <w:tcW w:w="4504" w:type="dxa"/>
            <w:gridSpan w:val="3"/>
            <w:tcBorders>
              <w:right w:val="single" w:color="000000" w:sz="6" w:space="0"/>
            </w:tcBorders>
            <w:vAlign w:val="top"/>
          </w:tcPr>
          <w:p w14:paraId="67AB52D2">
            <w:pPr>
              <w:rPr>
                <w:rFonts w:ascii="Arial"/>
                <w:color w:val="auto"/>
                <w:sz w:val="21"/>
                <w:highlight w:val="none"/>
              </w:rPr>
            </w:pPr>
          </w:p>
        </w:tc>
      </w:tr>
      <w:tr w14:paraId="3C8A03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513" w:hRule="atLeast"/>
        </w:trPr>
        <w:tc>
          <w:tcPr>
            <w:tcW w:w="4505" w:type="dxa"/>
            <w:gridSpan w:val="3"/>
            <w:tcBorders>
              <w:left w:val="single" w:color="000000" w:sz="6" w:space="0"/>
            </w:tcBorders>
            <w:vAlign w:val="top"/>
          </w:tcPr>
          <w:p w14:paraId="0265FF93">
            <w:pPr>
              <w:pStyle w:val="33"/>
              <w:spacing w:before="136" w:line="220" w:lineRule="auto"/>
              <w:ind w:left="1780"/>
              <w:rPr>
                <w:color w:val="auto"/>
                <w:sz w:val="24"/>
                <w:szCs w:val="24"/>
                <w:highlight w:val="none"/>
              </w:rPr>
            </w:pPr>
            <w:r>
              <w:rPr>
                <w:color w:val="auto"/>
                <w:spacing w:val="-3"/>
                <w:sz w:val="24"/>
                <w:szCs w:val="24"/>
                <w:highlight w:val="none"/>
              </w:rPr>
              <w:t>定额单位</w:t>
            </w:r>
          </w:p>
        </w:tc>
        <w:tc>
          <w:tcPr>
            <w:tcW w:w="4504" w:type="dxa"/>
            <w:gridSpan w:val="3"/>
            <w:tcBorders>
              <w:right w:val="single" w:color="000000" w:sz="6" w:space="0"/>
            </w:tcBorders>
            <w:vAlign w:val="top"/>
          </w:tcPr>
          <w:p w14:paraId="12751A24">
            <w:pPr>
              <w:rPr>
                <w:rFonts w:ascii="Arial"/>
                <w:color w:val="auto"/>
                <w:sz w:val="21"/>
                <w:highlight w:val="none"/>
              </w:rPr>
            </w:pPr>
          </w:p>
        </w:tc>
      </w:tr>
      <w:tr w14:paraId="5B92604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58" w:hRule="atLeast"/>
        </w:trPr>
        <w:tc>
          <w:tcPr>
            <w:tcW w:w="755" w:type="dxa"/>
            <w:tcBorders>
              <w:left w:val="single" w:color="000000" w:sz="6" w:space="0"/>
            </w:tcBorders>
            <w:vAlign w:val="top"/>
          </w:tcPr>
          <w:p w14:paraId="385B0DA2">
            <w:pPr>
              <w:pStyle w:val="33"/>
              <w:spacing w:before="110" w:line="220" w:lineRule="auto"/>
              <w:ind w:left="137"/>
              <w:rPr>
                <w:color w:val="auto"/>
                <w:sz w:val="24"/>
                <w:szCs w:val="24"/>
                <w:highlight w:val="none"/>
              </w:rPr>
            </w:pPr>
            <w:r>
              <w:rPr>
                <w:color w:val="auto"/>
                <w:spacing w:val="-3"/>
                <w:sz w:val="24"/>
                <w:szCs w:val="24"/>
                <w:highlight w:val="none"/>
              </w:rPr>
              <w:t>编号</w:t>
            </w:r>
          </w:p>
        </w:tc>
        <w:tc>
          <w:tcPr>
            <w:tcW w:w="2760" w:type="dxa"/>
            <w:vAlign w:val="top"/>
          </w:tcPr>
          <w:p w14:paraId="045FB3E8">
            <w:pPr>
              <w:pStyle w:val="33"/>
              <w:spacing w:before="111" w:line="220" w:lineRule="auto"/>
              <w:ind w:left="903"/>
              <w:rPr>
                <w:color w:val="auto"/>
                <w:sz w:val="24"/>
                <w:szCs w:val="24"/>
                <w:highlight w:val="none"/>
              </w:rPr>
            </w:pPr>
            <w:r>
              <w:rPr>
                <w:color w:val="auto"/>
                <w:spacing w:val="-3"/>
                <w:sz w:val="24"/>
                <w:szCs w:val="24"/>
                <w:highlight w:val="none"/>
              </w:rPr>
              <w:t>工料名称</w:t>
            </w:r>
          </w:p>
        </w:tc>
        <w:tc>
          <w:tcPr>
            <w:tcW w:w="990" w:type="dxa"/>
            <w:vAlign w:val="top"/>
          </w:tcPr>
          <w:p w14:paraId="3A22C1FC">
            <w:pPr>
              <w:pStyle w:val="33"/>
              <w:spacing w:before="111" w:line="220" w:lineRule="auto"/>
              <w:ind w:left="261"/>
              <w:rPr>
                <w:color w:val="auto"/>
                <w:sz w:val="24"/>
                <w:szCs w:val="24"/>
                <w:highlight w:val="none"/>
              </w:rPr>
            </w:pPr>
            <w:r>
              <w:rPr>
                <w:color w:val="auto"/>
                <w:spacing w:val="-3"/>
                <w:sz w:val="24"/>
                <w:szCs w:val="24"/>
                <w:highlight w:val="none"/>
              </w:rPr>
              <w:t>单位</w:t>
            </w:r>
          </w:p>
        </w:tc>
        <w:tc>
          <w:tcPr>
            <w:tcW w:w="1557" w:type="dxa"/>
            <w:vAlign w:val="top"/>
          </w:tcPr>
          <w:p w14:paraId="5EEA9CD4">
            <w:pPr>
              <w:pStyle w:val="33"/>
              <w:spacing w:before="111" w:line="218" w:lineRule="auto"/>
              <w:ind w:left="188"/>
              <w:rPr>
                <w:color w:val="auto"/>
                <w:sz w:val="24"/>
                <w:szCs w:val="24"/>
                <w:highlight w:val="none"/>
              </w:rPr>
            </w:pPr>
            <w:r>
              <w:rPr>
                <w:color w:val="auto"/>
                <w:spacing w:val="-5"/>
                <w:sz w:val="24"/>
                <w:szCs w:val="24"/>
                <w:highlight w:val="none"/>
              </w:rPr>
              <w:t>单价（元）</w:t>
            </w:r>
          </w:p>
        </w:tc>
        <w:tc>
          <w:tcPr>
            <w:tcW w:w="1414" w:type="dxa"/>
            <w:vAlign w:val="top"/>
          </w:tcPr>
          <w:p w14:paraId="401E1809">
            <w:pPr>
              <w:pStyle w:val="33"/>
              <w:spacing w:before="110" w:line="220" w:lineRule="auto"/>
              <w:ind w:left="240"/>
              <w:rPr>
                <w:color w:val="auto"/>
                <w:sz w:val="24"/>
                <w:szCs w:val="24"/>
                <w:highlight w:val="none"/>
              </w:rPr>
            </w:pPr>
            <w:r>
              <w:rPr>
                <w:color w:val="auto"/>
                <w:spacing w:val="-3"/>
                <w:sz w:val="24"/>
                <w:szCs w:val="24"/>
                <w:highlight w:val="none"/>
              </w:rPr>
              <w:t>工料定额</w:t>
            </w:r>
          </w:p>
        </w:tc>
        <w:tc>
          <w:tcPr>
            <w:tcW w:w="1533" w:type="dxa"/>
            <w:tcBorders>
              <w:right w:val="single" w:color="000000" w:sz="6" w:space="0"/>
            </w:tcBorders>
            <w:vAlign w:val="top"/>
          </w:tcPr>
          <w:p w14:paraId="56C779A3">
            <w:pPr>
              <w:pStyle w:val="33"/>
              <w:spacing w:before="111" w:line="218" w:lineRule="auto"/>
              <w:ind w:left="173"/>
              <w:rPr>
                <w:color w:val="auto"/>
                <w:sz w:val="24"/>
                <w:szCs w:val="24"/>
                <w:highlight w:val="none"/>
              </w:rPr>
            </w:pPr>
            <w:r>
              <w:rPr>
                <w:color w:val="auto"/>
                <w:spacing w:val="-5"/>
                <w:sz w:val="24"/>
                <w:szCs w:val="24"/>
                <w:highlight w:val="none"/>
              </w:rPr>
              <w:t>合价（元）</w:t>
            </w:r>
          </w:p>
        </w:tc>
      </w:tr>
      <w:tr w14:paraId="64339CE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top"/>
          </w:tcPr>
          <w:p w14:paraId="27BE1510">
            <w:pPr>
              <w:rPr>
                <w:rFonts w:ascii="Arial"/>
                <w:color w:val="auto"/>
                <w:sz w:val="21"/>
                <w:highlight w:val="none"/>
              </w:rPr>
            </w:pPr>
          </w:p>
        </w:tc>
        <w:tc>
          <w:tcPr>
            <w:tcW w:w="2760" w:type="dxa"/>
            <w:vAlign w:val="top"/>
          </w:tcPr>
          <w:p w14:paraId="497D3823">
            <w:pPr>
              <w:rPr>
                <w:rFonts w:ascii="Arial"/>
                <w:color w:val="auto"/>
                <w:sz w:val="21"/>
                <w:highlight w:val="none"/>
              </w:rPr>
            </w:pPr>
          </w:p>
        </w:tc>
        <w:tc>
          <w:tcPr>
            <w:tcW w:w="990" w:type="dxa"/>
            <w:vAlign w:val="top"/>
          </w:tcPr>
          <w:p w14:paraId="404C7EFE">
            <w:pPr>
              <w:rPr>
                <w:rFonts w:ascii="Arial"/>
                <w:color w:val="auto"/>
                <w:sz w:val="21"/>
                <w:highlight w:val="none"/>
              </w:rPr>
            </w:pPr>
          </w:p>
        </w:tc>
        <w:tc>
          <w:tcPr>
            <w:tcW w:w="1557" w:type="dxa"/>
            <w:vAlign w:val="top"/>
          </w:tcPr>
          <w:p w14:paraId="4A3FA1B6">
            <w:pPr>
              <w:rPr>
                <w:rFonts w:ascii="Arial"/>
                <w:color w:val="auto"/>
                <w:sz w:val="21"/>
                <w:highlight w:val="none"/>
              </w:rPr>
            </w:pPr>
          </w:p>
        </w:tc>
        <w:tc>
          <w:tcPr>
            <w:tcW w:w="1414" w:type="dxa"/>
            <w:vAlign w:val="top"/>
          </w:tcPr>
          <w:p w14:paraId="2C13F9B9">
            <w:pPr>
              <w:rPr>
                <w:rFonts w:ascii="Arial"/>
                <w:color w:val="auto"/>
                <w:sz w:val="21"/>
                <w:highlight w:val="none"/>
              </w:rPr>
            </w:pPr>
          </w:p>
        </w:tc>
        <w:tc>
          <w:tcPr>
            <w:tcW w:w="1533" w:type="dxa"/>
            <w:tcBorders>
              <w:right w:val="single" w:color="000000" w:sz="6" w:space="0"/>
            </w:tcBorders>
            <w:vAlign w:val="top"/>
          </w:tcPr>
          <w:p w14:paraId="06A4ACB5">
            <w:pPr>
              <w:rPr>
                <w:rFonts w:ascii="Arial"/>
                <w:color w:val="auto"/>
                <w:sz w:val="21"/>
                <w:highlight w:val="none"/>
              </w:rPr>
            </w:pPr>
          </w:p>
        </w:tc>
      </w:tr>
      <w:tr w14:paraId="08E2BE79">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top"/>
          </w:tcPr>
          <w:p w14:paraId="60CC5201">
            <w:pPr>
              <w:rPr>
                <w:rFonts w:ascii="Arial"/>
                <w:color w:val="auto"/>
                <w:sz w:val="21"/>
                <w:highlight w:val="none"/>
              </w:rPr>
            </w:pPr>
          </w:p>
        </w:tc>
        <w:tc>
          <w:tcPr>
            <w:tcW w:w="2760" w:type="dxa"/>
            <w:vAlign w:val="top"/>
          </w:tcPr>
          <w:p w14:paraId="340542A8">
            <w:pPr>
              <w:rPr>
                <w:rFonts w:ascii="Arial"/>
                <w:color w:val="auto"/>
                <w:sz w:val="21"/>
                <w:highlight w:val="none"/>
              </w:rPr>
            </w:pPr>
          </w:p>
        </w:tc>
        <w:tc>
          <w:tcPr>
            <w:tcW w:w="990" w:type="dxa"/>
            <w:vAlign w:val="top"/>
          </w:tcPr>
          <w:p w14:paraId="71604DCF">
            <w:pPr>
              <w:rPr>
                <w:rFonts w:ascii="Arial"/>
                <w:color w:val="auto"/>
                <w:sz w:val="21"/>
                <w:highlight w:val="none"/>
              </w:rPr>
            </w:pPr>
          </w:p>
        </w:tc>
        <w:tc>
          <w:tcPr>
            <w:tcW w:w="1557" w:type="dxa"/>
            <w:vAlign w:val="top"/>
          </w:tcPr>
          <w:p w14:paraId="34F30F66">
            <w:pPr>
              <w:rPr>
                <w:rFonts w:ascii="Arial"/>
                <w:color w:val="auto"/>
                <w:sz w:val="21"/>
                <w:highlight w:val="none"/>
              </w:rPr>
            </w:pPr>
          </w:p>
        </w:tc>
        <w:tc>
          <w:tcPr>
            <w:tcW w:w="1414" w:type="dxa"/>
            <w:vAlign w:val="top"/>
          </w:tcPr>
          <w:p w14:paraId="6981F769">
            <w:pPr>
              <w:rPr>
                <w:rFonts w:ascii="Arial"/>
                <w:color w:val="auto"/>
                <w:sz w:val="21"/>
                <w:highlight w:val="none"/>
              </w:rPr>
            </w:pPr>
          </w:p>
        </w:tc>
        <w:tc>
          <w:tcPr>
            <w:tcW w:w="1533" w:type="dxa"/>
            <w:tcBorders>
              <w:right w:val="single" w:color="000000" w:sz="6" w:space="0"/>
            </w:tcBorders>
            <w:vAlign w:val="top"/>
          </w:tcPr>
          <w:p w14:paraId="7250F58F">
            <w:pPr>
              <w:rPr>
                <w:rFonts w:ascii="Arial"/>
                <w:color w:val="auto"/>
                <w:sz w:val="21"/>
                <w:highlight w:val="none"/>
              </w:rPr>
            </w:pPr>
          </w:p>
        </w:tc>
      </w:tr>
      <w:tr w14:paraId="2A77506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7748E4F5">
            <w:pPr>
              <w:rPr>
                <w:rFonts w:ascii="Arial"/>
                <w:color w:val="auto"/>
                <w:sz w:val="21"/>
                <w:highlight w:val="none"/>
              </w:rPr>
            </w:pPr>
          </w:p>
        </w:tc>
        <w:tc>
          <w:tcPr>
            <w:tcW w:w="2760" w:type="dxa"/>
            <w:vAlign w:val="top"/>
          </w:tcPr>
          <w:p w14:paraId="09A341AB">
            <w:pPr>
              <w:rPr>
                <w:rFonts w:ascii="Arial"/>
                <w:color w:val="auto"/>
                <w:sz w:val="21"/>
                <w:highlight w:val="none"/>
              </w:rPr>
            </w:pPr>
          </w:p>
        </w:tc>
        <w:tc>
          <w:tcPr>
            <w:tcW w:w="990" w:type="dxa"/>
            <w:vAlign w:val="top"/>
          </w:tcPr>
          <w:p w14:paraId="2614E8CB">
            <w:pPr>
              <w:rPr>
                <w:rFonts w:ascii="Arial"/>
                <w:color w:val="auto"/>
                <w:sz w:val="21"/>
                <w:highlight w:val="none"/>
              </w:rPr>
            </w:pPr>
          </w:p>
        </w:tc>
        <w:tc>
          <w:tcPr>
            <w:tcW w:w="1557" w:type="dxa"/>
            <w:vAlign w:val="top"/>
          </w:tcPr>
          <w:p w14:paraId="00D47409">
            <w:pPr>
              <w:rPr>
                <w:rFonts w:ascii="Arial"/>
                <w:color w:val="auto"/>
                <w:sz w:val="21"/>
                <w:highlight w:val="none"/>
              </w:rPr>
            </w:pPr>
          </w:p>
        </w:tc>
        <w:tc>
          <w:tcPr>
            <w:tcW w:w="1414" w:type="dxa"/>
            <w:vAlign w:val="top"/>
          </w:tcPr>
          <w:p w14:paraId="520A65CE">
            <w:pPr>
              <w:rPr>
                <w:rFonts w:ascii="Arial"/>
                <w:color w:val="auto"/>
                <w:sz w:val="21"/>
                <w:highlight w:val="none"/>
              </w:rPr>
            </w:pPr>
          </w:p>
        </w:tc>
        <w:tc>
          <w:tcPr>
            <w:tcW w:w="1533" w:type="dxa"/>
            <w:tcBorders>
              <w:right w:val="single" w:color="000000" w:sz="6" w:space="0"/>
            </w:tcBorders>
            <w:vAlign w:val="top"/>
          </w:tcPr>
          <w:p w14:paraId="68D83F25">
            <w:pPr>
              <w:rPr>
                <w:rFonts w:ascii="Arial"/>
                <w:color w:val="auto"/>
                <w:sz w:val="21"/>
                <w:highlight w:val="none"/>
              </w:rPr>
            </w:pPr>
          </w:p>
        </w:tc>
      </w:tr>
      <w:tr w14:paraId="50BE2CF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5A1BD129">
            <w:pPr>
              <w:rPr>
                <w:rFonts w:ascii="Arial"/>
                <w:color w:val="auto"/>
                <w:sz w:val="21"/>
                <w:highlight w:val="none"/>
              </w:rPr>
            </w:pPr>
          </w:p>
        </w:tc>
        <w:tc>
          <w:tcPr>
            <w:tcW w:w="2760" w:type="dxa"/>
            <w:vAlign w:val="top"/>
          </w:tcPr>
          <w:p w14:paraId="0588D326">
            <w:pPr>
              <w:rPr>
                <w:rFonts w:ascii="Arial"/>
                <w:color w:val="auto"/>
                <w:sz w:val="21"/>
                <w:highlight w:val="none"/>
              </w:rPr>
            </w:pPr>
          </w:p>
        </w:tc>
        <w:tc>
          <w:tcPr>
            <w:tcW w:w="990" w:type="dxa"/>
            <w:vAlign w:val="top"/>
          </w:tcPr>
          <w:p w14:paraId="748D0059">
            <w:pPr>
              <w:rPr>
                <w:rFonts w:ascii="Arial"/>
                <w:color w:val="auto"/>
                <w:sz w:val="21"/>
                <w:highlight w:val="none"/>
              </w:rPr>
            </w:pPr>
          </w:p>
        </w:tc>
        <w:tc>
          <w:tcPr>
            <w:tcW w:w="1557" w:type="dxa"/>
            <w:vAlign w:val="top"/>
          </w:tcPr>
          <w:p w14:paraId="103ECC4E">
            <w:pPr>
              <w:rPr>
                <w:rFonts w:ascii="Arial"/>
                <w:color w:val="auto"/>
                <w:sz w:val="21"/>
                <w:highlight w:val="none"/>
              </w:rPr>
            </w:pPr>
          </w:p>
        </w:tc>
        <w:tc>
          <w:tcPr>
            <w:tcW w:w="1414" w:type="dxa"/>
            <w:vAlign w:val="top"/>
          </w:tcPr>
          <w:p w14:paraId="4D539E51">
            <w:pPr>
              <w:rPr>
                <w:rFonts w:ascii="Arial"/>
                <w:color w:val="auto"/>
                <w:sz w:val="21"/>
                <w:highlight w:val="none"/>
              </w:rPr>
            </w:pPr>
          </w:p>
        </w:tc>
        <w:tc>
          <w:tcPr>
            <w:tcW w:w="1533" w:type="dxa"/>
            <w:tcBorders>
              <w:right w:val="single" w:color="000000" w:sz="6" w:space="0"/>
            </w:tcBorders>
            <w:vAlign w:val="top"/>
          </w:tcPr>
          <w:p w14:paraId="062B9891">
            <w:pPr>
              <w:rPr>
                <w:rFonts w:ascii="Arial"/>
                <w:color w:val="auto"/>
                <w:sz w:val="21"/>
                <w:highlight w:val="none"/>
              </w:rPr>
            </w:pPr>
          </w:p>
        </w:tc>
      </w:tr>
      <w:tr w14:paraId="21A67AC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494193CF">
            <w:pPr>
              <w:rPr>
                <w:rFonts w:ascii="Arial"/>
                <w:color w:val="auto"/>
                <w:sz w:val="21"/>
                <w:highlight w:val="none"/>
              </w:rPr>
            </w:pPr>
          </w:p>
        </w:tc>
        <w:tc>
          <w:tcPr>
            <w:tcW w:w="2760" w:type="dxa"/>
            <w:vAlign w:val="top"/>
          </w:tcPr>
          <w:p w14:paraId="049028AA">
            <w:pPr>
              <w:rPr>
                <w:rFonts w:ascii="Arial"/>
                <w:color w:val="auto"/>
                <w:sz w:val="21"/>
                <w:highlight w:val="none"/>
              </w:rPr>
            </w:pPr>
          </w:p>
        </w:tc>
        <w:tc>
          <w:tcPr>
            <w:tcW w:w="990" w:type="dxa"/>
            <w:vAlign w:val="top"/>
          </w:tcPr>
          <w:p w14:paraId="472682A2">
            <w:pPr>
              <w:rPr>
                <w:rFonts w:ascii="Arial"/>
                <w:color w:val="auto"/>
                <w:sz w:val="21"/>
                <w:highlight w:val="none"/>
              </w:rPr>
            </w:pPr>
          </w:p>
        </w:tc>
        <w:tc>
          <w:tcPr>
            <w:tcW w:w="1557" w:type="dxa"/>
            <w:vAlign w:val="top"/>
          </w:tcPr>
          <w:p w14:paraId="4543E8EF">
            <w:pPr>
              <w:rPr>
                <w:rFonts w:ascii="Arial"/>
                <w:color w:val="auto"/>
                <w:sz w:val="21"/>
                <w:highlight w:val="none"/>
              </w:rPr>
            </w:pPr>
          </w:p>
        </w:tc>
        <w:tc>
          <w:tcPr>
            <w:tcW w:w="1414" w:type="dxa"/>
            <w:vAlign w:val="top"/>
          </w:tcPr>
          <w:p w14:paraId="5DE67DB9">
            <w:pPr>
              <w:rPr>
                <w:rFonts w:ascii="Arial"/>
                <w:color w:val="auto"/>
                <w:sz w:val="21"/>
                <w:highlight w:val="none"/>
              </w:rPr>
            </w:pPr>
          </w:p>
        </w:tc>
        <w:tc>
          <w:tcPr>
            <w:tcW w:w="1533" w:type="dxa"/>
            <w:tcBorders>
              <w:right w:val="single" w:color="000000" w:sz="6" w:space="0"/>
            </w:tcBorders>
            <w:vAlign w:val="top"/>
          </w:tcPr>
          <w:p w14:paraId="2AC064C2">
            <w:pPr>
              <w:rPr>
                <w:rFonts w:ascii="Arial"/>
                <w:color w:val="auto"/>
                <w:sz w:val="21"/>
                <w:highlight w:val="none"/>
              </w:rPr>
            </w:pPr>
          </w:p>
        </w:tc>
      </w:tr>
      <w:tr w14:paraId="38E4031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55" w:type="dxa"/>
            <w:tcBorders>
              <w:left w:val="single" w:color="000000" w:sz="6" w:space="0"/>
            </w:tcBorders>
            <w:vAlign w:val="top"/>
          </w:tcPr>
          <w:p w14:paraId="3A86C6DF">
            <w:pPr>
              <w:rPr>
                <w:rFonts w:ascii="Arial"/>
                <w:color w:val="auto"/>
                <w:sz w:val="21"/>
                <w:highlight w:val="none"/>
              </w:rPr>
            </w:pPr>
          </w:p>
        </w:tc>
        <w:tc>
          <w:tcPr>
            <w:tcW w:w="2760" w:type="dxa"/>
            <w:vAlign w:val="top"/>
          </w:tcPr>
          <w:p w14:paraId="5F06A2B6">
            <w:pPr>
              <w:rPr>
                <w:rFonts w:ascii="Arial"/>
                <w:color w:val="auto"/>
                <w:sz w:val="21"/>
                <w:highlight w:val="none"/>
              </w:rPr>
            </w:pPr>
          </w:p>
        </w:tc>
        <w:tc>
          <w:tcPr>
            <w:tcW w:w="990" w:type="dxa"/>
            <w:vAlign w:val="top"/>
          </w:tcPr>
          <w:p w14:paraId="7A221C99">
            <w:pPr>
              <w:rPr>
                <w:rFonts w:ascii="Arial"/>
                <w:color w:val="auto"/>
                <w:sz w:val="21"/>
                <w:highlight w:val="none"/>
              </w:rPr>
            </w:pPr>
          </w:p>
        </w:tc>
        <w:tc>
          <w:tcPr>
            <w:tcW w:w="1557" w:type="dxa"/>
            <w:vAlign w:val="top"/>
          </w:tcPr>
          <w:p w14:paraId="64891D39">
            <w:pPr>
              <w:rPr>
                <w:rFonts w:ascii="Arial"/>
                <w:color w:val="auto"/>
                <w:sz w:val="21"/>
                <w:highlight w:val="none"/>
              </w:rPr>
            </w:pPr>
          </w:p>
        </w:tc>
        <w:tc>
          <w:tcPr>
            <w:tcW w:w="1414" w:type="dxa"/>
            <w:vAlign w:val="top"/>
          </w:tcPr>
          <w:p w14:paraId="2B14B0B9">
            <w:pPr>
              <w:rPr>
                <w:rFonts w:ascii="Arial"/>
                <w:color w:val="auto"/>
                <w:sz w:val="21"/>
                <w:highlight w:val="none"/>
              </w:rPr>
            </w:pPr>
          </w:p>
        </w:tc>
        <w:tc>
          <w:tcPr>
            <w:tcW w:w="1533" w:type="dxa"/>
            <w:tcBorders>
              <w:right w:val="single" w:color="000000" w:sz="6" w:space="0"/>
            </w:tcBorders>
            <w:vAlign w:val="top"/>
          </w:tcPr>
          <w:p w14:paraId="4D33C7A8">
            <w:pPr>
              <w:rPr>
                <w:rFonts w:ascii="Arial"/>
                <w:color w:val="auto"/>
                <w:sz w:val="21"/>
                <w:highlight w:val="none"/>
              </w:rPr>
            </w:pPr>
          </w:p>
        </w:tc>
      </w:tr>
      <w:tr w14:paraId="5F48DCE3">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4483AB74">
            <w:pPr>
              <w:rPr>
                <w:rFonts w:ascii="Arial"/>
                <w:color w:val="auto"/>
                <w:sz w:val="21"/>
                <w:highlight w:val="none"/>
              </w:rPr>
            </w:pPr>
          </w:p>
        </w:tc>
        <w:tc>
          <w:tcPr>
            <w:tcW w:w="2760" w:type="dxa"/>
            <w:vAlign w:val="top"/>
          </w:tcPr>
          <w:p w14:paraId="5E2757CA">
            <w:pPr>
              <w:rPr>
                <w:rFonts w:ascii="Arial"/>
                <w:color w:val="auto"/>
                <w:sz w:val="21"/>
                <w:highlight w:val="none"/>
              </w:rPr>
            </w:pPr>
          </w:p>
        </w:tc>
        <w:tc>
          <w:tcPr>
            <w:tcW w:w="990" w:type="dxa"/>
            <w:vAlign w:val="top"/>
          </w:tcPr>
          <w:p w14:paraId="6C0C342D">
            <w:pPr>
              <w:rPr>
                <w:rFonts w:ascii="Arial"/>
                <w:color w:val="auto"/>
                <w:sz w:val="21"/>
                <w:highlight w:val="none"/>
              </w:rPr>
            </w:pPr>
          </w:p>
        </w:tc>
        <w:tc>
          <w:tcPr>
            <w:tcW w:w="1557" w:type="dxa"/>
            <w:vAlign w:val="top"/>
          </w:tcPr>
          <w:p w14:paraId="28B032E4">
            <w:pPr>
              <w:rPr>
                <w:rFonts w:ascii="Arial"/>
                <w:color w:val="auto"/>
                <w:sz w:val="21"/>
                <w:highlight w:val="none"/>
              </w:rPr>
            </w:pPr>
          </w:p>
        </w:tc>
        <w:tc>
          <w:tcPr>
            <w:tcW w:w="1414" w:type="dxa"/>
            <w:vAlign w:val="top"/>
          </w:tcPr>
          <w:p w14:paraId="26EA309C">
            <w:pPr>
              <w:rPr>
                <w:rFonts w:ascii="Arial"/>
                <w:color w:val="auto"/>
                <w:sz w:val="21"/>
                <w:highlight w:val="none"/>
              </w:rPr>
            </w:pPr>
          </w:p>
        </w:tc>
        <w:tc>
          <w:tcPr>
            <w:tcW w:w="1533" w:type="dxa"/>
            <w:tcBorders>
              <w:right w:val="single" w:color="000000" w:sz="6" w:space="0"/>
            </w:tcBorders>
            <w:vAlign w:val="top"/>
          </w:tcPr>
          <w:p w14:paraId="12464E05">
            <w:pPr>
              <w:rPr>
                <w:rFonts w:ascii="Arial"/>
                <w:color w:val="auto"/>
                <w:sz w:val="21"/>
                <w:highlight w:val="none"/>
              </w:rPr>
            </w:pPr>
          </w:p>
        </w:tc>
      </w:tr>
      <w:tr w14:paraId="052EAC8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2F3A766B">
            <w:pPr>
              <w:rPr>
                <w:rFonts w:ascii="Arial"/>
                <w:color w:val="auto"/>
                <w:sz w:val="21"/>
                <w:highlight w:val="none"/>
              </w:rPr>
            </w:pPr>
          </w:p>
        </w:tc>
        <w:tc>
          <w:tcPr>
            <w:tcW w:w="2760" w:type="dxa"/>
            <w:vAlign w:val="top"/>
          </w:tcPr>
          <w:p w14:paraId="6ABEC74B">
            <w:pPr>
              <w:rPr>
                <w:rFonts w:ascii="Arial"/>
                <w:color w:val="auto"/>
                <w:sz w:val="21"/>
                <w:highlight w:val="none"/>
              </w:rPr>
            </w:pPr>
          </w:p>
        </w:tc>
        <w:tc>
          <w:tcPr>
            <w:tcW w:w="990" w:type="dxa"/>
            <w:vAlign w:val="top"/>
          </w:tcPr>
          <w:p w14:paraId="0BC7EA63">
            <w:pPr>
              <w:rPr>
                <w:rFonts w:ascii="Arial"/>
                <w:color w:val="auto"/>
                <w:sz w:val="21"/>
                <w:highlight w:val="none"/>
              </w:rPr>
            </w:pPr>
          </w:p>
        </w:tc>
        <w:tc>
          <w:tcPr>
            <w:tcW w:w="1557" w:type="dxa"/>
            <w:vAlign w:val="top"/>
          </w:tcPr>
          <w:p w14:paraId="4620A880">
            <w:pPr>
              <w:rPr>
                <w:rFonts w:ascii="Arial"/>
                <w:color w:val="auto"/>
                <w:sz w:val="21"/>
                <w:highlight w:val="none"/>
              </w:rPr>
            </w:pPr>
          </w:p>
        </w:tc>
        <w:tc>
          <w:tcPr>
            <w:tcW w:w="1414" w:type="dxa"/>
            <w:vAlign w:val="top"/>
          </w:tcPr>
          <w:p w14:paraId="72EA22B1">
            <w:pPr>
              <w:rPr>
                <w:rFonts w:ascii="Arial"/>
                <w:color w:val="auto"/>
                <w:sz w:val="21"/>
                <w:highlight w:val="none"/>
              </w:rPr>
            </w:pPr>
          </w:p>
        </w:tc>
        <w:tc>
          <w:tcPr>
            <w:tcW w:w="1533" w:type="dxa"/>
            <w:tcBorders>
              <w:right w:val="single" w:color="000000" w:sz="6" w:space="0"/>
            </w:tcBorders>
            <w:vAlign w:val="top"/>
          </w:tcPr>
          <w:p w14:paraId="38611D72">
            <w:pPr>
              <w:rPr>
                <w:rFonts w:ascii="Arial"/>
                <w:color w:val="auto"/>
                <w:sz w:val="21"/>
                <w:highlight w:val="none"/>
              </w:rPr>
            </w:pPr>
          </w:p>
        </w:tc>
      </w:tr>
      <w:tr w14:paraId="7138CE5E">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3CC4C8F7">
            <w:pPr>
              <w:rPr>
                <w:rFonts w:ascii="Arial"/>
                <w:color w:val="auto"/>
                <w:sz w:val="21"/>
                <w:highlight w:val="none"/>
              </w:rPr>
            </w:pPr>
          </w:p>
        </w:tc>
        <w:tc>
          <w:tcPr>
            <w:tcW w:w="2760" w:type="dxa"/>
            <w:vAlign w:val="top"/>
          </w:tcPr>
          <w:p w14:paraId="7C586A69">
            <w:pPr>
              <w:rPr>
                <w:rFonts w:ascii="Arial"/>
                <w:color w:val="auto"/>
                <w:sz w:val="21"/>
                <w:highlight w:val="none"/>
              </w:rPr>
            </w:pPr>
          </w:p>
        </w:tc>
        <w:tc>
          <w:tcPr>
            <w:tcW w:w="990" w:type="dxa"/>
            <w:vAlign w:val="top"/>
          </w:tcPr>
          <w:p w14:paraId="5F6CCA6B">
            <w:pPr>
              <w:rPr>
                <w:rFonts w:ascii="Arial"/>
                <w:color w:val="auto"/>
                <w:sz w:val="21"/>
                <w:highlight w:val="none"/>
              </w:rPr>
            </w:pPr>
          </w:p>
        </w:tc>
        <w:tc>
          <w:tcPr>
            <w:tcW w:w="1557" w:type="dxa"/>
            <w:vAlign w:val="top"/>
          </w:tcPr>
          <w:p w14:paraId="78E1A3C3">
            <w:pPr>
              <w:rPr>
                <w:rFonts w:ascii="Arial"/>
                <w:color w:val="auto"/>
                <w:sz w:val="21"/>
                <w:highlight w:val="none"/>
              </w:rPr>
            </w:pPr>
          </w:p>
        </w:tc>
        <w:tc>
          <w:tcPr>
            <w:tcW w:w="1414" w:type="dxa"/>
            <w:vAlign w:val="top"/>
          </w:tcPr>
          <w:p w14:paraId="48E6D737">
            <w:pPr>
              <w:rPr>
                <w:rFonts w:ascii="Arial"/>
                <w:color w:val="auto"/>
                <w:sz w:val="21"/>
                <w:highlight w:val="none"/>
              </w:rPr>
            </w:pPr>
          </w:p>
        </w:tc>
        <w:tc>
          <w:tcPr>
            <w:tcW w:w="1533" w:type="dxa"/>
            <w:tcBorders>
              <w:right w:val="single" w:color="000000" w:sz="6" w:space="0"/>
            </w:tcBorders>
            <w:vAlign w:val="top"/>
          </w:tcPr>
          <w:p w14:paraId="21E0E5F1">
            <w:pPr>
              <w:rPr>
                <w:rFonts w:ascii="Arial"/>
                <w:color w:val="auto"/>
                <w:sz w:val="21"/>
                <w:highlight w:val="none"/>
              </w:rPr>
            </w:pPr>
          </w:p>
        </w:tc>
      </w:tr>
      <w:tr w14:paraId="73D7C46C">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top"/>
          </w:tcPr>
          <w:p w14:paraId="7043F9B8">
            <w:pPr>
              <w:rPr>
                <w:rFonts w:ascii="Arial"/>
                <w:color w:val="auto"/>
                <w:sz w:val="21"/>
                <w:highlight w:val="none"/>
              </w:rPr>
            </w:pPr>
          </w:p>
        </w:tc>
        <w:tc>
          <w:tcPr>
            <w:tcW w:w="2760" w:type="dxa"/>
            <w:vAlign w:val="top"/>
          </w:tcPr>
          <w:p w14:paraId="3E9A27B5">
            <w:pPr>
              <w:rPr>
                <w:rFonts w:ascii="Arial"/>
                <w:color w:val="auto"/>
                <w:sz w:val="21"/>
                <w:highlight w:val="none"/>
              </w:rPr>
            </w:pPr>
          </w:p>
        </w:tc>
        <w:tc>
          <w:tcPr>
            <w:tcW w:w="990" w:type="dxa"/>
            <w:vAlign w:val="top"/>
          </w:tcPr>
          <w:p w14:paraId="1D21093C">
            <w:pPr>
              <w:rPr>
                <w:rFonts w:ascii="Arial"/>
                <w:color w:val="auto"/>
                <w:sz w:val="21"/>
                <w:highlight w:val="none"/>
              </w:rPr>
            </w:pPr>
          </w:p>
        </w:tc>
        <w:tc>
          <w:tcPr>
            <w:tcW w:w="1557" w:type="dxa"/>
            <w:vAlign w:val="top"/>
          </w:tcPr>
          <w:p w14:paraId="2403ED2B">
            <w:pPr>
              <w:rPr>
                <w:rFonts w:ascii="Arial"/>
                <w:color w:val="auto"/>
                <w:sz w:val="21"/>
                <w:highlight w:val="none"/>
              </w:rPr>
            </w:pPr>
          </w:p>
        </w:tc>
        <w:tc>
          <w:tcPr>
            <w:tcW w:w="1414" w:type="dxa"/>
            <w:vAlign w:val="top"/>
          </w:tcPr>
          <w:p w14:paraId="68C76874">
            <w:pPr>
              <w:rPr>
                <w:rFonts w:ascii="Arial"/>
                <w:color w:val="auto"/>
                <w:sz w:val="21"/>
                <w:highlight w:val="none"/>
              </w:rPr>
            </w:pPr>
          </w:p>
        </w:tc>
        <w:tc>
          <w:tcPr>
            <w:tcW w:w="1533" w:type="dxa"/>
            <w:tcBorders>
              <w:right w:val="single" w:color="000000" w:sz="6" w:space="0"/>
            </w:tcBorders>
            <w:vAlign w:val="top"/>
          </w:tcPr>
          <w:p w14:paraId="407E460D">
            <w:pPr>
              <w:rPr>
                <w:rFonts w:ascii="Arial"/>
                <w:color w:val="auto"/>
                <w:sz w:val="21"/>
                <w:highlight w:val="none"/>
              </w:rPr>
            </w:pPr>
          </w:p>
        </w:tc>
      </w:tr>
      <w:tr w14:paraId="0DAA1B7B">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3D6641D4">
            <w:pPr>
              <w:rPr>
                <w:rFonts w:ascii="Arial"/>
                <w:color w:val="auto"/>
                <w:sz w:val="21"/>
                <w:highlight w:val="none"/>
              </w:rPr>
            </w:pPr>
          </w:p>
        </w:tc>
        <w:tc>
          <w:tcPr>
            <w:tcW w:w="2760" w:type="dxa"/>
            <w:vAlign w:val="top"/>
          </w:tcPr>
          <w:p w14:paraId="0428B1B9">
            <w:pPr>
              <w:rPr>
                <w:rFonts w:ascii="Arial"/>
                <w:color w:val="auto"/>
                <w:sz w:val="21"/>
                <w:highlight w:val="none"/>
              </w:rPr>
            </w:pPr>
          </w:p>
        </w:tc>
        <w:tc>
          <w:tcPr>
            <w:tcW w:w="990" w:type="dxa"/>
            <w:vAlign w:val="top"/>
          </w:tcPr>
          <w:p w14:paraId="77FE1AD6">
            <w:pPr>
              <w:rPr>
                <w:rFonts w:ascii="Arial"/>
                <w:color w:val="auto"/>
                <w:sz w:val="21"/>
                <w:highlight w:val="none"/>
              </w:rPr>
            </w:pPr>
          </w:p>
        </w:tc>
        <w:tc>
          <w:tcPr>
            <w:tcW w:w="1557" w:type="dxa"/>
            <w:vAlign w:val="top"/>
          </w:tcPr>
          <w:p w14:paraId="4F6CF70F">
            <w:pPr>
              <w:rPr>
                <w:rFonts w:ascii="Arial"/>
                <w:color w:val="auto"/>
                <w:sz w:val="21"/>
                <w:highlight w:val="none"/>
              </w:rPr>
            </w:pPr>
          </w:p>
        </w:tc>
        <w:tc>
          <w:tcPr>
            <w:tcW w:w="1414" w:type="dxa"/>
            <w:vAlign w:val="top"/>
          </w:tcPr>
          <w:p w14:paraId="723E2A18">
            <w:pPr>
              <w:rPr>
                <w:rFonts w:ascii="Arial"/>
                <w:color w:val="auto"/>
                <w:sz w:val="21"/>
                <w:highlight w:val="none"/>
              </w:rPr>
            </w:pPr>
          </w:p>
        </w:tc>
        <w:tc>
          <w:tcPr>
            <w:tcW w:w="1533" w:type="dxa"/>
            <w:tcBorders>
              <w:right w:val="single" w:color="000000" w:sz="6" w:space="0"/>
            </w:tcBorders>
            <w:vAlign w:val="top"/>
          </w:tcPr>
          <w:p w14:paraId="5A23EA55">
            <w:pPr>
              <w:rPr>
                <w:rFonts w:ascii="Arial"/>
                <w:color w:val="auto"/>
                <w:sz w:val="21"/>
                <w:highlight w:val="none"/>
              </w:rPr>
            </w:pPr>
          </w:p>
        </w:tc>
      </w:tr>
      <w:tr w14:paraId="0CBD0378">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top"/>
          </w:tcPr>
          <w:p w14:paraId="602D2A79">
            <w:pPr>
              <w:rPr>
                <w:rFonts w:ascii="Arial"/>
                <w:color w:val="auto"/>
                <w:sz w:val="21"/>
                <w:highlight w:val="none"/>
              </w:rPr>
            </w:pPr>
          </w:p>
        </w:tc>
        <w:tc>
          <w:tcPr>
            <w:tcW w:w="2760" w:type="dxa"/>
            <w:vAlign w:val="top"/>
          </w:tcPr>
          <w:p w14:paraId="10F34A56">
            <w:pPr>
              <w:pStyle w:val="33"/>
              <w:spacing w:before="122" w:line="220" w:lineRule="auto"/>
              <w:ind w:left="542"/>
              <w:rPr>
                <w:color w:val="auto"/>
                <w:sz w:val="24"/>
                <w:szCs w:val="24"/>
                <w:highlight w:val="none"/>
              </w:rPr>
            </w:pPr>
            <w:r>
              <w:rPr>
                <w:color w:val="auto"/>
                <w:spacing w:val="-2"/>
                <w:sz w:val="24"/>
                <w:szCs w:val="24"/>
                <w:highlight w:val="none"/>
              </w:rPr>
              <w:t>直接工程费小计</w:t>
            </w:r>
          </w:p>
        </w:tc>
        <w:tc>
          <w:tcPr>
            <w:tcW w:w="990" w:type="dxa"/>
            <w:vAlign w:val="top"/>
          </w:tcPr>
          <w:p w14:paraId="32E86304">
            <w:pPr>
              <w:rPr>
                <w:rFonts w:ascii="Arial"/>
                <w:color w:val="auto"/>
                <w:sz w:val="21"/>
                <w:highlight w:val="none"/>
              </w:rPr>
            </w:pPr>
          </w:p>
        </w:tc>
        <w:tc>
          <w:tcPr>
            <w:tcW w:w="1557" w:type="dxa"/>
            <w:vAlign w:val="top"/>
          </w:tcPr>
          <w:p w14:paraId="41F17AB4">
            <w:pPr>
              <w:rPr>
                <w:rFonts w:ascii="Arial"/>
                <w:color w:val="auto"/>
                <w:sz w:val="21"/>
                <w:highlight w:val="none"/>
              </w:rPr>
            </w:pPr>
          </w:p>
        </w:tc>
        <w:tc>
          <w:tcPr>
            <w:tcW w:w="1414" w:type="dxa"/>
            <w:vAlign w:val="top"/>
          </w:tcPr>
          <w:p w14:paraId="2C2C113B">
            <w:pPr>
              <w:rPr>
                <w:rFonts w:ascii="Arial"/>
                <w:color w:val="auto"/>
                <w:sz w:val="21"/>
                <w:highlight w:val="none"/>
              </w:rPr>
            </w:pPr>
          </w:p>
        </w:tc>
        <w:tc>
          <w:tcPr>
            <w:tcW w:w="1533" w:type="dxa"/>
            <w:tcBorders>
              <w:right w:val="single" w:color="000000" w:sz="6" w:space="0"/>
            </w:tcBorders>
            <w:vAlign w:val="top"/>
          </w:tcPr>
          <w:p w14:paraId="027A1B42">
            <w:pPr>
              <w:rPr>
                <w:rFonts w:ascii="Arial"/>
                <w:color w:val="auto"/>
                <w:sz w:val="21"/>
                <w:highlight w:val="none"/>
              </w:rPr>
            </w:pPr>
          </w:p>
        </w:tc>
      </w:tr>
      <w:tr w14:paraId="40329E4A">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18A0D2D4">
            <w:pPr>
              <w:rPr>
                <w:rFonts w:ascii="Arial"/>
                <w:color w:val="auto"/>
                <w:sz w:val="21"/>
                <w:highlight w:val="none"/>
              </w:rPr>
            </w:pPr>
          </w:p>
        </w:tc>
        <w:tc>
          <w:tcPr>
            <w:tcW w:w="2760" w:type="dxa"/>
            <w:vAlign w:val="top"/>
          </w:tcPr>
          <w:p w14:paraId="09532C34">
            <w:pPr>
              <w:pStyle w:val="33"/>
              <w:spacing w:before="123" w:line="220" w:lineRule="auto"/>
              <w:ind w:left="1020"/>
              <w:rPr>
                <w:color w:val="auto"/>
                <w:sz w:val="24"/>
                <w:szCs w:val="24"/>
                <w:highlight w:val="none"/>
              </w:rPr>
            </w:pPr>
            <w:r>
              <w:rPr>
                <w:color w:val="auto"/>
                <w:spacing w:val="-3"/>
                <w:sz w:val="24"/>
                <w:szCs w:val="24"/>
                <w:highlight w:val="none"/>
              </w:rPr>
              <w:t>措施费</w:t>
            </w:r>
          </w:p>
        </w:tc>
        <w:tc>
          <w:tcPr>
            <w:tcW w:w="990" w:type="dxa"/>
            <w:vAlign w:val="top"/>
          </w:tcPr>
          <w:p w14:paraId="1EE3119A">
            <w:pPr>
              <w:rPr>
                <w:rFonts w:ascii="Arial"/>
                <w:color w:val="auto"/>
                <w:sz w:val="21"/>
                <w:highlight w:val="none"/>
              </w:rPr>
            </w:pPr>
          </w:p>
        </w:tc>
        <w:tc>
          <w:tcPr>
            <w:tcW w:w="1557" w:type="dxa"/>
            <w:vAlign w:val="top"/>
          </w:tcPr>
          <w:p w14:paraId="5AE4C97E">
            <w:pPr>
              <w:rPr>
                <w:rFonts w:ascii="Arial"/>
                <w:color w:val="auto"/>
                <w:sz w:val="21"/>
                <w:highlight w:val="none"/>
              </w:rPr>
            </w:pPr>
          </w:p>
        </w:tc>
        <w:tc>
          <w:tcPr>
            <w:tcW w:w="1414" w:type="dxa"/>
            <w:vAlign w:val="top"/>
          </w:tcPr>
          <w:p w14:paraId="5DFECFC7">
            <w:pPr>
              <w:rPr>
                <w:rFonts w:ascii="Arial"/>
                <w:color w:val="auto"/>
                <w:sz w:val="21"/>
                <w:highlight w:val="none"/>
              </w:rPr>
            </w:pPr>
          </w:p>
        </w:tc>
        <w:tc>
          <w:tcPr>
            <w:tcW w:w="1533" w:type="dxa"/>
            <w:tcBorders>
              <w:right w:val="single" w:color="000000" w:sz="6" w:space="0"/>
            </w:tcBorders>
            <w:vAlign w:val="top"/>
          </w:tcPr>
          <w:p w14:paraId="31502945">
            <w:pPr>
              <w:rPr>
                <w:rFonts w:ascii="Arial"/>
                <w:color w:val="auto"/>
                <w:sz w:val="21"/>
                <w:highlight w:val="none"/>
              </w:rPr>
            </w:pPr>
          </w:p>
        </w:tc>
      </w:tr>
      <w:tr w14:paraId="76F9C0FD">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63817259">
            <w:pPr>
              <w:rPr>
                <w:rFonts w:ascii="Arial"/>
                <w:color w:val="auto"/>
                <w:sz w:val="21"/>
                <w:highlight w:val="none"/>
              </w:rPr>
            </w:pPr>
          </w:p>
        </w:tc>
        <w:tc>
          <w:tcPr>
            <w:tcW w:w="2760" w:type="dxa"/>
            <w:vAlign w:val="top"/>
          </w:tcPr>
          <w:p w14:paraId="562CEDA8">
            <w:pPr>
              <w:pStyle w:val="33"/>
              <w:spacing w:before="124" w:line="220" w:lineRule="auto"/>
              <w:ind w:left="1039"/>
              <w:rPr>
                <w:color w:val="auto"/>
                <w:sz w:val="24"/>
                <w:szCs w:val="24"/>
                <w:highlight w:val="none"/>
              </w:rPr>
            </w:pPr>
            <w:r>
              <w:rPr>
                <w:color w:val="auto"/>
                <w:spacing w:val="-7"/>
                <w:sz w:val="24"/>
                <w:szCs w:val="24"/>
                <w:highlight w:val="none"/>
              </w:rPr>
              <w:t>间接费</w:t>
            </w:r>
          </w:p>
        </w:tc>
        <w:tc>
          <w:tcPr>
            <w:tcW w:w="990" w:type="dxa"/>
            <w:vAlign w:val="top"/>
          </w:tcPr>
          <w:p w14:paraId="0F3AE9C7">
            <w:pPr>
              <w:rPr>
                <w:rFonts w:ascii="Arial"/>
                <w:color w:val="auto"/>
                <w:sz w:val="21"/>
                <w:highlight w:val="none"/>
              </w:rPr>
            </w:pPr>
          </w:p>
        </w:tc>
        <w:tc>
          <w:tcPr>
            <w:tcW w:w="1557" w:type="dxa"/>
            <w:vAlign w:val="top"/>
          </w:tcPr>
          <w:p w14:paraId="1C51AC3C">
            <w:pPr>
              <w:rPr>
                <w:rFonts w:ascii="Arial"/>
                <w:color w:val="auto"/>
                <w:sz w:val="21"/>
                <w:highlight w:val="none"/>
              </w:rPr>
            </w:pPr>
          </w:p>
        </w:tc>
        <w:tc>
          <w:tcPr>
            <w:tcW w:w="1414" w:type="dxa"/>
            <w:vAlign w:val="top"/>
          </w:tcPr>
          <w:p w14:paraId="5EAC9EBD">
            <w:pPr>
              <w:rPr>
                <w:rFonts w:ascii="Arial"/>
                <w:color w:val="auto"/>
                <w:sz w:val="21"/>
                <w:highlight w:val="none"/>
              </w:rPr>
            </w:pPr>
          </w:p>
        </w:tc>
        <w:tc>
          <w:tcPr>
            <w:tcW w:w="1533" w:type="dxa"/>
            <w:tcBorders>
              <w:right w:val="single" w:color="000000" w:sz="6" w:space="0"/>
            </w:tcBorders>
            <w:vAlign w:val="top"/>
          </w:tcPr>
          <w:p w14:paraId="20F6B28A">
            <w:pPr>
              <w:rPr>
                <w:rFonts w:ascii="Arial"/>
                <w:color w:val="auto"/>
                <w:sz w:val="21"/>
                <w:highlight w:val="none"/>
              </w:rPr>
            </w:pPr>
          </w:p>
        </w:tc>
      </w:tr>
      <w:tr w14:paraId="0858F317">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3CDDD076">
            <w:pPr>
              <w:rPr>
                <w:rFonts w:ascii="Arial"/>
                <w:color w:val="auto"/>
                <w:sz w:val="21"/>
                <w:highlight w:val="none"/>
              </w:rPr>
            </w:pPr>
          </w:p>
        </w:tc>
        <w:tc>
          <w:tcPr>
            <w:tcW w:w="2760" w:type="dxa"/>
            <w:vAlign w:val="top"/>
          </w:tcPr>
          <w:p w14:paraId="456E8C6B">
            <w:pPr>
              <w:pStyle w:val="33"/>
              <w:spacing w:before="124" w:line="220" w:lineRule="auto"/>
              <w:ind w:left="1141"/>
              <w:rPr>
                <w:color w:val="auto"/>
                <w:sz w:val="24"/>
                <w:szCs w:val="24"/>
                <w:highlight w:val="none"/>
              </w:rPr>
            </w:pPr>
            <w:r>
              <w:rPr>
                <w:color w:val="auto"/>
                <w:spacing w:val="-3"/>
                <w:sz w:val="24"/>
                <w:szCs w:val="24"/>
                <w:highlight w:val="none"/>
              </w:rPr>
              <w:t>利润</w:t>
            </w:r>
          </w:p>
        </w:tc>
        <w:tc>
          <w:tcPr>
            <w:tcW w:w="990" w:type="dxa"/>
            <w:vAlign w:val="top"/>
          </w:tcPr>
          <w:p w14:paraId="6BE523C2">
            <w:pPr>
              <w:rPr>
                <w:rFonts w:ascii="Arial"/>
                <w:color w:val="auto"/>
                <w:sz w:val="21"/>
                <w:highlight w:val="none"/>
              </w:rPr>
            </w:pPr>
          </w:p>
        </w:tc>
        <w:tc>
          <w:tcPr>
            <w:tcW w:w="1557" w:type="dxa"/>
            <w:vAlign w:val="top"/>
          </w:tcPr>
          <w:p w14:paraId="257F6503">
            <w:pPr>
              <w:rPr>
                <w:rFonts w:ascii="Arial"/>
                <w:color w:val="auto"/>
                <w:sz w:val="21"/>
                <w:highlight w:val="none"/>
              </w:rPr>
            </w:pPr>
          </w:p>
        </w:tc>
        <w:tc>
          <w:tcPr>
            <w:tcW w:w="1414" w:type="dxa"/>
            <w:vAlign w:val="top"/>
          </w:tcPr>
          <w:p w14:paraId="67C3C9BC">
            <w:pPr>
              <w:rPr>
                <w:rFonts w:ascii="Arial"/>
                <w:color w:val="auto"/>
                <w:sz w:val="21"/>
                <w:highlight w:val="none"/>
              </w:rPr>
            </w:pPr>
          </w:p>
        </w:tc>
        <w:tc>
          <w:tcPr>
            <w:tcW w:w="1533" w:type="dxa"/>
            <w:tcBorders>
              <w:right w:val="single" w:color="000000" w:sz="6" w:space="0"/>
            </w:tcBorders>
            <w:vAlign w:val="top"/>
          </w:tcPr>
          <w:p w14:paraId="658A5122">
            <w:pPr>
              <w:rPr>
                <w:rFonts w:ascii="Arial"/>
                <w:color w:val="auto"/>
                <w:sz w:val="21"/>
                <w:highlight w:val="none"/>
              </w:rPr>
            </w:pPr>
          </w:p>
        </w:tc>
      </w:tr>
      <w:tr w14:paraId="02A4C48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top"/>
          </w:tcPr>
          <w:p w14:paraId="5229D3BA">
            <w:pPr>
              <w:rPr>
                <w:rFonts w:ascii="Arial"/>
                <w:color w:val="auto"/>
                <w:sz w:val="21"/>
                <w:highlight w:val="none"/>
              </w:rPr>
            </w:pPr>
          </w:p>
        </w:tc>
        <w:tc>
          <w:tcPr>
            <w:tcW w:w="2760" w:type="dxa"/>
            <w:vAlign w:val="top"/>
          </w:tcPr>
          <w:p w14:paraId="471F4E8A">
            <w:pPr>
              <w:pStyle w:val="33"/>
              <w:spacing w:before="123" w:line="219" w:lineRule="auto"/>
              <w:ind w:left="900"/>
              <w:rPr>
                <w:color w:val="auto"/>
                <w:sz w:val="24"/>
                <w:szCs w:val="24"/>
                <w:highlight w:val="none"/>
              </w:rPr>
            </w:pPr>
            <w:r>
              <w:rPr>
                <w:color w:val="auto"/>
                <w:spacing w:val="-2"/>
                <w:sz w:val="24"/>
                <w:szCs w:val="24"/>
                <w:highlight w:val="none"/>
              </w:rPr>
              <w:t>材料补差</w:t>
            </w:r>
          </w:p>
        </w:tc>
        <w:tc>
          <w:tcPr>
            <w:tcW w:w="990" w:type="dxa"/>
            <w:vAlign w:val="top"/>
          </w:tcPr>
          <w:p w14:paraId="1EE5813F">
            <w:pPr>
              <w:rPr>
                <w:rFonts w:ascii="Arial"/>
                <w:color w:val="auto"/>
                <w:sz w:val="21"/>
                <w:highlight w:val="none"/>
              </w:rPr>
            </w:pPr>
          </w:p>
        </w:tc>
        <w:tc>
          <w:tcPr>
            <w:tcW w:w="1557" w:type="dxa"/>
            <w:vAlign w:val="top"/>
          </w:tcPr>
          <w:p w14:paraId="3904DF1A">
            <w:pPr>
              <w:rPr>
                <w:rFonts w:ascii="Arial"/>
                <w:color w:val="auto"/>
                <w:sz w:val="21"/>
                <w:highlight w:val="none"/>
              </w:rPr>
            </w:pPr>
          </w:p>
        </w:tc>
        <w:tc>
          <w:tcPr>
            <w:tcW w:w="1414" w:type="dxa"/>
            <w:vAlign w:val="top"/>
          </w:tcPr>
          <w:p w14:paraId="39C4846C">
            <w:pPr>
              <w:rPr>
                <w:rFonts w:ascii="Arial"/>
                <w:color w:val="auto"/>
                <w:sz w:val="21"/>
                <w:highlight w:val="none"/>
              </w:rPr>
            </w:pPr>
          </w:p>
        </w:tc>
        <w:tc>
          <w:tcPr>
            <w:tcW w:w="1533" w:type="dxa"/>
            <w:tcBorders>
              <w:right w:val="single" w:color="000000" w:sz="6" w:space="0"/>
            </w:tcBorders>
            <w:vAlign w:val="top"/>
          </w:tcPr>
          <w:p w14:paraId="63DC18C4">
            <w:pPr>
              <w:rPr>
                <w:rFonts w:ascii="Arial"/>
                <w:color w:val="auto"/>
                <w:sz w:val="21"/>
                <w:highlight w:val="none"/>
              </w:rPr>
            </w:pPr>
          </w:p>
        </w:tc>
      </w:tr>
      <w:tr w14:paraId="15CAAD51">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70" w:hRule="atLeast"/>
        </w:trPr>
        <w:tc>
          <w:tcPr>
            <w:tcW w:w="755" w:type="dxa"/>
            <w:tcBorders>
              <w:left w:val="single" w:color="000000" w:sz="6" w:space="0"/>
            </w:tcBorders>
            <w:vAlign w:val="top"/>
          </w:tcPr>
          <w:p w14:paraId="1FA0B1E3">
            <w:pPr>
              <w:rPr>
                <w:rFonts w:ascii="Arial"/>
                <w:color w:val="auto"/>
                <w:sz w:val="21"/>
                <w:highlight w:val="none"/>
              </w:rPr>
            </w:pPr>
          </w:p>
        </w:tc>
        <w:tc>
          <w:tcPr>
            <w:tcW w:w="2760" w:type="dxa"/>
            <w:vAlign w:val="top"/>
          </w:tcPr>
          <w:p w14:paraId="5D095140">
            <w:pPr>
              <w:pStyle w:val="33"/>
              <w:spacing w:before="125" w:line="219" w:lineRule="auto"/>
              <w:ind w:left="780"/>
              <w:rPr>
                <w:color w:val="auto"/>
                <w:sz w:val="24"/>
                <w:szCs w:val="24"/>
                <w:highlight w:val="none"/>
              </w:rPr>
            </w:pPr>
            <w:r>
              <w:rPr>
                <w:color w:val="auto"/>
                <w:spacing w:val="-2"/>
                <w:sz w:val="24"/>
                <w:szCs w:val="24"/>
                <w:highlight w:val="none"/>
              </w:rPr>
              <w:t>装置性材料</w:t>
            </w:r>
          </w:p>
        </w:tc>
        <w:tc>
          <w:tcPr>
            <w:tcW w:w="990" w:type="dxa"/>
            <w:vAlign w:val="top"/>
          </w:tcPr>
          <w:p w14:paraId="1FF6E086">
            <w:pPr>
              <w:rPr>
                <w:rFonts w:ascii="Arial"/>
                <w:color w:val="auto"/>
                <w:sz w:val="21"/>
                <w:highlight w:val="none"/>
              </w:rPr>
            </w:pPr>
          </w:p>
        </w:tc>
        <w:tc>
          <w:tcPr>
            <w:tcW w:w="1557" w:type="dxa"/>
            <w:vAlign w:val="top"/>
          </w:tcPr>
          <w:p w14:paraId="1FB5A7F9">
            <w:pPr>
              <w:rPr>
                <w:rFonts w:ascii="Arial"/>
                <w:color w:val="auto"/>
                <w:sz w:val="21"/>
                <w:highlight w:val="none"/>
              </w:rPr>
            </w:pPr>
          </w:p>
        </w:tc>
        <w:tc>
          <w:tcPr>
            <w:tcW w:w="1414" w:type="dxa"/>
            <w:vAlign w:val="top"/>
          </w:tcPr>
          <w:p w14:paraId="23A8BABF">
            <w:pPr>
              <w:rPr>
                <w:rFonts w:ascii="Arial"/>
                <w:color w:val="auto"/>
                <w:sz w:val="21"/>
                <w:highlight w:val="none"/>
              </w:rPr>
            </w:pPr>
          </w:p>
        </w:tc>
        <w:tc>
          <w:tcPr>
            <w:tcW w:w="1533" w:type="dxa"/>
            <w:tcBorders>
              <w:right w:val="single" w:color="000000" w:sz="6" w:space="0"/>
            </w:tcBorders>
            <w:vAlign w:val="top"/>
          </w:tcPr>
          <w:p w14:paraId="3EBC4BFE">
            <w:pPr>
              <w:rPr>
                <w:rFonts w:ascii="Arial"/>
                <w:color w:val="auto"/>
                <w:sz w:val="21"/>
                <w:highlight w:val="none"/>
              </w:rPr>
            </w:pPr>
          </w:p>
        </w:tc>
      </w:tr>
      <w:tr w14:paraId="792C30A0">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7" w:hRule="atLeast"/>
        </w:trPr>
        <w:tc>
          <w:tcPr>
            <w:tcW w:w="755" w:type="dxa"/>
            <w:tcBorders>
              <w:left w:val="single" w:color="000000" w:sz="6" w:space="0"/>
            </w:tcBorders>
            <w:vAlign w:val="top"/>
          </w:tcPr>
          <w:p w14:paraId="6F5092E2">
            <w:pPr>
              <w:rPr>
                <w:rFonts w:ascii="Arial"/>
                <w:color w:val="auto"/>
                <w:sz w:val="21"/>
                <w:highlight w:val="none"/>
              </w:rPr>
            </w:pPr>
          </w:p>
        </w:tc>
        <w:tc>
          <w:tcPr>
            <w:tcW w:w="2760" w:type="dxa"/>
            <w:vAlign w:val="top"/>
          </w:tcPr>
          <w:p w14:paraId="23C2E112">
            <w:pPr>
              <w:pStyle w:val="33"/>
              <w:spacing w:before="123" w:line="220" w:lineRule="auto"/>
              <w:ind w:left="1139"/>
              <w:rPr>
                <w:color w:val="auto"/>
                <w:sz w:val="24"/>
                <w:szCs w:val="24"/>
                <w:highlight w:val="none"/>
              </w:rPr>
            </w:pPr>
            <w:r>
              <w:rPr>
                <w:color w:val="auto"/>
                <w:spacing w:val="-3"/>
                <w:sz w:val="24"/>
                <w:szCs w:val="24"/>
                <w:highlight w:val="none"/>
              </w:rPr>
              <w:t>税金</w:t>
            </w:r>
          </w:p>
        </w:tc>
        <w:tc>
          <w:tcPr>
            <w:tcW w:w="990" w:type="dxa"/>
            <w:vAlign w:val="top"/>
          </w:tcPr>
          <w:p w14:paraId="05241AFE">
            <w:pPr>
              <w:rPr>
                <w:rFonts w:ascii="Arial"/>
                <w:color w:val="auto"/>
                <w:sz w:val="21"/>
                <w:highlight w:val="none"/>
              </w:rPr>
            </w:pPr>
          </w:p>
        </w:tc>
        <w:tc>
          <w:tcPr>
            <w:tcW w:w="1557" w:type="dxa"/>
            <w:vAlign w:val="top"/>
          </w:tcPr>
          <w:p w14:paraId="616D1470">
            <w:pPr>
              <w:rPr>
                <w:rFonts w:ascii="Arial"/>
                <w:color w:val="auto"/>
                <w:sz w:val="21"/>
                <w:highlight w:val="none"/>
              </w:rPr>
            </w:pPr>
          </w:p>
        </w:tc>
        <w:tc>
          <w:tcPr>
            <w:tcW w:w="1414" w:type="dxa"/>
            <w:vAlign w:val="top"/>
          </w:tcPr>
          <w:p w14:paraId="73BB752F">
            <w:pPr>
              <w:rPr>
                <w:rFonts w:ascii="Arial"/>
                <w:color w:val="auto"/>
                <w:sz w:val="21"/>
                <w:highlight w:val="none"/>
              </w:rPr>
            </w:pPr>
          </w:p>
        </w:tc>
        <w:tc>
          <w:tcPr>
            <w:tcW w:w="1533" w:type="dxa"/>
            <w:tcBorders>
              <w:right w:val="single" w:color="000000" w:sz="6" w:space="0"/>
            </w:tcBorders>
            <w:vAlign w:val="top"/>
          </w:tcPr>
          <w:p w14:paraId="3F8AD94C">
            <w:pPr>
              <w:rPr>
                <w:rFonts w:ascii="Arial"/>
                <w:color w:val="auto"/>
                <w:sz w:val="21"/>
                <w:highlight w:val="none"/>
              </w:rPr>
            </w:pPr>
          </w:p>
        </w:tc>
      </w:tr>
      <w:tr w14:paraId="2770732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69" w:hRule="atLeast"/>
        </w:trPr>
        <w:tc>
          <w:tcPr>
            <w:tcW w:w="755" w:type="dxa"/>
            <w:tcBorders>
              <w:left w:val="single" w:color="000000" w:sz="6" w:space="0"/>
            </w:tcBorders>
            <w:vAlign w:val="top"/>
          </w:tcPr>
          <w:p w14:paraId="50A3DAA3">
            <w:pPr>
              <w:rPr>
                <w:rFonts w:ascii="Arial"/>
                <w:color w:val="auto"/>
                <w:sz w:val="21"/>
                <w:highlight w:val="none"/>
              </w:rPr>
            </w:pPr>
          </w:p>
        </w:tc>
        <w:tc>
          <w:tcPr>
            <w:tcW w:w="2760" w:type="dxa"/>
            <w:vAlign w:val="top"/>
          </w:tcPr>
          <w:p w14:paraId="64511324">
            <w:pPr>
              <w:pStyle w:val="33"/>
              <w:spacing w:before="126" w:line="221" w:lineRule="auto"/>
              <w:ind w:left="1141"/>
              <w:rPr>
                <w:color w:val="auto"/>
                <w:sz w:val="24"/>
                <w:szCs w:val="24"/>
                <w:highlight w:val="none"/>
              </w:rPr>
            </w:pPr>
            <w:r>
              <w:rPr>
                <w:color w:val="auto"/>
                <w:spacing w:val="-3"/>
                <w:sz w:val="24"/>
                <w:szCs w:val="24"/>
                <w:highlight w:val="none"/>
              </w:rPr>
              <w:t>合计</w:t>
            </w:r>
          </w:p>
        </w:tc>
        <w:tc>
          <w:tcPr>
            <w:tcW w:w="990" w:type="dxa"/>
            <w:vAlign w:val="top"/>
          </w:tcPr>
          <w:p w14:paraId="3039AD0F">
            <w:pPr>
              <w:rPr>
                <w:rFonts w:ascii="Arial"/>
                <w:color w:val="auto"/>
                <w:sz w:val="21"/>
                <w:highlight w:val="none"/>
              </w:rPr>
            </w:pPr>
          </w:p>
        </w:tc>
        <w:tc>
          <w:tcPr>
            <w:tcW w:w="1557" w:type="dxa"/>
            <w:vAlign w:val="top"/>
          </w:tcPr>
          <w:p w14:paraId="7579CFE2">
            <w:pPr>
              <w:rPr>
                <w:rFonts w:ascii="Arial"/>
                <w:color w:val="auto"/>
                <w:sz w:val="21"/>
                <w:highlight w:val="none"/>
              </w:rPr>
            </w:pPr>
          </w:p>
        </w:tc>
        <w:tc>
          <w:tcPr>
            <w:tcW w:w="1414" w:type="dxa"/>
            <w:vAlign w:val="top"/>
          </w:tcPr>
          <w:p w14:paraId="1CC94BF6">
            <w:pPr>
              <w:rPr>
                <w:rFonts w:ascii="Arial"/>
                <w:color w:val="auto"/>
                <w:sz w:val="21"/>
                <w:highlight w:val="none"/>
              </w:rPr>
            </w:pPr>
          </w:p>
        </w:tc>
        <w:tc>
          <w:tcPr>
            <w:tcW w:w="1533" w:type="dxa"/>
            <w:tcBorders>
              <w:right w:val="single" w:color="000000" w:sz="6" w:space="0"/>
            </w:tcBorders>
            <w:vAlign w:val="top"/>
          </w:tcPr>
          <w:p w14:paraId="6A210FA9">
            <w:pPr>
              <w:rPr>
                <w:rFonts w:ascii="Arial"/>
                <w:color w:val="auto"/>
                <w:sz w:val="21"/>
                <w:highlight w:val="none"/>
              </w:rPr>
            </w:pPr>
          </w:p>
        </w:tc>
      </w:tr>
      <w:tr w14:paraId="7351BB8F">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486" w:hRule="atLeast"/>
        </w:trPr>
        <w:tc>
          <w:tcPr>
            <w:tcW w:w="755" w:type="dxa"/>
            <w:tcBorders>
              <w:left w:val="single" w:color="000000" w:sz="6" w:space="0"/>
              <w:bottom w:val="single" w:color="000000" w:sz="6" w:space="0"/>
            </w:tcBorders>
            <w:vAlign w:val="top"/>
          </w:tcPr>
          <w:p w14:paraId="789F4B06">
            <w:pPr>
              <w:rPr>
                <w:rFonts w:ascii="Arial"/>
                <w:color w:val="auto"/>
                <w:sz w:val="21"/>
                <w:highlight w:val="none"/>
              </w:rPr>
            </w:pPr>
          </w:p>
        </w:tc>
        <w:tc>
          <w:tcPr>
            <w:tcW w:w="2760" w:type="dxa"/>
            <w:tcBorders>
              <w:bottom w:val="single" w:color="000000" w:sz="6" w:space="0"/>
            </w:tcBorders>
            <w:vAlign w:val="top"/>
          </w:tcPr>
          <w:p w14:paraId="3EBE63AE">
            <w:pPr>
              <w:pStyle w:val="33"/>
              <w:spacing w:before="127" w:line="218" w:lineRule="auto"/>
              <w:ind w:left="1142"/>
              <w:rPr>
                <w:color w:val="auto"/>
                <w:sz w:val="24"/>
                <w:szCs w:val="24"/>
                <w:highlight w:val="none"/>
              </w:rPr>
            </w:pPr>
            <w:r>
              <w:rPr>
                <w:color w:val="auto"/>
                <w:spacing w:val="-3"/>
                <w:sz w:val="24"/>
                <w:szCs w:val="24"/>
                <w:highlight w:val="none"/>
              </w:rPr>
              <w:t>单价</w:t>
            </w:r>
          </w:p>
        </w:tc>
        <w:tc>
          <w:tcPr>
            <w:tcW w:w="990" w:type="dxa"/>
            <w:tcBorders>
              <w:bottom w:val="single" w:color="000000" w:sz="6" w:space="0"/>
            </w:tcBorders>
            <w:vAlign w:val="top"/>
          </w:tcPr>
          <w:p w14:paraId="5A05B40F">
            <w:pPr>
              <w:rPr>
                <w:rFonts w:ascii="Arial"/>
                <w:color w:val="auto"/>
                <w:sz w:val="21"/>
                <w:highlight w:val="none"/>
              </w:rPr>
            </w:pPr>
          </w:p>
        </w:tc>
        <w:tc>
          <w:tcPr>
            <w:tcW w:w="1557" w:type="dxa"/>
            <w:tcBorders>
              <w:bottom w:val="single" w:color="000000" w:sz="6" w:space="0"/>
            </w:tcBorders>
            <w:vAlign w:val="top"/>
          </w:tcPr>
          <w:p w14:paraId="684098A6">
            <w:pPr>
              <w:rPr>
                <w:rFonts w:ascii="Arial"/>
                <w:color w:val="auto"/>
                <w:sz w:val="21"/>
                <w:highlight w:val="none"/>
              </w:rPr>
            </w:pPr>
          </w:p>
        </w:tc>
        <w:tc>
          <w:tcPr>
            <w:tcW w:w="1414" w:type="dxa"/>
            <w:tcBorders>
              <w:bottom w:val="single" w:color="000000" w:sz="6" w:space="0"/>
            </w:tcBorders>
            <w:vAlign w:val="top"/>
          </w:tcPr>
          <w:p w14:paraId="0AEA1233">
            <w:pPr>
              <w:rPr>
                <w:rFonts w:ascii="Arial"/>
                <w:color w:val="auto"/>
                <w:sz w:val="21"/>
                <w:highlight w:val="none"/>
              </w:rPr>
            </w:pPr>
          </w:p>
        </w:tc>
        <w:tc>
          <w:tcPr>
            <w:tcW w:w="1533" w:type="dxa"/>
            <w:tcBorders>
              <w:bottom w:val="single" w:color="000000" w:sz="6" w:space="0"/>
              <w:right w:val="single" w:color="000000" w:sz="6" w:space="0"/>
            </w:tcBorders>
            <w:vAlign w:val="top"/>
          </w:tcPr>
          <w:p w14:paraId="7213C02F">
            <w:pPr>
              <w:rPr>
                <w:rFonts w:ascii="Arial"/>
                <w:color w:val="auto"/>
                <w:sz w:val="21"/>
                <w:highlight w:val="none"/>
              </w:rPr>
            </w:pPr>
          </w:p>
        </w:tc>
      </w:tr>
    </w:tbl>
    <w:p w14:paraId="2F55DEF1">
      <w:pPr>
        <w:spacing w:before="36" w:line="211" w:lineRule="auto"/>
        <w:ind w:left="115"/>
        <w:rPr>
          <w:rFonts w:ascii="宋体" w:hAnsi="宋体" w:eastAsia="宋体" w:cs="宋体"/>
          <w:color w:val="auto"/>
          <w:sz w:val="25"/>
          <w:szCs w:val="25"/>
          <w:highlight w:val="none"/>
        </w:rPr>
      </w:pPr>
      <w:r>
        <w:rPr>
          <w:rFonts w:ascii="宋体" w:hAnsi="宋体" w:eastAsia="宋体" w:cs="宋体"/>
          <w:i/>
          <w:iCs/>
          <w:color w:val="auto"/>
          <w:spacing w:val="-8"/>
          <w:sz w:val="25"/>
          <w:szCs w:val="25"/>
          <w:highlight w:val="none"/>
        </w:rPr>
        <w:t>注：材料补差按不同材料分别计算补差费用。</w:t>
      </w:r>
    </w:p>
    <w:p w14:paraId="4D3018CA">
      <w:pPr>
        <w:spacing w:line="211" w:lineRule="auto"/>
        <w:rPr>
          <w:rFonts w:ascii="宋体" w:hAnsi="宋体" w:eastAsia="宋体" w:cs="宋体"/>
          <w:color w:val="auto"/>
          <w:sz w:val="25"/>
          <w:szCs w:val="25"/>
          <w:highlight w:val="none"/>
        </w:rPr>
        <w:sectPr>
          <w:pgSz w:w="11905" w:h="16843"/>
          <w:pgMar w:top="1429" w:right="1361" w:bottom="1253" w:left="1621" w:header="0" w:footer="1094" w:gutter="0"/>
          <w:pgNumType w:fmt="decimal"/>
          <w:cols w:space="0" w:num="1"/>
          <w:rtlGutter w:val="0"/>
          <w:docGrid w:linePitch="0" w:charSpace="0"/>
        </w:sectPr>
      </w:pPr>
    </w:p>
    <w:p w14:paraId="0589CD59">
      <w:pPr>
        <w:spacing w:before="55" w:line="219" w:lineRule="auto"/>
        <w:ind w:left="2599"/>
        <w:rPr>
          <w:rFonts w:ascii="宋体" w:hAnsi="宋体" w:eastAsia="宋体" w:cs="宋体"/>
          <w:color w:val="auto"/>
          <w:sz w:val="28"/>
          <w:szCs w:val="28"/>
          <w:highlight w:val="none"/>
        </w:rPr>
      </w:pPr>
      <w:r>
        <w:rPr>
          <w:rFonts w:ascii="宋体" w:hAnsi="宋体" w:eastAsia="宋体" w:cs="宋体"/>
          <w:b/>
          <w:bCs/>
          <w:color w:val="auto"/>
          <w:spacing w:val="-6"/>
          <w:sz w:val="28"/>
          <w:szCs w:val="28"/>
          <w:highlight w:val="none"/>
        </w:rPr>
        <w:t>电、风、水、砂石单价计算表</w:t>
      </w:r>
    </w:p>
    <w:p w14:paraId="3C3AD285">
      <w:pPr>
        <w:pStyle w:val="3"/>
        <w:spacing w:line="269" w:lineRule="auto"/>
        <w:rPr>
          <w:color w:val="auto"/>
          <w:highlight w:val="none"/>
        </w:rPr>
      </w:pPr>
    </w:p>
    <w:p w14:paraId="240BC1F9">
      <w:pPr>
        <w:pStyle w:val="3"/>
        <w:spacing w:line="269" w:lineRule="auto"/>
        <w:rPr>
          <w:color w:val="auto"/>
          <w:highlight w:val="none"/>
        </w:rPr>
      </w:pPr>
    </w:p>
    <w:p w14:paraId="66BFA8D0">
      <w:pPr>
        <w:spacing w:before="78" w:line="346" w:lineRule="auto"/>
        <w:ind w:right="14" w:firstLine="507"/>
        <w:rPr>
          <w:rFonts w:ascii="宋体" w:hAnsi="宋体" w:eastAsia="宋体" w:cs="宋体"/>
          <w:color w:val="auto"/>
          <w:sz w:val="24"/>
          <w:szCs w:val="24"/>
          <w:highlight w:val="none"/>
        </w:rPr>
      </w:pPr>
      <w:r>
        <w:rPr>
          <w:rFonts w:ascii="宋体" w:hAnsi="宋体" w:eastAsia="宋体" w:cs="宋体"/>
          <w:color w:val="auto"/>
          <w:spacing w:val="-4"/>
          <w:sz w:val="24"/>
          <w:szCs w:val="24"/>
          <w:highlight w:val="none"/>
        </w:rPr>
        <w:t>电、风、水、砂石单价计算按照施工组织设计确定的施工方案、供应方式</w:t>
      </w:r>
      <w:r>
        <w:rPr>
          <w:rFonts w:ascii="宋体" w:hAnsi="宋体" w:eastAsia="宋体" w:cs="宋体"/>
          <w:color w:val="auto"/>
          <w:spacing w:val="-5"/>
          <w:sz w:val="24"/>
          <w:szCs w:val="24"/>
          <w:highlight w:val="none"/>
        </w:rPr>
        <w:t>、相应</w:t>
      </w:r>
      <w:r>
        <w:rPr>
          <w:rFonts w:ascii="宋体" w:hAnsi="宋体" w:eastAsia="宋体" w:cs="宋体"/>
          <w:color w:val="auto"/>
          <w:sz w:val="24"/>
          <w:szCs w:val="24"/>
          <w:highlight w:val="none"/>
        </w:rPr>
        <w:t xml:space="preserve"> </w:t>
      </w:r>
      <w:r>
        <w:rPr>
          <w:rFonts w:ascii="宋体" w:hAnsi="宋体" w:eastAsia="宋体" w:cs="宋体"/>
          <w:color w:val="auto"/>
          <w:spacing w:val="-2"/>
          <w:sz w:val="24"/>
          <w:szCs w:val="24"/>
          <w:highlight w:val="none"/>
        </w:rPr>
        <w:t>价格，采用计算书的形式表述。如采用外购的，本表可不提供。</w:t>
      </w:r>
    </w:p>
    <w:p w14:paraId="1A3F04B5">
      <w:pPr>
        <w:spacing w:line="346" w:lineRule="auto"/>
        <w:rPr>
          <w:rFonts w:ascii="宋体" w:hAnsi="宋体" w:eastAsia="宋体" w:cs="宋体"/>
          <w:color w:val="auto"/>
          <w:sz w:val="24"/>
          <w:szCs w:val="24"/>
          <w:highlight w:val="none"/>
        </w:rPr>
        <w:sectPr>
          <w:pgSz w:w="11905" w:h="16843"/>
          <w:pgMar w:top="1429" w:right="1361" w:bottom="1253" w:left="1621" w:header="0" w:footer="1094" w:gutter="0"/>
          <w:pgNumType w:fmt="decimal"/>
          <w:cols w:space="0" w:num="1"/>
          <w:rtlGutter w:val="0"/>
          <w:docGrid w:linePitch="0" w:charSpace="0"/>
        </w:sectPr>
      </w:pPr>
    </w:p>
    <w:p w14:paraId="13F050C8">
      <w:pPr>
        <w:spacing w:before="56" w:line="219" w:lineRule="auto"/>
        <w:ind w:left="3363"/>
        <w:outlineLvl w:val="1"/>
        <w:rPr>
          <w:rFonts w:ascii="宋体" w:hAnsi="宋体" w:eastAsia="宋体" w:cs="宋体"/>
          <w:color w:val="auto"/>
          <w:sz w:val="28"/>
          <w:szCs w:val="28"/>
          <w:highlight w:val="none"/>
        </w:rPr>
      </w:pPr>
      <w:bookmarkStart w:id="890" w:name="bookmark1324"/>
      <w:bookmarkEnd w:id="890"/>
      <w:bookmarkStart w:id="891" w:name="bookmark1323"/>
      <w:bookmarkEnd w:id="891"/>
      <w:bookmarkStart w:id="892" w:name="_Toc26409"/>
      <w:bookmarkStart w:id="893" w:name="_Toc17753"/>
      <w:r>
        <w:rPr>
          <w:rFonts w:ascii="宋体" w:hAnsi="宋体" w:eastAsia="宋体" w:cs="宋体"/>
          <w:b/>
          <w:bCs/>
          <w:color w:val="auto"/>
          <w:spacing w:val="-4"/>
          <w:sz w:val="28"/>
          <w:szCs w:val="28"/>
          <w:highlight w:val="none"/>
        </w:rPr>
        <w:t>三、其他材料</w:t>
      </w:r>
      <w:bookmarkEnd w:id="892"/>
      <w:bookmarkEnd w:id="893"/>
    </w:p>
    <w:sectPr>
      <w:pgSz w:w="11905" w:h="16843"/>
      <w:pgMar w:top="1429" w:right="1361" w:bottom="1253" w:left="1621" w:header="0" w:footer="1094" w:gutter="0"/>
      <w:pgNumType w:fmt="decimal"/>
      <w:cols w:space="0" w:num="1"/>
      <w:rtlGutter w:val="0"/>
      <w:docGrid w:linePitch="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monospace">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华文仿宋">
    <w:altName w:val="仿宋"/>
    <w:panose1 w:val="02010600040101010101"/>
    <w:charset w:val="86"/>
    <w:family w:val="auto"/>
    <w:pitch w:val="default"/>
    <w:sig w:usb0="00000000" w:usb1="00000000" w:usb2="00000000" w:usb3="00000000" w:csb0="0004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隶书">
    <w:altName w:val="微软雅黑"/>
    <w:panose1 w:val="02010509060101010101"/>
    <w:charset w:val="86"/>
    <w:family w:val="auto"/>
    <w:pitch w:val="default"/>
    <w:sig w:usb0="00000000" w:usb1="00000000" w:usb2="00000000" w:usb3="00000000" w:csb0="00040000" w:csb1="00000000"/>
  </w:font>
  <w:font w:name="华文隶书">
    <w:altName w:val="微软雅黑"/>
    <w:panose1 w:val="02010800040101010101"/>
    <w:charset w:val="86"/>
    <w:family w:val="auto"/>
    <w:pitch w:val="default"/>
    <w:sig w:usb0="00000000" w:usb1="00000000" w:usb2="00000000" w:usb3="00000000" w:csb0="00040000" w:csb1="00000000"/>
  </w:font>
  <w:font w:name="等线">
    <w:altName w:val="微软雅黑"/>
    <w:panose1 w:val="02010600030101010101"/>
    <w:charset w:val="86"/>
    <w:family w:val="auto"/>
    <w:pitch w:val="default"/>
    <w:sig w:usb0="00000000" w:usb1="00000000" w:usb2="00000016" w:usb3="00000000" w:csb0="0004000F" w:csb1="00000000"/>
  </w:font>
  <w:font w:name="方正仿宋">
    <w:altName w:val="仿宋"/>
    <w:panose1 w:val="00000000000000000000"/>
    <w:charset w:val="86"/>
    <w:family w:val="script"/>
    <w:pitch w:val="default"/>
    <w:sig w:usb0="00000000" w:usb1="00000000" w:usb2="00000000" w:usb3="00000000" w:csb0="00040000"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AFCA4D">
    <w:pPr>
      <w:spacing w:line="174"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文本框 1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63B442A">
                          <w:pPr>
                            <w:pStyle w:val="1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z+8ZE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s/vGRMQIAAGMEAAAOAAAAAAAAAAEAIAAAAB8BAABkcnMvZTJvRG9jLnhtbFBLBQYA&#10;AAAABgAGAFkBAADCBQAAAAA=&#10;">
              <v:fill on="f" focussize="0,0"/>
              <v:stroke on="f" weight="0.5pt"/>
              <v:imagedata o:title=""/>
              <o:lock v:ext="edit" aspectratio="f"/>
              <v:textbox inset="0mm,0mm,0mm,0mm" style="mso-fit-shape-to-text:t;">
                <w:txbxContent>
                  <w:p w14:paraId="763B442A">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2DC45A">
    <w:pPr>
      <w:spacing w:line="174" w:lineRule="auto"/>
      <w:ind w:left="8692"/>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3" name="文本框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3B5F3FC">
                          <w:pPr>
                            <w:pStyle w:val="10"/>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5WZn4y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lZmfjICAABjBAAADgAAAAAAAAABACAAAAAfAQAAZHJzL2Uyb0RvYy54bWxQSwUG&#10;AAAAAAYABgBZAQAAwwUAAAAA&#10;">
              <v:fill on="f" focussize="0,0"/>
              <v:stroke on="f" weight="0.5pt"/>
              <v:imagedata o:title=""/>
              <o:lock v:ext="edit" aspectratio="f"/>
              <v:textbox inset="0mm,0mm,0mm,0mm" style="mso-fit-shape-to-text:t;">
                <w:txbxContent>
                  <w:p w14:paraId="03B5F3FC">
                    <w:pPr>
                      <w:pStyle w:val="10"/>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756323">
    <w:pPr>
      <w:spacing w:line="174" w:lineRule="auto"/>
      <w:ind w:left="869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4" name="文本框 1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14CE3A7">
                          <w:pPr>
                            <w:pStyle w:val="10"/>
                          </w:pPr>
                          <w:r>
                            <w:fldChar w:fldCharType="begin"/>
                          </w:r>
                          <w:r>
                            <w:instrText xml:space="preserve"> PAGE  \* MERGEFORMAT </w:instrText>
                          </w:r>
                          <w:r>
                            <w:fldChar w:fldCharType="separate"/>
                          </w:r>
                          <w:r>
                            <w:t>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MFE50y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QYphGxU8/vp9+&#10;Ppx+fSM4g0CNCzPE3TtExvadbRE8nAccJt5t5XX6ghGBH/IeL/KKNhKeLk0n02kOF4dv2AA/e7zu&#10;fIjvhdUkGQX1qF8nKztsQuxDh5CUzdi1VKqroTKkKejV67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IwUTnTICAABjBAAADgAAAAAAAAABACAAAAAfAQAAZHJzL2Uyb0RvYy54bWxQSwUG&#10;AAAAAAYABgBZAQAAwwUAAAAA&#10;">
              <v:fill on="f" focussize="0,0"/>
              <v:stroke on="f" weight="0.5pt"/>
              <v:imagedata o:title=""/>
              <o:lock v:ext="edit" aspectratio="f"/>
              <v:textbox inset="0mm,0mm,0mm,0mm" style="mso-fit-shape-to-text:t;">
                <w:txbxContent>
                  <w:p w14:paraId="114CE3A7">
                    <w:pPr>
                      <w:pStyle w:val="10"/>
                    </w:pPr>
                    <w:r>
                      <w:fldChar w:fldCharType="begin"/>
                    </w:r>
                    <w:r>
                      <w:instrText xml:space="preserve"> PAGE  \* MERGEFORMAT </w:instrText>
                    </w:r>
                    <w:r>
                      <w:fldChar w:fldCharType="separate"/>
                    </w:r>
                    <w:r>
                      <w:t>3</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20CA0">
    <w:pPr>
      <w:spacing w:line="171" w:lineRule="auto"/>
      <w:ind w:left="8704"/>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5" name="文本框 1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7FB8FFA">
                          <w:pPr>
                            <w:pStyle w:val="10"/>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GthHIzAgAAYwQAAA4AAAAAAAAAAQAgAAAAHwEAAGRycy9lMm9Eb2MueG1sUEsF&#10;BgAAAAAGAAYAWQEAAMQFAAAAAA==&#10;">
              <v:fill on="f" focussize="0,0"/>
              <v:stroke on="f" weight="0.5pt"/>
              <v:imagedata o:title=""/>
              <o:lock v:ext="edit" aspectratio="f"/>
              <v:textbox inset="0mm,0mm,0mm,0mm" style="mso-fit-shape-to-text:t;">
                <w:txbxContent>
                  <w:p w14:paraId="47FB8FFA">
                    <w:pPr>
                      <w:pStyle w:val="10"/>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4B43DF">
    <w:pPr>
      <w:spacing w:line="173"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6" name="文本框 1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E1B3082">
                          <w:pPr>
                            <w:pStyle w:val="10"/>
                          </w:pPr>
                          <w:r>
                            <w:fldChar w:fldCharType="begin"/>
                          </w:r>
                          <w:r>
                            <w:instrText xml:space="preserve"> PAGE  \* MERGEFORMAT </w:instrText>
                          </w:r>
                          <w:r>
                            <w:fldChar w:fldCharType="separate"/>
                          </w:r>
                          <w:r>
                            <w:t>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ZTTZkyAgAAYw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5lNNmTICAABjBAAADgAAAAAAAAABACAAAAAfAQAAZHJzL2Uyb0RvYy54bWxQSwUG&#10;AAAAAAYABgBZAQAAwwUAAAAA&#10;">
              <v:fill on="f" focussize="0,0"/>
              <v:stroke on="f" weight="0.5pt"/>
              <v:imagedata o:title=""/>
              <o:lock v:ext="edit" aspectratio="f"/>
              <v:textbox inset="0mm,0mm,0mm,0mm" style="mso-fit-shape-to-text:t;">
                <w:txbxContent>
                  <w:p w14:paraId="1E1B3082">
                    <w:pPr>
                      <w:pStyle w:val="10"/>
                    </w:pPr>
                    <w:r>
                      <w:fldChar w:fldCharType="begin"/>
                    </w:r>
                    <w:r>
                      <w:instrText xml:space="preserve"> PAGE  \* MERGEFORMAT </w:instrText>
                    </w:r>
                    <w:r>
                      <w:fldChar w:fldCharType="separate"/>
                    </w:r>
                    <w:r>
                      <w:t>8</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1DA4C73">
    <w:pPr>
      <w:spacing w:line="220" w:lineRule="auto"/>
      <w:ind w:left="8612"/>
      <w:rPr>
        <w:rFonts w:ascii="Times New Roman" w:hAnsi="Times New Roman" w:eastAsia="Times New Roman" w:cs="Times New Roman"/>
        <w:sz w:val="18"/>
        <w:szCs w:val="18"/>
      </w:rPr>
    </w:pPr>
    <w:r>
      <w:rPr>
        <w:rFonts w:ascii="Times New Roman" w:hAnsi="Times New Roman" w:eastAsia="Times New Roman" w:cs="Times New Roman"/>
        <w:spacing w:val="-1"/>
        <w:sz w:val="18"/>
        <w:szCs w:val="18"/>
      </w:rPr>
      <w:t>29</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34502C">
    <w:pPr>
      <w:spacing w:line="174" w:lineRule="auto"/>
      <w:jc w:val="right"/>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20BEDE9">
                          <w:pPr>
                            <w:pStyle w:val="10"/>
                          </w:pPr>
                          <w:r>
                            <w:fldChar w:fldCharType="begin"/>
                          </w:r>
                          <w:r>
                            <w:instrText xml:space="preserve"> PAGE  \* MERGEFORMAT </w:instrText>
                          </w:r>
                          <w:r>
                            <w:fldChar w:fldCharType="separate"/>
                          </w:r>
                          <w:r>
                            <w:t>23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T72nYyAgAAYwQAAA4AAABkcnMvZTJvRG9jLnhtbK1UzY7TMBC+I/EO&#10;lu80aRFL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pPvadjICAABjBAAADgAAAAAAAAABACAAAAAfAQAAZHJzL2Uyb0RvYy54bWxQSwUG&#10;AAAAAAYABgBZAQAAwwUAAAAA&#10;">
              <v:fill on="f" focussize="0,0"/>
              <v:stroke on="f" weight="0.5pt"/>
              <v:imagedata o:title=""/>
              <o:lock v:ext="edit" aspectratio="f"/>
              <v:textbox inset="0mm,0mm,0mm,0mm" style="mso-fit-shape-to-text:t;">
                <w:txbxContent>
                  <w:p w14:paraId="120BEDE9">
                    <w:pPr>
                      <w:pStyle w:val="10"/>
                    </w:pPr>
                    <w:r>
                      <w:fldChar w:fldCharType="begin"/>
                    </w:r>
                    <w:r>
                      <w:instrText xml:space="preserve"> PAGE  \* MERGEFORMAT </w:instrText>
                    </w:r>
                    <w:r>
                      <w:fldChar w:fldCharType="separate"/>
                    </w:r>
                    <w:r>
                      <w:t>23</w:t>
                    </w:r>
                    <w:r>
                      <w:fldChar w:fldCharType="end"/>
                    </w:r>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6ABAB0C">
    <w:pPr>
      <w:spacing w:line="174" w:lineRule="auto"/>
      <w:ind w:left="8616"/>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ECBE32B">
                          <w:pPr>
                            <w:pStyle w:val="10"/>
                          </w:pPr>
                          <w:r>
                            <w:fldChar w:fldCharType="begin"/>
                          </w:r>
                          <w:r>
                            <w:instrText xml:space="preserve"> PAGE  \* MERGEFORMAT </w:instrText>
                          </w:r>
                          <w:r>
                            <w:fldChar w:fldCharType="separate"/>
                          </w:r>
                          <w:r>
                            <w:t>24</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3z1oQxAgAAYw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C989aEMQIAAGMEAAAOAAAAAAAAAAEAIAAAAB8BAABkcnMvZTJvRG9jLnhtbFBLBQYA&#10;AAAABgAGAFkBAADCBQAAAAA=&#10;">
              <v:fill on="f" focussize="0,0"/>
              <v:stroke on="f" weight="0.5pt"/>
              <v:imagedata o:title=""/>
              <o:lock v:ext="edit" aspectratio="f"/>
              <v:textbox inset="0mm,0mm,0mm,0mm" style="mso-fit-shape-to-text:t;">
                <w:txbxContent>
                  <w:p w14:paraId="0ECBE32B">
                    <w:pPr>
                      <w:pStyle w:val="10"/>
                    </w:pPr>
                    <w:r>
                      <w:fldChar w:fldCharType="begin"/>
                    </w:r>
                    <w:r>
                      <w:instrText xml:space="preserve"> PAGE  \* MERGEFORMAT </w:instrText>
                    </w:r>
                    <w:r>
                      <w:fldChar w:fldCharType="separate"/>
                    </w:r>
                    <w:r>
                      <w:t>24</w:t>
                    </w:r>
                    <w: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65D219E">
    <w:pPr>
      <w:spacing w:line="174" w:lineRule="auto"/>
      <w:ind w:left="1371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8480" behindDoc="0" locked="0" layoutInCell="1" allowOverlap="1">
              <wp:simplePos x="0" y="0"/>
              <wp:positionH relativeFrom="margin">
                <wp:align>center</wp:align>
              </wp:positionH>
              <wp:positionV relativeFrom="paragraph">
                <wp:posOffset>0</wp:posOffset>
              </wp:positionV>
              <wp:extent cx="1828800" cy="1828800"/>
              <wp:effectExtent l="0" t="0" r="0" b="0"/>
              <wp:wrapNone/>
              <wp:docPr id="21" name="文本框 2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B9DFCC1">
                          <w:pPr>
                            <w:pStyle w:val="10"/>
                          </w:pPr>
                          <w:r>
                            <w:fldChar w:fldCharType="begin"/>
                          </w:r>
                          <w:r>
                            <w:instrText xml:space="preserve"> PAGE  \* MERGEFORMAT </w:instrText>
                          </w:r>
                          <w:r>
                            <w:fldChar w:fldCharType="separate"/>
                          </w:r>
                          <w:r>
                            <w:t>193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848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lt8PCTICAABjBAAADgAAAAAAAAABACAAAAAfAQAAZHJzL2Uyb0RvYy54bWxQSwUG&#10;AAAAAAYABgBZAQAAwwUAAAAA&#10;">
              <v:fill on="f" focussize="0,0"/>
              <v:stroke on="f" weight="0.5pt"/>
              <v:imagedata o:title=""/>
              <o:lock v:ext="edit" aspectratio="f"/>
              <v:textbox inset="0mm,0mm,0mm,0mm" style="mso-fit-shape-to-text:t;">
                <w:txbxContent>
                  <w:p w14:paraId="2B9DFCC1">
                    <w:pPr>
                      <w:pStyle w:val="10"/>
                    </w:pPr>
                    <w:r>
                      <w:fldChar w:fldCharType="begin"/>
                    </w:r>
                    <w:r>
                      <w:instrText xml:space="preserve"> PAGE  \* MERGEFORMAT </w:instrText>
                    </w:r>
                    <w:r>
                      <w:fldChar w:fldCharType="separate"/>
                    </w:r>
                    <w:r>
                      <w:t>193</w:t>
                    </w:r>
                    <w:r>
                      <w:fldChar w:fldCharType="end"/>
                    </w:r>
                  </w:p>
                </w:txbxContent>
              </v:textbox>
            </v:shape>
          </w:pict>
        </mc:Fallback>
      </mc:AlternateContent>
    </w:r>
    <w:r>
      <w:rPr>
        <w:rFonts w:ascii="Times New Roman" w:hAnsi="Times New Roman" w:eastAsia="Times New Roman" w:cs="Times New Roman"/>
        <w:spacing w:val="-5"/>
        <w:sz w:val="18"/>
        <w:szCs w:val="18"/>
      </w:rPr>
      <w:t>182</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3F8A0E">
    <w:pPr>
      <w:spacing w:line="174" w:lineRule="auto"/>
      <w:ind w:left="1375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69504" behindDoc="0" locked="0" layoutInCell="1" allowOverlap="1">
              <wp:simplePos x="0" y="0"/>
              <wp:positionH relativeFrom="margin">
                <wp:align>center</wp:align>
              </wp:positionH>
              <wp:positionV relativeFrom="paragraph">
                <wp:posOffset>0</wp:posOffset>
              </wp:positionV>
              <wp:extent cx="1828800" cy="1828800"/>
              <wp:effectExtent l="0" t="0" r="0" b="0"/>
              <wp:wrapNone/>
              <wp:docPr id="298" name="文本框 29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894B17C">
                          <w:pPr>
                            <w:pStyle w:val="10"/>
                          </w:pPr>
                          <w:r>
                            <w:fldChar w:fldCharType="begin"/>
                          </w:r>
                          <w:r>
                            <w:instrText xml:space="preserve"> PAGE  \* MERGEFORMAT </w:instrText>
                          </w:r>
                          <w:r>
                            <w:fldChar w:fldCharType="separate"/>
                          </w:r>
                          <w:r>
                            <w:t>540</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950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xoEsY0AgAAZQQAAA4AAABkcnMvZTJvRG9jLnhtbK1UzY7TMBC+I/EO&#10;lu80aRGrUj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">
              <v:fill on="f" focussize="0,0"/>
              <v:stroke on="f" weight="0.5pt"/>
              <v:imagedata o:title=""/>
              <o:lock v:ext="edit" aspectratio="f"/>
              <v:textbox inset="0mm,0mm,0mm,0mm" style="mso-fit-shape-to-text:t;">
                <w:txbxContent>
                  <w:p w14:paraId="0894B17C">
                    <w:pPr>
                      <w:pStyle w:val="10"/>
                    </w:pPr>
                    <w:r>
                      <w:fldChar w:fldCharType="begin"/>
                    </w:r>
                    <w:r>
                      <w:instrText xml:space="preserve"> PAGE  \* MERGEFORMAT </w:instrText>
                    </w:r>
                    <w:r>
                      <w:fldChar w:fldCharType="separate"/>
                    </w:r>
                    <w:r>
                      <w:t>540</w:t>
                    </w:r>
                    <w:r>
                      <w:fldChar w:fldCharType="end"/>
                    </w:r>
                  </w:p>
                </w:txbxContent>
              </v:textbox>
            </v:shape>
          </w:pict>
        </mc:Fallback>
      </mc:AlternateContent>
    </w:r>
    <w:r>
      <w:rPr>
        <w:rFonts w:ascii="Times New Roman" w:hAnsi="Times New Roman" w:eastAsia="Times New Roman" w:cs="Times New Roman"/>
        <w:spacing w:val="-2"/>
        <w:sz w:val="18"/>
        <w:szCs w:val="18"/>
      </w:rPr>
      <w:t>530</w:t>
    </w:r>
  </w:p>
</w:ftr>
</file>

<file path=word/footer1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99193A">
    <w:pPr>
      <w:spacing w:line="174" w:lineRule="auto"/>
      <w:ind w:left="13750"/>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1828800" cy="1828800"/>
              <wp:effectExtent l="0" t="0" r="0" b="0"/>
              <wp:wrapNone/>
              <wp:docPr id="299" name="文本框 29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57942524">
                          <w:pPr>
                            <w:pStyle w:val="10"/>
                          </w:pPr>
                          <w:r>
                            <w:fldChar w:fldCharType="begin"/>
                          </w:r>
                          <w:r>
                            <w:instrText xml:space="preserve"> PAGE  \* MERGEFORMAT </w:instrText>
                          </w:r>
                          <w:r>
                            <w:fldChar w:fldCharType="separate"/>
                          </w:r>
                          <w:r>
                            <w:t>543</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052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CzSVju0AAAAAUBAAAPAAAAAAAAAAEAIAAAACIAAABkcnMvZG93bnJldi54bWxQSwEC&#10;FAAUAAAACACHTuJAJ9SMWjUCAABlBAAADgAAAAAAAAABACAAAAAfAQAAZHJzL2Uyb0RvYy54bWxQ&#10;SwUGAAAAAAYABgBZAQAAxgUAAAAA&#10;">
              <v:fill on="f" focussize="0,0"/>
              <v:stroke on="f" weight="0.5pt"/>
              <v:imagedata o:title=""/>
              <o:lock v:ext="edit" aspectratio="f"/>
              <v:textbox inset="0mm,0mm,0mm,0mm" style="mso-fit-shape-to-text:t;">
                <w:txbxContent>
                  <w:p w14:paraId="57942524">
                    <w:pPr>
                      <w:pStyle w:val="10"/>
                    </w:pPr>
                    <w:r>
                      <w:fldChar w:fldCharType="begin"/>
                    </w:r>
                    <w:r>
                      <w:instrText xml:space="preserve"> PAGE  \* MERGEFORMAT </w:instrText>
                    </w:r>
                    <w:r>
                      <w:fldChar w:fldCharType="separate"/>
                    </w:r>
                    <w:r>
                      <w:t>543</w:t>
                    </w:r>
                    <w:r>
                      <w:fldChar w:fldCharType="end"/>
                    </w:r>
                  </w:p>
                </w:txbxContent>
              </v:textbox>
            </v:shape>
          </w:pict>
        </mc:Fallback>
      </mc:AlternateContent>
    </w:r>
    <w:r>
      <w:rPr>
        <w:rFonts w:ascii="Times New Roman" w:hAnsi="Times New Roman" w:eastAsia="Times New Roman" w:cs="Times New Roman"/>
        <w:spacing w:val="-2"/>
        <w:sz w:val="18"/>
        <w:szCs w:val="18"/>
      </w:rPr>
      <w:t>533</w:t>
    </w:r>
  </w:p>
</w:ftr>
</file>

<file path=word/footer1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A45B10">
    <w:pPr>
      <w:spacing w:line="174" w:lineRule="auto"/>
      <w:ind w:left="13698"/>
      <w:rPr>
        <w:rFonts w:ascii="Times New Roman" w:hAnsi="Times New Roman" w:eastAsia="Times New Roman" w:cs="Times New Roman"/>
        <w:sz w:val="18"/>
        <w:szCs w:val="18"/>
      </w:rPr>
    </w:pPr>
    <w:r>
      <w:rPr>
        <w:sz w:val="18"/>
      </w:rPr>
      <mc:AlternateContent>
        <mc:Choice Requires="wps">
          <w:drawing>
            <wp:anchor distT="0" distB="0" distL="114300" distR="114300" simplePos="0" relativeHeight="251671552" behindDoc="0" locked="0" layoutInCell="1" allowOverlap="1">
              <wp:simplePos x="0" y="0"/>
              <wp:positionH relativeFrom="margin">
                <wp:align>center</wp:align>
              </wp:positionH>
              <wp:positionV relativeFrom="paragraph">
                <wp:posOffset>0</wp:posOffset>
              </wp:positionV>
              <wp:extent cx="1828800" cy="1828800"/>
              <wp:effectExtent l="0" t="0" r="0" b="0"/>
              <wp:wrapNone/>
              <wp:docPr id="300" name="文本框 30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5626B6">
                          <w:pPr>
                            <w:pStyle w:val="10"/>
                          </w:pPr>
                          <w:r>
                            <w:fldChar w:fldCharType="begin"/>
                          </w:r>
                          <w:r>
                            <w:instrText xml:space="preserve"> PAGE  \* MERGEFORMAT </w:instrText>
                          </w:r>
                          <w:r>
                            <w:fldChar w:fldCharType="separate"/>
                          </w:r>
                          <w:r>
                            <w:t>548</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7155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5FtwYzAgAAZQ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I5FtwYzAgAAZQQAAA4AAAAAAAAAAQAgAAAAHwEAAGRycy9lMm9Eb2MueG1sUEsF&#10;BgAAAAAGAAYAWQEAAMQFAAAAAA==&#10;">
              <v:fill on="f" focussize="0,0"/>
              <v:stroke on="f" weight="0.5pt"/>
              <v:imagedata o:title=""/>
              <o:lock v:ext="edit" aspectratio="f"/>
              <v:textbox inset="0mm,0mm,0mm,0mm" style="mso-fit-shape-to-text:t;">
                <w:txbxContent>
                  <w:p w14:paraId="4F5626B6">
                    <w:pPr>
                      <w:pStyle w:val="10"/>
                    </w:pPr>
                    <w:r>
                      <w:fldChar w:fldCharType="begin"/>
                    </w:r>
                    <w:r>
                      <w:instrText xml:space="preserve"> PAGE  \* MERGEFORMAT </w:instrText>
                    </w:r>
                    <w:r>
                      <w:fldChar w:fldCharType="separate"/>
                    </w:r>
                    <w:r>
                      <w:t>548</w:t>
                    </w:r>
                    <w:r>
                      <w:fldChar w:fldCharType="end"/>
                    </w:r>
                  </w:p>
                </w:txbxContent>
              </v:textbox>
            </v:shape>
          </w:pict>
        </mc:Fallback>
      </mc:AlternateContent>
    </w:r>
    <w:r>
      <w:rPr>
        <w:rFonts w:ascii="Times New Roman" w:hAnsi="Times New Roman" w:eastAsia="Times New Roman" w:cs="Times New Roman"/>
        <w:spacing w:val="-2"/>
        <w:sz w:val="18"/>
        <w:szCs w:val="18"/>
      </w:rPr>
      <w:t>538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000825">
    <w:pPr>
      <w:pStyle w:val="3"/>
      <w:pBdr>
        <w:bottom w:val="none" w:color="auto" w:sz="0" w:space="0"/>
      </w:pBdr>
      <w:spacing w:line="14" w:lineRule="auto"/>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5"/>
  <w:displayBackgroundShape w:val="1"/>
  <w:bordersDoNotSurroundHeader w:val="0"/>
  <w:bordersDoNotSurroundFooter w:val="0"/>
  <w:documentProtection w:enforcement="0"/>
  <w:displayHorizontalDrawingGridEvery w:val="1"/>
  <w:displayVerticalDrawingGridEvery w:val="1"/>
  <w:noPunctuationKerning w:val="1"/>
  <w:characterSpacingControl w:val="doNotCompress"/>
  <w:footnotePr>
    <w:footnote w:id="0"/>
    <w:footnote w:id="1"/>
  </w:footnotePr>
  <w:endnotePr>
    <w:endnote w:id="0"/>
    <w:endnote w:id="1"/>
  </w:endnotePr>
  <w:compat>
    <w:spaceForUL/>
    <w:ulTrailSpace/>
    <w:doNotExpandShiftReturn/>
    <w:doNotWrapTextWithPunct/>
    <w:doNotUseEastAsianBreakRules/>
    <w:useFELayout/>
    <w:compatSetting w:name="compatibilityMode" w:uri="http://schemas.microsoft.com/office/word" w:val="14"/>
  </w:compat>
  <w:rsids>
    <w:rsidRoot w:val="00000000"/>
    <w:rsid w:val="00902C2A"/>
    <w:rsid w:val="0192652E"/>
    <w:rsid w:val="01CB6015"/>
    <w:rsid w:val="02590097"/>
    <w:rsid w:val="03D746CC"/>
    <w:rsid w:val="046B19E4"/>
    <w:rsid w:val="05580A37"/>
    <w:rsid w:val="05612280"/>
    <w:rsid w:val="06053772"/>
    <w:rsid w:val="068C27E1"/>
    <w:rsid w:val="074B3407"/>
    <w:rsid w:val="07B74746"/>
    <w:rsid w:val="09026019"/>
    <w:rsid w:val="09756E61"/>
    <w:rsid w:val="09B91380"/>
    <w:rsid w:val="0A206DCD"/>
    <w:rsid w:val="0AF81AF7"/>
    <w:rsid w:val="0B6B22C9"/>
    <w:rsid w:val="0B6E61C8"/>
    <w:rsid w:val="0BA81251"/>
    <w:rsid w:val="0C2F779B"/>
    <w:rsid w:val="0C424095"/>
    <w:rsid w:val="0C735DD1"/>
    <w:rsid w:val="0D2240C1"/>
    <w:rsid w:val="0D8D4779"/>
    <w:rsid w:val="0DC432BA"/>
    <w:rsid w:val="0E4A266A"/>
    <w:rsid w:val="0E64566D"/>
    <w:rsid w:val="0E9D26EB"/>
    <w:rsid w:val="0EAC1532"/>
    <w:rsid w:val="0ED16545"/>
    <w:rsid w:val="0F050A95"/>
    <w:rsid w:val="0F532D2B"/>
    <w:rsid w:val="0FC05ABE"/>
    <w:rsid w:val="1097618F"/>
    <w:rsid w:val="10FB7C4C"/>
    <w:rsid w:val="11395F93"/>
    <w:rsid w:val="12FE1C75"/>
    <w:rsid w:val="13663346"/>
    <w:rsid w:val="136A6610"/>
    <w:rsid w:val="152501FF"/>
    <w:rsid w:val="15744470"/>
    <w:rsid w:val="15A42924"/>
    <w:rsid w:val="15E35AEC"/>
    <w:rsid w:val="160E7A2C"/>
    <w:rsid w:val="16114E0F"/>
    <w:rsid w:val="16143C68"/>
    <w:rsid w:val="162D2E8D"/>
    <w:rsid w:val="16C3120C"/>
    <w:rsid w:val="16C73D24"/>
    <w:rsid w:val="16EE3073"/>
    <w:rsid w:val="17515193"/>
    <w:rsid w:val="18B51112"/>
    <w:rsid w:val="19B32973"/>
    <w:rsid w:val="1A843330"/>
    <w:rsid w:val="1B722EE5"/>
    <w:rsid w:val="1C7E3F1C"/>
    <w:rsid w:val="1CD06430"/>
    <w:rsid w:val="1CF42435"/>
    <w:rsid w:val="1D512DF3"/>
    <w:rsid w:val="1DF51B31"/>
    <w:rsid w:val="1E0D0FBE"/>
    <w:rsid w:val="1F2B48C1"/>
    <w:rsid w:val="21187848"/>
    <w:rsid w:val="21192919"/>
    <w:rsid w:val="21570ECE"/>
    <w:rsid w:val="21920A05"/>
    <w:rsid w:val="21977533"/>
    <w:rsid w:val="21B005DE"/>
    <w:rsid w:val="22985DCE"/>
    <w:rsid w:val="22A87507"/>
    <w:rsid w:val="23F64A03"/>
    <w:rsid w:val="24417C14"/>
    <w:rsid w:val="24DD2AB0"/>
    <w:rsid w:val="255A0F8D"/>
    <w:rsid w:val="258318D8"/>
    <w:rsid w:val="25A246E2"/>
    <w:rsid w:val="26405A11"/>
    <w:rsid w:val="266366C8"/>
    <w:rsid w:val="266D3134"/>
    <w:rsid w:val="268B5FD2"/>
    <w:rsid w:val="27292311"/>
    <w:rsid w:val="27A92FD1"/>
    <w:rsid w:val="286A598B"/>
    <w:rsid w:val="289064B1"/>
    <w:rsid w:val="28BE5CD7"/>
    <w:rsid w:val="291F7550"/>
    <w:rsid w:val="29795E96"/>
    <w:rsid w:val="299D769A"/>
    <w:rsid w:val="29F16DF3"/>
    <w:rsid w:val="2A14370C"/>
    <w:rsid w:val="2A175EF4"/>
    <w:rsid w:val="2B2C1EF2"/>
    <w:rsid w:val="2B7924D3"/>
    <w:rsid w:val="2B9B22FF"/>
    <w:rsid w:val="2C385DA0"/>
    <w:rsid w:val="2CC8062C"/>
    <w:rsid w:val="2D475309"/>
    <w:rsid w:val="2F0A3230"/>
    <w:rsid w:val="2F7631EF"/>
    <w:rsid w:val="30C40BF7"/>
    <w:rsid w:val="31716A86"/>
    <w:rsid w:val="31DA4154"/>
    <w:rsid w:val="322E5C7B"/>
    <w:rsid w:val="33AA1331"/>
    <w:rsid w:val="33D1107B"/>
    <w:rsid w:val="345FC67F"/>
    <w:rsid w:val="34830DA6"/>
    <w:rsid w:val="34C669C7"/>
    <w:rsid w:val="34E00D83"/>
    <w:rsid w:val="354C2609"/>
    <w:rsid w:val="354E4AE3"/>
    <w:rsid w:val="35523A2F"/>
    <w:rsid w:val="356D139C"/>
    <w:rsid w:val="35FC6A17"/>
    <w:rsid w:val="36177087"/>
    <w:rsid w:val="36E903C3"/>
    <w:rsid w:val="36F445E5"/>
    <w:rsid w:val="38171BB0"/>
    <w:rsid w:val="381D755C"/>
    <w:rsid w:val="3A0177D1"/>
    <w:rsid w:val="3A046550"/>
    <w:rsid w:val="3A2E433E"/>
    <w:rsid w:val="3B043A1D"/>
    <w:rsid w:val="3B4756B8"/>
    <w:rsid w:val="3B953CB7"/>
    <w:rsid w:val="3C27466A"/>
    <w:rsid w:val="3C9E0FD9"/>
    <w:rsid w:val="3D0B0176"/>
    <w:rsid w:val="3DF06D95"/>
    <w:rsid w:val="3E5D1061"/>
    <w:rsid w:val="3ED92D48"/>
    <w:rsid w:val="3F904C1B"/>
    <w:rsid w:val="3FF878C8"/>
    <w:rsid w:val="409470BD"/>
    <w:rsid w:val="40D0581E"/>
    <w:rsid w:val="40E165AE"/>
    <w:rsid w:val="414F0FC2"/>
    <w:rsid w:val="42702585"/>
    <w:rsid w:val="42EB54C2"/>
    <w:rsid w:val="432F6734"/>
    <w:rsid w:val="448564A3"/>
    <w:rsid w:val="451C76CE"/>
    <w:rsid w:val="45383E04"/>
    <w:rsid w:val="45433394"/>
    <w:rsid w:val="45524604"/>
    <w:rsid w:val="45C91337"/>
    <w:rsid w:val="45EC57D9"/>
    <w:rsid w:val="47016562"/>
    <w:rsid w:val="47C6205A"/>
    <w:rsid w:val="48AC1250"/>
    <w:rsid w:val="48CC17AF"/>
    <w:rsid w:val="48D71BD5"/>
    <w:rsid w:val="49555444"/>
    <w:rsid w:val="49D26F45"/>
    <w:rsid w:val="4AA64DBF"/>
    <w:rsid w:val="4B8D0350"/>
    <w:rsid w:val="4C516396"/>
    <w:rsid w:val="4CA53EC6"/>
    <w:rsid w:val="4CB1386B"/>
    <w:rsid w:val="4D0C5068"/>
    <w:rsid w:val="4D8D2533"/>
    <w:rsid w:val="4D8F6A66"/>
    <w:rsid w:val="4EDD2824"/>
    <w:rsid w:val="4EEC684A"/>
    <w:rsid w:val="4FC93915"/>
    <w:rsid w:val="502E6747"/>
    <w:rsid w:val="505964D9"/>
    <w:rsid w:val="505F6A41"/>
    <w:rsid w:val="509E57AB"/>
    <w:rsid w:val="50D47596"/>
    <w:rsid w:val="50FF3888"/>
    <w:rsid w:val="515F4F21"/>
    <w:rsid w:val="52E60520"/>
    <w:rsid w:val="54547C25"/>
    <w:rsid w:val="55015797"/>
    <w:rsid w:val="557A17BE"/>
    <w:rsid w:val="56417E01"/>
    <w:rsid w:val="56B37C4E"/>
    <w:rsid w:val="57322864"/>
    <w:rsid w:val="58825B29"/>
    <w:rsid w:val="590F5946"/>
    <w:rsid w:val="59377810"/>
    <w:rsid w:val="59FC01B8"/>
    <w:rsid w:val="5AE623A0"/>
    <w:rsid w:val="5AF65035"/>
    <w:rsid w:val="5C6C4B26"/>
    <w:rsid w:val="5CBB0F9F"/>
    <w:rsid w:val="5D5061F6"/>
    <w:rsid w:val="5D5F1B97"/>
    <w:rsid w:val="5E2B333B"/>
    <w:rsid w:val="5E426F07"/>
    <w:rsid w:val="5ED9208C"/>
    <w:rsid w:val="5F360886"/>
    <w:rsid w:val="5F905022"/>
    <w:rsid w:val="5FDF57BB"/>
    <w:rsid w:val="601260A9"/>
    <w:rsid w:val="60736DCB"/>
    <w:rsid w:val="614E0C9F"/>
    <w:rsid w:val="61EA1EB6"/>
    <w:rsid w:val="62274854"/>
    <w:rsid w:val="623869C4"/>
    <w:rsid w:val="628250A4"/>
    <w:rsid w:val="62CD0900"/>
    <w:rsid w:val="649C622D"/>
    <w:rsid w:val="64F90F01"/>
    <w:rsid w:val="65091597"/>
    <w:rsid w:val="65503142"/>
    <w:rsid w:val="665F5EBC"/>
    <w:rsid w:val="667445FD"/>
    <w:rsid w:val="6740552D"/>
    <w:rsid w:val="67B47053"/>
    <w:rsid w:val="696A0640"/>
    <w:rsid w:val="69A93BD6"/>
    <w:rsid w:val="69AF244E"/>
    <w:rsid w:val="6A6C0598"/>
    <w:rsid w:val="6AA40D85"/>
    <w:rsid w:val="6C8F4AAF"/>
    <w:rsid w:val="6CC25CE0"/>
    <w:rsid w:val="6CF774A7"/>
    <w:rsid w:val="6D0A2952"/>
    <w:rsid w:val="6DCF0DF4"/>
    <w:rsid w:val="6F2F2289"/>
    <w:rsid w:val="70215040"/>
    <w:rsid w:val="70445E49"/>
    <w:rsid w:val="71CB1E97"/>
    <w:rsid w:val="722640C6"/>
    <w:rsid w:val="72A9576B"/>
    <w:rsid w:val="735606F6"/>
    <w:rsid w:val="73A171D3"/>
    <w:rsid w:val="74AF129E"/>
    <w:rsid w:val="75CA0DE4"/>
    <w:rsid w:val="763B28C0"/>
    <w:rsid w:val="767D6729"/>
    <w:rsid w:val="76950D6D"/>
    <w:rsid w:val="76AC04E9"/>
    <w:rsid w:val="76D95F91"/>
    <w:rsid w:val="76F30FDA"/>
    <w:rsid w:val="784F4498"/>
    <w:rsid w:val="78731841"/>
    <w:rsid w:val="78A73E42"/>
    <w:rsid w:val="78DE111F"/>
    <w:rsid w:val="79073F5C"/>
    <w:rsid w:val="7979161F"/>
    <w:rsid w:val="7AC7547F"/>
    <w:rsid w:val="7BCD4EB0"/>
    <w:rsid w:val="7BDD1CD9"/>
    <w:rsid w:val="7C1B7307"/>
    <w:rsid w:val="7CF24DE2"/>
    <w:rsid w:val="7D1C4721"/>
    <w:rsid w:val="7E5728E7"/>
    <w:rsid w:val="7F3C7395"/>
    <w:rsid w:val="7FA06531"/>
    <w:rsid w:val="7FAA58E3"/>
    <w:rsid w:val="7FBB1E9C"/>
    <w:rsid w:val="7FD20979"/>
    <w:rsid w:val="7FDF7318"/>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qFormat="1" w:unhideWhenUsed="0" w:uiPriority="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qFormat="1" w:unhideWhenUsed="0" w:uiPriority="39"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iPriority="99"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qFormat="1"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19">
    <w:name w:val="Default Paragraph Font"/>
    <w:semiHidden/>
    <w:qFormat/>
    <w:uiPriority w:val="0"/>
  </w:style>
  <w:style w:type="table" w:default="1" w:styleId="18">
    <w:name w:val="Normal Table"/>
    <w:semiHidden/>
    <w:qFormat/>
    <w:uiPriority w:val="0"/>
    <w:tblPr>
      <w:tblCellMar>
        <w:top w:w="0" w:type="dxa"/>
        <w:left w:w="108" w:type="dxa"/>
        <w:bottom w:w="0" w:type="dxa"/>
        <w:right w:w="108" w:type="dxa"/>
      </w:tblCellMar>
    </w:tblPr>
  </w:style>
  <w:style w:type="paragraph" w:styleId="2">
    <w:name w:val="Normal Indent"/>
    <w:basedOn w:val="1"/>
    <w:qFormat/>
    <w:uiPriority w:val="0"/>
    <w:pPr>
      <w:ind w:firstLine="488"/>
    </w:pPr>
  </w:style>
  <w:style w:type="paragraph" w:styleId="3">
    <w:name w:val="Body Text"/>
    <w:basedOn w:val="1"/>
    <w:semiHidden/>
    <w:qFormat/>
    <w:uiPriority w:val="0"/>
    <w:rPr>
      <w:rFonts w:ascii="Arial" w:hAnsi="Arial" w:eastAsia="Arial" w:cs="Arial"/>
      <w:sz w:val="21"/>
      <w:szCs w:val="21"/>
      <w:lang w:val="en-US" w:eastAsia="en-US" w:bidi="ar-SA"/>
    </w:rPr>
  </w:style>
  <w:style w:type="paragraph" w:styleId="4">
    <w:name w:val="Body Text Indent"/>
    <w:basedOn w:val="1"/>
    <w:next w:val="5"/>
    <w:qFormat/>
    <w:uiPriority w:val="0"/>
    <w:pPr>
      <w:spacing w:line="360" w:lineRule="auto"/>
      <w:ind w:firstLine="480"/>
    </w:pPr>
    <w:rPr>
      <w:rFonts w:ascii="宋体"/>
      <w:sz w:val="24"/>
    </w:rPr>
  </w:style>
  <w:style w:type="paragraph" w:styleId="5">
    <w:name w:val="envelope return"/>
    <w:basedOn w:val="1"/>
    <w:qFormat/>
    <w:uiPriority w:val="99"/>
    <w:rPr>
      <w:rFonts w:ascii="Arial" w:hAnsi="Arial"/>
    </w:rPr>
  </w:style>
  <w:style w:type="paragraph" w:styleId="6">
    <w:name w:val="toc 3"/>
    <w:basedOn w:val="1"/>
    <w:next w:val="1"/>
    <w:qFormat/>
    <w:uiPriority w:val="0"/>
    <w:pPr>
      <w:ind w:left="840" w:leftChars="400"/>
    </w:pPr>
  </w:style>
  <w:style w:type="paragraph" w:styleId="7">
    <w:name w:val="Plain Text"/>
    <w:basedOn w:val="1"/>
    <w:qFormat/>
    <w:uiPriority w:val="0"/>
    <w:pPr>
      <w:autoSpaceDE/>
      <w:autoSpaceDN/>
      <w:adjustRightInd/>
      <w:textAlignment w:val="auto"/>
    </w:pPr>
    <w:rPr>
      <w:rFonts w:ascii="宋体" w:hAnsi="Courier New"/>
      <w:kern w:val="2"/>
    </w:rPr>
  </w:style>
  <w:style w:type="paragraph" w:styleId="8">
    <w:name w:val="Body Text Indent 2"/>
    <w:basedOn w:val="1"/>
    <w:next w:val="9"/>
    <w:unhideWhenUsed/>
    <w:qFormat/>
    <w:uiPriority w:val="99"/>
    <w:pPr>
      <w:spacing w:after="120" w:line="480" w:lineRule="auto"/>
      <w:ind w:left="420" w:leftChars="200"/>
    </w:pPr>
  </w:style>
  <w:style w:type="paragraph" w:styleId="9">
    <w:name w:val="index 9"/>
    <w:basedOn w:val="1"/>
    <w:next w:val="1"/>
    <w:semiHidden/>
    <w:qFormat/>
    <w:uiPriority w:val="0"/>
    <w:pPr>
      <w:ind w:left="1600" w:leftChars="1600"/>
    </w:pPr>
  </w:style>
  <w:style w:type="paragraph" w:styleId="10">
    <w:name w:val="footer"/>
    <w:basedOn w:val="1"/>
    <w:qFormat/>
    <w:uiPriority w:val="0"/>
    <w:pPr>
      <w:tabs>
        <w:tab w:val="center" w:pos="4153"/>
        <w:tab w:val="right" w:pos="8306"/>
      </w:tabs>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toc 1"/>
    <w:basedOn w:val="1"/>
    <w:next w:val="1"/>
    <w:qFormat/>
    <w:uiPriority w:val="0"/>
  </w:style>
  <w:style w:type="paragraph" w:styleId="13">
    <w:name w:val="toc 6"/>
    <w:basedOn w:val="1"/>
    <w:next w:val="1"/>
    <w:qFormat/>
    <w:uiPriority w:val="39"/>
    <w:pPr>
      <w:ind w:left="1200"/>
    </w:pPr>
    <w:rPr>
      <w:sz w:val="18"/>
      <w:szCs w:val="18"/>
    </w:rPr>
  </w:style>
  <w:style w:type="paragraph" w:styleId="14">
    <w:name w:val="toc 2"/>
    <w:basedOn w:val="1"/>
    <w:next w:val="1"/>
    <w:qFormat/>
    <w:uiPriority w:val="0"/>
    <w:pPr>
      <w:ind w:left="420" w:leftChars="200"/>
    </w:pPr>
  </w:style>
  <w:style w:type="paragraph" w:styleId="15">
    <w:name w:val="Normal (Web)"/>
    <w:basedOn w:val="1"/>
    <w:qFormat/>
    <w:uiPriority w:val="0"/>
    <w:rPr>
      <w:sz w:val="24"/>
    </w:rPr>
  </w:style>
  <w:style w:type="paragraph" w:styleId="16">
    <w:name w:val="Body Text First Indent"/>
    <w:basedOn w:val="3"/>
    <w:next w:val="13"/>
    <w:qFormat/>
    <w:uiPriority w:val="0"/>
    <w:pPr>
      <w:ind w:firstLine="420" w:firstLineChars="100"/>
    </w:pPr>
  </w:style>
  <w:style w:type="paragraph" w:styleId="17">
    <w:name w:val="Body Text First Indent 2"/>
    <w:basedOn w:val="4"/>
    <w:next w:val="8"/>
    <w:qFormat/>
    <w:uiPriority w:val="0"/>
    <w:pPr>
      <w:tabs>
        <w:tab w:val="left" w:pos="360"/>
      </w:tabs>
      <w:adjustRightInd w:val="0"/>
      <w:snapToGrid w:val="0"/>
      <w:ind w:firstLine="420"/>
    </w:pPr>
    <w:rPr>
      <w:rFonts w:hAnsi="宋体" w:eastAsia="宋体" w:cs="Times New Roman"/>
    </w:rPr>
  </w:style>
  <w:style w:type="character" w:styleId="20">
    <w:name w:val="Strong"/>
    <w:basedOn w:val="19"/>
    <w:qFormat/>
    <w:uiPriority w:val="0"/>
    <w:rPr>
      <w:b/>
      <w:bCs/>
    </w:rPr>
  </w:style>
  <w:style w:type="character" w:styleId="21">
    <w:name w:val="FollowedHyperlink"/>
    <w:basedOn w:val="19"/>
    <w:qFormat/>
    <w:uiPriority w:val="0"/>
    <w:rPr>
      <w:color w:val="800080"/>
      <w:u w:val="none"/>
    </w:rPr>
  </w:style>
  <w:style w:type="character" w:styleId="22">
    <w:name w:val="Emphasis"/>
    <w:basedOn w:val="19"/>
    <w:qFormat/>
    <w:uiPriority w:val="0"/>
    <w:rPr>
      <w:b/>
      <w:bCs/>
    </w:rPr>
  </w:style>
  <w:style w:type="character" w:styleId="23">
    <w:name w:val="HTML Definition"/>
    <w:basedOn w:val="19"/>
    <w:qFormat/>
    <w:uiPriority w:val="0"/>
  </w:style>
  <w:style w:type="character" w:styleId="24">
    <w:name w:val="HTML Typewriter"/>
    <w:basedOn w:val="19"/>
    <w:qFormat/>
    <w:uiPriority w:val="0"/>
    <w:rPr>
      <w:rFonts w:hint="default" w:ascii="monospace" w:hAnsi="monospace" w:eastAsia="monospace" w:cs="monospace"/>
      <w:sz w:val="20"/>
      <w:bdr w:val="single" w:color="D2D2D2" w:sz="4" w:space="0"/>
      <w:shd w:val="clear" w:fill="FFFFFF"/>
    </w:rPr>
  </w:style>
  <w:style w:type="character" w:styleId="25">
    <w:name w:val="HTML Acronym"/>
    <w:basedOn w:val="19"/>
    <w:qFormat/>
    <w:uiPriority w:val="0"/>
  </w:style>
  <w:style w:type="character" w:styleId="26">
    <w:name w:val="HTML Variable"/>
    <w:basedOn w:val="19"/>
    <w:qFormat/>
    <w:uiPriority w:val="0"/>
  </w:style>
  <w:style w:type="character" w:styleId="27">
    <w:name w:val="Hyperlink"/>
    <w:basedOn w:val="19"/>
    <w:qFormat/>
    <w:uiPriority w:val="0"/>
    <w:rPr>
      <w:color w:val="0000FF"/>
      <w:u w:val="none"/>
    </w:rPr>
  </w:style>
  <w:style w:type="character" w:styleId="28">
    <w:name w:val="HTML Code"/>
    <w:basedOn w:val="19"/>
    <w:qFormat/>
    <w:uiPriority w:val="0"/>
    <w:rPr>
      <w:rFonts w:ascii="monospace" w:hAnsi="monospace" w:eastAsia="monospace" w:cs="monospace"/>
      <w:sz w:val="20"/>
    </w:rPr>
  </w:style>
  <w:style w:type="character" w:styleId="29">
    <w:name w:val="HTML Cite"/>
    <w:basedOn w:val="19"/>
    <w:qFormat/>
    <w:uiPriority w:val="0"/>
  </w:style>
  <w:style w:type="character" w:styleId="30">
    <w:name w:val="HTML Keyboard"/>
    <w:basedOn w:val="19"/>
    <w:qFormat/>
    <w:uiPriority w:val="0"/>
    <w:rPr>
      <w:rFonts w:hint="default" w:ascii="monospace" w:hAnsi="monospace" w:eastAsia="monospace" w:cs="monospace"/>
      <w:sz w:val="20"/>
    </w:rPr>
  </w:style>
  <w:style w:type="character" w:styleId="31">
    <w:name w:val="HTML Sample"/>
    <w:basedOn w:val="19"/>
    <w:qFormat/>
    <w:uiPriority w:val="0"/>
    <w:rPr>
      <w:rFonts w:hint="default" w:ascii="monospace" w:hAnsi="monospace" w:eastAsia="monospace" w:cs="monospace"/>
    </w:rPr>
  </w:style>
  <w:style w:type="table" w:customStyle="1" w:styleId="32">
    <w:name w:val="Table Normal"/>
    <w:semiHidden/>
    <w:unhideWhenUsed/>
    <w:qFormat/>
    <w:uiPriority w:val="0"/>
    <w:tblPr>
      <w:tblCellMar>
        <w:top w:w="0" w:type="dxa"/>
        <w:left w:w="0" w:type="dxa"/>
        <w:bottom w:w="0" w:type="dxa"/>
        <w:right w:w="0" w:type="dxa"/>
      </w:tblCellMar>
    </w:tblPr>
  </w:style>
  <w:style w:type="paragraph" w:customStyle="1" w:styleId="33">
    <w:name w:val="Table Text"/>
    <w:basedOn w:val="1"/>
    <w:semiHidden/>
    <w:qFormat/>
    <w:uiPriority w:val="0"/>
    <w:rPr>
      <w:rFonts w:ascii="宋体" w:hAnsi="宋体" w:eastAsia="宋体" w:cs="宋体"/>
      <w:sz w:val="32"/>
      <w:szCs w:val="32"/>
      <w:lang w:val="en-US" w:eastAsia="en-US" w:bidi="ar-SA"/>
    </w:rPr>
  </w:style>
  <w:style w:type="paragraph" w:customStyle="1" w:styleId="34">
    <w:name w:val="Table Paragraph"/>
    <w:basedOn w:val="1"/>
    <w:qFormat/>
    <w:uiPriority w:val="1"/>
    <w:pPr>
      <w:adjustRightInd/>
      <w:textAlignment w:val="auto"/>
    </w:pPr>
    <w:rPr>
      <w:rFonts w:ascii="宋体" w:hAnsi="宋体" w:cs="宋体"/>
      <w:sz w:val="22"/>
      <w:szCs w:val="22"/>
      <w:lang w:val="zh-CN" w:bidi="zh-CN"/>
    </w:rPr>
  </w:style>
  <w:style w:type="character" w:customStyle="1" w:styleId="35">
    <w:name w:val="19"/>
    <w:qFormat/>
    <w:uiPriority w:val="0"/>
    <w:rPr>
      <w:rFonts w:hint="default" w:ascii="Times New Roman" w:hAnsi="Times New Roman" w:cs="Times New Roman"/>
      <w:sz w:val="21"/>
      <w:szCs w:val="21"/>
    </w:rPr>
  </w:style>
  <w:style w:type="paragraph" w:customStyle="1" w:styleId="36">
    <w:name w:val="正文，首行缩进:"/>
    <w:basedOn w:val="1"/>
    <w:qFormat/>
    <w:uiPriority w:val="0"/>
    <w:pPr>
      <w:tabs>
        <w:tab w:val="left" w:pos="3376"/>
      </w:tabs>
      <w:autoSpaceDE/>
      <w:autoSpaceDN/>
      <w:adjustRightInd/>
      <w:spacing w:line="460" w:lineRule="exact"/>
      <w:ind w:firstLine="480" w:firstLineChars="200"/>
      <w:textAlignment w:val="auto"/>
    </w:pPr>
    <w:rPr>
      <w:rFonts w:ascii="宋体" w:hAnsi="宋体" w:cs="宋体"/>
      <w:kern w:val="2"/>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2" Type="http://schemas.openxmlformats.org/officeDocument/2006/relationships/fontTable" Target="fontTable.xml"/><Relationship Id="rId21" Type="http://schemas.openxmlformats.org/officeDocument/2006/relationships/customXml" Target="../customXml/item1.xml"/><Relationship Id="rId20" Type="http://schemas.openxmlformats.org/officeDocument/2006/relationships/image" Target="media/image2.jpeg"/><Relationship Id="rId2" Type="http://schemas.openxmlformats.org/officeDocument/2006/relationships/settings" Target="settings.xml"/><Relationship Id="rId19" Type="http://schemas.openxmlformats.org/officeDocument/2006/relationships/image" Target="media/image1.jpeg"/><Relationship Id="rId18" Type="http://schemas.openxmlformats.org/officeDocument/2006/relationships/theme" Target="theme/theme1.xml"/><Relationship Id="rId17" Type="http://schemas.openxmlformats.org/officeDocument/2006/relationships/footer" Target="footer12.xml"/><Relationship Id="rId16" Type="http://schemas.openxmlformats.org/officeDocument/2006/relationships/footer" Target="footer11.xml"/><Relationship Id="rId15" Type="http://schemas.openxmlformats.org/officeDocument/2006/relationships/footer" Target="footer10.xml"/><Relationship Id="rId14" Type="http://schemas.openxmlformats.org/officeDocument/2006/relationships/header" Target="header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Pages>219</Pages>
  <Words>7010</Words>
  <Characters>7959</Characters>
  <TotalTime>52</TotalTime>
  <ScaleCrop>false</ScaleCrop>
  <LinksUpToDate>false</LinksUpToDate>
  <CharactersWithSpaces>9344</CharactersWithSpaces>
  <Application>WPS Office_12.1.0.25225_F1E327BC-269C-435d-A152-05C5408002CA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2025-10-11T06:24:00Z</dcterms:created>
  <dc:creator>user</dc:creator>
  <cp:lastModifiedBy>Administrator</cp:lastModifiedBy>
  <cp:lastPrinted>2025-11-11T20:51:00Z</cp:lastPrinted>
  <dcterms:modified xsi:type="dcterms:W3CDTF">2026-03-09T01:46:04Z</dcterms:modified>
  <dc:title>浙江应村混凝土面板堆石坝</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wqlLaW5nc29mdCBQREYgdG8gV1BTIDEwMA</vt:lpwstr>
  </property>
  <property fmtid="{D5CDD505-2E9C-101B-9397-08002B2CF9AE}" pid="3" name="Created">
    <vt:filetime>2025-11-07T10:55:24Z</vt:filetime>
  </property>
  <property fmtid="{D5CDD505-2E9C-101B-9397-08002B2CF9AE}" pid="4" name="KSOTemplateDocerSaveRecord">
    <vt:lpwstr>eyJoZGlkIjoiOTAwMjU5NzU1Mzk0NzEyODljODM5N2RlMzVlMDQ4MmEiLCJ1c2VySWQiOiIxMDAwNDI0Nzc1In0=</vt:lpwstr>
  </property>
  <property fmtid="{D5CDD505-2E9C-101B-9397-08002B2CF9AE}" pid="5" name="KSOProductBuildVer">
    <vt:lpwstr>2052-12.1.0.25225</vt:lpwstr>
  </property>
  <property fmtid="{D5CDD505-2E9C-101B-9397-08002B2CF9AE}" pid="6" name="ICV">
    <vt:lpwstr>4FE9E1C8E860469DAC71D74A5978E145_13</vt:lpwstr>
  </property>
</Properties>
</file>