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67B3D">
      <w:pPr>
        <w:spacing w:line="258" w:lineRule="auto"/>
        <w:jc w:val="both"/>
        <w:rPr>
          <w:rFonts w:hint="eastAsia" w:ascii="宋体" w:hAnsi="宋体" w:eastAsia="宋体" w:cs="宋体"/>
          <w:color w:val="auto"/>
          <w:highlight w:val="none"/>
        </w:rPr>
      </w:pPr>
      <w:bookmarkStart w:id="70" w:name="_GoBack"/>
    </w:p>
    <w:p w14:paraId="29D1C3A0">
      <w:pPr>
        <w:spacing w:line="258" w:lineRule="auto"/>
        <w:jc w:val="both"/>
        <w:rPr>
          <w:rFonts w:hint="eastAsia" w:ascii="宋体" w:hAnsi="宋体" w:eastAsia="宋体" w:cs="宋体"/>
          <w:color w:val="auto"/>
          <w:highlight w:val="none"/>
        </w:rPr>
      </w:pPr>
    </w:p>
    <w:p w14:paraId="1A96DE3A">
      <w:pPr>
        <w:spacing w:line="258" w:lineRule="auto"/>
        <w:jc w:val="both"/>
        <w:rPr>
          <w:rFonts w:hint="eastAsia" w:ascii="宋体" w:hAnsi="宋体" w:eastAsia="宋体" w:cs="宋体"/>
          <w:color w:val="auto"/>
          <w:highlight w:val="none"/>
        </w:rPr>
      </w:pPr>
    </w:p>
    <w:p w14:paraId="2DFD1965">
      <w:pPr>
        <w:spacing w:line="258" w:lineRule="auto"/>
        <w:jc w:val="both"/>
        <w:rPr>
          <w:rFonts w:hint="eastAsia" w:ascii="宋体" w:hAnsi="宋体" w:eastAsia="宋体" w:cs="宋体"/>
          <w:color w:val="auto"/>
          <w:highlight w:val="none"/>
        </w:rPr>
      </w:pPr>
    </w:p>
    <w:p w14:paraId="229E8D2D">
      <w:pPr>
        <w:spacing w:line="259" w:lineRule="auto"/>
        <w:jc w:val="both"/>
        <w:rPr>
          <w:rFonts w:hint="eastAsia" w:ascii="宋体" w:hAnsi="宋体" w:eastAsia="宋体" w:cs="宋体"/>
          <w:color w:val="auto"/>
          <w:highlight w:val="none"/>
        </w:rPr>
      </w:pPr>
    </w:p>
    <w:p w14:paraId="39ABB2F9">
      <w:pPr>
        <w:spacing w:line="259" w:lineRule="auto"/>
        <w:jc w:val="both"/>
        <w:rPr>
          <w:rFonts w:hint="eastAsia" w:ascii="宋体" w:hAnsi="宋体" w:eastAsia="宋体" w:cs="宋体"/>
          <w:color w:val="auto"/>
          <w:highlight w:val="none"/>
        </w:rPr>
      </w:pPr>
    </w:p>
    <w:p w14:paraId="5BF38A97">
      <w:pPr>
        <w:pStyle w:val="17"/>
        <w:jc w:val="center"/>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绍兴市房屋建筑和市政基础设施货物</w:t>
      </w:r>
    </w:p>
    <w:p w14:paraId="1A5982D7">
      <w:pPr>
        <w:widowControl w:val="0"/>
        <w:kinsoku/>
        <w:autoSpaceDE/>
        <w:autoSpaceDN/>
        <w:adjustRightInd/>
        <w:snapToGrid/>
        <w:jc w:val="center"/>
        <w:textAlignment w:val="auto"/>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招标文件</w:t>
      </w:r>
    </w:p>
    <w:p w14:paraId="5C7A627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0749FC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4126078">
      <w:pPr>
        <w:pStyle w:val="2"/>
        <w:rPr>
          <w:rFonts w:hint="eastAsia" w:ascii="宋体" w:hAnsi="宋体" w:eastAsia="宋体" w:cs="宋体"/>
          <w:color w:val="auto"/>
          <w:highlight w:val="none"/>
        </w:rPr>
      </w:pPr>
    </w:p>
    <w:p w14:paraId="7A4076BD">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r>
        <w:rPr>
          <w:rFonts w:hint="eastAsia" w:ascii="宋体" w:hAnsi="宋体" w:eastAsia="宋体" w:cs="宋体"/>
          <w:snapToGrid/>
          <w:color w:val="auto"/>
          <w:kern w:val="2"/>
          <w:sz w:val="48"/>
          <w:szCs w:val="48"/>
          <w:highlight w:val="none"/>
        </w:rPr>
        <w:t>（2024-01版）20241205</w:t>
      </w:r>
    </w:p>
    <w:p w14:paraId="75944E1B">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p>
    <w:p w14:paraId="274B760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1667C81">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5FCF3D64">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7B820BC3">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BBC9BA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7BF10A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9962F2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5D07474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69A3EAD">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95CCD1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4DF996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A6931DA">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8FFAEC1">
      <w:pPr>
        <w:widowControl w:val="0"/>
        <w:tabs>
          <w:tab w:val="left" w:pos="6627"/>
        </w:tabs>
        <w:kinsoku/>
        <w:autoSpaceDE/>
        <w:autoSpaceDN/>
        <w:adjustRightInd/>
        <w:snapToGrid/>
        <w:textAlignment w:val="auto"/>
        <w:rPr>
          <w:rFonts w:hint="eastAsia" w:ascii="宋体" w:hAnsi="宋体" w:eastAsia="宋体" w:cs="宋体"/>
          <w:b/>
          <w:snapToGrid/>
          <w:color w:val="auto"/>
          <w:kern w:val="2"/>
          <w:sz w:val="32"/>
          <w:szCs w:val="24"/>
          <w:highlight w:val="none"/>
        </w:rPr>
      </w:pPr>
      <w:r>
        <w:rPr>
          <w:rFonts w:hint="eastAsia" w:ascii="宋体" w:hAnsi="宋体" w:eastAsia="宋体" w:cs="宋体"/>
          <w:b/>
          <w:snapToGrid/>
          <w:color w:val="auto"/>
          <w:kern w:val="2"/>
          <w:sz w:val="32"/>
          <w:szCs w:val="24"/>
          <w:highlight w:val="none"/>
        </w:rPr>
        <w:tab/>
      </w:r>
    </w:p>
    <w:p w14:paraId="22E99CF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3D9703F">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161355A">
      <w:pPr>
        <w:widowControl w:val="0"/>
        <w:kinsoku/>
        <w:autoSpaceDE/>
        <w:autoSpaceDN/>
        <w:adjustRightInd/>
        <w:snapToGrid/>
        <w:jc w:val="center"/>
        <w:textAlignment w:val="auto"/>
        <w:rPr>
          <w:rFonts w:hint="eastAsia" w:ascii="宋体" w:hAnsi="宋体" w:eastAsia="宋体" w:cs="宋体"/>
          <w:b/>
          <w:snapToGrid/>
          <w:color w:val="auto"/>
          <w:kern w:val="2"/>
          <w:sz w:val="44"/>
          <w:szCs w:val="44"/>
          <w:highlight w:val="none"/>
        </w:rPr>
      </w:pPr>
      <w:r>
        <w:rPr>
          <w:rFonts w:hint="eastAsia" w:ascii="宋体" w:hAnsi="宋体" w:eastAsia="宋体" w:cs="宋体"/>
          <w:b/>
          <w:snapToGrid/>
          <w:color w:val="auto"/>
          <w:kern w:val="2"/>
          <w:sz w:val="44"/>
          <w:szCs w:val="44"/>
          <w:highlight w:val="none"/>
        </w:rPr>
        <w:t>绍兴市政务服务办公室</w:t>
      </w:r>
    </w:p>
    <w:p w14:paraId="03865475">
      <w:pPr>
        <w:pStyle w:val="2"/>
        <w:rPr>
          <w:rFonts w:hint="eastAsia" w:ascii="宋体" w:hAnsi="宋体" w:eastAsia="宋体" w:cs="宋体"/>
          <w:color w:val="auto"/>
          <w:highlight w:val="none"/>
        </w:rPr>
      </w:pPr>
    </w:p>
    <w:p w14:paraId="643929DC">
      <w:pPr>
        <w:pStyle w:val="2"/>
        <w:jc w:val="center"/>
        <w:rPr>
          <w:rFonts w:hint="eastAsia" w:ascii="宋体" w:hAnsi="宋体" w:eastAsia="宋体" w:cs="宋体"/>
          <w:color w:val="auto"/>
          <w:highlight w:val="none"/>
        </w:rPr>
        <w:sectPr>
          <w:footerReference r:id="rId3" w:type="default"/>
          <w:pgSz w:w="11906" w:h="16839"/>
          <w:pgMar w:top="1417" w:right="1559" w:bottom="1417" w:left="1474" w:header="1134" w:footer="1134" w:gutter="0"/>
          <w:cols w:space="720" w:num="1"/>
        </w:sectPr>
      </w:pPr>
      <w:r>
        <w:rPr>
          <w:rFonts w:hint="eastAsia" w:ascii="宋体" w:hAnsi="宋体" w:eastAsia="宋体" w:cs="宋体"/>
          <w:b/>
          <w:color w:val="auto"/>
          <w:sz w:val="44"/>
          <w:szCs w:val="44"/>
          <w:highlight w:val="none"/>
        </w:rPr>
        <w:t>二〇二四年一月</w:t>
      </w:r>
    </w:p>
    <w:p w14:paraId="76FADA28">
      <w:pPr>
        <w:spacing w:before="336" w:line="225" w:lineRule="auto"/>
        <w:ind w:left="3317"/>
        <w:jc w:val="both"/>
        <w:rPr>
          <w:rFonts w:hint="eastAsia" w:ascii="宋体" w:hAnsi="宋体" w:eastAsia="宋体" w:cs="宋体"/>
          <w:color w:val="auto"/>
          <w:sz w:val="43"/>
          <w:szCs w:val="43"/>
          <w:highlight w:val="none"/>
        </w:rPr>
      </w:pPr>
      <w:r>
        <w:rPr>
          <w:rFonts w:hint="eastAsia" w:ascii="宋体" w:hAnsi="宋体" w:eastAsia="宋体" w:cs="宋体"/>
          <w:color w:val="auto"/>
          <w:sz w:val="43"/>
          <w:szCs w:val="43"/>
          <w:highlight w:val="none"/>
        </w:rPr>
        <w:t>使用指南</w:t>
      </w:r>
    </w:p>
    <w:p w14:paraId="3D10040D">
      <w:pPr>
        <w:spacing w:line="334" w:lineRule="auto"/>
        <w:jc w:val="both"/>
        <w:rPr>
          <w:rFonts w:hint="eastAsia" w:ascii="宋体" w:hAnsi="宋体" w:eastAsia="宋体" w:cs="宋体"/>
          <w:color w:val="auto"/>
          <w:highlight w:val="none"/>
        </w:rPr>
      </w:pPr>
    </w:p>
    <w:p w14:paraId="5167F98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一、总体要求</w:t>
      </w:r>
    </w:p>
    <w:p w14:paraId="35C2AC01">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1.适用范围。绍兴市行政区域内依法必须招标的建设项目的货物类项目招标，招标人应使用本范本编制招标文件。</w:t>
      </w:r>
    </w:p>
    <w:p w14:paraId="16F23755">
      <w:pPr>
        <w:spacing w:line="440" w:lineRule="exact"/>
        <w:ind w:firstLine="4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2.括号加斜体字部分为提示性内容，招标人选择或填写相关内容后，在定稿的招标文件中应删除。</w:t>
      </w:r>
    </w:p>
    <w:p w14:paraId="30DC6DF3">
      <w:pPr>
        <w:spacing w:line="440" w:lineRule="exact"/>
        <w:ind w:firstLine="4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3.以“□”前缀部分为选择性内容，在定稿的招标文件中招标人应删除未选择的内容。</w:t>
      </w:r>
    </w:p>
    <w:p w14:paraId="67FE277F">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14:paraId="78DCAA34">
      <w:pPr>
        <w:spacing w:line="440" w:lineRule="exact"/>
        <w:ind w:firstLine="47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5.除可选择部分和下划线部分由招标人根据以上2、3、4三项进行选择或填写外，其他文字不得改动。</w:t>
      </w:r>
    </w:p>
    <w:p w14:paraId="019C7699">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二、招标公告部分</w:t>
      </w:r>
    </w:p>
    <w:p w14:paraId="45BB2B52">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(一)招标项目基本信息</w:t>
      </w:r>
    </w:p>
    <w:p w14:paraId="19140CCD">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1.项目名称、文号。应与项目工可批复或初步设计批复或企业信息赋码表中内容一致。</w:t>
      </w:r>
    </w:p>
    <w:p w14:paraId="52EDF7EF">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2.项目建设规模。应与工可批复或初步设计批复或企业信息赋码表中内容一致，主要包括建筑面积、总投资等内容。</w:t>
      </w:r>
    </w:p>
    <w:p w14:paraId="2D544FB9">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3.建设地址、建成时间、资金来源、投资比例。按工可批复或初步设计批复或企业信息赋码表内容填写。</w:t>
      </w:r>
    </w:p>
    <w:p w14:paraId="7F899768">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4.项目业主。即本招标项目的法人。</w:t>
      </w:r>
    </w:p>
    <w:p w14:paraId="529D19FC">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5.招标人。为组织项目招标活动的主体。</w:t>
      </w:r>
    </w:p>
    <w:p w14:paraId="77DD2591">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6.代理机构。为本次招标提供招标代理服务的机构，自行招标的，括号内的代理内容应删除。</w:t>
      </w:r>
    </w:p>
    <w:p w14:paraId="1D319794">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7.标段名称。招标人应合理划分标段，标段名称应恰当反映本次招标内容。</w:t>
      </w:r>
    </w:p>
    <w:p w14:paraId="785C3614">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(二)本次招标内容</w:t>
      </w:r>
    </w:p>
    <w:p w14:paraId="19BE2E70">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1.本次招标内容。尽可能详细说明本次招标项目的招标范围、内容、规模、服务要求等。</w:t>
      </w:r>
    </w:p>
    <w:p w14:paraId="5161AC7E">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估算(或概算)造价。应根据工可批复或初步设计批复或企业信息赋码表内容填写本次招标范围的服务费用造价，批复汇总表不能反映本次招标的估算(或概算)造价的，应根据经批准的估算(或概算)详细文件汇总计算。</w:t>
      </w:r>
    </w:p>
    <w:p w14:paraId="555BE0D7">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(三)投标资格条件、要求</w:t>
      </w:r>
    </w:p>
    <w:p w14:paraId="0DB00D53">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1.企业资格要求。根据本次招标内容，设置投标人资格要求。</w:t>
      </w:r>
    </w:p>
    <w:p w14:paraId="502671D5">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2.联合体。根据本次招标的实际情况进行约定。</w:t>
      </w:r>
    </w:p>
    <w:p w14:paraId="2CA27719">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34DB790C">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031DF8EF">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(四)招标文件的获取</w:t>
      </w:r>
    </w:p>
    <w:p w14:paraId="7708349D">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14:paraId="023DFBB8">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14:paraId="71957BC1">
      <w:pPr>
        <w:spacing w:line="440" w:lineRule="exact"/>
        <w:ind w:firstLine="47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3.补充(答疑、澄清)招标文件发布日期。为招标人最迟可能发出补充文件的时间，充分考虑在投标截止时间前可能发生的变化。</w:t>
      </w:r>
    </w:p>
    <w:p w14:paraId="2C83A791">
      <w:pPr>
        <w:spacing w:line="440" w:lineRule="exact"/>
        <w:ind w:firstLine="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2D10B4A4">
      <w:pPr>
        <w:pStyle w:val="53"/>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6B38FA6C">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三、投标人须知前附表部分</w:t>
      </w:r>
    </w:p>
    <w:p w14:paraId="27825375">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1.条款号1.1.2—1.2.2。与招标公告相关内容填写一致。</w:t>
      </w:r>
    </w:p>
    <w:p w14:paraId="1C635120">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2.招标范围。应与招标公告中招标内容一致，具体描述可详见公告。</w:t>
      </w:r>
    </w:p>
    <w:p w14:paraId="3851AEE4">
      <w:pPr>
        <w:spacing w:line="440" w:lineRule="exact"/>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3.交货期。交货期应满足招标的要求，并应当允许投标人提出优于交货期的投标承诺。</w:t>
      </w:r>
    </w:p>
    <w:p w14:paraId="49F07AB7">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4.条款号1.4.1-2.2.1。根据本次招标的具体情况和要求，按示范文本提示内容选择或填写。</w:t>
      </w:r>
    </w:p>
    <w:p w14:paraId="0C035E37">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5.投标截止时间。应与招标公告规定的投标截止时间一致。</w:t>
      </w:r>
    </w:p>
    <w:p w14:paraId="3E0A7042">
      <w:pPr>
        <w:spacing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4180B605">
      <w:pPr>
        <w:spacing w:line="440" w:lineRule="exact"/>
        <w:ind w:firstLine="48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45B21601">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67CDFA98">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9.招标人根据实际情况需要补充的其他内容，应集中在第10.4条。</w:t>
      </w:r>
    </w:p>
    <w:p w14:paraId="47358DF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四、评标办法部分</w:t>
      </w:r>
    </w:p>
    <w:p w14:paraId="25800CE0">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2B2BE984">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15921F31">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使用的电子招标工具应及时更新，并选择与本项目相匹配的招标工具模式（如：评标办法、电子标书递交方式等）。</w:t>
      </w:r>
    </w:p>
    <w:p w14:paraId="70AC877F">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五、合同文本部分</w:t>
      </w:r>
    </w:p>
    <w:p w14:paraId="26EA26C6">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合同条款与格式由招标人根据项目实际提供。建议采用国家或行业的示范文本。</w:t>
      </w:r>
    </w:p>
    <w:p w14:paraId="718A4AF0">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六、相关表单部分</w:t>
      </w:r>
    </w:p>
    <w:p w14:paraId="701728EB">
      <w:pPr>
        <w:spacing w:line="440" w:lineRule="exact"/>
        <w:ind w:firstLine="4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投标人前附表设置了“实质性响应招标文件及评审打分资料”栏，在相关表单中无需再设强制性审查表单，以避免前后不一致。</w:t>
      </w:r>
    </w:p>
    <w:p w14:paraId="75A0A37A">
      <w:pPr>
        <w:jc w:val="both"/>
        <w:rPr>
          <w:rFonts w:hint="eastAsia" w:ascii="宋体" w:hAnsi="宋体" w:eastAsia="宋体" w:cs="宋体"/>
          <w:color w:val="auto"/>
          <w:highlight w:val="none"/>
        </w:rPr>
        <w:sectPr>
          <w:pgSz w:w="11906" w:h="16839"/>
          <w:pgMar w:top="1417" w:right="1559" w:bottom="1417" w:left="1474" w:header="1134" w:footer="1134" w:gutter="0"/>
          <w:cols w:space="720" w:num="1"/>
        </w:sectPr>
      </w:pPr>
    </w:p>
    <w:p w14:paraId="68EFC138">
      <w:pPr>
        <w:spacing w:line="245" w:lineRule="auto"/>
        <w:jc w:val="both"/>
        <w:rPr>
          <w:rFonts w:hint="eastAsia" w:ascii="宋体" w:hAnsi="宋体" w:eastAsia="宋体" w:cs="宋体"/>
          <w:color w:val="auto"/>
          <w:highlight w:val="none"/>
        </w:rPr>
      </w:pPr>
    </w:p>
    <w:p w14:paraId="1F76C882">
      <w:pPr>
        <w:spacing w:line="245" w:lineRule="auto"/>
        <w:jc w:val="both"/>
        <w:rPr>
          <w:rFonts w:hint="eastAsia" w:ascii="宋体" w:hAnsi="宋体" w:eastAsia="宋体" w:cs="宋体"/>
          <w:color w:val="auto"/>
          <w:highlight w:val="none"/>
        </w:rPr>
      </w:pPr>
    </w:p>
    <w:p w14:paraId="14259398">
      <w:pPr>
        <w:spacing w:line="245" w:lineRule="auto"/>
        <w:jc w:val="both"/>
        <w:rPr>
          <w:rFonts w:hint="eastAsia" w:ascii="宋体" w:hAnsi="宋体" w:eastAsia="宋体" w:cs="宋体"/>
          <w:color w:val="auto"/>
          <w:highlight w:val="none"/>
        </w:rPr>
      </w:pPr>
    </w:p>
    <w:p w14:paraId="2065BF40">
      <w:pPr>
        <w:pStyle w:val="12"/>
        <w:spacing w:line="360" w:lineRule="auto"/>
        <w:jc w:val="both"/>
        <w:rPr>
          <w:rFonts w:hint="eastAsia" w:ascii="宋体" w:hAnsi="宋体" w:eastAsia="宋体" w:cs="宋体"/>
          <w:color w:val="auto"/>
          <w:highlight w:val="none"/>
        </w:rPr>
      </w:pPr>
    </w:p>
    <w:p w14:paraId="0C6A5D38">
      <w:pPr>
        <w:tabs>
          <w:tab w:val="left" w:pos="2909"/>
        </w:tabs>
        <w:spacing w:line="360" w:lineRule="auto"/>
        <w:ind w:left="138"/>
        <w:jc w:val="center"/>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绍兴文理学院附属医院(绍兴市立医院)二期A地块建设工程医用气体项目</w:t>
      </w:r>
      <w:r>
        <w:rPr>
          <w:rFonts w:hint="eastAsia" w:ascii="宋体" w:hAnsi="宋体" w:eastAsia="宋体" w:cs="宋体"/>
          <w:color w:val="auto"/>
          <w:sz w:val="35"/>
          <w:szCs w:val="35"/>
          <w:highlight w:val="none"/>
        </w:rPr>
        <w:t>(货物)采购</w:t>
      </w:r>
    </w:p>
    <w:p w14:paraId="4C15FC1C">
      <w:pPr>
        <w:spacing w:line="249" w:lineRule="auto"/>
        <w:jc w:val="both"/>
        <w:rPr>
          <w:rFonts w:hint="eastAsia" w:ascii="宋体" w:hAnsi="宋体" w:eastAsia="宋体" w:cs="宋体"/>
          <w:color w:val="auto"/>
          <w:highlight w:val="none"/>
        </w:rPr>
      </w:pPr>
    </w:p>
    <w:p w14:paraId="3A8DD6D0">
      <w:pPr>
        <w:spacing w:line="249" w:lineRule="auto"/>
        <w:jc w:val="both"/>
        <w:rPr>
          <w:rFonts w:hint="eastAsia" w:ascii="宋体" w:hAnsi="宋体" w:eastAsia="宋体" w:cs="宋体"/>
          <w:color w:val="auto"/>
          <w:highlight w:val="none"/>
        </w:rPr>
      </w:pPr>
    </w:p>
    <w:p w14:paraId="4F2299BE">
      <w:pPr>
        <w:spacing w:line="249" w:lineRule="auto"/>
        <w:jc w:val="both"/>
        <w:rPr>
          <w:rFonts w:hint="eastAsia" w:ascii="宋体" w:hAnsi="宋体" w:eastAsia="宋体" w:cs="宋体"/>
          <w:color w:val="auto"/>
          <w:highlight w:val="none"/>
        </w:rPr>
      </w:pPr>
    </w:p>
    <w:p w14:paraId="3B1E0479">
      <w:pPr>
        <w:spacing w:line="249" w:lineRule="auto"/>
        <w:jc w:val="both"/>
        <w:rPr>
          <w:rFonts w:hint="eastAsia" w:ascii="宋体" w:hAnsi="宋体" w:eastAsia="宋体" w:cs="宋体"/>
          <w:color w:val="auto"/>
          <w:highlight w:val="none"/>
        </w:rPr>
      </w:pPr>
    </w:p>
    <w:p w14:paraId="42E82136">
      <w:pPr>
        <w:pStyle w:val="12"/>
        <w:jc w:val="both"/>
        <w:rPr>
          <w:rFonts w:hint="eastAsia" w:ascii="宋体" w:hAnsi="宋体" w:eastAsia="宋体" w:cs="宋体"/>
          <w:color w:val="auto"/>
          <w:highlight w:val="none"/>
        </w:rPr>
      </w:pPr>
    </w:p>
    <w:p w14:paraId="7FE266E9">
      <w:pPr>
        <w:pStyle w:val="30"/>
        <w:ind w:firstLine="0"/>
        <w:jc w:val="both"/>
        <w:rPr>
          <w:rFonts w:hint="eastAsia" w:hAnsi="宋体" w:eastAsia="宋体" w:cs="宋体"/>
          <w:color w:val="auto"/>
          <w:spacing w:val="0"/>
          <w:highlight w:val="none"/>
        </w:rPr>
      </w:pPr>
    </w:p>
    <w:p w14:paraId="2B9937CC">
      <w:pPr>
        <w:pStyle w:val="30"/>
        <w:jc w:val="both"/>
        <w:rPr>
          <w:rFonts w:hint="eastAsia" w:hAnsi="宋体" w:eastAsia="宋体" w:cs="宋体"/>
          <w:color w:val="auto"/>
          <w:spacing w:val="0"/>
          <w:highlight w:val="none"/>
        </w:rPr>
      </w:pPr>
    </w:p>
    <w:p w14:paraId="40F0A173">
      <w:pPr>
        <w:spacing w:line="249" w:lineRule="auto"/>
        <w:jc w:val="both"/>
        <w:rPr>
          <w:rFonts w:hint="eastAsia" w:ascii="宋体" w:hAnsi="宋体" w:eastAsia="宋体" w:cs="宋体"/>
          <w:color w:val="auto"/>
          <w:highlight w:val="none"/>
        </w:rPr>
      </w:pPr>
    </w:p>
    <w:p w14:paraId="30D157CA">
      <w:pPr>
        <w:spacing w:line="249" w:lineRule="auto"/>
        <w:jc w:val="both"/>
        <w:rPr>
          <w:rFonts w:hint="eastAsia" w:ascii="宋体" w:hAnsi="宋体" w:eastAsia="宋体" w:cs="宋体"/>
          <w:color w:val="auto"/>
          <w:highlight w:val="none"/>
        </w:rPr>
      </w:pPr>
    </w:p>
    <w:p w14:paraId="6BC58D3C">
      <w:pPr>
        <w:pStyle w:val="12"/>
        <w:jc w:val="both"/>
        <w:rPr>
          <w:rFonts w:hint="eastAsia" w:ascii="宋体" w:hAnsi="宋体" w:eastAsia="宋体" w:cs="宋体"/>
          <w:color w:val="auto"/>
          <w:highlight w:val="none"/>
        </w:rPr>
      </w:pPr>
    </w:p>
    <w:p w14:paraId="2AFE412D">
      <w:pPr>
        <w:pStyle w:val="30"/>
        <w:jc w:val="both"/>
        <w:rPr>
          <w:rFonts w:hint="eastAsia" w:hAnsi="宋体" w:eastAsia="宋体" w:cs="宋体"/>
          <w:color w:val="auto"/>
          <w:spacing w:val="0"/>
          <w:highlight w:val="none"/>
        </w:rPr>
      </w:pPr>
    </w:p>
    <w:p w14:paraId="6A288B68">
      <w:pPr>
        <w:pStyle w:val="30"/>
        <w:jc w:val="both"/>
        <w:rPr>
          <w:rFonts w:hint="eastAsia" w:hAnsi="宋体" w:eastAsia="宋体" w:cs="宋体"/>
          <w:color w:val="auto"/>
          <w:spacing w:val="0"/>
          <w:highlight w:val="none"/>
        </w:rPr>
      </w:pPr>
    </w:p>
    <w:p w14:paraId="33BDDD68">
      <w:pPr>
        <w:spacing w:line="249" w:lineRule="auto"/>
        <w:jc w:val="both"/>
        <w:rPr>
          <w:rFonts w:hint="eastAsia" w:ascii="宋体" w:hAnsi="宋体" w:eastAsia="宋体" w:cs="宋体"/>
          <w:color w:val="auto"/>
          <w:highlight w:val="none"/>
        </w:rPr>
      </w:pPr>
    </w:p>
    <w:p w14:paraId="1D217FEF">
      <w:pPr>
        <w:spacing w:line="249" w:lineRule="auto"/>
        <w:jc w:val="both"/>
        <w:rPr>
          <w:rFonts w:hint="eastAsia" w:ascii="宋体" w:hAnsi="宋体" w:eastAsia="宋体" w:cs="宋体"/>
          <w:color w:val="auto"/>
          <w:highlight w:val="none"/>
        </w:rPr>
      </w:pPr>
    </w:p>
    <w:p w14:paraId="7739C183">
      <w:pPr>
        <w:spacing w:line="251" w:lineRule="auto"/>
        <w:jc w:val="both"/>
        <w:rPr>
          <w:rFonts w:hint="eastAsia" w:ascii="宋体" w:hAnsi="宋体" w:eastAsia="宋体" w:cs="宋体"/>
          <w:color w:val="auto"/>
          <w:highlight w:val="none"/>
        </w:rPr>
      </w:pPr>
    </w:p>
    <w:p w14:paraId="332D1D3D">
      <w:pPr>
        <w:spacing w:before="231" w:line="224" w:lineRule="auto"/>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14:paraId="49E5EAC4">
      <w:pPr>
        <w:spacing w:line="247" w:lineRule="auto"/>
        <w:jc w:val="both"/>
        <w:rPr>
          <w:rFonts w:hint="eastAsia" w:ascii="宋体" w:hAnsi="宋体" w:eastAsia="宋体" w:cs="宋体"/>
          <w:color w:val="auto"/>
          <w:highlight w:val="none"/>
        </w:rPr>
      </w:pPr>
    </w:p>
    <w:p w14:paraId="4E9297F6">
      <w:pPr>
        <w:spacing w:line="247" w:lineRule="auto"/>
        <w:jc w:val="both"/>
        <w:rPr>
          <w:rFonts w:hint="eastAsia" w:ascii="宋体" w:hAnsi="宋体" w:eastAsia="宋体" w:cs="宋体"/>
          <w:color w:val="auto"/>
          <w:highlight w:val="none"/>
        </w:rPr>
      </w:pPr>
    </w:p>
    <w:p w14:paraId="28FB887A">
      <w:pPr>
        <w:spacing w:line="247" w:lineRule="auto"/>
        <w:jc w:val="both"/>
        <w:rPr>
          <w:rFonts w:hint="eastAsia" w:ascii="宋体" w:hAnsi="宋体" w:eastAsia="宋体" w:cs="宋体"/>
          <w:color w:val="auto"/>
          <w:highlight w:val="none"/>
        </w:rPr>
      </w:pPr>
    </w:p>
    <w:p w14:paraId="5BCF01B7">
      <w:pPr>
        <w:spacing w:line="247" w:lineRule="auto"/>
        <w:jc w:val="both"/>
        <w:rPr>
          <w:rFonts w:hint="eastAsia" w:ascii="宋体" w:hAnsi="宋体" w:eastAsia="宋体" w:cs="宋体"/>
          <w:color w:val="auto"/>
          <w:highlight w:val="none"/>
        </w:rPr>
      </w:pPr>
    </w:p>
    <w:p w14:paraId="6F32779F">
      <w:pPr>
        <w:spacing w:line="247" w:lineRule="auto"/>
        <w:jc w:val="both"/>
        <w:rPr>
          <w:rFonts w:hint="eastAsia" w:ascii="宋体" w:hAnsi="宋体" w:eastAsia="宋体" w:cs="宋体"/>
          <w:color w:val="auto"/>
          <w:highlight w:val="none"/>
        </w:rPr>
      </w:pPr>
    </w:p>
    <w:p w14:paraId="4B5DA4E3">
      <w:pPr>
        <w:spacing w:line="247" w:lineRule="auto"/>
        <w:jc w:val="both"/>
        <w:rPr>
          <w:rFonts w:hint="eastAsia" w:ascii="宋体" w:hAnsi="宋体" w:eastAsia="宋体" w:cs="宋体"/>
          <w:color w:val="auto"/>
          <w:highlight w:val="none"/>
        </w:rPr>
      </w:pPr>
    </w:p>
    <w:p w14:paraId="5F6A42A3">
      <w:pPr>
        <w:spacing w:line="248" w:lineRule="auto"/>
        <w:jc w:val="both"/>
        <w:rPr>
          <w:rFonts w:hint="eastAsia" w:ascii="宋体" w:hAnsi="宋体" w:eastAsia="宋体" w:cs="宋体"/>
          <w:color w:val="auto"/>
          <w:highlight w:val="none"/>
        </w:rPr>
      </w:pPr>
    </w:p>
    <w:p w14:paraId="12E837BF">
      <w:pPr>
        <w:spacing w:line="248" w:lineRule="auto"/>
        <w:jc w:val="both"/>
        <w:rPr>
          <w:rFonts w:hint="eastAsia" w:ascii="宋体" w:hAnsi="宋体" w:eastAsia="宋体" w:cs="宋体"/>
          <w:color w:val="auto"/>
          <w:highlight w:val="none"/>
        </w:rPr>
      </w:pPr>
    </w:p>
    <w:p w14:paraId="17041E29">
      <w:pPr>
        <w:spacing w:line="248" w:lineRule="auto"/>
        <w:jc w:val="both"/>
        <w:rPr>
          <w:rFonts w:hint="eastAsia" w:ascii="宋体" w:hAnsi="宋体" w:eastAsia="宋体" w:cs="宋体"/>
          <w:color w:val="auto"/>
          <w:highlight w:val="none"/>
        </w:rPr>
      </w:pPr>
    </w:p>
    <w:p w14:paraId="598518A9">
      <w:pPr>
        <w:spacing w:line="248" w:lineRule="auto"/>
        <w:jc w:val="both"/>
        <w:rPr>
          <w:rFonts w:hint="eastAsia" w:ascii="宋体" w:hAnsi="宋体" w:eastAsia="宋体" w:cs="宋体"/>
          <w:color w:val="auto"/>
          <w:highlight w:val="none"/>
        </w:rPr>
      </w:pPr>
    </w:p>
    <w:p w14:paraId="05BB4025">
      <w:pPr>
        <w:spacing w:line="248" w:lineRule="auto"/>
        <w:jc w:val="both"/>
        <w:rPr>
          <w:rFonts w:hint="eastAsia" w:ascii="宋体" w:hAnsi="宋体" w:eastAsia="宋体" w:cs="宋体"/>
          <w:color w:val="auto"/>
          <w:highlight w:val="none"/>
        </w:rPr>
      </w:pPr>
    </w:p>
    <w:p w14:paraId="5F073B76">
      <w:pPr>
        <w:spacing w:line="248" w:lineRule="auto"/>
        <w:jc w:val="both"/>
        <w:rPr>
          <w:rFonts w:hint="eastAsia" w:ascii="宋体" w:hAnsi="宋体" w:eastAsia="宋体" w:cs="宋体"/>
          <w:color w:val="auto"/>
          <w:highlight w:val="none"/>
        </w:rPr>
      </w:pPr>
    </w:p>
    <w:p w14:paraId="63B1C521">
      <w:pPr>
        <w:spacing w:line="248" w:lineRule="auto"/>
        <w:jc w:val="both"/>
        <w:rPr>
          <w:rFonts w:hint="eastAsia" w:ascii="宋体" w:hAnsi="宋体" w:eastAsia="宋体" w:cs="宋体"/>
          <w:color w:val="auto"/>
          <w:highlight w:val="none"/>
        </w:rPr>
      </w:pPr>
    </w:p>
    <w:p w14:paraId="5805147E">
      <w:pPr>
        <w:spacing w:line="600" w:lineRule="exact"/>
        <w:ind w:left="1626" w:hanging="1260" w:hangingChars="450"/>
        <w:jc w:val="center"/>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招标人：</w:t>
      </w:r>
      <w:bookmarkStart w:id="0" w:name="OLE_LINK30"/>
      <w:r>
        <w:rPr>
          <w:rFonts w:hint="eastAsia" w:ascii="宋体" w:hAnsi="宋体" w:eastAsia="宋体" w:cs="宋体"/>
          <w:b w:val="0"/>
          <w:bCs/>
          <w:color w:val="auto"/>
          <w:sz w:val="28"/>
          <w:szCs w:val="28"/>
          <w:highlight w:val="none"/>
          <w:u w:val="single"/>
          <w:lang w:eastAsia="zh-CN"/>
        </w:rPr>
        <w:t>绍兴</w:t>
      </w:r>
      <w:r>
        <w:rPr>
          <w:rFonts w:hint="eastAsia" w:ascii="宋体" w:hAnsi="宋体" w:eastAsia="宋体" w:cs="宋体"/>
          <w:b w:val="0"/>
          <w:bCs/>
          <w:color w:val="auto"/>
          <w:sz w:val="28"/>
          <w:szCs w:val="28"/>
          <w:highlight w:val="none"/>
          <w:u w:val="single"/>
          <w:lang w:val="en-US" w:eastAsia="zh-CN"/>
        </w:rPr>
        <w:t>大学</w:t>
      </w:r>
      <w:r>
        <w:rPr>
          <w:rFonts w:hint="eastAsia" w:ascii="宋体" w:hAnsi="宋体" w:eastAsia="宋体" w:cs="宋体"/>
          <w:b w:val="0"/>
          <w:bCs/>
          <w:color w:val="auto"/>
          <w:sz w:val="28"/>
          <w:szCs w:val="28"/>
          <w:highlight w:val="none"/>
          <w:u w:val="single"/>
          <w:lang w:eastAsia="zh-CN"/>
        </w:rPr>
        <w:t>附属医院</w:t>
      </w:r>
      <w:bookmarkEnd w:id="0"/>
      <w:r>
        <w:rPr>
          <w:rFonts w:hint="eastAsia" w:ascii="宋体" w:hAnsi="宋体" w:eastAsia="宋体" w:cs="宋体"/>
          <w:color w:val="auto"/>
          <w:sz w:val="28"/>
          <w:szCs w:val="28"/>
          <w:highlight w:val="none"/>
        </w:rPr>
        <w:t>(盖章)</w:t>
      </w:r>
    </w:p>
    <w:p w14:paraId="085D74FF">
      <w:pPr>
        <w:spacing w:line="600" w:lineRule="exact"/>
        <w:ind w:left="1626" w:hanging="1260" w:hangingChars="450"/>
        <w:jc w:val="center"/>
        <w:rPr>
          <w:rFonts w:hint="eastAsia"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t>代建单位：</w:t>
      </w:r>
      <w:r>
        <w:rPr>
          <w:rFonts w:hint="eastAsia" w:ascii="宋体" w:hAnsi="宋体" w:eastAsia="宋体" w:cs="宋体"/>
          <w:b w:val="0"/>
          <w:bCs/>
          <w:color w:val="auto"/>
          <w:sz w:val="28"/>
          <w:szCs w:val="28"/>
          <w:highlight w:val="none"/>
          <w:u w:val="single"/>
          <w:lang w:eastAsia="zh-CN"/>
        </w:rPr>
        <w:t>绍兴市城发建设有限公司</w:t>
      </w:r>
      <w:r>
        <w:rPr>
          <w:rFonts w:hint="eastAsia" w:ascii="宋体" w:hAnsi="宋体" w:eastAsia="宋体" w:cs="宋体"/>
          <w:color w:val="auto"/>
          <w:sz w:val="28"/>
          <w:szCs w:val="28"/>
          <w:highlight w:val="none"/>
        </w:rPr>
        <w:t>(盖章)</w:t>
      </w:r>
    </w:p>
    <w:p w14:paraId="4AD7112C">
      <w:pPr>
        <w:tabs>
          <w:tab w:val="left" w:pos="3427"/>
        </w:tabs>
        <w:spacing w:line="360"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28"/>
          <w:szCs w:val="28"/>
          <w:highlight w:val="none"/>
          <w:u w:val="single"/>
        </w:rPr>
        <w:t>202</w:t>
      </w:r>
      <w:r>
        <w:rPr>
          <w:rFonts w:hint="eastAsia" w:ascii="宋体" w:hAnsi="宋体" w:eastAsia="宋体" w:cs="宋体"/>
          <w:color w:val="auto"/>
          <w:sz w:val="28"/>
          <w:szCs w:val="28"/>
          <w:highlight w:val="none"/>
          <w:u w:val="single"/>
          <w:lang w:val="en-US" w:eastAsia="zh-CN"/>
        </w:rPr>
        <w:t>6</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31"/>
          <w:szCs w:val="31"/>
          <w:highlight w:val="none"/>
        </w:rPr>
        <w:t>年</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6</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31"/>
          <w:szCs w:val="31"/>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31"/>
          <w:szCs w:val="31"/>
          <w:highlight w:val="none"/>
        </w:rPr>
        <w:t>日</w:t>
      </w:r>
    </w:p>
    <w:p w14:paraId="0196325E">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pgNumType w:start="1"/>
          <w:cols w:space="720" w:num="1"/>
        </w:sectPr>
      </w:pPr>
    </w:p>
    <w:p w14:paraId="43502FD3">
      <w:pPr>
        <w:spacing w:line="245" w:lineRule="auto"/>
        <w:jc w:val="both"/>
        <w:rPr>
          <w:rFonts w:hint="eastAsia" w:ascii="宋体" w:hAnsi="宋体" w:eastAsia="宋体" w:cs="宋体"/>
          <w:color w:val="auto"/>
          <w:highlight w:val="none"/>
        </w:rPr>
      </w:pPr>
    </w:p>
    <w:p w14:paraId="50AB063C">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0011FB12">
      <w:pPr>
        <w:spacing w:line="269" w:lineRule="auto"/>
        <w:jc w:val="both"/>
        <w:rPr>
          <w:rFonts w:hint="eastAsia" w:ascii="宋体" w:hAnsi="宋体" w:eastAsia="宋体" w:cs="宋体"/>
          <w:color w:val="auto"/>
          <w:highlight w:val="none"/>
        </w:rPr>
      </w:pPr>
    </w:p>
    <w:p w14:paraId="0EA860F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32BFB0A5">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 </w:instrText>
      </w:r>
      <w:r>
        <w:rPr>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3D6EAE1C">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"_bookmark3" </w:instrText>
      </w:r>
      <w:r>
        <w:rPr>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0447A40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"_bookmark4" </w:instrText>
      </w:r>
      <w:r>
        <w:rPr>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7F3588E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"_bookmark5" </w:instrText>
      </w:r>
      <w:r>
        <w:rPr>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6850CCB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"_bookmark6" </w:instrText>
      </w:r>
      <w:r>
        <w:rPr>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79D26C1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"_bookmark7" </w:instrText>
      </w:r>
      <w:r>
        <w:rPr>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6BFFEE6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"_bookmark8" </w:instrText>
      </w:r>
      <w:r>
        <w:rPr>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27E7022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"_bookmark10" </w:instrText>
      </w:r>
      <w:r>
        <w:rPr>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687A4C4F">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"_bookmark11" </w:instrText>
      </w:r>
      <w:r>
        <w:rPr>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1D6398B1">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"_bookmark12" </w:instrText>
      </w:r>
      <w:r>
        <w:rPr>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7430F542">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"_bookmark13" </w:instrText>
      </w:r>
      <w:r>
        <w:rPr>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78134EE7">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"_bookmark14" </w:instrText>
      </w:r>
      <w:r>
        <w:rPr>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547786C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"_bookmark15" </w:instrText>
      </w:r>
      <w:r>
        <w:rPr>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0D4F228D">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"_bookmark16" </w:instrText>
      </w:r>
      <w:r>
        <w:rPr>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7237919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"_bookmark17" </w:instrText>
      </w:r>
      <w:r>
        <w:rPr>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0A29CFB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"_bookmark18" </w:instrText>
      </w:r>
      <w:r>
        <w:rPr>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2FBCD34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5266C6B7">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6784759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7AAF7D9C">
      <w:pPr>
        <w:jc w:val="both"/>
        <w:rPr>
          <w:rFonts w:hint="eastAsia" w:ascii="宋体" w:hAnsi="宋体" w:eastAsia="宋体" w:cs="宋体"/>
          <w:color w:val="auto"/>
          <w:highlight w:val="none"/>
        </w:rPr>
        <w:sectPr>
          <w:footerReference r:id="rId5" w:type="default"/>
          <w:pgSz w:w="11906" w:h="16839"/>
          <w:pgMar w:top="1418" w:right="1559" w:bottom="1418" w:left="1474" w:header="0" w:footer="0" w:gutter="0"/>
          <w:cols w:space="720" w:num="1"/>
        </w:sectPr>
      </w:pPr>
    </w:p>
    <w:p w14:paraId="3BFC64EA">
      <w:pPr>
        <w:spacing w:line="245" w:lineRule="auto"/>
        <w:jc w:val="both"/>
        <w:rPr>
          <w:rFonts w:hint="eastAsia" w:ascii="宋体" w:hAnsi="宋体" w:eastAsia="宋体" w:cs="宋体"/>
          <w:color w:val="auto"/>
          <w:highlight w:val="none"/>
        </w:rPr>
      </w:pPr>
    </w:p>
    <w:p w14:paraId="52EEDA80">
      <w:pPr>
        <w:spacing w:before="101" w:line="224" w:lineRule="auto"/>
        <w:ind w:left="3173"/>
        <w:jc w:val="both"/>
        <w:outlineLvl w:val="0"/>
        <w:rPr>
          <w:rFonts w:hint="eastAsia" w:ascii="宋体" w:hAnsi="宋体" w:eastAsia="宋体" w:cs="宋体"/>
          <w:color w:val="auto"/>
          <w:sz w:val="31"/>
          <w:szCs w:val="31"/>
          <w:highlight w:val="none"/>
        </w:rPr>
      </w:pPr>
      <w:bookmarkStart w:id="1" w:name="_bookmark1"/>
      <w:bookmarkEnd w:id="1"/>
      <w:r>
        <w:rPr>
          <w:rFonts w:hint="eastAsia" w:ascii="宋体" w:hAnsi="宋体" w:eastAsia="宋体" w:cs="宋体"/>
          <w:color w:val="auto"/>
          <w:sz w:val="31"/>
          <w:szCs w:val="31"/>
          <w:highlight w:val="none"/>
        </w:rPr>
        <w:t>第一章招标公告</w:t>
      </w:r>
    </w:p>
    <w:p w14:paraId="7BEB0D1F">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1722E906">
      <w:pPr>
        <w:spacing w:line="253" w:lineRule="auto"/>
        <w:jc w:val="both"/>
        <w:rPr>
          <w:rFonts w:hint="eastAsia" w:ascii="宋体" w:hAnsi="宋体" w:eastAsia="宋体" w:cs="宋体"/>
          <w:color w:val="auto"/>
          <w:highlight w:val="none"/>
        </w:rPr>
      </w:pPr>
    </w:p>
    <w:p w14:paraId="79279CED">
      <w:pPr>
        <w:spacing w:line="312" w:lineRule="auto"/>
        <w:ind w:firstLine="420" w:firstLineChars="200"/>
        <w:rPr>
          <w:rFonts w:hint="eastAsia" w:ascii="宋体" w:hAnsi="宋体" w:eastAsia="宋体" w:cs="宋体"/>
          <w:color w:val="auto"/>
          <w:position w:val="2"/>
          <w:highlight w:val="none"/>
        </w:rPr>
      </w:pPr>
      <w:r>
        <w:rPr>
          <w:rFonts w:hint="eastAsia" w:ascii="宋体" w:hAnsi="宋体" w:eastAsia="宋体" w:cs="宋体"/>
          <w:color w:val="auto"/>
          <w:highlight w:val="none"/>
        </w:rPr>
        <w:t>本次招标项目</w:t>
      </w:r>
      <w:r>
        <w:rPr>
          <w:rFonts w:hint="eastAsia" w:ascii="宋体" w:hAnsi="宋体" w:eastAsia="宋体" w:cs="宋体"/>
          <w:b/>
          <w:bCs/>
          <w:color w:val="auto"/>
          <w:highlight w:val="none"/>
          <w:u w:val="single"/>
          <w:lang w:eastAsia="zh-CN"/>
        </w:rPr>
        <w:t>绍兴文理学院附属医院(绍兴市立医院)二期A地块建设工程医用气体项目</w:t>
      </w:r>
      <w:r>
        <w:rPr>
          <w:rFonts w:hint="eastAsia" w:ascii="宋体" w:hAnsi="宋体" w:eastAsia="宋体" w:cs="宋体"/>
          <w:color w:val="auto"/>
          <w:highlight w:val="none"/>
        </w:rPr>
        <w:t>，已由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eastAsia="zh-CN"/>
        </w:rPr>
        <w:t>绍兴市发展和改革局</w:t>
      </w:r>
      <w:r>
        <w:rPr>
          <w:rFonts w:hint="eastAsia" w:ascii="宋体" w:hAnsi="宋体" w:eastAsia="宋体" w:cs="宋体"/>
          <w:color w:val="auto"/>
          <w:highlight w:val="none"/>
        </w:rPr>
        <w:t>以</w:t>
      </w:r>
      <w:r>
        <w:rPr>
          <w:rFonts w:hint="eastAsia" w:ascii="宋体" w:hAnsi="宋体" w:eastAsia="宋体" w:cs="宋体"/>
          <w:b/>
          <w:bCs/>
          <w:color w:val="auto"/>
          <w:highlight w:val="none"/>
          <w:u w:val="single"/>
          <w:lang w:eastAsia="zh-CN"/>
        </w:rPr>
        <w:t>2201-330600-04-01-897469</w:t>
      </w:r>
      <w:r>
        <w:rPr>
          <w:rFonts w:hint="eastAsia" w:ascii="宋体" w:hAnsi="宋体" w:eastAsia="宋体" w:cs="宋体"/>
          <w:color w:val="auto"/>
          <w:highlight w:val="none"/>
        </w:rPr>
        <w:t>批准建设，项目业主为</w:t>
      </w:r>
      <w:r>
        <w:rPr>
          <w:rFonts w:hint="eastAsia" w:ascii="宋体" w:hAnsi="宋体" w:eastAsia="宋体" w:cs="宋体"/>
          <w:b/>
          <w:bCs/>
          <w:color w:val="auto"/>
          <w:highlight w:val="none"/>
          <w:u w:val="single"/>
          <w:lang w:eastAsia="zh-CN"/>
        </w:rPr>
        <w:t>绍兴大学附属医院</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，建设资金</w:t>
      </w:r>
      <w:r>
        <w:rPr>
          <w:rFonts w:hint="eastAsia" w:ascii="宋体" w:hAnsi="宋体" w:eastAsia="宋体" w:cs="宋体"/>
          <w:b/>
          <w:bCs/>
          <w:color w:val="auto"/>
          <w:highlight w:val="none"/>
          <w:u w:val="single"/>
          <w:lang w:eastAsia="zh-CN"/>
        </w:rPr>
        <w:t>财政资金  100%</w:t>
      </w:r>
      <w:r>
        <w:rPr>
          <w:rFonts w:hint="eastAsia" w:ascii="宋体" w:hAnsi="宋体" w:eastAsia="宋体" w:cs="宋体"/>
          <w:color w:val="auto"/>
          <w:highlight w:val="none"/>
        </w:rPr>
        <w:t>，招标人为</w:t>
      </w:r>
      <w:r>
        <w:rPr>
          <w:rFonts w:hint="eastAsia" w:ascii="宋体" w:hAnsi="宋体" w:eastAsia="宋体" w:cs="宋体"/>
          <w:b/>
          <w:bCs/>
          <w:color w:val="auto"/>
          <w:highlight w:val="none"/>
          <w:u w:val="single"/>
          <w:lang w:eastAsia="zh-CN"/>
        </w:rPr>
        <w:t>绍兴</w:t>
      </w:r>
      <w:r>
        <w:rPr>
          <w:rFonts w:hint="eastAsia" w:ascii="宋体" w:hAnsi="宋体" w:eastAsia="宋体" w:cs="宋体"/>
          <w:b/>
          <w:bCs/>
          <w:color w:val="auto"/>
          <w:highlight w:val="none"/>
          <w:u w:val="single"/>
          <w:lang w:val="en-US" w:eastAsia="zh-CN"/>
        </w:rPr>
        <w:t>大学</w:t>
      </w:r>
      <w:r>
        <w:rPr>
          <w:rFonts w:hint="eastAsia" w:ascii="宋体" w:hAnsi="宋体" w:eastAsia="宋体" w:cs="宋体"/>
          <w:b/>
          <w:bCs/>
          <w:color w:val="auto"/>
          <w:highlight w:val="none"/>
          <w:u w:val="single"/>
          <w:lang w:eastAsia="zh-CN"/>
        </w:rPr>
        <w:t>附属医院</w:t>
      </w:r>
      <w:r>
        <w:rPr>
          <w:rFonts w:hint="eastAsia" w:ascii="宋体" w:hAnsi="宋体" w:eastAsia="宋体" w:cs="宋体"/>
          <w:color w:val="auto"/>
          <w:highlight w:val="none"/>
        </w:rPr>
        <w:t>。项目已具备招标条件，现对该项目的</w:t>
      </w:r>
      <w:r>
        <w:rPr>
          <w:rFonts w:hint="eastAsia" w:ascii="宋体" w:hAnsi="宋体" w:eastAsia="宋体" w:cs="宋体"/>
          <w:b/>
          <w:bCs/>
          <w:color w:val="auto"/>
          <w:highlight w:val="none"/>
          <w:u w:val="single"/>
          <w:lang w:eastAsia="zh-CN"/>
        </w:rPr>
        <w:t>绍兴文理学院附属医院(绍兴市立医院)二期A地块建设工程医用气体项目</w:t>
      </w:r>
      <w:r>
        <w:rPr>
          <w:rFonts w:hint="eastAsia" w:ascii="宋体" w:hAnsi="宋体" w:eastAsia="宋体" w:cs="宋体"/>
          <w:color w:val="auto"/>
          <w:highlight w:val="none"/>
        </w:rPr>
        <w:t>货物进行公开招标</w:t>
      </w:r>
    </w:p>
    <w:p w14:paraId="6B712587">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一、本次招标内容</w:t>
      </w:r>
    </w:p>
    <w:p w14:paraId="55DF9C2B">
      <w:pPr>
        <w:tabs>
          <w:tab w:val="left" w:pos="3725"/>
        </w:tabs>
        <w:spacing w:line="312" w:lineRule="auto"/>
        <w:ind w:left="1" w:firstLine="420" w:firstLineChars="200"/>
        <w:jc w:val="both"/>
        <w:rPr>
          <w:rFonts w:hint="eastAsia" w:ascii="宋体" w:hAnsi="宋体" w:eastAsia="宋体" w:cs="宋体"/>
          <w:b/>
          <w:bCs/>
          <w:color w:val="auto"/>
          <w:highlight w:val="none"/>
          <w:u w:val="single"/>
          <w:lang w:eastAsia="zh-CN"/>
        </w:rPr>
      </w:pPr>
      <w:r>
        <w:rPr>
          <w:rFonts w:hint="eastAsia" w:ascii="宋体" w:hAnsi="宋体" w:eastAsia="宋体" w:cs="宋体"/>
          <w:color w:val="auto"/>
          <w:highlight w:val="none"/>
        </w:rPr>
        <w:t>1.1</w:t>
      </w:r>
      <w:r>
        <w:rPr>
          <w:rFonts w:hint="eastAsia" w:ascii="宋体" w:hAnsi="宋体" w:eastAsia="宋体" w:cs="宋体"/>
          <w:b/>
          <w:bCs/>
          <w:color w:val="auto"/>
          <w:highlight w:val="none"/>
          <w:u w:val="single"/>
          <w:lang w:val="en-US" w:eastAsia="zh-CN"/>
        </w:rPr>
        <w:t>项目概算投资122842.99万元，其中建安工程造价约80000万元，建设规模：项目总用地面积约37720.24平方米，总建筑面积约131544平方米，其中：地上建筑面积约105309平方米，地下建筑面积约26235平方米。本工程按绿色建筑三星级标准实施；本工程为公共建筑，装配率不低于60%。本次招标内容为绍兴文理学院附属医院(绍兴市立医院)二期A地块建设工程项目医用气体设施专项的采购及安装，完成按施工图和技术规范要求的全部内容。</w:t>
      </w:r>
    </w:p>
    <w:p w14:paraId="30554C0A">
      <w:pPr>
        <w:tabs>
          <w:tab w:val="left" w:pos="3725"/>
        </w:tabs>
        <w:spacing w:line="312" w:lineRule="auto"/>
        <w:ind w:left="1" w:firstLine="422" w:firstLineChars="20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项目服务期：</w:t>
      </w:r>
      <w:r>
        <w:rPr>
          <w:rFonts w:hint="eastAsia" w:ascii="宋体" w:hAnsi="宋体" w:eastAsia="宋体" w:cs="宋体"/>
          <w:b/>
          <w:bCs/>
          <w:color w:val="auto"/>
          <w:highlight w:val="none"/>
          <w:u w:val="single"/>
          <w:lang w:val="en-US" w:eastAsia="zh-CN"/>
        </w:rPr>
        <w:t>180日历天，并不得影响总包总进度计划（以招标人发出的开工指令为准，具体应与工程施工总进度计划同步，服从总包管理）。</w:t>
      </w:r>
    </w:p>
    <w:p w14:paraId="370D76B4">
      <w:pPr>
        <w:tabs>
          <w:tab w:val="left" w:pos="3725"/>
        </w:tabs>
        <w:spacing w:line="312" w:lineRule="auto"/>
        <w:ind w:left="1" w:firstLine="420" w:firstLineChars="200"/>
        <w:jc w:val="both"/>
        <w:rPr>
          <w:rFonts w:hint="eastAsia" w:ascii="宋体" w:hAnsi="宋体" w:eastAsia="宋体" w:cs="宋体"/>
          <w:strike/>
          <w:dstrike w:val="0"/>
          <w:color w:val="auto"/>
          <w:highlight w:val="none"/>
        </w:rPr>
      </w:pPr>
      <w:r>
        <w:rPr>
          <w:rFonts w:hint="eastAsia" w:ascii="宋体" w:hAnsi="宋体" w:eastAsia="宋体" w:cs="宋体"/>
          <w:color w:val="auto"/>
          <w:highlight w:val="none"/>
        </w:rPr>
        <w:t>本次招标范围内的工程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估算(或</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概算)造价</w:t>
      </w:r>
      <w:r>
        <w:rPr>
          <w:rFonts w:hint="eastAsia" w:ascii="宋体" w:hAnsi="宋体" w:eastAsia="宋体" w:cs="宋体"/>
          <w:color w:val="auto"/>
          <w:highlight w:val="none"/>
          <w:lang w:val="en-US" w:eastAsia="zh-CN"/>
        </w:rPr>
        <w:t>约</w:t>
      </w:r>
      <w:r>
        <w:rPr>
          <w:rFonts w:hint="eastAsia" w:ascii="宋体" w:hAnsi="宋体" w:eastAsia="宋体" w:cs="宋体"/>
          <w:color w:val="auto"/>
          <w:highlight w:val="none"/>
          <w:u w:val="none"/>
          <w:lang w:val="en-US" w:eastAsia="zh-CN"/>
        </w:rPr>
        <w:t>为</w:t>
      </w:r>
      <w:r>
        <w:rPr>
          <w:rFonts w:hint="eastAsia" w:ascii="宋体" w:hAnsi="宋体" w:eastAsia="宋体" w:cs="宋体"/>
          <w:color w:val="auto"/>
          <w:highlight w:val="none"/>
          <w:u w:val="single"/>
          <w:lang w:val="en-US" w:eastAsia="zh-CN"/>
        </w:rPr>
        <w:t>1140.35</w:t>
      </w:r>
      <w:r>
        <w:rPr>
          <w:rFonts w:hint="eastAsia" w:ascii="宋体" w:hAnsi="宋体" w:eastAsia="宋体" w:cs="宋体"/>
          <w:color w:val="auto"/>
          <w:highlight w:val="none"/>
          <w:u w:val="none"/>
          <w:lang w:val="en-US" w:eastAsia="zh-CN"/>
        </w:rPr>
        <w:t>万元</w:t>
      </w:r>
      <w:r>
        <w:rPr>
          <w:rFonts w:hint="eastAsia" w:ascii="宋体" w:hAnsi="宋体" w:eastAsia="宋体" w:cs="宋体"/>
          <w:color w:val="auto"/>
          <w:highlight w:val="none"/>
        </w:rPr>
        <w:t>，采用投标资格后审方式招标。</w:t>
      </w:r>
    </w:p>
    <w:p w14:paraId="01176BA0">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1.2是否属于政府采购工程</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14:paraId="31DE650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1.3是否专门面向中小企业预留</w:t>
      </w:r>
    </w:p>
    <w:p w14:paraId="62E534BE">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□是</w:t>
      </w:r>
    </w:p>
    <w:p w14:paraId="587C1EB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☑否。</w:t>
      </w:r>
    </w:p>
    <w:p w14:paraId="453E686F">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1.4专门面向中小企业预留的实施方式</w:t>
      </w:r>
    </w:p>
    <w:p w14:paraId="27C8FFE0">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，或者提供</w:t>
      </w:r>
    </w:p>
    <w:p w14:paraId="47BD4A68">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□1.4.1本标段整体面向中小企业；</w:t>
      </w:r>
    </w:p>
    <w:p w14:paraId="2815B1AF">
      <w:pPr>
        <w:tabs>
          <w:tab w:val="left" w:pos="3725"/>
        </w:tabs>
        <w:spacing w:line="312" w:lineRule="auto"/>
        <w:ind w:left="1"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□1.4.2本标段联合体形式面向中小企业，以联合体形式参加本次投标的，联合体中中小企业承担的合同份额需达到（不低于40%）以上。</w:t>
      </w:r>
    </w:p>
    <w:p w14:paraId="29054CAF">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二、投标资格条件、要求</w:t>
      </w:r>
    </w:p>
    <w:p w14:paraId="7692A701">
      <w:pPr>
        <w:spacing w:line="312" w:lineRule="auto"/>
        <w:ind w:left="10" w:right="65" w:firstLine="497"/>
        <w:jc w:val="both"/>
        <w:rPr>
          <w:rFonts w:hint="eastAsia" w:ascii="宋体" w:hAnsi="宋体" w:eastAsia="宋体" w:cs="宋体"/>
          <w:color w:val="auto"/>
          <w:highlight w:val="none"/>
        </w:rPr>
      </w:pPr>
      <w:r>
        <w:rPr>
          <w:rFonts w:hint="eastAsia" w:ascii="宋体" w:hAnsi="宋体" w:eastAsia="宋体" w:cs="宋体"/>
          <w:color w:val="auto"/>
          <w:highlight w:val="none"/>
        </w:rPr>
        <w:t>1.投标人及其拟派项目负责人自</w:t>
      </w:r>
      <w:r>
        <w:rPr>
          <w:rFonts w:hint="eastAsia" w:ascii="宋体" w:hAnsi="宋体" w:eastAsia="宋体" w:cs="宋体"/>
          <w:b/>
          <w:bCs/>
          <w:color w:val="auto"/>
          <w:highlight w:val="none"/>
          <w:u w:val="single"/>
        </w:rPr>
        <w:t>202</w:t>
      </w:r>
      <w:r>
        <w:rPr>
          <w:rFonts w:hint="eastAsia" w:ascii="宋体" w:hAnsi="宋体" w:eastAsia="宋体" w:cs="宋体"/>
          <w:b/>
          <w:bCs/>
          <w:color w:val="auto"/>
          <w:highlight w:val="none"/>
          <w:u w:val="single"/>
          <w:lang w:val="en-US" w:eastAsia="zh-CN"/>
        </w:rPr>
        <w:t>3</w:t>
      </w:r>
      <w:r>
        <w:rPr>
          <w:rFonts w:hint="eastAsia" w:ascii="宋体" w:hAnsi="宋体" w:eastAsia="宋体" w:cs="宋体"/>
          <w:b/>
          <w:bCs/>
          <w:color w:val="auto"/>
          <w:highlight w:val="none"/>
          <w:u w:val="single"/>
        </w:rPr>
        <w:t>年</w:t>
      </w:r>
      <w:r>
        <w:rPr>
          <w:rFonts w:hint="eastAsia" w:ascii="宋体" w:hAnsi="宋体" w:eastAsia="宋体" w:cs="宋体"/>
          <w:b/>
          <w:bCs/>
          <w:color w:val="auto"/>
          <w:highlight w:val="none"/>
          <w:u w:val="single"/>
          <w:lang w:val="en-US" w:eastAsia="zh-CN"/>
        </w:rPr>
        <w:t>1</w:t>
      </w:r>
      <w:r>
        <w:rPr>
          <w:rFonts w:hint="eastAsia" w:ascii="宋体" w:hAnsi="宋体" w:eastAsia="宋体" w:cs="宋体"/>
          <w:b/>
          <w:bCs/>
          <w:color w:val="auto"/>
          <w:highlight w:val="none"/>
          <w:u w:val="single"/>
        </w:rPr>
        <w:t>月1日</w:t>
      </w:r>
      <w:r>
        <w:rPr>
          <w:rFonts w:hint="eastAsia" w:ascii="宋体" w:hAnsi="宋体" w:eastAsia="宋体" w:cs="宋体"/>
          <w:color w:val="auto"/>
          <w:highlight w:val="none"/>
        </w:rPr>
        <w:t>起至投标截止日止无行贿犯罪记录；</w:t>
      </w:r>
    </w:p>
    <w:p w14:paraId="49AA2FFD">
      <w:pPr>
        <w:spacing w:line="312" w:lineRule="auto"/>
        <w:ind w:left="15" w:right="154" w:firstLine="498"/>
        <w:jc w:val="both"/>
        <w:rPr>
          <w:rFonts w:hint="eastAsia" w:ascii="宋体" w:hAnsi="宋体" w:eastAsia="宋体" w:cs="宋体"/>
          <w:color w:val="auto"/>
          <w:highlight w:val="none"/>
        </w:rPr>
      </w:pPr>
      <w:r>
        <w:rPr>
          <w:rFonts w:hint="eastAsia" w:ascii="宋体" w:hAnsi="宋体" w:eastAsia="宋体" w:cs="宋体"/>
          <w:color w:val="auto"/>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13086C4C">
      <w:pPr>
        <w:spacing w:line="312" w:lineRule="auto"/>
        <w:ind w:left="14" w:right="63" w:firstLine="474"/>
        <w:rPr>
          <w:rFonts w:hint="eastAsia" w:ascii="宋体" w:hAnsi="宋体" w:eastAsia="宋体" w:cs="宋体"/>
          <w:b/>
          <w:bCs/>
          <w:color w:val="auto"/>
          <w:highlight w:val="none"/>
          <w:u w:val="single"/>
        </w:rPr>
      </w:pPr>
      <w:r>
        <w:rPr>
          <w:rFonts w:hint="eastAsia" w:ascii="宋体" w:hAnsi="宋体" w:eastAsia="宋体" w:cs="宋体"/>
          <w:color w:val="auto"/>
          <w:highlight w:val="none"/>
        </w:rPr>
        <w:t>3.本次招标(□接受☑不接受)联合体投标，联合体投标的，应满足下列要求：</w:t>
      </w:r>
      <w:r>
        <w:rPr>
          <w:rFonts w:hint="eastAsia" w:ascii="宋体" w:hAnsi="宋体" w:eastAsia="宋体" w:cs="宋体"/>
          <w:b/>
          <w:bCs/>
          <w:color w:val="auto"/>
          <w:highlight w:val="none"/>
          <w:u w:val="single"/>
        </w:rPr>
        <w:t>/</w:t>
      </w:r>
    </w:p>
    <w:p w14:paraId="35B3EFD4">
      <w:pPr>
        <w:spacing w:line="312" w:lineRule="auto"/>
        <w:ind w:firstLine="420" w:firstLineChars="200"/>
        <w:rPr>
          <w:rFonts w:hint="eastAsia" w:ascii="宋体" w:hAnsi="宋体" w:eastAsia="宋体" w:cs="宋体"/>
          <w:strike/>
          <w:color w:val="auto"/>
          <w:highlight w:val="none"/>
        </w:rPr>
      </w:pPr>
      <w:r>
        <w:rPr>
          <w:rFonts w:hint="eastAsia" w:ascii="宋体" w:hAnsi="宋体" w:eastAsia="宋体" w:cs="宋体"/>
          <w:color w:val="auto"/>
          <w:highlight w:val="none"/>
        </w:rPr>
        <w:t>□4.面向中小企业招标的，投标人（或联合体中的中小企业）须为中小企业，并提供《中小企业声明函》。</w:t>
      </w:r>
    </w:p>
    <w:p w14:paraId="1FB40AAB">
      <w:pPr>
        <w:spacing w:line="312" w:lineRule="auto"/>
        <w:ind w:left="490"/>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5.(招标人认为需要增加的符合法律法规规定的其他要求)</w:t>
      </w:r>
    </w:p>
    <w:p w14:paraId="71CCF2A6">
      <w:pPr>
        <w:spacing w:line="312" w:lineRule="auto"/>
        <w:ind w:firstLine="422" w:firstLineChars="200"/>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5.1</w:t>
      </w:r>
      <w:bookmarkStart w:id="2" w:name="_Hlk215866549"/>
      <w:r>
        <w:rPr>
          <w:rFonts w:hint="eastAsia" w:ascii="宋体" w:hAnsi="宋体" w:eastAsia="宋体" w:cs="宋体"/>
          <w:b/>
          <w:bCs/>
          <w:color w:val="auto"/>
          <w:highlight w:val="none"/>
          <w:u w:val="single"/>
        </w:rPr>
        <w:t>本次招标要求投标人具备①第二类医疗器械经营备案凭证或者医疗器械生产许可证；②具有医疗器械注册证，包括医用中心供氧系统、医用中心吸引系统、医用压缩空气系统或医用空气集中供应系统</w:t>
      </w:r>
      <w:r>
        <w:rPr>
          <w:rFonts w:hint="eastAsia" w:ascii="宋体" w:hAnsi="宋体" w:eastAsia="宋体" w:cs="宋体"/>
          <w:b/>
          <w:bCs/>
          <w:color w:val="auto"/>
          <w:highlight w:val="none"/>
          <w:u w:val="single"/>
          <w:lang w:eastAsia="zh-CN"/>
        </w:rPr>
        <w:t>、</w:t>
      </w:r>
      <w:r>
        <w:rPr>
          <w:rFonts w:hint="eastAsia" w:ascii="宋体" w:hAnsi="宋体" w:eastAsia="宋体" w:cs="宋体"/>
          <w:b/>
          <w:bCs/>
          <w:color w:val="auto"/>
          <w:highlight w:val="none"/>
          <w:u w:val="single"/>
          <w:lang w:val="en-US" w:eastAsia="zh-CN"/>
        </w:rPr>
        <w:t>医用气体汇流排、医用气体监测报警系统（或医用气体报警系统或医用气体压力报警系统）、医用真空负压机（机组）、医用空气压缩机（机组）</w:t>
      </w:r>
      <w:r>
        <w:rPr>
          <w:rFonts w:hint="eastAsia" w:ascii="宋体" w:hAnsi="宋体" w:eastAsia="宋体" w:cs="宋体"/>
          <w:b/>
          <w:bCs/>
          <w:color w:val="auto"/>
          <w:highlight w:val="none"/>
          <w:u w:val="single"/>
        </w:rPr>
        <w:t>；③</w:t>
      </w:r>
      <w:r>
        <w:rPr>
          <w:rFonts w:hint="eastAsia" w:ascii="宋体" w:hAnsi="宋体" w:eastAsia="宋体" w:cs="宋体"/>
          <w:b/>
          <w:bCs/>
          <w:color w:val="auto"/>
          <w:highlight w:val="none"/>
          <w:u w:val="single"/>
          <w:lang w:val="en-US" w:eastAsia="zh-CN"/>
        </w:rPr>
        <w:t>发证日期为2019年5月31日之前的国家质量监督部门颁发的《特种设备安装改造维修许可证》（压力管道）符合GC2级或GC1级要求的资质证书；或发证日期为2019年6月1日之后的《中华人民共和国特种设备生产许可证》（压力管道）符合GC2级或GC1级或GCD级要求的资质证书；</w:t>
      </w:r>
    </w:p>
    <w:p w14:paraId="2EE23B89">
      <w:pPr>
        <w:spacing w:line="312" w:lineRule="auto"/>
        <w:ind w:firstLine="422" w:firstLineChars="200"/>
        <w:rPr>
          <w:rFonts w:hint="default"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5.2</w:t>
      </w:r>
      <w:r>
        <w:rPr>
          <w:rFonts w:hint="default" w:ascii="宋体" w:hAnsi="宋体" w:eastAsia="宋体" w:cs="宋体"/>
          <w:b/>
          <w:bCs/>
          <w:color w:val="auto"/>
          <w:highlight w:val="none"/>
          <w:u w:val="single"/>
          <w:lang w:val="en-US" w:eastAsia="zh-CN"/>
        </w:rPr>
        <w:t>投标人自2021年1月1日以来【以验收证明资料时间为准】，投标人完成过合同金额在680万元及以上的气体工程项目业绩（业绩金额以合同金额为准）。</w:t>
      </w:r>
    </w:p>
    <w:p w14:paraId="41353C69">
      <w:pPr>
        <w:spacing w:line="312" w:lineRule="auto"/>
        <w:ind w:firstLine="422" w:firstLineChars="200"/>
        <w:rPr>
          <w:rFonts w:hint="default" w:ascii="宋体" w:hAnsi="宋体" w:eastAsia="宋体" w:cs="宋体"/>
          <w:b/>
          <w:bCs/>
          <w:color w:val="auto"/>
          <w:highlight w:val="none"/>
          <w:u w:val="single"/>
          <w:lang w:val="en-US" w:eastAsia="zh-CN"/>
        </w:rPr>
      </w:pPr>
      <w:r>
        <w:rPr>
          <w:rFonts w:hint="default" w:ascii="宋体" w:hAnsi="宋体" w:eastAsia="宋体" w:cs="宋体"/>
          <w:b/>
          <w:bCs/>
          <w:color w:val="auto"/>
          <w:highlight w:val="none"/>
          <w:u w:val="single"/>
          <w:lang w:val="en-US" w:eastAsia="zh-CN"/>
        </w:rPr>
        <w:t>注：须提供中标通知书、合同、单项（或整体）验收证明材料复印件加盖投标单位公章、竣工报告（时间以验收证明时间为准），合同中未能体现项目特征的提供相应项目建设单位证明材料加盖公章。若缺其中任何一项则业绩不予认可，业绩完成时间以验收证明资料上的时间为准，业绩金额以合同金额为准。</w:t>
      </w:r>
    </w:p>
    <w:bookmarkEnd w:id="2"/>
    <w:p w14:paraId="1A031B8E">
      <w:pPr>
        <w:spacing w:line="312" w:lineRule="auto"/>
        <w:ind w:left="49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三、招标文件的获取</w:t>
      </w:r>
    </w:p>
    <w:p w14:paraId="0EC00733">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绍兴市公共资源交易中心电子招投标交易平台（http://220.187.225.202:8088/TPBidder-ztk/memberlogin）</w:t>
      </w:r>
      <w:r>
        <w:rPr>
          <w:rFonts w:hint="eastAsia" w:ascii="宋体" w:hAnsi="宋体" w:eastAsia="宋体" w:cs="宋体"/>
          <w:color w:val="auto"/>
          <w:highlight w:val="none"/>
        </w:rPr>
        <w:t>，请各潜在投标人使用CA锁登录绍兴市公共资源交易中心电子招投标交易平台（http://220.187.225.202:8088/TPBidder-ztk/memberlogin）获取,未使用CA锁登录并获取招标文件的投标将被拒收。</w:t>
      </w:r>
    </w:p>
    <w:p w14:paraId="7F33E551">
      <w:pPr>
        <w:spacing w:line="312" w:lineRule="auto"/>
        <w:ind w:left="19" w:firstLine="478" w:firstLineChars="228"/>
        <w:jc w:val="both"/>
        <w:rPr>
          <w:rFonts w:hint="eastAsia" w:ascii="宋体" w:hAnsi="宋体" w:eastAsia="宋体" w:cs="宋体"/>
          <w:snapToGrid/>
          <w:color w:val="auto"/>
          <w:highlight w:val="none"/>
        </w:rPr>
      </w:pPr>
      <w:r>
        <w:rPr>
          <w:rFonts w:hint="eastAsia" w:ascii="宋体" w:hAnsi="宋体" w:eastAsia="宋体" w:cs="宋体"/>
          <w:color w:val="auto"/>
          <w:highlight w:val="none"/>
        </w:rPr>
        <w:t>2.招标文件获取下载网址：潜在投标人登录绍兴市公共资源交易中心电子招投标交易平台（http://220.187.225.202:8088/TPBidder-ztk/memberlogin），自行获取下载招标文件。</w:t>
      </w:r>
    </w:p>
    <w:p w14:paraId="3FB3EFA2">
      <w:pPr>
        <w:spacing w:line="312" w:lineRule="auto"/>
        <w:ind w:left="499"/>
        <w:jc w:val="both"/>
        <w:rPr>
          <w:rFonts w:hint="eastAsia" w:ascii="宋体" w:hAnsi="宋体" w:eastAsia="宋体" w:cs="宋体"/>
          <w:snapToGrid/>
          <w:color w:val="auto"/>
          <w:highlight w:val="none"/>
        </w:rPr>
      </w:pPr>
      <w:r>
        <w:rPr>
          <w:rFonts w:hint="eastAsia" w:ascii="宋体" w:hAnsi="宋体" w:eastAsia="宋体" w:cs="宋体"/>
          <w:snapToGrid/>
          <w:color w:val="auto"/>
          <w:highlight w:val="none"/>
        </w:rPr>
        <w:t>3.招标文件网上下载时间：（公告发布之日起至投标文件递交截止时间）。</w:t>
      </w:r>
    </w:p>
    <w:p w14:paraId="7C36EAA5">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14:paraId="048814A3">
      <w:pPr>
        <w:widowControl w:val="0"/>
        <w:kinsoku/>
        <w:autoSpaceDE/>
        <w:autoSpaceDN/>
        <w:adjustRightInd/>
        <w:spacing w:line="312" w:lineRule="auto"/>
        <w:ind w:firstLine="369" w:firstLineChars="176"/>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1.金额：</w:t>
      </w:r>
    </w:p>
    <w:p w14:paraId="6C3E6E34">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□本项目不缴纳投标保证金。</w:t>
      </w:r>
    </w:p>
    <w:p w14:paraId="6038C2A1">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highlight w:val="none"/>
        </w:rPr>
        <w:t>☑</w:t>
      </w:r>
      <w:r>
        <w:rPr>
          <w:rFonts w:hint="eastAsia" w:ascii="宋体" w:hAnsi="宋体" w:eastAsia="宋体" w:cs="宋体"/>
          <w:snapToGrid/>
          <w:color w:val="auto"/>
          <w:kern w:val="2"/>
          <w:highlight w:val="none"/>
        </w:rPr>
        <w:t>本项目需缴纳投标保证金</w:t>
      </w:r>
      <w:r>
        <w:rPr>
          <w:rFonts w:hint="eastAsia" w:ascii="宋体" w:hAnsi="宋体" w:eastAsia="宋体" w:cs="宋体"/>
          <w:b/>
          <w:bCs/>
          <w:snapToGrid/>
          <w:color w:val="auto"/>
          <w:kern w:val="2"/>
          <w:highlight w:val="none"/>
          <w:u w:val="single"/>
          <w:lang w:val="en-US" w:eastAsia="zh-CN"/>
        </w:rPr>
        <w:t>22</w:t>
      </w:r>
      <w:r>
        <w:rPr>
          <w:rFonts w:hint="eastAsia" w:ascii="宋体" w:hAnsi="宋体" w:eastAsia="宋体" w:cs="宋体"/>
          <w:snapToGrid/>
          <w:color w:val="auto"/>
          <w:kern w:val="2"/>
          <w:highlight w:val="none"/>
        </w:rPr>
        <w:t>万元，投标保证金在投标人自行获取招标文件后，在</w:t>
      </w:r>
      <w:r>
        <w:rPr>
          <w:rFonts w:hint="eastAsia" w:ascii="宋体" w:hAnsi="宋体" w:eastAsia="宋体" w:cs="宋体"/>
          <w:b/>
          <w:bCs/>
          <w:snapToGrid/>
          <w:color w:val="auto"/>
          <w:kern w:val="2"/>
          <w:highlight w:val="none"/>
        </w:rPr>
        <w:t>投标文件递交截止时间</w:t>
      </w:r>
      <w:r>
        <w:rPr>
          <w:rFonts w:hint="eastAsia" w:ascii="宋体" w:hAnsi="宋体" w:eastAsia="宋体" w:cs="宋体"/>
          <w:snapToGrid/>
          <w:color w:val="auto"/>
          <w:kern w:val="2"/>
          <w:highlight w:val="none"/>
        </w:rPr>
        <w:t>前缴纳。</w:t>
      </w:r>
    </w:p>
    <w:p w14:paraId="1E65B17C">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2.缴纳方式：投标人基本账户银行转出的保函/保证保险/担保公司担保/转账/数字保函等(不包括现金）。</w:t>
      </w:r>
    </w:p>
    <w:p w14:paraId="19961A5E">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2.1缴纳要求（转账）：</w:t>
      </w:r>
    </w:p>
    <w:p w14:paraId="6CBFC8C8">
      <w:pPr>
        <w:spacing w:line="312" w:lineRule="auto"/>
        <w:ind w:firstLine="420" w:firstLineChars="200"/>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账户一：开户单位名称：</w:t>
      </w:r>
      <w:r>
        <w:rPr>
          <w:rFonts w:hint="eastAsia" w:ascii="宋体" w:hAnsi="宋体" w:eastAsia="宋体" w:cs="宋体"/>
          <w:color w:val="auto"/>
          <w:highlight w:val="none"/>
          <w:u w:val="single"/>
        </w:rPr>
        <w:t>绍兴市公共资源交易中心保证金专户，开户行:绍兴银行股份有限公司营业部</w:t>
      </w:r>
      <w:r>
        <w:rPr>
          <w:rFonts w:hint="eastAsia" w:ascii="宋体" w:hAnsi="宋体" w:eastAsia="宋体" w:cs="宋体"/>
          <w:snapToGrid/>
          <w:color w:val="auto"/>
          <w:kern w:val="2"/>
          <w:highlight w:val="none"/>
        </w:rPr>
        <w:t>；账号</w:t>
      </w:r>
      <w:r>
        <w:rPr>
          <w:rFonts w:hint="eastAsia" w:ascii="宋体" w:hAnsi="宋体" w:eastAsia="宋体" w:cs="宋体"/>
          <w:snapToGrid/>
          <w:color w:val="auto"/>
          <w:kern w:val="2"/>
          <w:highlight w:val="none"/>
          <w:u w:val="single"/>
          <w:lang w:val="en-US" w:eastAsia="zh-CN"/>
        </w:rPr>
        <w:t xml:space="preserve">                     </w:t>
      </w:r>
      <w:r>
        <w:rPr>
          <w:rFonts w:hint="eastAsia" w:ascii="宋体" w:hAnsi="宋体" w:eastAsia="宋体" w:cs="宋体"/>
          <w:snapToGrid/>
          <w:color w:val="auto"/>
          <w:kern w:val="2"/>
          <w:highlight w:val="none"/>
        </w:rPr>
        <w:t xml:space="preserve"> ；</w:t>
      </w:r>
    </w:p>
    <w:p w14:paraId="2F24EFE5">
      <w:pPr>
        <w:widowControl w:val="0"/>
        <w:kinsoku/>
        <w:autoSpaceDE/>
        <w:autoSpaceDN/>
        <w:adjustRightInd/>
        <w:spacing w:line="312" w:lineRule="auto"/>
        <w:ind w:firstLine="420" w:firstLineChars="200"/>
        <w:jc w:val="both"/>
        <w:textAlignment w:val="auto"/>
        <w:rPr>
          <w:rFonts w:hint="eastAsia" w:ascii="宋体" w:hAnsi="宋体" w:eastAsia="宋体" w:cs="宋体"/>
          <w:strike/>
          <w:snapToGrid/>
          <w:color w:val="auto"/>
          <w:kern w:val="2"/>
          <w:highlight w:val="none"/>
        </w:rPr>
      </w:pPr>
      <w:r>
        <w:rPr>
          <w:rFonts w:hint="eastAsia" w:ascii="宋体" w:hAnsi="宋体" w:eastAsia="宋体" w:cs="宋体"/>
          <w:strike/>
          <w:snapToGrid/>
          <w:color w:val="auto"/>
          <w:kern w:val="2"/>
          <w:highlight w:val="none"/>
        </w:rPr>
        <w:t>账户二：开户单位名称：</w:t>
      </w:r>
      <w:r>
        <w:rPr>
          <w:rFonts w:hint="eastAsia" w:ascii="宋体" w:hAnsi="宋体" w:eastAsia="宋体" w:cs="宋体"/>
          <w:strike/>
          <w:snapToGrid/>
          <w:color w:val="auto"/>
          <w:kern w:val="2"/>
          <w:highlight w:val="none"/>
          <w:u w:val="single"/>
        </w:rPr>
        <w:t>绍兴市公共资源交易中心保证金专户，开户行:中信银行绍兴袍江支行</w:t>
      </w:r>
      <w:r>
        <w:rPr>
          <w:rFonts w:hint="eastAsia" w:ascii="宋体" w:hAnsi="宋体" w:eastAsia="宋体" w:cs="宋体"/>
          <w:strike/>
          <w:snapToGrid/>
          <w:color w:val="auto"/>
          <w:kern w:val="2"/>
          <w:highlight w:val="none"/>
        </w:rPr>
        <w:t>；账号</w:t>
      </w:r>
      <w:r>
        <w:rPr>
          <w:rFonts w:hint="eastAsia" w:ascii="宋体" w:hAnsi="宋体" w:eastAsia="宋体" w:cs="宋体"/>
          <w:strike/>
          <w:snapToGrid/>
          <w:color w:val="auto"/>
          <w:kern w:val="2"/>
          <w:highlight w:val="none"/>
          <w:u w:val="single"/>
        </w:rPr>
        <w:t xml:space="preserve">                          </w:t>
      </w:r>
      <w:r>
        <w:rPr>
          <w:rFonts w:hint="eastAsia" w:ascii="宋体" w:hAnsi="宋体" w:eastAsia="宋体" w:cs="宋体"/>
          <w:strike/>
          <w:snapToGrid/>
          <w:color w:val="auto"/>
          <w:kern w:val="2"/>
          <w:highlight w:val="none"/>
        </w:rPr>
        <w:t xml:space="preserve"> ；</w:t>
      </w:r>
    </w:p>
    <w:p w14:paraId="33BE68CE">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投标人可自主选择以上账户之一缴纳投标保证金。</w:t>
      </w:r>
    </w:p>
    <w:p w14:paraId="4AFE5782">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http://220.187.225.202:8088/TPBidder-ztk/memberlogin）中自主选择办理。</w:t>
      </w:r>
    </w:p>
    <w:p w14:paraId="37E2D2DA">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保函费用必须从投标人企业基本账户转出，并在投标保证金缴纳截止时间前办妥保函手续。</w:t>
      </w:r>
    </w:p>
    <w:p w14:paraId="4A0DF9D0">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□2.3本项目对</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行业信用评价结果最高等级的投标人免收投标保证金，须具备</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条件。</w:t>
      </w:r>
    </w:p>
    <w:p w14:paraId="00E7977D">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注：1.请各投标人在缴纳投标保证金前自行核对统一主体库内填写的基本账户信息，避免出现保证金缴纳后无法匹配的现象。</w:t>
      </w:r>
    </w:p>
    <w:p w14:paraId="2D4919FF">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2.重新招标项目，参与投标的投标人仍需按上述规定要求重新递交投标保证金。如联合体投标的，其投标保证金由牵头人递交。</w:t>
      </w:r>
    </w:p>
    <w:p w14:paraId="1FDE407A">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五、投标文件递交</w:t>
      </w:r>
    </w:p>
    <w:p w14:paraId="0A18580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202</w:t>
      </w:r>
      <w:r>
        <w:rPr>
          <w:rFonts w:hint="eastAsia" w:ascii="宋体" w:hAnsi="宋体" w:eastAsia="宋体" w:cs="宋体"/>
          <w:b/>
          <w:bCs/>
          <w:color w:val="auto"/>
          <w:highlight w:val="none"/>
          <w:u w:val="single"/>
          <w:lang w:val="en-US" w:eastAsia="zh-CN"/>
        </w:rPr>
        <w:t>6</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w:t>
      </w:r>
    </w:p>
    <w:p w14:paraId="73062042">
      <w:pPr>
        <w:pStyle w:val="3"/>
        <w:snapToGrid w:val="0"/>
        <w:spacing w:after="0" w:line="312" w:lineRule="auto"/>
        <w:ind w:left="0" w:firstLine="424" w:firstLineChars="202"/>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2.投标文件递交方式：</w:t>
      </w:r>
    </w:p>
    <w:p w14:paraId="3E8BE462">
      <w:pPr>
        <w:pStyle w:val="3"/>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☑2.1电子招标投标交易平台：</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绍兴市公共资源交易中心电子招投标交易平台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93FC4B2">
      <w:pPr>
        <w:pStyle w:val="3"/>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□2.2纸质标书递交，地点为：绍兴市公共资源交易中心二楼指定的开标室（</w:t>
      </w:r>
      <w:r>
        <w:rPr>
          <w:rFonts w:hint="eastAsia" w:ascii="宋体" w:hAnsi="宋体" w:cs="宋体"/>
          <w:b/>
          <w:bCs/>
          <w:color w:val="auto"/>
          <w:sz w:val="21"/>
          <w:szCs w:val="21"/>
          <w:highlight w:val="none"/>
        </w:rPr>
        <w:t>绍兴市越城区洋江西路 699 号梅山春晓 2 楼</w:t>
      </w:r>
      <w:r>
        <w:rPr>
          <w:rFonts w:hint="eastAsia" w:ascii="宋体" w:hAnsi="宋体" w:cs="宋体"/>
          <w:color w:val="auto"/>
          <w:sz w:val="21"/>
          <w:szCs w:val="21"/>
          <w:highlight w:val="none"/>
        </w:rPr>
        <w:t>）。</w:t>
      </w:r>
    </w:p>
    <w:p w14:paraId="64197950">
      <w:pPr>
        <w:spacing w:line="312" w:lineRule="auto"/>
        <w:ind w:firstLine="485"/>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招标文件要求递交的</w:t>
      </w:r>
      <w:r>
        <w:rPr>
          <w:rFonts w:hint="eastAsia" w:ascii="宋体" w:hAnsi="宋体" w:eastAsia="宋体" w:cs="宋体"/>
          <w:b w:val="0"/>
          <w:bCs w:val="0"/>
          <w:strike/>
          <w:dstrike w:val="0"/>
          <w:color w:val="auto"/>
          <w:highlight w:val="none"/>
          <w:u w:val="none"/>
        </w:rPr>
        <w:t>U盘、光盘、</w:t>
      </w:r>
      <w:r>
        <w:rPr>
          <w:rFonts w:hint="eastAsia" w:ascii="宋体" w:hAnsi="宋体" w:eastAsia="宋体" w:cs="宋体"/>
          <w:color w:val="auto"/>
          <w:highlight w:val="none"/>
        </w:rPr>
        <w:t>样品等材料，投标人应在投标截止时间前递交至</w:t>
      </w:r>
      <w:r>
        <w:rPr>
          <w:rFonts w:hint="eastAsia" w:ascii="宋体" w:hAnsi="宋体" w:eastAsia="宋体" w:cs="宋体"/>
          <w:b/>
          <w:bCs/>
          <w:color w:val="auto"/>
          <w:highlight w:val="none"/>
          <w:u w:val="single"/>
        </w:rPr>
        <w:t>绍兴市公共资源交易中心二楼指定的开标室（绍兴市越城区洋江西路 699 号梅山春晓 2 楼）</w:t>
      </w:r>
      <w:r>
        <w:rPr>
          <w:rFonts w:hint="eastAsia" w:ascii="宋体" w:hAnsi="宋体" w:eastAsia="宋体" w:cs="宋体"/>
          <w:color w:val="auto"/>
          <w:highlight w:val="none"/>
        </w:rPr>
        <w:t>。递交</w:t>
      </w:r>
      <w:r>
        <w:rPr>
          <w:rFonts w:hint="eastAsia" w:ascii="宋体" w:hAnsi="宋体" w:eastAsia="宋体" w:cs="宋体"/>
          <w:b w:val="0"/>
          <w:bCs w:val="0"/>
          <w:strike/>
          <w:dstrike w:val="0"/>
          <w:color w:val="auto"/>
          <w:highlight w:val="none"/>
          <w:u w:val="none"/>
        </w:rPr>
        <w:t>U盘、光盘、</w:t>
      </w:r>
      <w:r>
        <w:rPr>
          <w:rFonts w:hint="eastAsia" w:ascii="宋体" w:hAnsi="宋体" w:eastAsia="宋体" w:cs="宋体"/>
          <w:color w:val="auto"/>
          <w:highlight w:val="none"/>
        </w:rPr>
        <w:t>样品等材料时应同时携带递交人法定代表人授权委托书及身份证原件(法定代表人递交的仅需提供身份证原件)。</w:t>
      </w:r>
    </w:p>
    <w:p w14:paraId="1E526B9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六、发布公告的媒介</w:t>
      </w:r>
    </w:p>
    <w:p w14:paraId="1BAF2FAE">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本次招标公告同时在</w:t>
      </w:r>
      <w:r>
        <w:rPr>
          <w:rFonts w:hint="eastAsia" w:ascii="宋体" w:hAnsi="宋体" w:eastAsia="宋体" w:cs="宋体"/>
          <w:color w:val="auto"/>
          <w:highlight w:val="none"/>
          <w:u w:val="single"/>
        </w:rPr>
        <w:t xml:space="preserve"> 绍兴市公共资源交易网</w:t>
      </w:r>
      <w:r>
        <w:rPr>
          <w:rFonts w:hint="eastAsia" w:ascii="宋体" w:hAnsi="宋体" w:eastAsia="宋体" w:cs="宋体"/>
          <w:color w:val="auto"/>
          <w:highlight w:val="none"/>
          <w:u w:val="none"/>
        </w:rPr>
        <w:t>和</w:t>
      </w:r>
      <w:r>
        <w:rPr>
          <w:rFonts w:hint="eastAsia" w:ascii="宋体" w:hAnsi="宋体" w:eastAsia="宋体" w:cs="宋体"/>
          <w:color w:val="auto"/>
          <w:highlight w:val="none"/>
          <w:u w:val="single"/>
        </w:rPr>
        <w:t>浙江省公共资源交易服务平台</w:t>
      </w:r>
      <w:r>
        <w:rPr>
          <w:rFonts w:hint="eastAsia" w:ascii="宋体" w:hAnsi="宋体" w:eastAsia="宋体" w:cs="宋体"/>
          <w:color w:val="auto"/>
          <w:highlight w:val="none"/>
        </w:rPr>
        <w:t>上发布。</w:t>
      </w:r>
    </w:p>
    <w:p w14:paraId="25A88EF1">
      <w:pPr>
        <w:spacing w:line="312" w:lineRule="auto"/>
        <w:ind w:firstLine="42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七、监管机构：</w:t>
      </w:r>
      <w:r>
        <w:rPr>
          <w:rFonts w:hint="eastAsia" w:ascii="宋体" w:hAnsi="宋体" w:eastAsia="宋体" w:cs="宋体"/>
          <w:b/>
          <w:bCs/>
          <w:color w:val="auto"/>
          <w:highlight w:val="none"/>
          <w:lang w:eastAsia="zh-CN"/>
        </w:rPr>
        <w:t>绍兴市住房和城乡建设局</w:t>
      </w:r>
    </w:p>
    <w:p w14:paraId="0F4AB21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八、联系方式</w:t>
      </w:r>
    </w:p>
    <w:p w14:paraId="681E291B">
      <w:pPr>
        <w:spacing w:before="75" w:line="353" w:lineRule="auto"/>
        <w:ind w:left="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u w:val="single"/>
          <w:lang w:eastAsia="zh-CN"/>
        </w:rPr>
        <w:t>绍兴</w:t>
      </w:r>
      <w:r>
        <w:rPr>
          <w:rFonts w:hint="eastAsia" w:ascii="宋体" w:hAnsi="宋体" w:eastAsia="宋体" w:cs="宋体"/>
          <w:color w:val="auto"/>
          <w:sz w:val="21"/>
          <w:szCs w:val="21"/>
          <w:highlight w:val="none"/>
          <w:u w:val="single"/>
          <w:lang w:val="en-US" w:eastAsia="zh-CN"/>
        </w:rPr>
        <w:t>大学</w:t>
      </w:r>
      <w:r>
        <w:rPr>
          <w:rFonts w:hint="eastAsia" w:ascii="宋体" w:hAnsi="宋体" w:eastAsia="宋体" w:cs="宋体"/>
          <w:color w:val="auto"/>
          <w:sz w:val="21"/>
          <w:szCs w:val="21"/>
          <w:highlight w:val="none"/>
          <w:u w:val="single"/>
          <w:lang w:eastAsia="zh-CN"/>
        </w:rPr>
        <w:t>附属医院</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bookmarkStart w:id="3" w:name="OLE_LINK16"/>
      <w:r>
        <w:rPr>
          <w:rFonts w:hint="eastAsia" w:ascii="宋体" w:hAnsi="宋体" w:eastAsia="宋体" w:cs="宋体"/>
          <w:color w:val="auto"/>
          <w:sz w:val="21"/>
          <w:szCs w:val="21"/>
          <w:highlight w:val="none"/>
          <w:u w:val="single"/>
        </w:rPr>
        <w:t>浙江益诚工程咨询有限公司</w:t>
      </w:r>
      <w:bookmarkEnd w:id="3"/>
      <w:r>
        <w:rPr>
          <w:rFonts w:hint="eastAsia" w:ascii="宋体" w:hAnsi="宋体" w:eastAsia="宋体" w:cs="宋体"/>
          <w:color w:val="auto"/>
          <w:sz w:val="21"/>
          <w:szCs w:val="21"/>
          <w:highlight w:val="none"/>
          <w:u w:val="single"/>
        </w:rPr>
        <w:t xml:space="preserve"> </w:t>
      </w:r>
    </w:p>
    <w:p w14:paraId="2F361EAA">
      <w:pPr>
        <w:spacing w:line="230" w:lineRule="auto"/>
        <w:ind w:left="484"/>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联系</w:t>
      </w:r>
      <w:r>
        <w:rPr>
          <w:rFonts w:hint="eastAsia" w:ascii="宋体" w:hAnsi="宋体" w:eastAsia="宋体" w:cs="宋体"/>
          <w:b w:val="0"/>
          <w:bCs w:val="0"/>
          <w:color w:val="auto"/>
          <w:sz w:val="21"/>
          <w:szCs w:val="21"/>
          <w:highlight w:val="none"/>
        </w:rPr>
        <w:t>人：</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lang w:val="en-US" w:eastAsia="zh-CN"/>
        </w:rPr>
        <w:t>章工</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color w:val="auto"/>
          <w:sz w:val="21"/>
          <w:szCs w:val="21"/>
          <w:highlight w:val="none"/>
          <w:u w:val="single"/>
          <w:lang w:val="en-US" w:eastAsia="zh-CN"/>
        </w:rPr>
        <w:t>秦金霞</w:t>
      </w:r>
      <w:r>
        <w:rPr>
          <w:rFonts w:hint="eastAsia" w:ascii="宋体" w:hAnsi="宋体" w:eastAsia="宋体" w:cs="宋体"/>
          <w:b w:val="0"/>
          <w:bCs w:val="0"/>
          <w:color w:val="auto"/>
          <w:sz w:val="21"/>
          <w:szCs w:val="21"/>
          <w:highlight w:val="none"/>
          <w:u w:val="single"/>
        </w:rPr>
        <w:t>/陈飞</w:t>
      </w:r>
    </w:p>
    <w:p w14:paraId="6357371D">
      <w:pPr>
        <w:spacing w:before="155" w:line="230" w:lineRule="auto"/>
        <w:ind w:left="5103" w:leftChars="230" w:hanging="4620" w:hangingChars="2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0575-85223817</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rPr>
        <w:t>17815918197/0575-88246997</w:t>
      </w:r>
    </w:p>
    <w:p w14:paraId="04F0CEDD">
      <w:pPr>
        <w:spacing w:before="153" w:line="237" w:lineRule="auto"/>
        <w:ind w:left="5521" w:leftChars="229" w:hanging="5040" w:hangingChars="24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color w:val="auto"/>
          <w:sz w:val="21"/>
          <w:szCs w:val="21"/>
          <w:highlight w:val="none"/>
          <w:u w:val="single"/>
        </w:rPr>
        <w:t>绍兴市越城区中兴南路999号</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strike w:val="0"/>
          <w:dstrike w:val="0"/>
          <w:color w:val="auto"/>
          <w:spacing w:val="-11"/>
          <w:sz w:val="21"/>
          <w:szCs w:val="21"/>
          <w:highlight w:val="none"/>
          <w:u w:val="none"/>
        </w:rPr>
        <w:t>绍兴市越城区朝皇路正大综合楼5楼</w:t>
      </w:r>
    </w:p>
    <w:p w14:paraId="608060F5">
      <w:pPr>
        <w:spacing w:line="312" w:lineRule="auto"/>
        <w:ind w:left="483"/>
        <w:jc w:val="both"/>
        <w:rPr>
          <w:rFonts w:hint="eastAsia" w:ascii="宋体" w:hAnsi="宋体" w:eastAsia="宋体" w:cs="宋体"/>
          <w:color w:val="auto"/>
          <w:highlight w:val="none"/>
        </w:rPr>
      </w:pPr>
    </w:p>
    <w:p w14:paraId="72D4C070">
      <w:pPr>
        <w:spacing w:line="312" w:lineRule="auto"/>
        <w:ind w:left="483"/>
        <w:jc w:val="both"/>
        <w:rPr>
          <w:rFonts w:hint="eastAsia" w:ascii="宋体" w:hAnsi="宋体" w:eastAsia="宋体" w:cs="宋体"/>
          <w:color w:val="auto"/>
          <w:highlight w:val="none"/>
        </w:rPr>
      </w:pPr>
    </w:p>
    <w:p w14:paraId="5A196DD9">
      <w:pPr>
        <w:tabs>
          <w:tab w:val="left" w:pos="6089"/>
        </w:tabs>
        <w:spacing w:line="312" w:lineRule="auto"/>
        <w:ind w:left="5597"/>
        <w:jc w:val="both"/>
        <w:rPr>
          <w:rFonts w:hint="eastAsia" w:ascii="宋体" w:hAnsi="宋体" w:eastAsia="宋体" w:cs="宋体"/>
          <w:color w:val="auto"/>
          <w:highlight w:val="none"/>
        </w:rPr>
      </w:pP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C8CF3E3">
      <w:pPr>
        <w:spacing w:line="312" w:lineRule="auto"/>
        <w:jc w:val="both"/>
        <w:rPr>
          <w:rFonts w:hint="eastAsia" w:ascii="宋体" w:hAnsi="宋体" w:eastAsia="宋体" w:cs="宋体"/>
          <w:color w:val="auto"/>
          <w:highlight w:val="none"/>
        </w:rPr>
      </w:pPr>
    </w:p>
    <w:p w14:paraId="642A7FA5">
      <w:pPr>
        <w:spacing w:line="265" w:lineRule="auto"/>
        <w:jc w:val="both"/>
        <w:rPr>
          <w:rFonts w:hint="eastAsia" w:ascii="宋体" w:hAnsi="宋体" w:eastAsia="宋体" w:cs="宋体"/>
          <w:color w:val="auto"/>
          <w:sz w:val="24"/>
          <w:szCs w:val="24"/>
          <w:highlight w:val="none"/>
        </w:rPr>
      </w:pPr>
    </w:p>
    <w:p w14:paraId="59B31C12">
      <w:pPr>
        <w:jc w:val="both"/>
        <w:rPr>
          <w:rFonts w:hint="eastAsia" w:ascii="宋体" w:hAnsi="宋体" w:eastAsia="宋体" w:cs="宋体"/>
          <w:color w:val="auto"/>
          <w:sz w:val="24"/>
          <w:szCs w:val="24"/>
          <w:highlight w:val="none"/>
        </w:rPr>
        <w:sectPr>
          <w:footerReference r:id="rId6" w:type="default"/>
          <w:pgSz w:w="11906" w:h="16839"/>
          <w:pgMar w:top="1418" w:right="1559" w:bottom="1418" w:left="1474" w:header="0" w:footer="1032" w:gutter="0"/>
          <w:pgNumType w:start="1"/>
          <w:cols w:space="720" w:num="1"/>
        </w:sectPr>
      </w:pPr>
    </w:p>
    <w:p w14:paraId="4BC10ACB">
      <w:pPr>
        <w:spacing w:before="318" w:line="225" w:lineRule="auto"/>
        <w:ind w:left="3604"/>
        <w:jc w:val="both"/>
        <w:outlineLvl w:val="0"/>
        <w:rPr>
          <w:rFonts w:hint="eastAsia" w:ascii="宋体" w:hAnsi="宋体" w:eastAsia="宋体" w:cs="宋体"/>
          <w:color w:val="auto"/>
          <w:sz w:val="31"/>
          <w:szCs w:val="31"/>
          <w:highlight w:val="none"/>
        </w:rPr>
      </w:pPr>
      <w:bookmarkStart w:id="4" w:name="_bookmark2"/>
      <w:bookmarkEnd w:id="4"/>
      <w:r>
        <w:rPr>
          <w:rFonts w:hint="eastAsia" w:ascii="宋体" w:hAnsi="宋体" w:eastAsia="宋体" w:cs="宋体"/>
          <w:color w:val="auto"/>
          <w:sz w:val="31"/>
          <w:szCs w:val="31"/>
          <w:highlight w:val="none"/>
        </w:rPr>
        <w:t>第二章投标人须知</w:t>
      </w:r>
    </w:p>
    <w:p w14:paraId="3A71A9BF">
      <w:pPr>
        <w:spacing w:before="236" w:line="220" w:lineRule="auto"/>
        <w:ind w:left="3329"/>
        <w:jc w:val="both"/>
        <w:outlineLvl w:val="1"/>
        <w:rPr>
          <w:rFonts w:hint="eastAsia" w:ascii="宋体" w:hAnsi="宋体" w:eastAsia="宋体" w:cs="宋体"/>
          <w:color w:val="auto"/>
          <w:sz w:val="28"/>
          <w:szCs w:val="28"/>
          <w:highlight w:val="none"/>
        </w:rPr>
      </w:pPr>
      <w:bookmarkStart w:id="5" w:name="_bookmark3"/>
      <w:bookmarkEnd w:id="5"/>
      <w:r>
        <w:rPr>
          <w:rFonts w:hint="eastAsia" w:ascii="宋体" w:hAnsi="宋体" w:eastAsia="宋体" w:cs="宋体"/>
          <w:color w:val="auto"/>
          <w:sz w:val="28"/>
          <w:szCs w:val="28"/>
          <w:highlight w:val="none"/>
        </w:rPr>
        <w:t>第一节投标人须知前附表</w:t>
      </w:r>
    </w:p>
    <w:p w14:paraId="1D4A860A">
      <w:pPr>
        <w:spacing w:line="170" w:lineRule="exact"/>
        <w:jc w:val="both"/>
        <w:rPr>
          <w:rFonts w:hint="eastAsia" w:ascii="宋体" w:hAnsi="宋体" w:eastAsia="宋体" w:cs="宋体"/>
          <w:color w:val="auto"/>
          <w:highlight w:val="none"/>
        </w:rPr>
      </w:pPr>
    </w:p>
    <w:tbl>
      <w:tblPr>
        <w:tblStyle w:val="49"/>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14:paraId="707DB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A682392">
            <w:pPr>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050" w:type="dxa"/>
            <w:vAlign w:val="center"/>
          </w:tcPr>
          <w:p w14:paraId="678FE4F6">
            <w:pPr>
              <w:tabs>
                <w:tab w:val="left" w:pos="14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5596" w:type="dxa"/>
            <w:vAlign w:val="center"/>
          </w:tcPr>
          <w:p w14:paraId="51ECA93A">
            <w:pPr>
              <w:tabs>
                <w:tab w:val="left" w:pos="56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14:paraId="32FEB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0BD8E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2B3646F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5596" w:type="dxa"/>
            <w:vAlign w:val="center"/>
          </w:tcPr>
          <w:p w14:paraId="012E3D6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绍兴大学附属医院</w:t>
            </w:r>
          </w:p>
          <w:p w14:paraId="54F714C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地址：绍兴市越城区中兴南路999号</w:t>
            </w:r>
          </w:p>
          <w:p w14:paraId="3AB5B422">
            <w:pPr>
              <w:tabs>
                <w:tab w:val="left" w:pos="5680"/>
              </w:tabs>
              <w:kinsoku/>
              <w:overflowPunct w:val="0"/>
              <w:topLinePunct/>
              <w:spacing w:line="336" w:lineRule="auto"/>
              <w:ind w:left="105" w:leftChars="50" w:right="105" w:rightChars="5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章工</w:t>
            </w:r>
          </w:p>
          <w:p w14:paraId="40E7A16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联系电话：0575-85223817</w:t>
            </w:r>
          </w:p>
          <w:p w14:paraId="48EBCBF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p>
        </w:tc>
      </w:tr>
      <w:tr w14:paraId="5BB51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4DFD38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50" w:type="dxa"/>
            <w:vAlign w:val="center"/>
          </w:tcPr>
          <w:p w14:paraId="0B92E4D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5596" w:type="dxa"/>
            <w:vAlign w:val="center"/>
          </w:tcPr>
          <w:p w14:paraId="0DB6296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浙江益诚工程咨询有限公司</w:t>
            </w:r>
          </w:p>
          <w:p w14:paraId="29D755F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地址：</w:t>
            </w:r>
            <w:r>
              <w:rPr>
                <w:rFonts w:hint="eastAsia" w:ascii="宋体" w:hAnsi="宋体" w:eastAsia="宋体" w:cs="宋体"/>
                <w:color w:val="auto"/>
                <w:highlight w:val="none"/>
                <w:lang w:eastAsia="zh-CN"/>
              </w:rPr>
              <w:t>绍兴市越城区朝皇路正大综合楼5楼</w:t>
            </w:r>
          </w:p>
          <w:p w14:paraId="4E1448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秦金霞</w:t>
            </w:r>
            <w:r>
              <w:rPr>
                <w:rFonts w:hint="eastAsia" w:ascii="宋体" w:hAnsi="宋体" w:eastAsia="宋体" w:cs="宋体"/>
                <w:color w:val="auto"/>
                <w:highlight w:val="none"/>
              </w:rPr>
              <w:t>/陈飞</w:t>
            </w:r>
          </w:p>
          <w:p w14:paraId="44F95DD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联系电话：17815918197/0575-88246997</w:t>
            </w:r>
          </w:p>
          <w:p w14:paraId="229F8D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电子邮箱：</w:t>
            </w:r>
            <w:r>
              <w:rPr>
                <w:rFonts w:hint="eastAsia" w:ascii="宋体" w:hAnsi="宋体" w:eastAsia="宋体" w:cs="宋体"/>
                <w:color w:val="auto"/>
                <w:highlight w:val="none"/>
                <w:lang w:eastAsia="zh-CN"/>
              </w:rPr>
              <w:t>1316929110@qq.com</w:t>
            </w:r>
          </w:p>
        </w:tc>
      </w:tr>
      <w:tr w14:paraId="6A529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5487F3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50" w:type="dxa"/>
            <w:vAlign w:val="center"/>
          </w:tcPr>
          <w:p w14:paraId="0141C2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596" w:type="dxa"/>
            <w:vAlign w:val="center"/>
          </w:tcPr>
          <w:p w14:paraId="0C77907F">
            <w:pPr>
              <w:tabs>
                <w:tab w:val="left" w:pos="1480"/>
              </w:tabs>
              <w:kinsoku/>
              <w:overflowPunct w:val="0"/>
              <w:topLinePunct/>
              <w:spacing w:line="336" w:lineRule="auto"/>
              <w:ind w:left="105" w:leftChars="50" w:right="105" w:rightChars="50"/>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绍兴文理学院附属医院(绍兴市立医院)二期A地块建设工程医用气体项目</w:t>
            </w:r>
          </w:p>
        </w:tc>
      </w:tr>
      <w:tr w14:paraId="4368A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96A8B7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050" w:type="dxa"/>
            <w:vAlign w:val="center"/>
          </w:tcPr>
          <w:p w14:paraId="684BBB9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5596" w:type="dxa"/>
            <w:vAlign w:val="center"/>
          </w:tcPr>
          <w:p w14:paraId="4DA27089">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浙江省绍兴市</w:t>
            </w:r>
          </w:p>
        </w:tc>
      </w:tr>
      <w:tr w14:paraId="7F437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F5146F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50" w:type="dxa"/>
            <w:vAlign w:val="center"/>
          </w:tcPr>
          <w:p w14:paraId="40ECB1D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596" w:type="dxa"/>
            <w:vAlign w:val="center"/>
          </w:tcPr>
          <w:p w14:paraId="33875B3F">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财政资金  100%</w:t>
            </w:r>
          </w:p>
        </w:tc>
      </w:tr>
      <w:tr w14:paraId="5D42F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E2137E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50" w:type="dxa"/>
            <w:vAlign w:val="center"/>
          </w:tcPr>
          <w:p w14:paraId="3DCA867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596" w:type="dxa"/>
            <w:vAlign w:val="center"/>
          </w:tcPr>
          <w:p w14:paraId="6BE4B1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已落实</w:t>
            </w:r>
          </w:p>
        </w:tc>
      </w:tr>
      <w:tr w14:paraId="51154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7A9543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50" w:type="dxa"/>
            <w:vAlign w:val="center"/>
          </w:tcPr>
          <w:p w14:paraId="0B42F96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5596" w:type="dxa"/>
            <w:vAlign w:val="center"/>
          </w:tcPr>
          <w:p w14:paraId="30CEA2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57071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F3B8AC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50" w:type="dxa"/>
            <w:vAlign w:val="center"/>
          </w:tcPr>
          <w:p w14:paraId="0436F604">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5596" w:type="dxa"/>
            <w:vAlign w:val="center"/>
          </w:tcPr>
          <w:p w14:paraId="7BD3E3C0">
            <w:pPr>
              <w:keepNext w:val="0"/>
              <w:keepLines w:val="0"/>
              <w:pageBreakBefore w:val="0"/>
              <w:widowControl w:val="0"/>
              <w:kinsoku/>
              <w:wordWrap/>
              <w:overflowPunct/>
              <w:topLinePunct w:val="0"/>
              <w:autoSpaceDE/>
              <w:autoSpaceDN/>
              <w:bidi w:val="0"/>
              <w:adjustRightInd/>
              <w:snapToGrid w:val="0"/>
              <w:spacing w:line="312"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strike w:val="0"/>
                <w:dstrike w:val="0"/>
                <w:color w:val="auto"/>
                <w:highlight w:val="none"/>
                <w:lang w:val="en-US" w:eastAsia="zh-CN"/>
              </w:rPr>
              <w:t>180</w:t>
            </w:r>
            <w:r>
              <w:rPr>
                <w:rFonts w:hint="eastAsia" w:ascii="宋体" w:hAnsi="宋体" w:eastAsia="宋体" w:cs="宋体"/>
                <w:color w:val="auto"/>
                <w:highlight w:val="none"/>
                <w:lang w:val="en-US" w:eastAsia="zh-CN"/>
              </w:rPr>
              <w:t>日历天，并不得影响总包总进度计划（以招标人发出的开工指令为准，具体应与工程施工总进度计划同步，服从总包管理）。</w:t>
            </w:r>
          </w:p>
        </w:tc>
      </w:tr>
      <w:tr w14:paraId="10D7B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E967C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50" w:type="dxa"/>
            <w:vAlign w:val="center"/>
          </w:tcPr>
          <w:p w14:paraId="3375227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596" w:type="dxa"/>
            <w:vAlign w:val="center"/>
          </w:tcPr>
          <w:p w14:paraId="318AC18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lang w:val="en-US" w:eastAsia="zh-CN"/>
              </w:rPr>
              <w:t>24</w:t>
            </w:r>
            <w:r>
              <w:rPr>
                <w:rFonts w:hint="eastAsia" w:ascii="宋体" w:hAnsi="宋体" w:eastAsia="宋体" w:cs="宋体"/>
                <w:color w:val="auto"/>
                <w:highlight w:val="none"/>
              </w:rPr>
              <w:t>个月，时间从</w:t>
            </w:r>
            <w:r>
              <w:rPr>
                <w:rFonts w:hint="eastAsia" w:ascii="宋体" w:hAnsi="宋体" w:eastAsia="宋体" w:cs="宋体"/>
                <w:color w:val="auto"/>
                <w:highlight w:val="none"/>
                <w:lang w:val="en-US" w:eastAsia="zh-CN"/>
              </w:rPr>
              <w:t>项目验收合格之日</w:t>
            </w:r>
            <w:r>
              <w:rPr>
                <w:rFonts w:hint="eastAsia" w:ascii="宋体" w:hAnsi="宋体" w:eastAsia="宋体" w:cs="宋体"/>
                <w:color w:val="auto"/>
                <w:highlight w:val="none"/>
              </w:rPr>
              <w:t>起算。</w:t>
            </w:r>
          </w:p>
        </w:tc>
      </w:tr>
      <w:tr w14:paraId="59772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86127A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50" w:type="dxa"/>
            <w:vAlign w:val="center"/>
          </w:tcPr>
          <w:p w14:paraId="3671EE1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5596" w:type="dxa"/>
            <w:vAlign w:val="center"/>
          </w:tcPr>
          <w:p w14:paraId="4023A86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0A21E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6541D1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50" w:type="dxa"/>
            <w:vAlign w:val="center"/>
          </w:tcPr>
          <w:p w14:paraId="075D52C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5596" w:type="dxa"/>
            <w:vAlign w:val="center"/>
          </w:tcPr>
          <w:p w14:paraId="0DC708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052D921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r>
              <w:rPr>
                <w:rFonts w:hint="eastAsia" w:ascii="宋体" w:hAnsi="宋体" w:eastAsia="宋体" w:cs="宋体"/>
                <w:color w:val="auto"/>
                <w:highlight w:val="none"/>
                <w:u w:val="single"/>
              </w:rPr>
              <w:t>/。</w:t>
            </w:r>
          </w:p>
        </w:tc>
      </w:tr>
      <w:tr w14:paraId="5E536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D0329D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50" w:type="dxa"/>
            <w:vAlign w:val="center"/>
          </w:tcPr>
          <w:p w14:paraId="4D2582B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5596" w:type="dxa"/>
            <w:vAlign w:val="center"/>
          </w:tcPr>
          <w:p w14:paraId="7A3A6C5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0564155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14:paraId="3BC1059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14:paraId="2E361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39A65C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050" w:type="dxa"/>
            <w:vAlign w:val="center"/>
          </w:tcPr>
          <w:p w14:paraId="28855E20">
            <w:pPr>
              <w:widowControl w:val="0"/>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5596" w:type="dxa"/>
            <w:vAlign w:val="center"/>
          </w:tcPr>
          <w:p w14:paraId="56AF990A">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51F70D79">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14:paraId="57482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C4336E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050" w:type="dxa"/>
            <w:vAlign w:val="center"/>
          </w:tcPr>
          <w:p w14:paraId="1953870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5596" w:type="dxa"/>
            <w:vAlign w:val="center"/>
          </w:tcPr>
          <w:p w14:paraId="7862FB58">
            <w:pPr>
              <w:kinsoku/>
              <w:overflowPunct w:val="0"/>
              <w:topLinePunct/>
              <w:spacing w:line="336" w:lineRule="auto"/>
              <w:ind w:left="218" w:leftChars="104"/>
              <w:jc w:val="both"/>
              <w:rPr>
                <w:rFonts w:hint="eastAsia" w:ascii="宋体" w:hAnsi="宋体" w:eastAsia="宋体" w:cs="宋体"/>
                <w:color w:val="auto"/>
                <w:highlight w:val="none"/>
                <w:u w:val="single"/>
              </w:rPr>
            </w:pPr>
            <w:r>
              <w:rPr>
                <w:rFonts w:hint="eastAsia" w:ascii="宋体" w:hAnsi="宋体" w:eastAsia="宋体" w:cs="宋体"/>
                <w:color w:val="auto"/>
                <w:highlight w:val="none"/>
              </w:rPr>
              <w:t>提问截止时间：</w:t>
            </w: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分。（投标人在截止时间以后提出的澄清招标文件的要求，招标人可以拒绝受理），提交方式: </w:t>
            </w:r>
            <w:r>
              <w:rPr>
                <w:rFonts w:hint="eastAsia" w:ascii="宋体" w:hAnsi="宋体" w:eastAsia="宋体" w:cs="宋体"/>
                <w:i/>
                <w:color w:val="auto"/>
                <w:highlight w:val="none"/>
                <w:u w:val="single"/>
              </w:rPr>
              <w:t xml:space="preserve">请在上述时间截止前将加盖公章的PDF电子格式的投标提问书发送至 </w:t>
            </w:r>
            <w:r>
              <w:rPr>
                <w:rFonts w:hint="eastAsia" w:ascii="宋体" w:hAnsi="宋体" w:eastAsia="宋体" w:cs="宋体"/>
                <w:b/>
                <w:bCs/>
                <w:i/>
                <w:color w:val="auto"/>
                <w:highlight w:val="none"/>
                <w:u w:val="single"/>
                <w:lang w:eastAsia="zh-CN"/>
              </w:rPr>
              <w:t>1316929110@qq.com</w:t>
            </w:r>
            <w:r>
              <w:rPr>
                <w:rFonts w:hint="eastAsia" w:ascii="宋体" w:hAnsi="宋体" w:eastAsia="宋体" w:cs="宋体"/>
                <w:b/>
                <w:bCs/>
                <w:i/>
                <w:color w:val="auto"/>
                <w:highlight w:val="none"/>
                <w:u w:val="single"/>
              </w:rPr>
              <w:t xml:space="preserve"> 。</w:t>
            </w:r>
          </w:p>
          <w:p w14:paraId="3CD81F01">
            <w:pPr>
              <w:kinsoku/>
              <w:overflowPunct w:val="0"/>
              <w:topLinePunct/>
              <w:spacing w:line="336" w:lineRule="auto"/>
              <w:ind w:left="218" w:leftChars="104"/>
              <w:jc w:val="both"/>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17815918197</w:t>
            </w:r>
            <w:r>
              <w:rPr>
                <w:rFonts w:hint="eastAsia" w:ascii="宋体" w:hAnsi="宋体" w:eastAsia="宋体" w:cs="宋体"/>
                <w:b/>
                <w:bCs/>
                <w:iCs/>
                <w:color w:val="auto"/>
                <w:highlight w:val="none"/>
                <w:u w:val="single"/>
              </w:rPr>
              <w:t xml:space="preserve"> </w:t>
            </w:r>
            <w:r>
              <w:rPr>
                <w:rFonts w:hint="eastAsia" w:ascii="宋体" w:hAnsi="宋体" w:eastAsia="宋体" w:cs="宋体"/>
                <w:i/>
                <w:color w:val="auto"/>
                <w:highlight w:val="none"/>
                <w:u w:val="single"/>
              </w:rPr>
              <w:t xml:space="preserve"> </w:t>
            </w:r>
            <w:r>
              <w:rPr>
                <w:rFonts w:hint="eastAsia" w:ascii="宋体" w:hAnsi="宋体" w:eastAsia="宋体" w:cs="宋体"/>
                <w:color w:val="auto"/>
                <w:highlight w:val="none"/>
              </w:rPr>
              <w:t>联系人：</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秦金霞</w:t>
            </w:r>
            <w:r>
              <w:rPr>
                <w:rFonts w:hint="eastAsia" w:ascii="宋体" w:hAnsi="宋体" w:eastAsia="宋体" w:cs="宋体"/>
                <w:i/>
                <w:color w:val="auto"/>
                <w:highlight w:val="none"/>
                <w:u w:val="single"/>
              </w:rPr>
              <w:t>。</w:t>
            </w:r>
          </w:p>
        </w:tc>
      </w:tr>
      <w:tr w14:paraId="2E303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0DFFF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050" w:type="dxa"/>
            <w:vAlign w:val="center"/>
          </w:tcPr>
          <w:p w14:paraId="74C00B0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5596" w:type="dxa"/>
            <w:vAlign w:val="center"/>
          </w:tcPr>
          <w:p w14:paraId="1A4DB0D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75D8D6D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天前，以上款相同的形式发布。</w:t>
            </w:r>
          </w:p>
          <w:p w14:paraId="6FE03EF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14:paraId="4DCD2B8E">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公布、下载网址：绍兴市公共资源交易中心电子招投标交易平台(http://220.187.225.202:8088/TPBidder-ztk/memberlogin)</w:t>
            </w:r>
          </w:p>
        </w:tc>
      </w:tr>
      <w:tr w14:paraId="370D4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6385F4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50" w:type="dxa"/>
            <w:vAlign w:val="center"/>
          </w:tcPr>
          <w:p w14:paraId="58CC842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596" w:type="dxa"/>
            <w:vAlign w:val="center"/>
          </w:tcPr>
          <w:p w14:paraId="4CA653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14:paraId="0B539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A1AD39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6B24894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596" w:type="dxa"/>
            <w:vAlign w:val="center"/>
          </w:tcPr>
          <w:p w14:paraId="075C0A7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5BB324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☑允许。允许偏离的内容、偏离范围和幅度：</w:t>
            </w:r>
            <w:r>
              <w:rPr>
                <w:rFonts w:hint="eastAsia" w:ascii="宋体" w:hAnsi="宋体" w:eastAsia="宋体" w:cs="宋体"/>
                <w:b/>
                <w:bCs/>
                <w:color w:val="auto"/>
                <w:highlight w:val="none"/>
                <w:u w:val="single"/>
              </w:rPr>
              <w:t>实质性要求允许正偏离。</w:t>
            </w:r>
          </w:p>
        </w:tc>
      </w:tr>
      <w:tr w14:paraId="266FD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FBF08E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50" w:type="dxa"/>
            <w:vAlign w:val="center"/>
          </w:tcPr>
          <w:p w14:paraId="304EA7D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5596" w:type="dxa"/>
            <w:vAlign w:val="center"/>
          </w:tcPr>
          <w:p w14:paraId="0A3723D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4D074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E300B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50" w:type="dxa"/>
            <w:vAlign w:val="center"/>
          </w:tcPr>
          <w:p w14:paraId="1F754EA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5596" w:type="dxa"/>
            <w:vAlign w:val="center"/>
          </w:tcPr>
          <w:p w14:paraId="51F370D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14:paraId="1ED98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025FB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50" w:type="dxa"/>
            <w:vAlign w:val="center"/>
          </w:tcPr>
          <w:p w14:paraId="432B6EE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5596" w:type="dxa"/>
            <w:vAlign w:val="center"/>
          </w:tcPr>
          <w:p w14:paraId="6F857AA2">
            <w:pPr>
              <w:tabs>
                <w:tab w:val="left" w:pos="558"/>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w:t>
            </w:r>
          </w:p>
        </w:tc>
      </w:tr>
      <w:tr w14:paraId="133C6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B78F65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050" w:type="dxa"/>
            <w:vAlign w:val="center"/>
          </w:tcPr>
          <w:p w14:paraId="12024DC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5596" w:type="dxa"/>
            <w:vAlign w:val="center"/>
          </w:tcPr>
          <w:p w14:paraId="7FF9E3B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w:t>
            </w:r>
          </w:p>
          <w:p w14:paraId="7092C0A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(http://220.187.225.202:8088/TPBidder-ztk/memberlogin)，招标人不再一一通知。投标人因自身贻误行为导致投标失败的，责任自负。</w:t>
            </w:r>
          </w:p>
        </w:tc>
      </w:tr>
      <w:tr w14:paraId="2B27F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F6978A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050" w:type="dxa"/>
            <w:vAlign w:val="center"/>
          </w:tcPr>
          <w:p w14:paraId="2197048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14:paraId="631F490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5596" w:type="dxa"/>
            <w:vAlign w:val="center"/>
          </w:tcPr>
          <w:p w14:paraId="6FF1032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2AEB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BDD3EB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50" w:type="dxa"/>
            <w:vAlign w:val="center"/>
          </w:tcPr>
          <w:p w14:paraId="660A94D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5596" w:type="dxa"/>
            <w:vAlign w:val="center"/>
          </w:tcPr>
          <w:p w14:paraId="53CFA45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lang w:val="en-US" w:eastAsia="zh-CN"/>
              </w:rPr>
              <w:t>1140.35</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万元（根据审定金额）</w:t>
            </w:r>
          </w:p>
          <w:p w14:paraId="5F46019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□在投标截止时间15个日历天前以补充文件的形式公布</w:t>
            </w:r>
          </w:p>
          <w:p w14:paraId="7D140B5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□本次招标最高投标限价的计算方法：。</w:t>
            </w:r>
          </w:p>
        </w:tc>
      </w:tr>
      <w:tr w14:paraId="4C310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67DDD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50" w:type="dxa"/>
            <w:vAlign w:val="center"/>
          </w:tcPr>
          <w:p w14:paraId="569C995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14:paraId="2FA059A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596" w:type="dxa"/>
            <w:vAlign w:val="center"/>
          </w:tcPr>
          <w:p w14:paraId="39C3713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73596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F78EE4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50" w:type="dxa"/>
            <w:vAlign w:val="center"/>
          </w:tcPr>
          <w:p w14:paraId="54C4D58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5596" w:type="dxa"/>
            <w:vAlign w:val="center"/>
          </w:tcPr>
          <w:p w14:paraId="3F30D80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b/>
                <w:bCs/>
                <w:color w:val="auto"/>
                <w:highlight w:val="none"/>
                <w:u w:val="single"/>
              </w:rPr>
              <w:t xml:space="preserve"> 90 </w:t>
            </w:r>
            <w:r>
              <w:rPr>
                <w:rFonts w:hint="eastAsia" w:ascii="宋体" w:hAnsi="宋体" w:eastAsia="宋体" w:cs="宋体"/>
                <w:color w:val="auto"/>
                <w:highlight w:val="none"/>
              </w:rPr>
              <w:t>个日历天(从投标截止之日起算)。</w:t>
            </w:r>
          </w:p>
        </w:tc>
      </w:tr>
      <w:tr w14:paraId="49B32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5FE6D8A">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2050" w:type="dxa"/>
            <w:vAlign w:val="center"/>
          </w:tcPr>
          <w:p w14:paraId="734861E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5596" w:type="dxa"/>
            <w:vAlign w:val="center"/>
          </w:tcPr>
          <w:p w14:paraId="0B8C7FE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14:paraId="6A8BC0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B1FD22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050" w:type="dxa"/>
            <w:vAlign w:val="center"/>
          </w:tcPr>
          <w:p w14:paraId="69CE598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5596" w:type="dxa"/>
            <w:vAlign w:val="center"/>
          </w:tcPr>
          <w:p w14:paraId="61E2066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7E43B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E28210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050" w:type="dxa"/>
            <w:vAlign w:val="center"/>
          </w:tcPr>
          <w:p w14:paraId="59E9EFF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5596" w:type="dxa"/>
            <w:vAlign w:val="center"/>
          </w:tcPr>
          <w:p w14:paraId="1070BC6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5B2B9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AB51E6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050" w:type="dxa"/>
            <w:vAlign w:val="center"/>
          </w:tcPr>
          <w:p w14:paraId="2B346F0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5596" w:type="dxa"/>
            <w:vAlign w:val="center"/>
          </w:tcPr>
          <w:p w14:paraId="23609CE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3EC43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3226DC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2050" w:type="dxa"/>
            <w:vAlign w:val="center"/>
          </w:tcPr>
          <w:p w14:paraId="21C7CA54">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5596" w:type="dxa"/>
            <w:vAlign w:val="center"/>
          </w:tcPr>
          <w:p w14:paraId="4630D6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14:paraId="3941263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1.企业法人营业执照；</w:t>
            </w:r>
          </w:p>
          <w:p w14:paraId="271B798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2.法定代表人授权委托书(投标文件委托代理人签字的提供)；</w:t>
            </w:r>
          </w:p>
          <w:p w14:paraId="041DABE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□3.联合体各方签订的共同投标协议(联合体投标的提供)；</w:t>
            </w:r>
          </w:p>
          <w:p w14:paraId="45252FF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4.投标保证金缴纳证明资料；</w:t>
            </w:r>
          </w:p>
          <w:p w14:paraId="5103947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5.中小企业声明函；</w:t>
            </w:r>
          </w:p>
          <w:p w14:paraId="6DD4A14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6.投标承诺书；</w:t>
            </w:r>
          </w:p>
          <w:p w14:paraId="59F0CE53">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color w:val="auto"/>
                <w:highlight w:val="none"/>
              </w:rPr>
              <w:t>☑7.(招标人认为需要增加的符合法律法规规定的其他实质性响应的资料)。</w:t>
            </w:r>
          </w:p>
          <w:p w14:paraId="0FA9B33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14:paraId="2480CD5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1.招标文件对提供的资料有打分内容的填写。</w:t>
            </w:r>
          </w:p>
          <w:p w14:paraId="6285B937">
            <w:pPr>
              <w:tabs>
                <w:tab w:val="left" w:pos="5680"/>
              </w:tabs>
              <w:kinsoku/>
              <w:overflowPunct w:val="0"/>
              <w:topLinePunct/>
              <w:spacing w:line="336" w:lineRule="auto"/>
              <w:ind w:left="105" w:leftChars="50"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45EB3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3B3385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050" w:type="dxa"/>
            <w:vAlign w:val="center"/>
          </w:tcPr>
          <w:p w14:paraId="40E9E0E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14:paraId="7A5034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5596" w:type="dxa"/>
            <w:vAlign w:val="center"/>
          </w:tcPr>
          <w:p w14:paraId="381054A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1552708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w:t>
            </w:r>
          </w:p>
        </w:tc>
      </w:tr>
      <w:tr w14:paraId="698B1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5308E6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2050" w:type="dxa"/>
            <w:vAlign w:val="center"/>
          </w:tcPr>
          <w:p w14:paraId="2DE0066F">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□纸质投标文件签字或盖章要求</w:t>
            </w:r>
          </w:p>
        </w:tc>
        <w:tc>
          <w:tcPr>
            <w:tcW w:w="5596" w:type="dxa"/>
            <w:vAlign w:val="center"/>
          </w:tcPr>
          <w:p w14:paraId="58FEFAE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按招标文件要求盖单位公章、法定代表人签字或盖章。委托代理人签字的，投标文件应附法定代表人签署的授权委托书。</w:t>
            </w:r>
          </w:p>
        </w:tc>
      </w:tr>
      <w:tr w14:paraId="4678A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5A15C16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3.7.3（2）</w:t>
            </w:r>
          </w:p>
        </w:tc>
        <w:tc>
          <w:tcPr>
            <w:tcW w:w="2050" w:type="dxa"/>
            <w:vAlign w:val="center"/>
          </w:tcPr>
          <w:p w14:paraId="1863C940">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电子投标文件盖章要求</w:t>
            </w:r>
          </w:p>
        </w:tc>
        <w:tc>
          <w:tcPr>
            <w:tcW w:w="5596" w:type="dxa"/>
            <w:vAlign w:val="center"/>
          </w:tcPr>
          <w:p w14:paraId="46520B8A">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5940CB4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投标文件所附证书证件、业绩证明文件、投标保证金等证明材料用原件扫描件并加盖投标单位电子印章；</w:t>
            </w:r>
          </w:p>
        </w:tc>
      </w:tr>
      <w:tr w14:paraId="3BC98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F5272EE">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26DE2916">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电子投标文件加密章要求</w:t>
            </w:r>
          </w:p>
        </w:tc>
        <w:tc>
          <w:tcPr>
            <w:tcW w:w="5596" w:type="dxa"/>
            <w:vAlign w:val="center"/>
          </w:tcPr>
          <w:p w14:paraId="53A624E1">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电子投标的项目，在投标截止时间前，将由投标工具软件制作生成的加密投标文件上传至绍兴市公共资源交易中心电子招投标交易平台。</w:t>
            </w:r>
          </w:p>
          <w:p w14:paraId="1E6CA4B6">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w:t>
            </w:r>
          </w:p>
        </w:tc>
      </w:tr>
      <w:tr w14:paraId="0802F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F98C82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050" w:type="dxa"/>
            <w:vAlign w:val="center"/>
          </w:tcPr>
          <w:p w14:paraId="4BB71E7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5596" w:type="dxa"/>
            <w:vAlign w:val="center"/>
          </w:tcPr>
          <w:p w14:paraId="3EA45AD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00A8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B59045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050" w:type="dxa"/>
            <w:vAlign w:val="center"/>
          </w:tcPr>
          <w:p w14:paraId="434688C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5596" w:type="dxa"/>
            <w:vAlign w:val="center"/>
          </w:tcPr>
          <w:p w14:paraId="74B9397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strike w:val="0"/>
                <w:color w:val="auto"/>
                <w:highlight w:val="none"/>
                <w:lang w:val="en-US" w:eastAsia="zh-CN"/>
              </w:rPr>
              <w:t>样品需</w:t>
            </w:r>
            <w:r>
              <w:rPr>
                <w:rFonts w:hint="eastAsia" w:ascii="宋体" w:hAnsi="宋体" w:eastAsia="宋体" w:cs="宋体"/>
                <w:b/>
                <w:bCs/>
                <w:strike w:val="0"/>
                <w:color w:val="auto"/>
                <w:highlight w:val="none"/>
              </w:rPr>
              <w:t>标明“项目名称”、“投标人名称”等字样，并加盖投标人公章。</w:t>
            </w:r>
          </w:p>
        </w:tc>
      </w:tr>
      <w:tr w14:paraId="0B94A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C35321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2050" w:type="dxa"/>
            <w:vAlign w:val="center"/>
          </w:tcPr>
          <w:p w14:paraId="7BD1371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电子投标文件加密要求</w:t>
            </w:r>
          </w:p>
        </w:tc>
        <w:tc>
          <w:tcPr>
            <w:tcW w:w="5596" w:type="dxa"/>
            <w:vAlign w:val="center"/>
          </w:tcPr>
          <w:p w14:paraId="2FEBEE2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使用投标工具软件编制生成的电子投标文件。</w:t>
            </w:r>
          </w:p>
        </w:tc>
      </w:tr>
      <w:tr w14:paraId="44B7A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34775CDD">
            <w:pPr>
              <w:kinsoku/>
              <w:overflowPunct w:val="0"/>
              <w:topLinePunct/>
              <w:spacing w:line="336"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050" w:type="dxa"/>
            <w:vMerge w:val="restart"/>
            <w:vAlign w:val="center"/>
          </w:tcPr>
          <w:p w14:paraId="2B590D5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5596" w:type="dxa"/>
            <w:vAlign w:val="center"/>
          </w:tcPr>
          <w:p w14:paraId="68A2026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截止时间：详见招标公告</w:t>
            </w:r>
          </w:p>
        </w:tc>
      </w:tr>
      <w:tr w14:paraId="1FE53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3E102EDA">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29C4953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79F5BD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本项目投标文件投标人采用□现场递交/☑电子投标文件上传平台。</w:t>
            </w:r>
          </w:p>
          <w:p w14:paraId="6952CB1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□现场递交：投标人将密封的投标文件在开标当日09:00时至09:30时递交至绍兴市公共资源交易中心二楼指定开标室，投标文件递交后即交即走。投标文件递交地址：</w:t>
            </w:r>
            <w:r>
              <w:rPr>
                <w:rFonts w:hint="eastAsia" w:ascii="宋体" w:hAnsi="宋体" w:eastAsia="宋体" w:cs="宋体"/>
                <w:b/>
                <w:bCs/>
                <w:color w:val="auto"/>
                <w:highlight w:val="none"/>
              </w:rPr>
              <w:t>绍兴市越城区洋江西路 699 号梅山春晓 2 楼 开标室</w:t>
            </w:r>
            <w:r>
              <w:rPr>
                <w:rFonts w:hint="eastAsia" w:ascii="宋体" w:hAnsi="宋体" w:eastAsia="宋体" w:cs="宋体"/>
                <w:color w:val="auto"/>
                <w:highlight w:val="none"/>
              </w:rPr>
              <w:t>（绍兴市公共资源交易中心）。</w:t>
            </w:r>
          </w:p>
        </w:tc>
      </w:tr>
      <w:tr w14:paraId="00E68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59FF6AF">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2B245B1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5381D803">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☑使用专用密钥上传至 绍兴市公共资源交易中心电子招投标交易平台（http://220.187.225.202:8088/TPBidder-ztk/memberlogin）</w:t>
            </w:r>
          </w:p>
        </w:tc>
      </w:tr>
      <w:tr w14:paraId="7C64C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3F0940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2050" w:type="dxa"/>
            <w:vAlign w:val="center"/>
          </w:tcPr>
          <w:p w14:paraId="284E2A8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5596" w:type="dxa"/>
            <w:vAlign w:val="center"/>
          </w:tcPr>
          <w:p w14:paraId="1BF48BF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w:t>
            </w:r>
          </w:p>
          <w:p w14:paraId="2829A58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□是。未中标的投标文件将予以退还。</w:t>
            </w:r>
          </w:p>
        </w:tc>
      </w:tr>
      <w:tr w14:paraId="1014C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2FBC8C3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4.4</w:t>
            </w:r>
          </w:p>
        </w:tc>
        <w:tc>
          <w:tcPr>
            <w:tcW w:w="2050" w:type="dxa"/>
            <w:vAlign w:val="center"/>
          </w:tcPr>
          <w:p w14:paraId="39BC55DA">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□投标文件的拒收情形</w:t>
            </w:r>
          </w:p>
        </w:tc>
        <w:tc>
          <w:tcPr>
            <w:tcW w:w="5596" w:type="dxa"/>
            <w:vAlign w:val="center"/>
          </w:tcPr>
          <w:p w14:paraId="4BF711EB">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一、投标人未按规定密封或封套外信息与所投标段内容不符的投标文件。</w:t>
            </w:r>
          </w:p>
          <w:p w14:paraId="1CD977CC">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二、未在投标截止时间前递交的投标文件。</w:t>
            </w:r>
          </w:p>
        </w:tc>
      </w:tr>
      <w:tr w14:paraId="25147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671F0288">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64453F1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☑电子投标文件的拒收情形</w:t>
            </w:r>
          </w:p>
        </w:tc>
        <w:tc>
          <w:tcPr>
            <w:tcW w:w="5596" w:type="dxa"/>
            <w:vAlign w:val="center"/>
          </w:tcPr>
          <w:p w14:paraId="526B396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1.投标截止时间后送达（上传）的投标文件、未按招标文件要求上传的；</w:t>
            </w:r>
          </w:p>
          <w:p w14:paraId="45E7C87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2.投标人未按规定加密的投标文件，应当拒收并提示。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3.存在下列情况之一的，视为拒收：</w:t>
            </w:r>
          </w:p>
          <w:p w14:paraId="752282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（1）电子投标文件无法解密的；</w:t>
            </w:r>
          </w:p>
          <w:p w14:paraId="6D3CF47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（2）电子投标文件解密后无法正确读取的；</w:t>
            </w:r>
          </w:p>
          <w:p w14:paraId="268F5C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（3）电子投标文件无法导入成功的；</w:t>
            </w:r>
          </w:p>
          <w:p w14:paraId="410B69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4.□未被邀请的申请人提交的投标文件</w:t>
            </w:r>
          </w:p>
          <w:p w14:paraId="2916A6C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5.其他:  法律、法规所规定的其他情形   。</w:t>
            </w:r>
          </w:p>
        </w:tc>
      </w:tr>
      <w:tr w14:paraId="35BCC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72FAB6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50" w:type="dxa"/>
            <w:vAlign w:val="center"/>
          </w:tcPr>
          <w:p w14:paraId="7BF9794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5596" w:type="dxa"/>
            <w:vAlign w:val="center"/>
          </w:tcPr>
          <w:p w14:paraId="17F98C9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一、开标时间：同投标截止时间。</w:t>
            </w:r>
          </w:p>
          <w:p w14:paraId="513A113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二、开标地点：绍兴市公共资源交易中心二楼指定开标室</w:t>
            </w:r>
            <w:r>
              <w:rPr>
                <w:rFonts w:hint="eastAsia" w:ascii="宋体" w:hAnsi="宋体" w:eastAsia="宋体" w:cs="宋体"/>
                <w:b/>
                <w:bCs/>
                <w:color w:val="auto"/>
                <w:highlight w:val="none"/>
              </w:rPr>
              <w:t>（绍兴市越城区洋江西路 699 号梅山春晓 2 楼 ）。</w:t>
            </w:r>
          </w:p>
          <w:p w14:paraId="50704D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☑三、开标平台:绍兴市公共资源交易中心电子招投标交易平台</w:t>
            </w:r>
          </w:p>
          <w:p w14:paraId="032A9B53">
            <w:pPr>
              <w:numPr>
                <w:ilvl w:val="0"/>
                <w:numId w:val="4"/>
              </w:num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参加开标会议的要求</w:t>
            </w:r>
          </w:p>
          <w:p w14:paraId="3D93B3E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5060C3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b/>
                <w:bCs/>
                <w:iCs/>
                <w:color w:val="auto"/>
                <w:highlight w:val="none"/>
                <w:u w:val="single"/>
                <w:lang w:eastAsia="zh-CN"/>
              </w:rPr>
              <w:t>1316929110@qq.com</w:t>
            </w:r>
            <w:r>
              <w:rPr>
                <w:rFonts w:hint="eastAsia" w:ascii="宋体" w:hAnsi="宋体" w:eastAsia="宋体" w:cs="宋体"/>
                <w:b/>
                <w:bCs/>
                <w:i/>
                <w:color w:val="auto"/>
                <w:highlight w:val="none"/>
                <w:u w:val="single"/>
              </w:rPr>
              <w:t xml:space="preserve"> </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14:paraId="3D321CA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3、取消投标人法定代表人或授权委托人到场签字要求，取消开标记录表签字要求；</w:t>
            </w:r>
          </w:p>
          <w:p w14:paraId="113C850E">
            <w:pPr>
              <w:tabs>
                <w:tab w:val="left" w:pos="5680"/>
              </w:tabs>
              <w:kinsoku/>
              <w:overflowPunct w:val="0"/>
              <w:topLinePunct/>
              <w:spacing w:line="336"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highlight w:val="none"/>
              </w:rPr>
              <w:t>4、由代理机构工作人员现场在监督部门、公证处监督下</w:t>
            </w:r>
            <w:r>
              <w:rPr>
                <w:rFonts w:hint="eastAsia" w:ascii="宋体" w:hAnsi="宋体" w:eastAsia="宋体" w:cs="宋体"/>
                <w:strike/>
                <w:color w:val="auto"/>
                <w:highlight w:val="none"/>
              </w:rPr>
              <w:t>核验投标文件密封性并开启投标文件，</w:t>
            </w:r>
            <w:r>
              <w:rPr>
                <w:rFonts w:hint="eastAsia" w:ascii="宋体" w:hAnsi="宋体" w:eastAsia="宋体" w:cs="宋体"/>
                <w:color w:val="auto"/>
                <w:highlight w:val="none"/>
              </w:rPr>
              <w:t>组织评审，并对开评标活动进行全程录音录像。</w:t>
            </w:r>
          </w:p>
        </w:tc>
      </w:tr>
      <w:tr w14:paraId="45CAA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48915F">
            <w:pPr>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5.2</w:t>
            </w:r>
          </w:p>
        </w:tc>
        <w:tc>
          <w:tcPr>
            <w:tcW w:w="2050" w:type="dxa"/>
            <w:vAlign w:val="center"/>
          </w:tcPr>
          <w:p w14:paraId="5D6D0555">
            <w:pPr>
              <w:tabs>
                <w:tab w:val="left" w:pos="14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开标程序</w:t>
            </w:r>
          </w:p>
        </w:tc>
        <w:tc>
          <w:tcPr>
            <w:tcW w:w="5596" w:type="dxa"/>
          </w:tcPr>
          <w:p w14:paraId="16CCFE5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74C5B2A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151A3E3C">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（三）投标人解密（投标文件解密在 60 分钟内完成，具体以电子招投标交易平台系统时间为准）</w:t>
            </w:r>
          </w:p>
          <w:p w14:paraId="1D8E5A54">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40444E0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5CFF2A4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（六）开标结束</w:t>
            </w:r>
          </w:p>
        </w:tc>
      </w:tr>
      <w:tr w14:paraId="5B1E2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BD4820A">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5.4</w:t>
            </w:r>
          </w:p>
        </w:tc>
        <w:tc>
          <w:tcPr>
            <w:tcW w:w="2050" w:type="dxa"/>
            <w:vAlign w:val="center"/>
          </w:tcPr>
          <w:p w14:paraId="3D2DBBC3">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特殊情况处置</w:t>
            </w:r>
          </w:p>
        </w:tc>
        <w:tc>
          <w:tcPr>
            <w:tcW w:w="5596" w:type="dxa"/>
            <w:vAlign w:val="center"/>
          </w:tcPr>
          <w:p w14:paraId="05A07EB1">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1.因网络、系统、电力等不可抗力因素延期开标的，需更新制作投标文件并按招标文件要求重新递交。</w:t>
            </w:r>
          </w:p>
          <w:p w14:paraId="117E5F6C">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34F3527B">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（2）投标人必须使用生成电子投标文件的CA数字证书加密电子投标文件，未加密的视为撤销其投标文件。</w:t>
            </w:r>
          </w:p>
          <w:p w14:paraId="2959C868">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3.其他：电子投标项目开标的其他相关程序按照我市相关规定《绍兴市区工程建设项目电子招标投标管理暂行办法》执行 。</w:t>
            </w:r>
          </w:p>
        </w:tc>
      </w:tr>
      <w:tr w14:paraId="0273E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vAlign w:val="center"/>
          </w:tcPr>
          <w:p w14:paraId="44319D2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50" w:type="dxa"/>
            <w:vAlign w:val="center"/>
          </w:tcPr>
          <w:p w14:paraId="564200C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5596" w:type="dxa"/>
            <w:vAlign w:val="center"/>
          </w:tcPr>
          <w:p w14:paraId="4DBDC007">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评标委员会共</w:t>
            </w:r>
            <w:r>
              <w:rPr>
                <w:rFonts w:hint="eastAsia" w:ascii="宋体" w:hAnsi="宋体" w:eastAsia="宋体" w:cs="宋体"/>
                <w:color w:val="auto"/>
                <w:highlight w:val="none"/>
                <w:u w:val="single"/>
              </w:rPr>
              <w:t xml:space="preserve"> </w:t>
            </w:r>
            <w:r>
              <w:rPr>
                <w:rFonts w:hint="eastAsia" w:ascii="宋体" w:hAnsi="宋体" w:eastAsia="宋体" w:cs="宋体"/>
                <w:b/>
                <w:bCs/>
                <w:iCs/>
                <w:color w:val="auto"/>
                <w:highlight w:val="none"/>
                <w:u w:val="single"/>
              </w:rPr>
              <w:t xml:space="preserve">7  </w:t>
            </w:r>
            <w:r>
              <w:rPr>
                <w:rFonts w:hint="eastAsia" w:ascii="宋体" w:hAnsi="宋体" w:eastAsia="宋体" w:cs="宋体"/>
                <w:color w:val="auto"/>
                <w:highlight w:val="none"/>
              </w:rPr>
              <w:t>人。</w:t>
            </w:r>
          </w:p>
          <w:p w14:paraId="39B21087">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其中招标人代表</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r>
              <w:rPr>
                <w:rFonts w:hint="eastAsia" w:ascii="宋体" w:hAnsi="宋体" w:eastAsia="宋体" w:cs="宋体"/>
                <w:b/>
                <w:bCs/>
                <w:iCs/>
                <w:color w:val="auto"/>
                <w:highlight w:val="none"/>
                <w:u w:val="single"/>
                <w:lang w:val="en-US" w:eastAsia="zh-CN"/>
              </w:rPr>
              <w:t>省库</w:t>
            </w:r>
            <w:r>
              <w:rPr>
                <w:rFonts w:hint="eastAsia" w:ascii="宋体" w:hAnsi="宋体" w:eastAsia="宋体" w:cs="宋体"/>
                <w:color w:val="auto"/>
                <w:highlight w:val="none"/>
              </w:rPr>
              <w:t>专家</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p>
        </w:tc>
      </w:tr>
      <w:tr w14:paraId="513B4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42032E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50" w:type="dxa"/>
            <w:vAlign w:val="center"/>
          </w:tcPr>
          <w:p w14:paraId="39C478C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5596" w:type="dxa"/>
            <w:vAlign w:val="center"/>
          </w:tcPr>
          <w:p w14:paraId="7710C300">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color w:val="auto"/>
                <w:highlight w:val="none"/>
              </w:rPr>
              <w:fldChar w:fldCharType="begin"/>
            </w:r>
            <w:r>
              <w:rPr>
                <w:color w:val="auto"/>
                <w:highlight w:val="none"/>
              </w:rPr>
              <w:instrText xml:space="preserve"> HYPERLINK "http://218.108.28.22/zjgcjy/infodetail/?infoid=25b0d8ef-782f-44f1-a7c2-cdfa059b2aa2&amp;siteid=1&amp;categoryNum=032003" </w:instrText>
            </w:r>
            <w:r>
              <w:rPr>
                <w:color w:val="auto"/>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14:paraId="3177EACF">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color w:val="auto"/>
                <w:highlight w:val="none"/>
              </w:rPr>
              <w:fldChar w:fldCharType="end"/>
            </w:r>
          </w:p>
        </w:tc>
      </w:tr>
      <w:tr w14:paraId="33F68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E0ED83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50" w:type="dxa"/>
            <w:vAlign w:val="center"/>
          </w:tcPr>
          <w:p w14:paraId="3AE87B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14:paraId="721AEC7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596" w:type="dxa"/>
            <w:vAlign w:val="center"/>
          </w:tcPr>
          <w:p w14:paraId="287D54E0">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☑推荐的中标候选人数量：</w:t>
            </w:r>
            <w:r>
              <w:rPr>
                <w:rFonts w:hint="eastAsia" w:ascii="宋体" w:hAnsi="宋体" w:cs="宋体"/>
                <w:color w:val="auto"/>
                <w:sz w:val="21"/>
                <w:szCs w:val="21"/>
                <w:highlight w:val="none"/>
                <w:u w:val="single"/>
              </w:rPr>
              <w:t>1</w:t>
            </w:r>
            <w:r>
              <w:rPr>
                <w:rFonts w:hint="eastAsia" w:ascii="宋体" w:hAnsi="宋体" w:cs="宋体"/>
                <w:color w:val="auto"/>
                <w:sz w:val="21"/>
                <w:szCs w:val="21"/>
                <w:highlight w:val="none"/>
              </w:rPr>
              <w:t>家。</w:t>
            </w:r>
          </w:p>
          <w:p w14:paraId="57EDAD28">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□推荐入围定标的中标候选人：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人。（适用于“评定分离”。注：原则上推荐3名中标候选人，最多不超过5个。推荐名单的中标候选人不排名次。）</w:t>
            </w:r>
          </w:p>
        </w:tc>
      </w:tr>
      <w:tr w14:paraId="7F8EF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52BF735">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50" w:type="dxa"/>
            <w:vAlign w:val="center"/>
          </w:tcPr>
          <w:p w14:paraId="16A4FAA7">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5596" w:type="dxa"/>
            <w:vAlign w:val="center"/>
          </w:tcPr>
          <w:p w14:paraId="6A22CC82">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□授权评标委员会确定中标人。</w:t>
            </w:r>
          </w:p>
          <w:p w14:paraId="642019F0">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☑根据评标委员会推荐，由招标人确定中标人。</w:t>
            </w:r>
          </w:p>
          <w:p w14:paraId="7710670F">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□评定分离，根据评标委员会推荐，另行组织定标会议，由定标委员会确定中标人。</w:t>
            </w:r>
          </w:p>
          <w:p w14:paraId="2115E736">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              。</w:t>
            </w:r>
          </w:p>
        </w:tc>
      </w:tr>
      <w:tr w14:paraId="6F436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31FF4B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7.1.4</w:t>
            </w:r>
          </w:p>
        </w:tc>
        <w:tc>
          <w:tcPr>
            <w:tcW w:w="2050" w:type="dxa"/>
            <w:vAlign w:val="center"/>
          </w:tcPr>
          <w:p w14:paraId="03F5A175">
            <w:pPr>
              <w:pStyle w:val="52"/>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5596" w:type="dxa"/>
            <w:vAlign w:val="center"/>
          </w:tcPr>
          <w:p w14:paraId="02D302F3">
            <w:pPr>
              <w:kinsoku/>
              <w:overflowPunct w:val="0"/>
              <w:topLinePunct/>
              <w:spacing w:line="336" w:lineRule="auto"/>
              <w:rPr>
                <w:rFonts w:hint="eastAsia" w:ascii="宋体" w:hAnsi="宋体" w:eastAsia="宋体" w:cs="宋体"/>
                <w:b/>
                <w:bCs/>
                <w:iCs/>
                <w:color w:val="auto"/>
                <w:highlight w:val="none"/>
                <w:u w:val="singl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b/>
                <w:bCs/>
                <w:iCs/>
                <w:color w:val="auto"/>
                <w:highlight w:val="none"/>
                <w:u w:val="single"/>
              </w:rPr>
              <w:t>绍兴公共资源交易网（https://ggb.sx.gov.cn/）</w:t>
            </w:r>
          </w:p>
          <w:p w14:paraId="1B7AD240">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14:paraId="2EF4E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2BAA55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50" w:type="dxa"/>
            <w:vAlign w:val="center"/>
          </w:tcPr>
          <w:p w14:paraId="1DC5773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596" w:type="dxa"/>
            <w:vAlign w:val="center"/>
          </w:tcPr>
          <w:p w14:paraId="489ACEA0">
            <w:pPr>
              <w:tabs>
                <w:tab w:val="left" w:pos="2150"/>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72AB8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2D865C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050" w:type="dxa"/>
            <w:vAlign w:val="center"/>
          </w:tcPr>
          <w:p w14:paraId="6FBDFB8B">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596" w:type="dxa"/>
            <w:vAlign w:val="center"/>
          </w:tcPr>
          <w:p w14:paraId="48C8469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w:t>
            </w:r>
            <w:bookmarkStart w:id="6" w:name="EB729f8822ed244be9b6cbf8c77e802a6c"/>
            <w:r>
              <w:rPr>
                <w:rFonts w:hint="eastAsia" w:ascii="宋体" w:hAnsi="宋体" w:eastAsia="宋体" w:cs="宋体"/>
                <w:color w:val="auto"/>
                <w:highlight w:val="none"/>
              </w:rPr>
              <w:t>现金、支票、汇票、转账、银行保函、融资担保公司保函或者保险机构保证、保险、保单。</w:t>
            </w:r>
            <w:bookmarkEnd w:id="6"/>
          </w:p>
          <w:p w14:paraId="685E65E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b/>
                <w:bCs/>
                <w:color w:val="auto"/>
                <w:highlight w:val="none"/>
                <w:u w:val="single"/>
              </w:rPr>
              <w:t xml:space="preserve"> 2 </w:t>
            </w:r>
            <w:r>
              <w:rPr>
                <w:rFonts w:hint="eastAsia" w:ascii="宋体" w:hAnsi="宋体" w:eastAsia="宋体" w:cs="宋体"/>
                <w:color w:val="auto"/>
                <w:highlight w:val="none"/>
              </w:rPr>
              <w:t>%(不得超过2%)。</w:t>
            </w:r>
          </w:p>
        </w:tc>
      </w:tr>
      <w:tr w14:paraId="5C49C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A10B77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2050" w:type="dxa"/>
            <w:vAlign w:val="center"/>
          </w:tcPr>
          <w:p w14:paraId="0DEFF4B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5596" w:type="dxa"/>
            <w:vAlign w:val="center"/>
          </w:tcPr>
          <w:p w14:paraId="79D13E9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14:paraId="33E7A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17A92A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50" w:type="dxa"/>
            <w:vAlign w:val="center"/>
          </w:tcPr>
          <w:p w14:paraId="19B5F42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5596" w:type="dxa"/>
            <w:vAlign w:val="center"/>
          </w:tcPr>
          <w:p w14:paraId="3596AADC">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9.5.1异议</w:t>
            </w:r>
          </w:p>
          <w:p w14:paraId="5180AFD1">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206122DE">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11FFBE7E">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107D411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9.5.2投诉</w:t>
            </w:r>
          </w:p>
          <w:p w14:paraId="33785075">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0DF9F2C0">
            <w:pPr>
              <w:kinsoku/>
              <w:overflowPunct w:val="0"/>
              <w:topLinePunct/>
              <w:spacing w:line="336" w:lineRule="auto"/>
              <w:ind w:firstLine="420" w:firstLineChars="200"/>
              <w:jc w:val="both"/>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14:paraId="68D78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B7978DE">
            <w:pPr>
              <w:pStyle w:val="52"/>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050" w:type="dxa"/>
            <w:vAlign w:val="center"/>
          </w:tcPr>
          <w:p w14:paraId="7520EE31">
            <w:pPr>
              <w:pStyle w:val="52"/>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5596" w:type="dxa"/>
            <w:vAlign w:val="center"/>
          </w:tcPr>
          <w:p w14:paraId="3B0707D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投诉受理的具体部门及电话</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lang w:eastAsia="zh-CN"/>
              </w:rPr>
              <w:t xml:space="preserve">绍兴市住房和城乡建设局，0575-85115633 </w:t>
            </w:r>
            <w:r>
              <w:rPr>
                <w:rFonts w:hint="eastAsia" w:ascii="宋体" w:hAnsi="宋体" w:eastAsia="宋体" w:cs="宋体"/>
                <w:b/>
                <w:bCs/>
                <w:color w:val="auto"/>
                <w:highlight w:val="none"/>
              </w:rPr>
              <w:t>。</w:t>
            </w:r>
          </w:p>
        </w:tc>
      </w:tr>
      <w:tr w14:paraId="3BAAF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00B64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50" w:type="dxa"/>
            <w:vAlign w:val="center"/>
          </w:tcPr>
          <w:p w14:paraId="5910302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否决投标的情形</w:t>
            </w:r>
          </w:p>
        </w:tc>
        <w:tc>
          <w:tcPr>
            <w:tcW w:w="5596" w:type="dxa"/>
            <w:vAlign w:val="center"/>
          </w:tcPr>
          <w:p w14:paraId="2D840F8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2D161B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14:paraId="0CFA64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14:paraId="1166C7E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1.投标人的资质、业绩、人员、设备(材料)等条件未满足招标文件实质性响应要求的(以投标人须知前附表3.5.7中“一、实质性响应招标文件资料”内容为准)；</w:t>
            </w:r>
          </w:p>
          <w:p w14:paraId="6C8268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14:paraId="0D4848C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14:paraId="72CF741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14:paraId="05316EF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14:paraId="2FB47E8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14:paraId="09E25F0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14:paraId="50FD9D6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14:paraId="1C98B30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036E839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10.投标人为非中小企业的，投标人未提供《中小企业声明函》或未按照招标文件所附的《中小企业声明函》格式提供的；</w:t>
            </w:r>
          </w:p>
          <w:p w14:paraId="49203AF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11.投标人存在行贿犯罪记录的；</w:t>
            </w:r>
          </w:p>
          <w:p w14:paraId="272735CD">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12.不同投标人的投标文件制作机器码、文件创建标识码一致的；（具体说明：</w:t>
            </w:r>
            <w:r>
              <w:rPr>
                <w:rFonts w:hint="eastAsia" w:ascii="宋体" w:hAnsi="宋体" w:eastAsia="宋体" w:cs="宋体"/>
                <w:b/>
                <w:bCs/>
                <w:color w:val="auto"/>
                <w:highlight w:val="none"/>
                <w:u w:val="single"/>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color w:val="auto"/>
                <w:highlight w:val="none"/>
              </w:rPr>
              <w:t>）</w:t>
            </w:r>
          </w:p>
          <w:p w14:paraId="5432044F">
            <w:pPr>
              <w:pStyle w:val="51"/>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□13.投标人提供的纸质投标文件水印码与电子投标文件不一致的；</w:t>
            </w:r>
          </w:p>
          <w:p w14:paraId="358A1AE1">
            <w:pPr>
              <w:pStyle w:val="51"/>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□14. 经招标人核实，投标人不符合“免缴投标保证金的”的条件，视同为未缴纳投标保证金；</w:t>
            </w:r>
          </w:p>
          <w:p w14:paraId="4F3F33E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15.存在法律、法规、规章规定的其它无效投标情况的。</w:t>
            </w:r>
          </w:p>
          <w:p w14:paraId="5726E48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(二)技术标内容</w:t>
            </w:r>
          </w:p>
          <w:p w14:paraId="306FF79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1.采用的验收标准和方法、主要技术指标达不到国家强制性标准或要求的；</w:t>
            </w:r>
          </w:p>
          <w:p w14:paraId="2746DF5D">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u w:val="single"/>
              </w:rPr>
            </w:pPr>
            <w:r>
              <w:rPr>
                <w:rFonts w:hint="eastAsia" w:ascii="宋体" w:hAnsi="宋体" w:eastAsia="宋体" w:cs="宋体"/>
                <w:strike/>
                <w:color w:val="auto"/>
                <w:highlight w:val="none"/>
              </w:rPr>
              <w:t>2.不符合以下技术规格、标准或性能指标的(招标人认为需要增加的，无则删除本条)：</w:t>
            </w:r>
          </w:p>
          <w:p w14:paraId="1A4CD2E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strike/>
                <w:color w:val="auto"/>
                <w:highlight w:val="none"/>
              </w:rPr>
              <w:t>.投标文件载明的货物包装方式、检验标准和方法等不符合以下要求的(招标人需要增加的其他内容，无则删除本条)：</w:t>
            </w:r>
          </w:p>
          <w:p w14:paraId="5F3BCEE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14:paraId="3311ADBC">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strike/>
                <w:color w:val="auto"/>
                <w:highlight w:val="none"/>
              </w:rPr>
              <w:t>5.(招标人需要增加的符合法律法规规定的其他内容，无则删除本条)。</w:t>
            </w:r>
          </w:p>
          <w:p w14:paraId="66A772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14:paraId="337F9FE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14:paraId="242661D1">
            <w:pPr>
              <w:tabs>
                <w:tab w:val="left" w:pos="5680"/>
              </w:tabs>
              <w:kinsoku/>
              <w:overflowPunct w:val="0"/>
              <w:topLinePunct/>
              <w:spacing w:line="336" w:lineRule="auto"/>
              <w:ind w:left="105" w:leftChars="50" w:right="105" w:rightChars="50"/>
              <w:jc w:val="both"/>
              <w:rPr>
                <w:rFonts w:hint="eastAsia" w:ascii="宋体" w:hAnsi="宋体" w:eastAsia="宋体" w:cs="宋体"/>
                <w:b/>
                <w:bCs/>
                <w:color w:val="auto"/>
                <w:highlight w:val="none"/>
                <w:u w:val="single"/>
              </w:rPr>
            </w:pPr>
            <w:r>
              <w:rPr>
                <w:rFonts w:hint="eastAsia" w:ascii="宋体" w:hAnsi="宋体" w:eastAsia="宋体" w:cs="宋体"/>
                <w:color w:val="auto"/>
                <w:position w:val="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p>
          <w:p w14:paraId="79E8F2E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14:paraId="109726E2">
            <w:pPr>
              <w:tabs>
                <w:tab w:val="left" w:pos="5680"/>
              </w:tabs>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p>
          <w:p w14:paraId="7E5CCB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strike/>
                <w:color w:val="auto"/>
                <w:highlight w:val="none"/>
              </w:rPr>
              <w:t>5.(招标人需要增加的其他商务标内容，无则删除本条)。</w:t>
            </w:r>
          </w:p>
        </w:tc>
      </w:tr>
      <w:tr w14:paraId="6E6F2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5D773C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2050" w:type="dxa"/>
            <w:vAlign w:val="center"/>
          </w:tcPr>
          <w:p w14:paraId="7B42A94F">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定标（适用于“评定分离”）</w:t>
            </w:r>
          </w:p>
        </w:tc>
        <w:tc>
          <w:tcPr>
            <w:tcW w:w="5596" w:type="dxa"/>
            <w:vAlign w:val="center"/>
          </w:tcPr>
          <w:p w14:paraId="61B4AE44">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1.定标委员会：定标委员会由招标人负责组建，成员数量为5人及以上单数。定标委员会成员与中标候选人有利害关系的应主动说明并申请回避。</w:t>
            </w:r>
          </w:p>
          <w:p w14:paraId="104C1B61">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2.定标会议地点和时间：</w:t>
            </w:r>
          </w:p>
          <w:p w14:paraId="7AB7287B">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2.1定标时间：                 。</w:t>
            </w:r>
          </w:p>
          <w:p w14:paraId="0107DBC7">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2.2定标地点：                 。</w:t>
            </w:r>
          </w:p>
          <w:p w14:paraId="52781F50">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2.3招标人根据相关规定在评标结果公示结束后10日内召开定标会议。</w:t>
            </w:r>
          </w:p>
          <w:p w14:paraId="3070B72C">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3.考察、质询</w:t>
            </w:r>
          </w:p>
          <w:p w14:paraId="4AF4711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3.1在定标会议前（考察、质询应给予中标候选人合理的准备时间。）对所有中标候选人进行考察、质询。</w:t>
            </w:r>
          </w:p>
          <w:p w14:paraId="476C8791">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3.2考察、质询小组由</w:t>
            </w:r>
            <w:r>
              <w:rPr>
                <w:rFonts w:hint="eastAsia" w:ascii="宋体" w:hAnsi="宋体" w:eastAsia="宋体" w:cs="宋体"/>
                <w:i/>
                <w:iCs/>
                <w:strike/>
                <w:dstrike w:val="0"/>
                <w:color w:val="auto"/>
                <w:highlight w:val="none"/>
                <w:u w:val="single"/>
              </w:rPr>
              <w:t>（3人及以上单数）</w:t>
            </w:r>
            <w:r>
              <w:rPr>
                <w:rFonts w:hint="eastAsia" w:ascii="宋体" w:hAnsi="宋体" w:eastAsia="宋体" w:cs="宋体"/>
                <w:strike/>
                <w:dstrike w:val="0"/>
                <w:color w:val="auto"/>
                <w:highlight w:val="none"/>
              </w:rPr>
              <w:t>组成。</w:t>
            </w:r>
          </w:p>
          <w:p w14:paraId="08AA5CA5">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4.现场面试</w:t>
            </w:r>
          </w:p>
          <w:p w14:paraId="2EDCD296">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4.1面试时间：             ；</w:t>
            </w:r>
          </w:p>
          <w:p w14:paraId="6D87FAD6">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4.2面试内容：            ；</w:t>
            </w:r>
          </w:p>
          <w:p w14:paraId="6769ABA2">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4.3面试方式：</w:t>
            </w:r>
          </w:p>
          <w:p w14:paraId="0BD65154">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26C74DE8">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4.3.2其他方式：                   。</w:t>
            </w:r>
          </w:p>
          <w:p w14:paraId="5F0C8ACC">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5.定标要素及具体内容</w:t>
            </w:r>
          </w:p>
          <w:p w14:paraId="3F8AC695">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5.1评标报告； </w:t>
            </w:r>
          </w:p>
          <w:p w14:paraId="03EB4E5A">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5.2考察或质询情况；</w:t>
            </w:r>
          </w:p>
          <w:p w14:paraId="42AA204C">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5.3现场面试情况；</w:t>
            </w:r>
          </w:p>
          <w:p w14:paraId="5CE959B3">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5.4价格因素； </w:t>
            </w:r>
          </w:p>
          <w:p w14:paraId="514ADB91">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5.5企业实力；</w:t>
            </w:r>
          </w:p>
          <w:p w14:paraId="74FB4F78">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5.6企业信誉； </w:t>
            </w:r>
          </w:p>
          <w:p w14:paraId="523A1BDF">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5.7投标方案； </w:t>
            </w:r>
          </w:p>
          <w:p w14:paraId="5EDBC67A">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5.8拟派团队能力与水平； </w:t>
            </w:r>
          </w:p>
          <w:p w14:paraId="40D8BC7A">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5.9联合体投标的，联合体组成情况； </w:t>
            </w:r>
          </w:p>
          <w:p w14:paraId="21711A61">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F0A3"/>
            </w:r>
            <w:r>
              <w:rPr>
                <w:rFonts w:hint="eastAsia" w:ascii="宋体" w:hAnsi="宋体" w:eastAsia="宋体" w:cs="宋体"/>
                <w:strike/>
                <w:dstrike w:val="0"/>
                <w:color w:val="auto"/>
                <w:highlight w:val="none"/>
              </w:rPr>
              <w:t>5.10招标人认为需要考量的其他因素。</w:t>
            </w:r>
          </w:p>
          <w:p w14:paraId="50D69589">
            <w:pPr>
              <w:pStyle w:val="52"/>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6.定标方式</w:t>
            </w:r>
          </w:p>
          <w:p w14:paraId="799F09D9">
            <w:pPr>
              <w:kinsoku/>
              <w:wordWrap w:val="0"/>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D957AF5">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6.1票决法：由定标委员会以直接票决或者逐轮票决的方式确定中标人。</w:t>
            </w:r>
          </w:p>
          <w:p w14:paraId="7AC41164">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726CC321">
            <w:pPr>
              <w:pStyle w:val="52"/>
              <w:kinsoku/>
              <w:overflowPunct w:val="0"/>
              <w:topLinePunct/>
              <w:spacing w:line="336" w:lineRule="auto"/>
              <w:ind w:firstLine="0" w:firstLineChars="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6.3其他定标办法：                  。</w:t>
            </w:r>
          </w:p>
          <w:p w14:paraId="23B2378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7.中标人公告媒介及期限</w:t>
            </w:r>
          </w:p>
          <w:p w14:paraId="4AF128C2">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招标人应当将中标结果情况在投标须知前附表规定的媒介上公告不少于3日。</w:t>
            </w:r>
          </w:p>
          <w:p w14:paraId="62A4B488">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7.1定标后有下列情形之一的，招标人可以组织原定标委员会从其他中标候选人中按原定标方法确定中标人：</w:t>
            </w:r>
          </w:p>
          <w:p w14:paraId="68A1C2F1">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（1）中标人放弃中标资格或者拒不签订合同的； </w:t>
            </w:r>
          </w:p>
          <w:p w14:paraId="3B19C273">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（2）中标人被查实存在违法行为影响中标结果的； </w:t>
            </w:r>
          </w:p>
          <w:p w14:paraId="7710CFEE">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（3）投标须知前附表规定的其他情形。 </w:t>
            </w:r>
          </w:p>
          <w:p w14:paraId="6F756609">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7.2定标后有下列情形之一的，应重新定标： </w:t>
            </w:r>
          </w:p>
          <w:p w14:paraId="7F0C35D6">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（1）查实定标委员会未按定标办法公正履职的； </w:t>
            </w:r>
          </w:p>
          <w:p w14:paraId="3E535775">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（2）有定标委员会成员与中标候选人有利害关系且未申请回避的； </w:t>
            </w:r>
          </w:p>
          <w:p w14:paraId="1C45C490">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（3）投标须知前附表规定的其他情形。</w:t>
            </w:r>
          </w:p>
        </w:tc>
      </w:tr>
      <w:tr w14:paraId="286E0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772429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2050" w:type="dxa"/>
            <w:vAlign w:val="center"/>
          </w:tcPr>
          <w:p w14:paraId="1B00F76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5596" w:type="dxa"/>
            <w:vAlign w:val="center"/>
          </w:tcPr>
          <w:p w14:paraId="0EEEEE5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14:paraId="5031541A">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14:paraId="36E6845E">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14:paraId="569AE17F">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14:paraId="3968888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60457886">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0822A91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632D3C6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14:paraId="7EA03F9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14:paraId="1FC3B0C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14:paraId="3900F5F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14:paraId="1AEB56C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14:paraId="28F85314">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14:paraId="429166ED">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14:paraId="2469B218">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14:paraId="039C81F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14:paraId="3625983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r w14:paraId="4209C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521" w:type="dxa"/>
            <w:vAlign w:val="center"/>
          </w:tcPr>
          <w:p w14:paraId="23D261A3">
            <w:pPr>
              <w:spacing w:line="312" w:lineRule="auto"/>
              <w:ind w:left="105" w:leftChars="50" w:right="105" w:rightChars="50"/>
              <w:rPr>
                <w:rFonts w:hint="eastAsia" w:ascii="宋体" w:hAnsi="宋体" w:eastAsia="宋体" w:cs="宋体"/>
                <w:color w:val="auto"/>
                <w:highlight w:val="none"/>
              </w:rPr>
            </w:pPr>
            <w:r>
              <w:rPr>
                <w:rFonts w:hint="eastAsia" w:ascii="宋体" w:hAnsi="宋体" w:eastAsia="宋体" w:cs="宋体"/>
                <w:b/>
                <w:bCs/>
                <w:color w:val="auto"/>
                <w:highlight w:val="none"/>
              </w:rPr>
              <w:t>10.5</w:t>
            </w:r>
          </w:p>
        </w:tc>
        <w:tc>
          <w:tcPr>
            <w:tcW w:w="2050" w:type="dxa"/>
            <w:vAlign w:val="center"/>
          </w:tcPr>
          <w:p w14:paraId="32789035">
            <w:pPr>
              <w:rPr>
                <w:rFonts w:hint="eastAsia" w:ascii="宋体" w:hAnsi="宋体" w:eastAsia="宋体" w:cs="宋体"/>
                <w:color w:val="auto"/>
                <w:highlight w:val="none"/>
              </w:rPr>
            </w:pPr>
            <w:r>
              <w:rPr>
                <w:rFonts w:hint="eastAsia" w:ascii="宋体" w:hAnsi="宋体" w:eastAsia="宋体" w:cs="宋体"/>
                <w:b/>
                <w:bCs/>
                <w:color w:val="auto"/>
                <w:highlight w:val="none"/>
              </w:rPr>
              <w:t>特别提醒</w:t>
            </w:r>
          </w:p>
        </w:tc>
        <w:tc>
          <w:tcPr>
            <w:tcW w:w="5596" w:type="dxa"/>
          </w:tcPr>
          <w:p w14:paraId="5928C5AF">
            <w:pPr>
              <w:tabs>
                <w:tab w:val="left" w:pos="5680"/>
              </w:tabs>
              <w:rPr>
                <w:rFonts w:hint="eastAsia" w:ascii="宋体" w:hAnsi="宋体" w:eastAsia="宋体" w:cs="宋体"/>
                <w:color w:val="auto"/>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33791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42A96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50" w:type="dxa"/>
            <w:vAlign w:val="center"/>
          </w:tcPr>
          <w:p w14:paraId="68DCF627">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596" w:type="dxa"/>
            <w:vAlign w:val="center"/>
          </w:tcPr>
          <w:p w14:paraId="6515A48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bl>
    <w:p w14:paraId="27FFF7D2">
      <w:pPr>
        <w:jc w:val="both"/>
        <w:rPr>
          <w:rFonts w:hint="eastAsia" w:ascii="宋体" w:hAnsi="宋体" w:eastAsia="宋体" w:cs="宋体"/>
          <w:color w:val="auto"/>
          <w:highlight w:val="none"/>
        </w:rPr>
      </w:pPr>
    </w:p>
    <w:p w14:paraId="5AF48C81">
      <w:pPr>
        <w:jc w:val="both"/>
        <w:rPr>
          <w:rFonts w:hint="eastAsia" w:ascii="宋体" w:hAnsi="宋体" w:eastAsia="宋体" w:cs="宋体"/>
          <w:color w:val="auto"/>
          <w:highlight w:val="none"/>
        </w:rPr>
        <w:sectPr>
          <w:footerReference r:id="rId7" w:type="default"/>
          <w:pgSz w:w="11906" w:h="16839"/>
          <w:pgMar w:top="1418" w:right="1559" w:bottom="1418" w:left="1474" w:header="0" w:footer="1035" w:gutter="0"/>
          <w:cols w:space="720" w:num="1"/>
        </w:sectPr>
      </w:pPr>
    </w:p>
    <w:p w14:paraId="4CD1AA66">
      <w:pPr>
        <w:spacing w:line="287" w:lineRule="auto"/>
        <w:jc w:val="both"/>
        <w:rPr>
          <w:rFonts w:hint="eastAsia" w:ascii="宋体" w:hAnsi="宋体" w:eastAsia="宋体" w:cs="宋体"/>
          <w:color w:val="auto"/>
          <w:highlight w:val="none"/>
        </w:rPr>
      </w:pPr>
    </w:p>
    <w:p w14:paraId="0E91F067">
      <w:pPr>
        <w:spacing w:before="91" w:line="221" w:lineRule="auto"/>
        <w:ind w:left="3171"/>
        <w:jc w:val="both"/>
        <w:rPr>
          <w:rFonts w:hint="eastAsia" w:ascii="宋体" w:hAnsi="宋体" w:eastAsia="宋体" w:cs="宋体"/>
          <w:color w:val="auto"/>
          <w:sz w:val="28"/>
          <w:szCs w:val="28"/>
          <w:highlight w:val="none"/>
        </w:rPr>
      </w:pPr>
      <w:bookmarkStart w:id="7" w:name="_bookmark4"/>
      <w:bookmarkEnd w:id="7"/>
      <w:r>
        <w:rPr>
          <w:rFonts w:hint="eastAsia" w:ascii="宋体" w:hAnsi="宋体" w:eastAsia="宋体" w:cs="宋体"/>
          <w:color w:val="auto"/>
          <w:sz w:val="28"/>
          <w:szCs w:val="28"/>
          <w:highlight w:val="none"/>
        </w:rPr>
        <w:t>第二节投标人须知</w:t>
      </w:r>
    </w:p>
    <w:p w14:paraId="55948DED">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6755C14B">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32B6196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40F4B5A1">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7E21BC9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27317FC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0A7BB6A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367B74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2874FD7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1C1A3905">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61D9CC1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5C3BDE2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65790947">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55B7262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43780C2B">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1C00FE3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5CBA9EF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5D310D3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1FE652F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5822BE8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5AB0A00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5F9652E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0039CF1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4A7D566B">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299FEE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14B7E056">
      <w:pPr>
        <w:spacing w:line="312" w:lineRule="auto"/>
        <w:ind w:firstLine="465" w:firstLineChars="194"/>
        <w:jc w:val="both"/>
        <w:rPr>
          <w:rFonts w:hint="eastAsia" w:ascii="宋体" w:hAnsi="宋体" w:eastAsia="宋体" w:cs="宋体"/>
          <w:color w:val="auto"/>
          <w:position w:val="1"/>
          <w:sz w:val="24"/>
          <w:szCs w:val="24"/>
          <w:highlight w:val="none"/>
        </w:rPr>
        <w:sectPr>
          <w:footerReference r:id="rId8" w:type="default"/>
          <w:pgSz w:w="11906" w:h="16839"/>
          <w:pgMar w:top="1418" w:right="1559" w:bottom="1418" w:left="1474" w:header="0" w:footer="1035" w:gutter="0"/>
          <w:cols w:space="720" w:num="1"/>
        </w:sectPr>
      </w:pPr>
    </w:p>
    <w:p w14:paraId="28C4D7F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64234E6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5C2470F4">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231F222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7CEC16B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61C9B61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1034816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05568DE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467E009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339E03F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3F1BA86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4A3238E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1B7C4F5B">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09462BC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774E553C">
      <w:pPr>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42B1142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7B30212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0DCF503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379206D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7CB304B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001F516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65E2891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6D23AA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5C5555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0947D3C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416202B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4FA16B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5784E45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B68561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3F9D0ED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1CE7F1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03DF8D5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403484D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5E9B660F">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3278E9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58642D5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2E0CB94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78234CB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0ECED9E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315002F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0469F11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7B915E5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56E87E7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3A28F75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124106E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14C4883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6868D73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6E4329E7">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2D55A75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675494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45B2BF8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41AAC5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422A3C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□(3)投标分项报价表；</w:t>
      </w:r>
    </w:p>
    <w:p w14:paraId="15192EF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53CDB68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☑(5)随机备品备件一览表；</w:t>
      </w:r>
    </w:p>
    <w:p w14:paraId="70B7F43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□(6)供招标人选购的备品备件一览表；</w:t>
      </w:r>
    </w:p>
    <w:p w14:paraId="320928C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□(7)专用检测设备及专用维修工具一览表；</w:t>
      </w:r>
    </w:p>
    <w:p w14:paraId="3129C20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026"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KaLgFtcAAAAI&#10;AQAADwAAAAAAAAABACAAAAAiAAAAZHJzL2Rvd25yZXYueG1sUEsBAhQAFAAAAAgAh07iQCFl1XGr&#10;AQAAVAMAAA4AAAAAAAAAAQAgAAAAJgEAAGRycy9lMm9Eb2MueG1sUEsFBgAAAAAGAAYAWQEAAEMF&#10;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2392AADC">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4A7E3DD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☑(1)货物说明一览表；</w:t>
      </w:r>
    </w:p>
    <w:p w14:paraId="511DA1B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☑(2)技术响应表；</w:t>
      </w:r>
    </w:p>
    <w:p w14:paraId="7B4AA6D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☑(3)主要配置说明一览表；</w:t>
      </w:r>
    </w:p>
    <w:p w14:paraId="4FF979E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☑(4)技术规格偏离表；</w:t>
      </w:r>
    </w:p>
    <w:p w14:paraId="63E4A64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0599D0D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□(6)产品的主要技术、结构、性能、特点和质量水平的详细描述；</w:t>
      </w:r>
    </w:p>
    <w:p w14:paraId="48F67CE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□(7)产品制造、安装、验收标准；</w:t>
      </w:r>
    </w:p>
    <w:p w14:paraId="7F6589A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□(8)主要工艺装备和主要检测设施的拥有情况和现状；</w:t>
      </w:r>
    </w:p>
    <w:p w14:paraId="62E8085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☑(9)质量手册或关于质量管理、质量体系、质量控制、质量保证的详细介绍；</w:t>
      </w:r>
    </w:p>
    <w:p w14:paraId="0212E64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☑(10)产品的技术服务和售后服务的内容和措施；</w:t>
      </w:r>
    </w:p>
    <w:p w14:paraId="0D046AF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1027"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ps:wsp>
                  </a:graphicData>
                </a:graphic>
              </wp:anchor>
            </w:drawing>
          </mc:Choice>
          <mc:Fallback>
            <w:pict>
              <v:rect id="矩形 6" o:spid="_x0000_s1026" o:spt="1" style="position:absolute;left:0pt;margin-left:23.9pt;margin-top:19.1pt;height:0.6pt;width:276.4pt;z-index:25165926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16+WS1wAAAAgB&#10;AAAPAAAAAAAAAAEAIAAAACIAAABkcnMvZG93bnJldi54bWxQSwECFAAUAAAACACHTuJAAGpnQqoB&#10;AABUAwAADgAAAAAAAAABACAAAAAmAQAAZHJzL2Uyb0RvYy54bWxQSwUGAAAAAAYABgBZAQAAQgUA&#10;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097FB80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0EE9F51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42537E0A">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28A6BAD2">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2B60E74A">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54860404">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65363CC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5541C7C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（7）中小企业声明函。</w:t>
      </w:r>
    </w:p>
    <w:p w14:paraId="2F5A56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（8）其他资料：格式自拟（招标人认为需要增加的符合法律法规规定的其他实质性响应的资料）。</w:t>
      </w:r>
    </w:p>
    <w:p w14:paraId="49BBCED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6FC189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29C1304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62F3BA9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0CABA44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2481528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722154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24683CC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710BB6E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35B72D3E">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71461812">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2911F7B4">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4844834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22C2028D">
      <w:pPr>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4EA90371">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0455CF0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3349C934">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67A576E8">
      <w:pPr>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54A3864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1201454B">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146931AC">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6663899A">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6A16A522">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6BFAE7F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775EA79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68802891">
      <w:pPr>
        <w:spacing w:line="312" w:lineRule="auto"/>
        <w:ind w:firstLine="482" w:firstLineChars="200"/>
        <w:rPr>
          <w:rFonts w:hint="eastAsia" w:ascii="宋体" w:hAnsi="宋体" w:eastAsia="宋体" w:cs="宋体"/>
          <w:strike/>
          <w:color w:val="auto"/>
          <w:position w:val="1"/>
          <w:sz w:val="24"/>
          <w:szCs w:val="24"/>
          <w:highlight w:val="none"/>
        </w:rPr>
      </w:pPr>
      <w:r>
        <w:rPr>
          <w:rFonts w:hint="eastAsia" w:ascii="宋体" w:hAnsi="宋体" w:eastAsia="宋体" w:cs="宋体"/>
          <w:b/>
          <w:strike/>
          <w:color w:val="auto"/>
          <w:sz w:val="24"/>
          <w:szCs w:val="24"/>
          <w:highlight w:val="none"/>
        </w:rPr>
        <w:t>免缴投标保证金的投标人如出现上述不予退还投标保证金的情形时，应在承诺时限内补缴全额投标保证金。</w:t>
      </w:r>
    </w:p>
    <w:p w14:paraId="1A43B74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546C7A7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3AB0B2E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3C828DD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3C7EC99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11D36C9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2FB6D90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CEF306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3.5.7实质性响应招标文件及评审打分资料详见投标人须知前附表。</w:t>
      </w:r>
    </w:p>
    <w:p w14:paraId="38C42EF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0F9F238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688B754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113C8BA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638F745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0741728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27AA136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153BE60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172A68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2ED7483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7DDF712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262C404C">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754B094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5C9FB98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24C467E9">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19BBD71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45E558E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1BDE4B97">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1672698C">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1B83201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4169FF9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2092E82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4A44349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5767F0F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33B522ED">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3F6804D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1505EF2B">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49C77B8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576A38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110B608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7B93929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167A6A2">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42EF3FA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6DF4F3E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71DF6F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26191C5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2B8B66F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50968AD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3F7816AF">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730150D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0B1CC587">
      <w:pPr>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0962B64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4559457A">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7E6F364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67ABB4D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485F04F7">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43E8191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0521800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14141C2B">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48CA83B3">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7149DAC4">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6F31764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5126AB3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B23AF9D">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38B389F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7641026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2A06E978">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053AE905">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10C82608">
      <w:pPr>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0EEA422C">
      <w:pPr>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8" w:name="_Toc462184031"/>
      <w:bookmarkStart w:id="9" w:name="_Toc15636"/>
      <w:bookmarkStart w:id="10" w:name="_Toc153981473"/>
      <w:bookmarkStart w:id="11" w:name="_Toc27905"/>
      <w:bookmarkStart w:id="12" w:name="_Toc25932"/>
      <w:bookmarkStart w:id="13" w:name="_Toc9230"/>
      <w:bookmarkStart w:id="14" w:name="_Toc24695"/>
      <w:bookmarkStart w:id="15" w:name="_Toc22922"/>
      <w:bookmarkStart w:id="16" w:name="_Toc31702"/>
      <w:bookmarkStart w:id="17" w:name="_Toc24156"/>
      <w:bookmarkStart w:id="18" w:name="_Toc22455"/>
      <w:bookmarkStart w:id="19" w:name="_Toc24644"/>
      <w:bookmarkStart w:id="20" w:name="_Toc16092"/>
      <w:r>
        <w:rPr>
          <w:rFonts w:hint="eastAsia" w:ascii="宋体" w:hAnsi="宋体" w:eastAsia="宋体" w:cs="宋体"/>
          <w:b/>
          <w:bCs/>
          <w:snapToGrid/>
          <w:color w:val="auto"/>
          <w:kern w:val="2"/>
          <w:sz w:val="24"/>
          <w:szCs w:val="24"/>
          <w:highlight w:val="none"/>
        </w:rPr>
        <w:t>6. 评标</w:t>
      </w:r>
      <w:bookmarkEnd w:id="8"/>
      <w:bookmarkEnd w:id="9"/>
      <w:bookmarkEnd w:id="10"/>
      <w:bookmarkEnd w:id="11"/>
      <w:bookmarkEnd w:id="12"/>
      <w:bookmarkEnd w:id="13"/>
      <w:bookmarkEnd w:id="14"/>
      <w:bookmarkEnd w:id="15"/>
      <w:bookmarkEnd w:id="16"/>
      <w:bookmarkEnd w:id="17"/>
      <w:bookmarkEnd w:id="18"/>
      <w:bookmarkEnd w:id="19"/>
      <w:bookmarkEnd w:id="20"/>
    </w:p>
    <w:p w14:paraId="5F3536BD">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4"/>
      <w:r>
        <w:rPr>
          <w:rFonts w:hint="eastAsia" w:ascii="宋体" w:hAnsi="宋体" w:eastAsia="宋体" w:cs="宋体"/>
          <w:b/>
          <w:snapToGrid/>
          <w:color w:val="auto"/>
          <w:kern w:val="2"/>
          <w:sz w:val="24"/>
          <w:szCs w:val="24"/>
          <w:highlight w:val="none"/>
        </w:rPr>
        <w:t>6.1 评标委员会</w:t>
      </w:r>
      <w:bookmarkEnd w:id="21"/>
    </w:p>
    <w:p w14:paraId="7B29FD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10638D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2AB84EC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0C73721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36D4FE0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41D0F1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16BC630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2" w:name="_Toc193449945"/>
      <w:r>
        <w:rPr>
          <w:rFonts w:hint="eastAsia" w:ascii="宋体" w:hAnsi="宋体" w:eastAsia="宋体" w:cs="宋体"/>
          <w:b/>
          <w:snapToGrid/>
          <w:color w:val="auto"/>
          <w:kern w:val="2"/>
          <w:sz w:val="24"/>
          <w:szCs w:val="24"/>
          <w:highlight w:val="none"/>
        </w:rPr>
        <w:t xml:space="preserve">6.2 评标原则 </w:t>
      </w:r>
    </w:p>
    <w:p w14:paraId="66BF0CA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2D7EC142">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2"/>
    </w:p>
    <w:p w14:paraId="7B5C2BA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0202DA2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27BC6AA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61EF77BE">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3" w:name="_Toc193449946"/>
      <w:r>
        <w:rPr>
          <w:rFonts w:hint="eastAsia" w:ascii="宋体" w:hAnsi="宋体" w:eastAsia="宋体" w:cs="宋体"/>
          <w:b/>
          <w:snapToGrid/>
          <w:color w:val="auto"/>
          <w:kern w:val="2"/>
          <w:sz w:val="24"/>
          <w:szCs w:val="24"/>
          <w:highlight w:val="none"/>
        </w:rPr>
        <w:t>6.4 评标</w:t>
      </w:r>
      <w:bookmarkEnd w:id="23"/>
    </w:p>
    <w:p w14:paraId="6FE2706C">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540A15F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1D79208">
      <w:pPr>
        <w:keepNext/>
        <w:keepLines/>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4" w:name="_Toc12652"/>
      <w:bookmarkStart w:id="25" w:name="_Toc462184032"/>
      <w:bookmarkStart w:id="26" w:name="_Toc8865"/>
      <w:bookmarkStart w:id="27" w:name="_Toc7704"/>
      <w:bookmarkStart w:id="28" w:name="_Toc28153"/>
      <w:bookmarkStart w:id="29" w:name="_Toc18956"/>
      <w:bookmarkStart w:id="30" w:name="_Toc11303"/>
      <w:bookmarkStart w:id="31" w:name="_Toc17051"/>
      <w:bookmarkStart w:id="32" w:name="_Toc28621"/>
      <w:bookmarkStart w:id="33" w:name="_Toc13493"/>
      <w:bookmarkStart w:id="34" w:name="_Toc29415"/>
      <w:bookmarkStart w:id="35" w:name="_Toc21714"/>
      <w:bookmarkStart w:id="36" w:name="_Toc153981474"/>
      <w:r>
        <w:rPr>
          <w:rFonts w:hint="eastAsia" w:ascii="宋体" w:hAnsi="宋体" w:eastAsia="宋体" w:cs="宋体"/>
          <w:b/>
          <w:bCs/>
          <w:snapToGrid/>
          <w:color w:val="auto"/>
          <w:kern w:val="2"/>
          <w:sz w:val="24"/>
          <w:szCs w:val="24"/>
          <w:highlight w:val="none"/>
        </w:rPr>
        <w:t>7. 合同授予</w:t>
      </w:r>
      <w:bookmarkEnd w:id="24"/>
      <w:bookmarkEnd w:id="25"/>
      <w:bookmarkEnd w:id="26"/>
      <w:bookmarkEnd w:id="27"/>
      <w:bookmarkEnd w:id="28"/>
      <w:bookmarkEnd w:id="29"/>
      <w:bookmarkEnd w:id="30"/>
      <w:bookmarkEnd w:id="31"/>
      <w:bookmarkEnd w:id="32"/>
      <w:bookmarkEnd w:id="33"/>
      <w:bookmarkEnd w:id="34"/>
      <w:bookmarkEnd w:id="35"/>
      <w:bookmarkEnd w:id="36"/>
      <w:bookmarkStart w:id="37" w:name="_Toc193449947"/>
    </w:p>
    <w:p w14:paraId="221D2CC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 定标方式</w:t>
      </w:r>
    </w:p>
    <w:p w14:paraId="3E7AF1B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A539DA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173B359B">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7AE74F2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w:t>
      </w: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rPr>
        <w:t>中标人公告媒介及期限</w:t>
      </w:r>
    </w:p>
    <w:p w14:paraId="4A02F2D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05969335">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155372CD">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7"/>
    </w:p>
    <w:p w14:paraId="07B59FC9">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5B967E3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04314D9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49"/>
      <w:r>
        <w:rPr>
          <w:rFonts w:hint="eastAsia" w:ascii="宋体" w:hAnsi="宋体" w:eastAsia="宋体" w:cs="宋体"/>
          <w:b/>
          <w:snapToGrid/>
          <w:color w:val="auto"/>
          <w:kern w:val="2"/>
          <w:sz w:val="24"/>
          <w:szCs w:val="24"/>
          <w:highlight w:val="none"/>
        </w:rPr>
        <w:t>7.3 中标通知书</w:t>
      </w:r>
      <w:bookmarkEnd w:id="38"/>
    </w:p>
    <w:p w14:paraId="72D04320">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33E59D0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1302A24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9" w:name="_Toc193449950"/>
      <w:r>
        <w:rPr>
          <w:rFonts w:hint="eastAsia" w:ascii="宋体" w:hAnsi="宋体" w:eastAsia="宋体" w:cs="宋体"/>
          <w:b/>
          <w:snapToGrid/>
          <w:color w:val="auto"/>
          <w:kern w:val="2"/>
          <w:sz w:val="24"/>
          <w:szCs w:val="24"/>
          <w:highlight w:val="none"/>
        </w:rPr>
        <w:t xml:space="preserve"> 履约</w:t>
      </w:r>
      <w:bookmarkEnd w:id="39"/>
      <w:r>
        <w:rPr>
          <w:rFonts w:hint="eastAsia" w:ascii="宋体" w:hAnsi="宋体" w:eastAsia="宋体" w:cs="宋体"/>
          <w:b/>
          <w:snapToGrid/>
          <w:color w:val="auto"/>
          <w:kern w:val="2"/>
          <w:sz w:val="24"/>
          <w:szCs w:val="24"/>
          <w:highlight w:val="none"/>
        </w:rPr>
        <w:t>保证金</w:t>
      </w:r>
    </w:p>
    <w:p w14:paraId="07693D6E">
      <w:pPr>
        <w:widowControl w:val="0"/>
        <w:tabs>
          <w:tab w:val="left" w:pos="540"/>
        </w:tabs>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14:paraId="10AE994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28F7194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40" w:name="_Toc193449952"/>
      <w:r>
        <w:rPr>
          <w:rFonts w:hint="eastAsia" w:ascii="宋体" w:hAnsi="宋体" w:eastAsia="宋体" w:cs="宋体"/>
          <w:b/>
          <w:snapToGrid/>
          <w:color w:val="auto"/>
          <w:kern w:val="2"/>
          <w:sz w:val="24"/>
          <w:szCs w:val="24"/>
          <w:highlight w:val="none"/>
        </w:rPr>
        <w:t xml:space="preserve">7.5 </w:t>
      </w:r>
      <w:bookmarkEnd w:id="40"/>
      <w:r>
        <w:rPr>
          <w:rFonts w:hint="eastAsia" w:ascii="宋体" w:hAnsi="宋体" w:eastAsia="宋体" w:cs="宋体"/>
          <w:b/>
          <w:snapToGrid/>
          <w:color w:val="auto"/>
          <w:kern w:val="2"/>
          <w:sz w:val="24"/>
          <w:szCs w:val="24"/>
          <w:highlight w:val="none"/>
        </w:rPr>
        <w:t>签订合同</w:t>
      </w:r>
    </w:p>
    <w:p w14:paraId="6248CAE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360D450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2BB4372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ECC1B6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25B99652">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07C8DD4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767DF92F">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3BEE06BE">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08CAB962">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0D0B69B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03451FA6">
      <w:pPr>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555DFE68">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4927DD4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66F48D52">
      <w:pPr>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1B1BD52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1A56F118">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0055E5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17B6404E">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671A108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43DF875C">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1BD101A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5C788CA0">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64D9697A">
      <w:pPr>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44CA7D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1EA30CB4">
      <w:pPr>
        <w:spacing w:line="312" w:lineRule="auto"/>
        <w:jc w:val="both"/>
        <w:rPr>
          <w:rFonts w:hint="eastAsia" w:ascii="宋体" w:hAnsi="宋体" w:eastAsia="宋体" w:cs="宋体"/>
          <w:color w:val="auto"/>
          <w:position w:val="1"/>
          <w:sz w:val="24"/>
          <w:szCs w:val="24"/>
          <w:highlight w:val="none"/>
        </w:rPr>
      </w:pPr>
    </w:p>
    <w:p w14:paraId="462E9D87">
      <w:pPr>
        <w:spacing w:line="312" w:lineRule="auto"/>
        <w:jc w:val="both"/>
        <w:rPr>
          <w:rFonts w:hint="eastAsia" w:ascii="宋体" w:hAnsi="宋体" w:eastAsia="宋体" w:cs="宋体"/>
          <w:color w:val="auto"/>
          <w:position w:val="1"/>
          <w:sz w:val="24"/>
          <w:szCs w:val="24"/>
          <w:highlight w:val="none"/>
        </w:rPr>
      </w:pPr>
    </w:p>
    <w:p w14:paraId="7E77C40B">
      <w:pPr>
        <w:spacing w:line="312" w:lineRule="auto"/>
        <w:jc w:val="both"/>
        <w:rPr>
          <w:rFonts w:hint="eastAsia" w:ascii="宋体" w:hAnsi="宋体" w:eastAsia="宋体" w:cs="宋体"/>
          <w:color w:val="auto"/>
          <w:position w:val="1"/>
          <w:sz w:val="24"/>
          <w:szCs w:val="24"/>
          <w:highlight w:val="none"/>
        </w:rPr>
      </w:pPr>
    </w:p>
    <w:p w14:paraId="63A3AA98">
      <w:pPr>
        <w:spacing w:line="347" w:lineRule="auto"/>
        <w:jc w:val="both"/>
        <w:rPr>
          <w:rFonts w:hint="eastAsia" w:ascii="宋体" w:hAnsi="宋体" w:eastAsia="宋体" w:cs="宋体"/>
          <w:color w:val="auto"/>
          <w:position w:val="1"/>
          <w:sz w:val="24"/>
          <w:szCs w:val="24"/>
          <w:highlight w:val="none"/>
        </w:rPr>
      </w:pPr>
    </w:p>
    <w:p w14:paraId="568C7411">
      <w:pPr>
        <w:spacing w:line="347" w:lineRule="auto"/>
        <w:jc w:val="both"/>
        <w:rPr>
          <w:rFonts w:hint="eastAsia" w:ascii="宋体" w:hAnsi="宋体" w:eastAsia="宋体" w:cs="宋体"/>
          <w:color w:val="auto"/>
          <w:position w:val="1"/>
          <w:sz w:val="24"/>
          <w:szCs w:val="24"/>
          <w:highlight w:val="none"/>
        </w:rPr>
      </w:pPr>
    </w:p>
    <w:p w14:paraId="6D6AE7E1">
      <w:pPr>
        <w:spacing w:line="347" w:lineRule="auto"/>
        <w:jc w:val="both"/>
        <w:rPr>
          <w:rFonts w:hint="eastAsia" w:ascii="宋体" w:hAnsi="宋体" w:eastAsia="宋体" w:cs="宋体"/>
          <w:color w:val="auto"/>
          <w:highlight w:val="none"/>
        </w:rPr>
      </w:pPr>
    </w:p>
    <w:p w14:paraId="1FA59F63">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41" w:name="_bookmark5"/>
      <w:bookmarkEnd w:id="41"/>
      <w:r>
        <w:rPr>
          <w:rFonts w:hint="eastAsia" w:ascii="宋体" w:hAnsi="宋体" w:eastAsia="宋体" w:cs="宋体"/>
          <w:color w:val="auto"/>
          <w:sz w:val="28"/>
          <w:szCs w:val="28"/>
          <w:highlight w:val="none"/>
        </w:rPr>
        <w:t>附表一：开标记录表</w:t>
      </w:r>
    </w:p>
    <w:p w14:paraId="7CFF801B">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0302C179">
      <w:pPr>
        <w:spacing w:line="286" w:lineRule="auto"/>
        <w:jc w:val="both"/>
        <w:rPr>
          <w:rFonts w:hint="eastAsia" w:ascii="宋体" w:hAnsi="宋体" w:eastAsia="宋体" w:cs="宋体"/>
          <w:color w:val="auto"/>
          <w:highlight w:val="none"/>
        </w:rPr>
      </w:pPr>
    </w:p>
    <w:p w14:paraId="47980CF5">
      <w:pPr>
        <w:spacing w:line="286" w:lineRule="auto"/>
        <w:jc w:val="both"/>
        <w:rPr>
          <w:rFonts w:hint="eastAsia" w:ascii="宋体" w:hAnsi="宋体" w:eastAsia="宋体" w:cs="宋体"/>
          <w:color w:val="auto"/>
          <w:highlight w:val="none"/>
        </w:rPr>
      </w:pPr>
    </w:p>
    <w:p w14:paraId="6F7684CD">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7E955D6A">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0E1DC64A">
      <w:pPr>
        <w:jc w:val="both"/>
        <w:rPr>
          <w:rFonts w:hint="eastAsia" w:ascii="宋体" w:hAnsi="宋体" w:eastAsia="宋体" w:cs="宋体"/>
          <w:color w:val="auto"/>
          <w:highlight w:val="none"/>
        </w:rPr>
      </w:pPr>
    </w:p>
    <w:p w14:paraId="6A668316">
      <w:pPr>
        <w:jc w:val="both"/>
        <w:rPr>
          <w:rFonts w:hint="eastAsia" w:ascii="宋体" w:hAnsi="宋体" w:eastAsia="宋体" w:cs="宋体"/>
          <w:color w:val="auto"/>
          <w:highlight w:val="none"/>
        </w:rPr>
      </w:pPr>
    </w:p>
    <w:p w14:paraId="1D1E627B">
      <w:pPr>
        <w:spacing w:line="54" w:lineRule="exact"/>
        <w:jc w:val="both"/>
        <w:rPr>
          <w:rFonts w:hint="eastAsia" w:ascii="宋体" w:hAnsi="宋体" w:eastAsia="宋体" w:cs="宋体"/>
          <w:color w:val="auto"/>
          <w:highlight w:val="none"/>
        </w:rPr>
      </w:pPr>
    </w:p>
    <w:tbl>
      <w:tblPr>
        <w:tblStyle w:val="49"/>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058E1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tcPr>
          <w:p w14:paraId="2638616C">
            <w:pPr>
              <w:spacing w:line="253" w:lineRule="auto"/>
              <w:jc w:val="both"/>
              <w:rPr>
                <w:rFonts w:hint="eastAsia" w:ascii="宋体" w:hAnsi="宋体" w:eastAsia="宋体" w:cs="宋体"/>
                <w:color w:val="auto"/>
                <w:highlight w:val="none"/>
              </w:rPr>
            </w:pPr>
          </w:p>
          <w:p w14:paraId="7AA1543C">
            <w:pPr>
              <w:spacing w:line="253" w:lineRule="auto"/>
              <w:jc w:val="both"/>
              <w:rPr>
                <w:rFonts w:hint="eastAsia" w:ascii="宋体" w:hAnsi="宋体" w:eastAsia="宋体" w:cs="宋体"/>
                <w:color w:val="auto"/>
                <w:highlight w:val="none"/>
              </w:rPr>
            </w:pPr>
          </w:p>
          <w:p w14:paraId="1D48B009">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tcPr>
          <w:p w14:paraId="3F108567">
            <w:pPr>
              <w:spacing w:line="253" w:lineRule="auto"/>
              <w:jc w:val="both"/>
              <w:rPr>
                <w:rFonts w:hint="eastAsia" w:ascii="宋体" w:hAnsi="宋体" w:eastAsia="宋体" w:cs="宋体"/>
                <w:color w:val="auto"/>
                <w:highlight w:val="none"/>
              </w:rPr>
            </w:pPr>
          </w:p>
          <w:p w14:paraId="79328B32">
            <w:pPr>
              <w:spacing w:line="255" w:lineRule="auto"/>
              <w:jc w:val="both"/>
              <w:rPr>
                <w:rFonts w:hint="eastAsia" w:ascii="宋体" w:hAnsi="宋体" w:eastAsia="宋体" w:cs="宋体"/>
                <w:color w:val="auto"/>
                <w:highlight w:val="none"/>
              </w:rPr>
            </w:pPr>
          </w:p>
          <w:p w14:paraId="1B5E32D9">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tcPr>
          <w:p w14:paraId="4E167393">
            <w:pPr>
              <w:spacing w:line="278" w:lineRule="auto"/>
              <w:jc w:val="both"/>
              <w:rPr>
                <w:rFonts w:hint="eastAsia" w:ascii="宋体" w:hAnsi="宋体" w:eastAsia="宋体" w:cs="宋体"/>
                <w:color w:val="auto"/>
                <w:highlight w:val="none"/>
              </w:rPr>
            </w:pPr>
          </w:p>
          <w:p w14:paraId="3A63AA15">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385E8284">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tcPr>
          <w:p w14:paraId="3CF8A650">
            <w:pPr>
              <w:spacing w:line="277" w:lineRule="auto"/>
              <w:jc w:val="both"/>
              <w:rPr>
                <w:rFonts w:hint="eastAsia" w:ascii="宋体" w:hAnsi="宋体" w:eastAsia="宋体" w:cs="宋体"/>
                <w:color w:val="auto"/>
                <w:highlight w:val="none"/>
              </w:rPr>
            </w:pPr>
          </w:p>
          <w:p w14:paraId="17F1316E">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tcPr>
          <w:p w14:paraId="4E029415">
            <w:pPr>
              <w:spacing w:line="255" w:lineRule="auto"/>
              <w:jc w:val="both"/>
              <w:rPr>
                <w:rFonts w:hint="eastAsia" w:ascii="宋体" w:hAnsi="宋体" w:eastAsia="宋体" w:cs="宋体"/>
                <w:color w:val="auto"/>
                <w:highlight w:val="none"/>
              </w:rPr>
            </w:pPr>
          </w:p>
          <w:p w14:paraId="3989D2D9">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tcPr>
          <w:p w14:paraId="534FA587">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43A43C28">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tcPr>
          <w:p w14:paraId="574BC56D">
            <w:pPr>
              <w:spacing w:line="278" w:lineRule="auto"/>
              <w:jc w:val="both"/>
              <w:rPr>
                <w:rFonts w:hint="eastAsia" w:ascii="宋体" w:hAnsi="宋体" w:eastAsia="宋体" w:cs="宋体"/>
                <w:color w:val="auto"/>
                <w:highlight w:val="none"/>
              </w:rPr>
            </w:pPr>
          </w:p>
          <w:p w14:paraId="4170138F">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tcPr>
          <w:p w14:paraId="66DE40C8">
            <w:pPr>
              <w:spacing w:line="253" w:lineRule="auto"/>
              <w:jc w:val="both"/>
              <w:rPr>
                <w:rFonts w:hint="eastAsia" w:ascii="宋体" w:hAnsi="宋体" w:eastAsia="宋体" w:cs="宋体"/>
                <w:color w:val="auto"/>
                <w:highlight w:val="none"/>
              </w:rPr>
            </w:pPr>
          </w:p>
          <w:p w14:paraId="45C95848">
            <w:pPr>
              <w:spacing w:line="253" w:lineRule="auto"/>
              <w:jc w:val="both"/>
              <w:rPr>
                <w:rFonts w:hint="eastAsia" w:ascii="宋体" w:hAnsi="宋体" w:eastAsia="宋体" w:cs="宋体"/>
                <w:color w:val="auto"/>
                <w:highlight w:val="none"/>
              </w:rPr>
            </w:pPr>
          </w:p>
          <w:p w14:paraId="1613BC16">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5807D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03CD8171">
            <w:pPr>
              <w:jc w:val="both"/>
              <w:rPr>
                <w:rFonts w:hint="eastAsia" w:ascii="宋体" w:hAnsi="宋体" w:eastAsia="宋体" w:cs="宋体"/>
                <w:color w:val="auto"/>
                <w:highlight w:val="none"/>
              </w:rPr>
            </w:pPr>
          </w:p>
        </w:tc>
        <w:tc>
          <w:tcPr>
            <w:tcW w:w="992" w:type="dxa"/>
          </w:tcPr>
          <w:p w14:paraId="6A5AD155">
            <w:pPr>
              <w:jc w:val="both"/>
              <w:rPr>
                <w:rFonts w:hint="eastAsia" w:ascii="宋体" w:hAnsi="宋体" w:eastAsia="宋体" w:cs="宋体"/>
                <w:color w:val="auto"/>
                <w:highlight w:val="none"/>
              </w:rPr>
            </w:pPr>
          </w:p>
        </w:tc>
        <w:tc>
          <w:tcPr>
            <w:tcW w:w="1134" w:type="dxa"/>
          </w:tcPr>
          <w:p w14:paraId="388FB804">
            <w:pPr>
              <w:jc w:val="both"/>
              <w:rPr>
                <w:rFonts w:hint="eastAsia" w:ascii="宋体" w:hAnsi="宋体" w:eastAsia="宋体" w:cs="宋体"/>
                <w:color w:val="auto"/>
                <w:highlight w:val="none"/>
              </w:rPr>
            </w:pPr>
          </w:p>
        </w:tc>
        <w:tc>
          <w:tcPr>
            <w:tcW w:w="1345" w:type="dxa"/>
          </w:tcPr>
          <w:p w14:paraId="77E3D5B9">
            <w:pPr>
              <w:jc w:val="both"/>
              <w:rPr>
                <w:rFonts w:hint="eastAsia" w:ascii="宋体" w:hAnsi="宋体" w:eastAsia="宋体" w:cs="宋体"/>
                <w:color w:val="auto"/>
                <w:highlight w:val="none"/>
              </w:rPr>
            </w:pPr>
          </w:p>
        </w:tc>
        <w:tc>
          <w:tcPr>
            <w:tcW w:w="1045" w:type="dxa"/>
          </w:tcPr>
          <w:p w14:paraId="39B399BB">
            <w:pPr>
              <w:jc w:val="both"/>
              <w:rPr>
                <w:rFonts w:hint="eastAsia" w:ascii="宋体" w:hAnsi="宋体" w:eastAsia="宋体" w:cs="宋体"/>
                <w:color w:val="auto"/>
                <w:highlight w:val="none"/>
              </w:rPr>
            </w:pPr>
          </w:p>
        </w:tc>
        <w:tc>
          <w:tcPr>
            <w:tcW w:w="1045" w:type="dxa"/>
          </w:tcPr>
          <w:p w14:paraId="12A00A37">
            <w:pPr>
              <w:jc w:val="both"/>
              <w:rPr>
                <w:rFonts w:hint="eastAsia" w:ascii="宋体" w:hAnsi="宋体" w:eastAsia="宋体" w:cs="宋体"/>
                <w:color w:val="auto"/>
                <w:highlight w:val="none"/>
              </w:rPr>
            </w:pPr>
          </w:p>
        </w:tc>
        <w:tc>
          <w:tcPr>
            <w:tcW w:w="1952" w:type="dxa"/>
          </w:tcPr>
          <w:p w14:paraId="345E4F50">
            <w:pPr>
              <w:jc w:val="both"/>
              <w:rPr>
                <w:rFonts w:hint="eastAsia" w:ascii="宋体" w:hAnsi="宋体" w:eastAsia="宋体" w:cs="宋体"/>
                <w:color w:val="auto"/>
                <w:highlight w:val="none"/>
              </w:rPr>
            </w:pPr>
          </w:p>
        </w:tc>
        <w:tc>
          <w:tcPr>
            <w:tcW w:w="850" w:type="dxa"/>
          </w:tcPr>
          <w:p w14:paraId="7FA46AE9">
            <w:pPr>
              <w:jc w:val="both"/>
              <w:rPr>
                <w:rFonts w:hint="eastAsia" w:ascii="宋体" w:hAnsi="宋体" w:eastAsia="宋体" w:cs="宋体"/>
                <w:color w:val="auto"/>
                <w:highlight w:val="none"/>
              </w:rPr>
            </w:pPr>
          </w:p>
        </w:tc>
      </w:tr>
      <w:tr w14:paraId="042AA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642C4AF7">
            <w:pPr>
              <w:jc w:val="both"/>
              <w:rPr>
                <w:rFonts w:hint="eastAsia" w:ascii="宋体" w:hAnsi="宋体" w:eastAsia="宋体" w:cs="宋体"/>
                <w:color w:val="auto"/>
                <w:highlight w:val="none"/>
              </w:rPr>
            </w:pPr>
          </w:p>
        </w:tc>
        <w:tc>
          <w:tcPr>
            <w:tcW w:w="992" w:type="dxa"/>
          </w:tcPr>
          <w:p w14:paraId="2E5988B1">
            <w:pPr>
              <w:jc w:val="both"/>
              <w:rPr>
                <w:rFonts w:hint="eastAsia" w:ascii="宋体" w:hAnsi="宋体" w:eastAsia="宋体" w:cs="宋体"/>
                <w:color w:val="auto"/>
                <w:highlight w:val="none"/>
              </w:rPr>
            </w:pPr>
          </w:p>
        </w:tc>
        <w:tc>
          <w:tcPr>
            <w:tcW w:w="1134" w:type="dxa"/>
          </w:tcPr>
          <w:p w14:paraId="324D5091">
            <w:pPr>
              <w:jc w:val="both"/>
              <w:rPr>
                <w:rFonts w:hint="eastAsia" w:ascii="宋体" w:hAnsi="宋体" w:eastAsia="宋体" w:cs="宋体"/>
                <w:color w:val="auto"/>
                <w:highlight w:val="none"/>
              </w:rPr>
            </w:pPr>
          </w:p>
        </w:tc>
        <w:tc>
          <w:tcPr>
            <w:tcW w:w="1345" w:type="dxa"/>
          </w:tcPr>
          <w:p w14:paraId="7C806432">
            <w:pPr>
              <w:jc w:val="both"/>
              <w:rPr>
                <w:rFonts w:hint="eastAsia" w:ascii="宋体" w:hAnsi="宋体" w:eastAsia="宋体" w:cs="宋体"/>
                <w:color w:val="auto"/>
                <w:highlight w:val="none"/>
              </w:rPr>
            </w:pPr>
          </w:p>
        </w:tc>
        <w:tc>
          <w:tcPr>
            <w:tcW w:w="1045" w:type="dxa"/>
          </w:tcPr>
          <w:p w14:paraId="7738D6B9">
            <w:pPr>
              <w:jc w:val="both"/>
              <w:rPr>
                <w:rFonts w:hint="eastAsia" w:ascii="宋体" w:hAnsi="宋体" w:eastAsia="宋体" w:cs="宋体"/>
                <w:color w:val="auto"/>
                <w:highlight w:val="none"/>
              </w:rPr>
            </w:pPr>
          </w:p>
        </w:tc>
        <w:tc>
          <w:tcPr>
            <w:tcW w:w="1045" w:type="dxa"/>
          </w:tcPr>
          <w:p w14:paraId="3E27B045">
            <w:pPr>
              <w:jc w:val="both"/>
              <w:rPr>
                <w:rFonts w:hint="eastAsia" w:ascii="宋体" w:hAnsi="宋体" w:eastAsia="宋体" w:cs="宋体"/>
                <w:color w:val="auto"/>
                <w:highlight w:val="none"/>
              </w:rPr>
            </w:pPr>
          </w:p>
        </w:tc>
        <w:tc>
          <w:tcPr>
            <w:tcW w:w="1952" w:type="dxa"/>
          </w:tcPr>
          <w:p w14:paraId="39F6A625">
            <w:pPr>
              <w:jc w:val="both"/>
              <w:rPr>
                <w:rFonts w:hint="eastAsia" w:ascii="宋体" w:hAnsi="宋体" w:eastAsia="宋体" w:cs="宋体"/>
                <w:color w:val="auto"/>
                <w:highlight w:val="none"/>
              </w:rPr>
            </w:pPr>
          </w:p>
        </w:tc>
        <w:tc>
          <w:tcPr>
            <w:tcW w:w="850" w:type="dxa"/>
          </w:tcPr>
          <w:p w14:paraId="1C695AFF">
            <w:pPr>
              <w:jc w:val="both"/>
              <w:rPr>
                <w:rFonts w:hint="eastAsia" w:ascii="宋体" w:hAnsi="宋体" w:eastAsia="宋体" w:cs="宋体"/>
                <w:color w:val="auto"/>
                <w:highlight w:val="none"/>
              </w:rPr>
            </w:pPr>
          </w:p>
        </w:tc>
      </w:tr>
      <w:tr w14:paraId="428B1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Pr>
          <w:p w14:paraId="4FE40BCB">
            <w:pPr>
              <w:jc w:val="both"/>
              <w:rPr>
                <w:rFonts w:hint="eastAsia" w:ascii="宋体" w:hAnsi="宋体" w:eastAsia="宋体" w:cs="宋体"/>
                <w:color w:val="auto"/>
                <w:highlight w:val="none"/>
              </w:rPr>
            </w:pPr>
          </w:p>
        </w:tc>
        <w:tc>
          <w:tcPr>
            <w:tcW w:w="992" w:type="dxa"/>
          </w:tcPr>
          <w:p w14:paraId="17C48764">
            <w:pPr>
              <w:jc w:val="both"/>
              <w:rPr>
                <w:rFonts w:hint="eastAsia" w:ascii="宋体" w:hAnsi="宋体" w:eastAsia="宋体" w:cs="宋体"/>
                <w:color w:val="auto"/>
                <w:highlight w:val="none"/>
              </w:rPr>
            </w:pPr>
          </w:p>
        </w:tc>
        <w:tc>
          <w:tcPr>
            <w:tcW w:w="1134" w:type="dxa"/>
          </w:tcPr>
          <w:p w14:paraId="7F4826F4">
            <w:pPr>
              <w:jc w:val="both"/>
              <w:rPr>
                <w:rFonts w:hint="eastAsia" w:ascii="宋体" w:hAnsi="宋体" w:eastAsia="宋体" w:cs="宋体"/>
                <w:color w:val="auto"/>
                <w:highlight w:val="none"/>
              </w:rPr>
            </w:pPr>
          </w:p>
        </w:tc>
        <w:tc>
          <w:tcPr>
            <w:tcW w:w="1345" w:type="dxa"/>
          </w:tcPr>
          <w:p w14:paraId="7C7701CA">
            <w:pPr>
              <w:jc w:val="both"/>
              <w:rPr>
                <w:rFonts w:hint="eastAsia" w:ascii="宋体" w:hAnsi="宋体" w:eastAsia="宋体" w:cs="宋体"/>
                <w:color w:val="auto"/>
                <w:highlight w:val="none"/>
              </w:rPr>
            </w:pPr>
          </w:p>
        </w:tc>
        <w:tc>
          <w:tcPr>
            <w:tcW w:w="1045" w:type="dxa"/>
          </w:tcPr>
          <w:p w14:paraId="5F55D52E">
            <w:pPr>
              <w:jc w:val="both"/>
              <w:rPr>
                <w:rFonts w:hint="eastAsia" w:ascii="宋体" w:hAnsi="宋体" w:eastAsia="宋体" w:cs="宋体"/>
                <w:color w:val="auto"/>
                <w:highlight w:val="none"/>
              </w:rPr>
            </w:pPr>
          </w:p>
        </w:tc>
        <w:tc>
          <w:tcPr>
            <w:tcW w:w="1045" w:type="dxa"/>
          </w:tcPr>
          <w:p w14:paraId="10CD07AA">
            <w:pPr>
              <w:jc w:val="both"/>
              <w:rPr>
                <w:rFonts w:hint="eastAsia" w:ascii="宋体" w:hAnsi="宋体" w:eastAsia="宋体" w:cs="宋体"/>
                <w:color w:val="auto"/>
                <w:highlight w:val="none"/>
              </w:rPr>
            </w:pPr>
          </w:p>
        </w:tc>
        <w:tc>
          <w:tcPr>
            <w:tcW w:w="1952" w:type="dxa"/>
          </w:tcPr>
          <w:p w14:paraId="27A82644">
            <w:pPr>
              <w:jc w:val="both"/>
              <w:rPr>
                <w:rFonts w:hint="eastAsia" w:ascii="宋体" w:hAnsi="宋体" w:eastAsia="宋体" w:cs="宋体"/>
                <w:color w:val="auto"/>
                <w:highlight w:val="none"/>
              </w:rPr>
            </w:pPr>
          </w:p>
        </w:tc>
        <w:tc>
          <w:tcPr>
            <w:tcW w:w="850" w:type="dxa"/>
          </w:tcPr>
          <w:p w14:paraId="182FC14C">
            <w:pPr>
              <w:jc w:val="both"/>
              <w:rPr>
                <w:rFonts w:hint="eastAsia" w:ascii="宋体" w:hAnsi="宋体" w:eastAsia="宋体" w:cs="宋体"/>
                <w:color w:val="auto"/>
                <w:highlight w:val="none"/>
              </w:rPr>
            </w:pPr>
          </w:p>
        </w:tc>
      </w:tr>
      <w:tr w14:paraId="121EB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437A0255">
            <w:pPr>
              <w:jc w:val="both"/>
              <w:rPr>
                <w:rFonts w:hint="eastAsia" w:ascii="宋体" w:hAnsi="宋体" w:eastAsia="宋体" w:cs="宋体"/>
                <w:color w:val="auto"/>
                <w:highlight w:val="none"/>
              </w:rPr>
            </w:pPr>
          </w:p>
        </w:tc>
        <w:tc>
          <w:tcPr>
            <w:tcW w:w="992" w:type="dxa"/>
          </w:tcPr>
          <w:p w14:paraId="3114CBE7">
            <w:pPr>
              <w:jc w:val="both"/>
              <w:rPr>
                <w:rFonts w:hint="eastAsia" w:ascii="宋体" w:hAnsi="宋体" w:eastAsia="宋体" w:cs="宋体"/>
                <w:color w:val="auto"/>
                <w:highlight w:val="none"/>
              </w:rPr>
            </w:pPr>
          </w:p>
        </w:tc>
        <w:tc>
          <w:tcPr>
            <w:tcW w:w="1134" w:type="dxa"/>
          </w:tcPr>
          <w:p w14:paraId="09A9B045">
            <w:pPr>
              <w:jc w:val="both"/>
              <w:rPr>
                <w:rFonts w:hint="eastAsia" w:ascii="宋体" w:hAnsi="宋体" w:eastAsia="宋体" w:cs="宋体"/>
                <w:color w:val="auto"/>
                <w:highlight w:val="none"/>
              </w:rPr>
            </w:pPr>
          </w:p>
        </w:tc>
        <w:tc>
          <w:tcPr>
            <w:tcW w:w="1345" w:type="dxa"/>
          </w:tcPr>
          <w:p w14:paraId="73DE7842">
            <w:pPr>
              <w:jc w:val="both"/>
              <w:rPr>
                <w:rFonts w:hint="eastAsia" w:ascii="宋体" w:hAnsi="宋体" w:eastAsia="宋体" w:cs="宋体"/>
                <w:color w:val="auto"/>
                <w:highlight w:val="none"/>
              </w:rPr>
            </w:pPr>
          </w:p>
        </w:tc>
        <w:tc>
          <w:tcPr>
            <w:tcW w:w="1045" w:type="dxa"/>
          </w:tcPr>
          <w:p w14:paraId="54EAAFD6">
            <w:pPr>
              <w:jc w:val="both"/>
              <w:rPr>
                <w:rFonts w:hint="eastAsia" w:ascii="宋体" w:hAnsi="宋体" w:eastAsia="宋体" w:cs="宋体"/>
                <w:color w:val="auto"/>
                <w:highlight w:val="none"/>
              </w:rPr>
            </w:pPr>
          </w:p>
        </w:tc>
        <w:tc>
          <w:tcPr>
            <w:tcW w:w="1045" w:type="dxa"/>
          </w:tcPr>
          <w:p w14:paraId="62F81AF7">
            <w:pPr>
              <w:jc w:val="both"/>
              <w:rPr>
                <w:rFonts w:hint="eastAsia" w:ascii="宋体" w:hAnsi="宋体" w:eastAsia="宋体" w:cs="宋体"/>
                <w:color w:val="auto"/>
                <w:highlight w:val="none"/>
              </w:rPr>
            </w:pPr>
          </w:p>
        </w:tc>
        <w:tc>
          <w:tcPr>
            <w:tcW w:w="1952" w:type="dxa"/>
          </w:tcPr>
          <w:p w14:paraId="4FBB1DEA">
            <w:pPr>
              <w:jc w:val="both"/>
              <w:rPr>
                <w:rFonts w:hint="eastAsia" w:ascii="宋体" w:hAnsi="宋体" w:eastAsia="宋体" w:cs="宋体"/>
                <w:color w:val="auto"/>
                <w:highlight w:val="none"/>
              </w:rPr>
            </w:pPr>
          </w:p>
        </w:tc>
        <w:tc>
          <w:tcPr>
            <w:tcW w:w="850" w:type="dxa"/>
          </w:tcPr>
          <w:p w14:paraId="3C62CA68">
            <w:pPr>
              <w:jc w:val="both"/>
              <w:rPr>
                <w:rFonts w:hint="eastAsia" w:ascii="宋体" w:hAnsi="宋体" w:eastAsia="宋体" w:cs="宋体"/>
                <w:color w:val="auto"/>
                <w:highlight w:val="none"/>
              </w:rPr>
            </w:pPr>
          </w:p>
        </w:tc>
      </w:tr>
      <w:tr w14:paraId="0B7D3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564343F1">
            <w:pPr>
              <w:jc w:val="both"/>
              <w:rPr>
                <w:rFonts w:hint="eastAsia" w:ascii="宋体" w:hAnsi="宋体" w:eastAsia="宋体" w:cs="宋体"/>
                <w:color w:val="auto"/>
                <w:highlight w:val="none"/>
              </w:rPr>
            </w:pPr>
          </w:p>
        </w:tc>
        <w:tc>
          <w:tcPr>
            <w:tcW w:w="992" w:type="dxa"/>
          </w:tcPr>
          <w:p w14:paraId="6ADFF96E">
            <w:pPr>
              <w:jc w:val="both"/>
              <w:rPr>
                <w:rFonts w:hint="eastAsia" w:ascii="宋体" w:hAnsi="宋体" w:eastAsia="宋体" w:cs="宋体"/>
                <w:color w:val="auto"/>
                <w:highlight w:val="none"/>
              </w:rPr>
            </w:pPr>
          </w:p>
        </w:tc>
        <w:tc>
          <w:tcPr>
            <w:tcW w:w="1134" w:type="dxa"/>
          </w:tcPr>
          <w:p w14:paraId="0C616E8A">
            <w:pPr>
              <w:jc w:val="both"/>
              <w:rPr>
                <w:rFonts w:hint="eastAsia" w:ascii="宋体" w:hAnsi="宋体" w:eastAsia="宋体" w:cs="宋体"/>
                <w:color w:val="auto"/>
                <w:highlight w:val="none"/>
              </w:rPr>
            </w:pPr>
          </w:p>
        </w:tc>
        <w:tc>
          <w:tcPr>
            <w:tcW w:w="1345" w:type="dxa"/>
          </w:tcPr>
          <w:p w14:paraId="537A9DB9">
            <w:pPr>
              <w:jc w:val="both"/>
              <w:rPr>
                <w:rFonts w:hint="eastAsia" w:ascii="宋体" w:hAnsi="宋体" w:eastAsia="宋体" w:cs="宋体"/>
                <w:color w:val="auto"/>
                <w:highlight w:val="none"/>
              </w:rPr>
            </w:pPr>
          </w:p>
        </w:tc>
        <w:tc>
          <w:tcPr>
            <w:tcW w:w="1045" w:type="dxa"/>
          </w:tcPr>
          <w:p w14:paraId="196ACF05">
            <w:pPr>
              <w:jc w:val="both"/>
              <w:rPr>
                <w:rFonts w:hint="eastAsia" w:ascii="宋体" w:hAnsi="宋体" w:eastAsia="宋体" w:cs="宋体"/>
                <w:color w:val="auto"/>
                <w:highlight w:val="none"/>
              </w:rPr>
            </w:pPr>
          </w:p>
        </w:tc>
        <w:tc>
          <w:tcPr>
            <w:tcW w:w="1045" w:type="dxa"/>
          </w:tcPr>
          <w:p w14:paraId="31DDFBF7">
            <w:pPr>
              <w:jc w:val="both"/>
              <w:rPr>
                <w:rFonts w:hint="eastAsia" w:ascii="宋体" w:hAnsi="宋体" w:eastAsia="宋体" w:cs="宋体"/>
                <w:color w:val="auto"/>
                <w:highlight w:val="none"/>
              </w:rPr>
            </w:pPr>
          </w:p>
        </w:tc>
        <w:tc>
          <w:tcPr>
            <w:tcW w:w="1952" w:type="dxa"/>
          </w:tcPr>
          <w:p w14:paraId="3F4963C7">
            <w:pPr>
              <w:jc w:val="both"/>
              <w:rPr>
                <w:rFonts w:hint="eastAsia" w:ascii="宋体" w:hAnsi="宋体" w:eastAsia="宋体" w:cs="宋体"/>
                <w:color w:val="auto"/>
                <w:highlight w:val="none"/>
              </w:rPr>
            </w:pPr>
          </w:p>
        </w:tc>
        <w:tc>
          <w:tcPr>
            <w:tcW w:w="850" w:type="dxa"/>
          </w:tcPr>
          <w:p w14:paraId="33958A2D">
            <w:pPr>
              <w:jc w:val="both"/>
              <w:rPr>
                <w:rFonts w:hint="eastAsia" w:ascii="宋体" w:hAnsi="宋体" w:eastAsia="宋体" w:cs="宋体"/>
                <w:color w:val="auto"/>
                <w:highlight w:val="none"/>
              </w:rPr>
            </w:pPr>
          </w:p>
        </w:tc>
      </w:tr>
      <w:tr w14:paraId="11788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2181FEF9">
            <w:pPr>
              <w:jc w:val="both"/>
              <w:rPr>
                <w:rFonts w:hint="eastAsia" w:ascii="宋体" w:hAnsi="宋体" w:eastAsia="宋体" w:cs="宋体"/>
                <w:color w:val="auto"/>
                <w:highlight w:val="none"/>
              </w:rPr>
            </w:pPr>
          </w:p>
        </w:tc>
        <w:tc>
          <w:tcPr>
            <w:tcW w:w="992" w:type="dxa"/>
          </w:tcPr>
          <w:p w14:paraId="7CFA31D8">
            <w:pPr>
              <w:jc w:val="both"/>
              <w:rPr>
                <w:rFonts w:hint="eastAsia" w:ascii="宋体" w:hAnsi="宋体" w:eastAsia="宋体" w:cs="宋体"/>
                <w:color w:val="auto"/>
                <w:highlight w:val="none"/>
              </w:rPr>
            </w:pPr>
          </w:p>
        </w:tc>
        <w:tc>
          <w:tcPr>
            <w:tcW w:w="1134" w:type="dxa"/>
          </w:tcPr>
          <w:p w14:paraId="167B309C">
            <w:pPr>
              <w:jc w:val="both"/>
              <w:rPr>
                <w:rFonts w:hint="eastAsia" w:ascii="宋体" w:hAnsi="宋体" w:eastAsia="宋体" w:cs="宋体"/>
                <w:color w:val="auto"/>
                <w:highlight w:val="none"/>
              </w:rPr>
            </w:pPr>
          </w:p>
        </w:tc>
        <w:tc>
          <w:tcPr>
            <w:tcW w:w="1345" w:type="dxa"/>
          </w:tcPr>
          <w:p w14:paraId="14137C94">
            <w:pPr>
              <w:jc w:val="both"/>
              <w:rPr>
                <w:rFonts w:hint="eastAsia" w:ascii="宋体" w:hAnsi="宋体" w:eastAsia="宋体" w:cs="宋体"/>
                <w:color w:val="auto"/>
                <w:highlight w:val="none"/>
              </w:rPr>
            </w:pPr>
          </w:p>
        </w:tc>
        <w:tc>
          <w:tcPr>
            <w:tcW w:w="1045" w:type="dxa"/>
          </w:tcPr>
          <w:p w14:paraId="1234C361">
            <w:pPr>
              <w:jc w:val="both"/>
              <w:rPr>
                <w:rFonts w:hint="eastAsia" w:ascii="宋体" w:hAnsi="宋体" w:eastAsia="宋体" w:cs="宋体"/>
                <w:color w:val="auto"/>
                <w:highlight w:val="none"/>
              </w:rPr>
            </w:pPr>
          </w:p>
        </w:tc>
        <w:tc>
          <w:tcPr>
            <w:tcW w:w="1045" w:type="dxa"/>
          </w:tcPr>
          <w:p w14:paraId="7312E292">
            <w:pPr>
              <w:jc w:val="both"/>
              <w:rPr>
                <w:rFonts w:hint="eastAsia" w:ascii="宋体" w:hAnsi="宋体" w:eastAsia="宋体" w:cs="宋体"/>
                <w:color w:val="auto"/>
                <w:highlight w:val="none"/>
              </w:rPr>
            </w:pPr>
          </w:p>
        </w:tc>
        <w:tc>
          <w:tcPr>
            <w:tcW w:w="1952" w:type="dxa"/>
          </w:tcPr>
          <w:p w14:paraId="4AAE316D">
            <w:pPr>
              <w:jc w:val="both"/>
              <w:rPr>
                <w:rFonts w:hint="eastAsia" w:ascii="宋体" w:hAnsi="宋体" w:eastAsia="宋体" w:cs="宋体"/>
                <w:color w:val="auto"/>
                <w:highlight w:val="none"/>
              </w:rPr>
            </w:pPr>
          </w:p>
        </w:tc>
        <w:tc>
          <w:tcPr>
            <w:tcW w:w="850" w:type="dxa"/>
          </w:tcPr>
          <w:p w14:paraId="5BF7441A">
            <w:pPr>
              <w:jc w:val="both"/>
              <w:rPr>
                <w:rFonts w:hint="eastAsia" w:ascii="宋体" w:hAnsi="宋体" w:eastAsia="宋体" w:cs="宋体"/>
                <w:color w:val="auto"/>
                <w:highlight w:val="none"/>
              </w:rPr>
            </w:pPr>
          </w:p>
        </w:tc>
      </w:tr>
      <w:tr w14:paraId="3C8FE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Pr>
          <w:p w14:paraId="3F955309">
            <w:pPr>
              <w:jc w:val="both"/>
              <w:rPr>
                <w:rFonts w:hint="eastAsia" w:ascii="宋体" w:hAnsi="宋体" w:eastAsia="宋体" w:cs="宋体"/>
                <w:color w:val="auto"/>
                <w:highlight w:val="none"/>
              </w:rPr>
            </w:pPr>
          </w:p>
        </w:tc>
        <w:tc>
          <w:tcPr>
            <w:tcW w:w="992" w:type="dxa"/>
          </w:tcPr>
          <w:p w14:paraId="7092C792">
            <w:pPr>
              <w:jc w:val="both"/>
              <w:rPr>
                <w:rFonts w:hint="eastAsia" w:ascii="宋体" w:hAnsi="宋体" w:eastAsia="宋体" w:cs="宋体"/>
                <w:color w:val="auto"/>
                <w:highlight w:val="none"/>
              </w:rPr>
            </w:pPr>
          </w:p>
        </w:tc>
        <w:tc>
          <w:tcPr>
            <w:tcW w:w="1134" w:type="dxa"/>
          </w:tcPr>
          <w:p w14:paraId="0EEE4008">
            <w:pPr>
              <w:jc w:val="both"/>
              <w:rPr>
                <w:rFonts w:hint="eastAsia" w:ascii="宋体" w:hAnsi="宋体" w:eastAsia="宋体" w:cs="宋体"/>
                <w:color w:val="auto"/>
                <w:highlight w:val="none"/>
              </w:rPr>
            </w:pPr>
          </w:p>
        </w:tc>
        <w:tc>
          <w:tcPr>
            <w:tcW w:w="1345" w:type="dxa"/>
          </w:tcPr>
          <w:p w14:paraId="37631C10">
            <w:pPr>
              <w:jc w:val="both"/>
              <w:rPr>
                <w:rFonts w:hint="eastAsia" w:ascii="宋体" w:hAnsi="宋体" w:eastAsia="宋体" w:cs="宋体"/>
                <w:color w:val="auto"/>
                <w:highlight w:val="none"/>
              </w:rPr>
            </w:pPr>
          </w:p>
        </w:tc>
        <w:tc>
          <w:tcPr>
            <w:tcW w:w="1045" w:type="dxa"/>
          </w:tcPr>
          <w:p w14:paraId="455EC6DC">
            <w:pPr>
              <w:jc w:val="both"/>
              <w:rPr>
                <w:rFonts w:hint="eastAsia" w:ascii="宋体" w:hAnsi="宋体" w:eastAsia="宋体" w:cs="宋体"/>
                <w:color w:val="auto"/>
                <w:highlight w:val="none"/>
              </w:rPr>
            </w:pPr>
          </w:p>
        </w:tc>
        <w:tc>
          <w:tcPr>
            <w:tcW w:w="1045" w:type="dxa"/>
          </w:tcPr>
          <w:p w14:paraId="3354BDAC">
            <w:pPr>
              <w:jc w:val="both"/>
              <w:rPr>
                <w:rFonts w:hint="eastAsia" w:ascii="宋体" w:hAnsi="宋体" w:eastAsia="宋体" w:cs="宋体"/>
                <w:color w:val="auto"/>
                <w:highlight w:val="none"/>
              </w:rPr>
            </w:pPr>
          </w:p>
        </w:tc>
        <w:tc>
          <w:tcPr>
            <w:tcW w:w="1952" w:type="dxa"/>
          </w:tcPr>
          <w:p w14:paraId="569386FB">
            <w:pPr>
              <w:jc w:val="both"/>
              <w:rPr>
                <w:rFonts w:hint="eastAsia" w:ascii="宋体" w:hAnsi="宋体" w:eastAsia="宋体" w:cs="宋体"/>
                <w:color w:val="auto"/>
                <w:highlight w:val="none"/>
              </w:rPr>
            </w:pPr>
          </w:p>
        </w:tc>
        <w:tc>
          <w:tcPr>
            <w:tcW w:w="850" w:type="dxa"/>
          </w:tcPr>
          <w:p w14:paraId="7AE3AA34">
            <w:pPr>
              <w:jc w:val="both"/>
              <w:rPr>
                <w:rFonts w:hint="eastAsia" w:ascii="宋体" w:hAnsi="宋体" w:eastAsia="宋体" w:cs="宋体"/>
                <w:color w:val="auto"/>
                <w:highlight w:val="none"/>
              </w:rPr>
            </w:pPr>
          </w:p>
        </w:tc>
      </w:tr>
      <w:tr w14:paraId="4FC9A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324466FA">
            <w:pPr>
              <w:jc w:val="both"/>
              <w:rPr>
                <w:rFonts w:hint="eastAsia" w:ascii="宋体" w:hAnsi="宋体" w:eastAsia="宋体" w:cs="宋体"/>
                <w:color w:val="auto"/>
                <w:highlight w:val="none"/>
              </w:rPr>
            </w:pPr>
          </w:p>
        </w:tc>
        <w:tc>
          <w:tcPr>
            <w:tcW w:w="992" w:type="dxa"/>
          </w:tcPr>
          <w:p w14:paraId="4CF2694C">
            <w:pPr>
              <w:jc w:val="both"/>
              <w:rPr>
                <w:rFonts w:hint="eastAsia" w:ascii="宋体" w:hAnsi="宋体" w:eastAsia="宋体" w:cs="宋体"/>
                <w:color w:val="auto"/>
                <w:highlight w:val="none"/>
              </w:rPr>
            </w:pPr>
          </w:p>
        </w:tc>
        <w:tc>
          <w:tcPr>
            <w:tcW w:w="1134" w:type="dxa"/>
          </w:tcPr>
          <w:p w14:paraId="496CA634">
            <w:pPr>
              <w:jc w:val="both"/>
              <w:rPr>
                <w:rFonts w:hint="eastAsia" w:ascii="宋体" w:hAnsi="宋体" w:eastAsia="宋体" w:cs="宋体"/>
                <w:color w:val="auto"/>
                <w:highlight w:val="none"/>
              </w:rPr>
            </w:pPr>
          </w:p>
        </w:tc>
        <w:tc>
          <w:tcPr>
            <w:tcW w:w="1345" w:type="dxa"/>
          </w:tcPr>
          <w:p w14:paraId="5084D332">
            <w:pPr>
              <w:jc w:val="both"/>
              <w:rPr>
                <w:rFonts w:hint="eastAsia" w:ascii="宋体" w:hAnsi="宋体" w:eastAsia="宋体" w:cs="宋体"/>
                <w:color w:val="auto"/>
                <w:highlight w:val="none"/>
              </w:rPr>
            </w:pPr>
          </w:p>
        </w:tc>
        <w:tc>
          <w:tcPr>
            <w:tcW w:w="1045" w:type="dxa"/>
          </w:tcPr>
          <w:p w14:paraId="01AEE4EF">
            <w:pPr>
              <w:jc w:val="both"/>
              <w:rPr>
                <w:rFonts w:hint="eastAsia" w:ascii="宋体" w:hAnsi="宋体" w:eastAsia="宋体" w:cs="宋体"/>
                <w:color w:val="auto"/>
                <w:highlight w:val="none"/>
              </w:rPr>
            </w:pPr>
          </w:p>
        </w:tc>
        <w:tc>
          <w:tcPr>
            <w:tcW w:w="1045" w:type="dxa"/>
          </w:tcPr>
          <w:p w14:paraId="4A1C42F3">
            <w:pPr>
              <w:jc w:val="both"/>
              <w:rPr>
                <w:rFonts w:hint="eastAsia" w:ascii="宋体" w:hAnsi="宋体" w:eastAsia="宋体" w:cs="宋体"/>
                <w:color w:val="auto"/>
                <w:highlight w:val="none"/>
              </w:rPr>
            </w:pPr>
          </w:p>
        </w:tc>
        <w:tc>
          <w:tcPr>
            <w:tcW w:w="1952" w:type="dxa"/>
          </w:tcPr>
          <w:p w14:paraId="25E8A144">
            <w:pPr>
              <w:jc w:val="both"/>
              <w:rPr>
                <w:rFonts w:hint="eastAsia" w:ascii="宋体" w:hAnsi="宋体" w:eastAsia="宋体" w:cs="宋体"/>
                <w:color w:val="auto"/>
                <w:highlight w:val="none"/>
              </w:rPr>
            </w:pPr>
          </w:p>
        </w:tc>
        <w:tc>
          <w:tcPr>
            <w:tcW w:w="850" w:type="dxa"/>
          </w:tcPr>
          <w:p w14:paraId="2FEA041F">
            <w:pPr>
              <w:jc w:val="both"/>
              <w:rPr>
                <w:rFonts w:hint="eastAsia" w:ascii="宋体" w:hAnsi="宋体" w:eastAsia="宋体" w:cs="宋体"/>
                <w:color w:val="auto"/>
                <w:highlight w:val="none"/>
              </w:rPr>
            </w:pPr>
          </w:p>
        </w:tc>
      </w:tr>
      <w:tr w14:paraId="6C880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2A5E0EED">
            <w:pPr>
              <w:jc w:val="both"/>
              <w:rPr>
                <w:rFonts w:hint="eastAsia" w:ascii="宋体" w:hAnsi="宋体" w:eastAsia="宋体" w:cs="宋体"/>
                <w:color w:val="auto"/>
                <w:highlight w:val="none"/>
              </w:rPr>
            </w:pPr>
          </w:p>
        </w:tc>
        <w:tc>
          <w:tcPr>
            <w:tcW w:w="992" w:type="dxa"/>
          </w:tcPr>
          <w:p w14:paraId="1DB94287">
            <w:pPr>
              <w:jc w:val="both"/>
              <w:rPr>
                <w:rFonts w:hint="eastAsia" w:ascii="宋体" w:hAnsi="宋体" w:eastAsia="宋体" w:cs="宋体"/>
                <w:color w:val="auto"/>
                <w:highlight w:val="none"/>
              </w:rPr>
            </w:pPr>
          </w:p>
        </w:tc>
        <w:tc>
          <w:tcPr>
            <w:tcW w:w="1134" w:type="dxa"/>
          </w:tcPr>
          <w:p w14:paraId="78C261EA">
            <w:pPr>
              <w:jc w:val="both"/>
              <w:rPr>
                <w:rFonts w:hint="eastAsia" w:ascii="宋体" w:hAnsi="宋体" w:eastAsia="宋体" w:cs="宋体"/>
                <w:color w:val="auto"/>
                <w:highlight w:val="none"/>
              </w:rPr>
            </w:pPr>
          </w:p>
        </w:tc>
        <w:tc>
          <w:tcPr>
            <w:tcW w:w="1345" w:type="dxa"/>
          </w:tcPr>
          <w:p w14:paraId="4FDE508B">
            <w:pPr>
              <w:jc w:val="both"/>
              <w:rPr>
                <w:rFonts w:hint="eastAsia" w:ascii="宋体" w:hAnsi="宋体" w:eastAsia="宋体" w:cs="宋体"/>
                <w:color w:val="auto"/>
                <w:highlight w:val="none"/>
              </w:rPr>
            </w:pPr>
          </w:p>
        </w:tc>
        <w:tc>
          <w:tcPr>
            <w:tcW w:w="1045" w:type="dxa"/>
          </w:tcPr>
          <w:p w14:paraId="2A6EFECC">
            <w:pPr>
              <w:jc w:val="both"/>
              <w:rPr>
                <w:rFonts w:hint="eastAsia" w:ascii="宋体" w:hAnsi="宋体" w:eastAsia="宋体" w:cs="宋体"/>
                <w:color w:val="auto"/>
                <w:highlight w:val="none"/>
              </w:rPr>
            </w:pPr>
          </w:p>
        </w:tc>
        <w:tc>
          <w:tcPr>
            <w:tcW w:w="1045" w:type="dxa"/>
          </w:tcPr>
          <w:p w14:paraId="7C0635D0">
            <w:pPr>
              <w:jc w:val="both"/>
              <w:rPr>
                <w:rFonts w:hint="eastAsia" w:ascii="宋体" w:hAnsi="宋体" w:eastAsia="宋体" w:cs="宋体"/>
                <w:color w:val="auto"/>
                <w:highlight w:val="none"/>
              </w:rPr>
            </w:pPr>
          </w:p>
        </w:tc>
        <w:tc>
          <w:tcPr>
            <w:tcW w:w="1952" w:type="dxa"/>
          </w:tcPr>
          <w:p w14:paraId="4EB17411">
            <w:pPr>
              <w:jc w:val="both"/>
              <w:rPr>
                <w:rFonts w:hint="eastAsia" w:ascii="宋体" w:hAnsi="宋体" w:eastAsia="宋体" w:cs="宋体"/>
                <w:color w:val="auto"/>
                <w:highlight w:val="none"/>
              </w:rPr>
            </w:pPr>
          </w:p>
        </w:tc>
        <w:tc>
          <w:tcPr>
            <w:tcW w:w="850" w:type="dxa"/>
          </w:tcPr>
          <w:p w14:paraId="7DB3E3EA">
            <w:pPr>
              <w:jc w:val="both"/>
              <w:rPr>
                <w:rFonts w:hint="eastAsia" w:ascii="宋体" w:hAnsi="宋体" w:eastAsia="宋体" w:cs="宋体"/>
                <w:color w:val="auto"/>
                <w:highlight w:val="none"/>
              </w:rPr>
            </w:pPr>
          </w:p>
        </w:tc>
      </w:tr>
      <w:tr w14:paraId="12157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2D63184F">
            <w:pPr>
              <w:jc w:val="both"/>
              <w:rPr>
                <w:rFonts w:hint="eastAsia" w:ascii="宋体" w:hAnsi="宋体" w:eastAsia="宋体" w:cs="宋体"/>
                <w:color w:val="auto"/>
                <w:highlight w:val="none"/>
              </w:rPr>
            </w:pPr>
          </w:p>
        </w:tc>
        <w:tc>
          <w:tcPr>
            <w:tcW w:w="992" w:type="dxa"/>
          </w:tcPr>
          <w:p w14:paraId="5864E7CF">
            <w:pPr>
              <w:jc w:val="both"/>
              <w:rPr>
                <w:rFonts w:hint="eastAsia" w:ascii="宋体" w:hAnsi="宋体" w:eastAsia="宋体" w:cs="宋体"/>
                <w:color w:val="auto"/>
                <w:highlight w:val="none"/>
              </w:rPr>
            </w:pPr>
          </w:p>
        </w:tc>
        <w:tc>
          <w:tcPr>
            <w:tcW w:w="1134" w:type="dxa"/>
          </w:tcPr>
          <w:p w14:paraId="20568C98">
            <w:pPr>
              <w:jc w:val="both"/>
              <w:rPr>
                <w:rFonts w:hint="eastAsia" w:ascii="宋体" w:hAnsi="宋体" w:eastAsia="宋体" w:cs="宋体"/>
                <w:color w:val="auto"/>
                <w:highlight w:val="none"/>
              </w:rPr>
            </w:pPr>
          </w:p>
        </w:tc>
        <w:tc>
          <w:tcPr>
            <w:tcW w:w="1345" w:type="dxa"/>
          </w:tcPr>
          <w:p w14:paraId="34F2DFEE">
            <w:pPr>
              <w:jc w:val="both"/>
              <w:rPr>
                <w:rFonts w:hint="eastAsia" w:ascii="宋体" w:hAnsi="宋体" w:eastAsia="宋体" w:cs="宋体"/>
                <w:color w:val="auto"/>
                <w:highlight w:val="none"/>
              </w:rPr>
            </w:pPr>
          </w:p>
        </w:tc>
        <w:tc>
          <w:tcPr>
            <w:tcW w:w="1045" w:type="dxa"/>
          </w:tcPr>
          <w:p w14:paraId="13CDB979">
            <w:pPr>
              <w:jc w:val="both"/>
              <w:rPr>
                <w:rFonts w:hint="eastAsia" w:ascii="宋体" w:hAnsi="宋体" w:eastAsia="宋体" w:cs="宋体"/>
                <w:color w:val="auto"/>
                <w:highlight w:val="none"/>
              </w:rPr>
            </w:pPr>
          </w:p>
        </w:tc>
        <w:tc>
          <w:tcPr>
            <w:tcW w:w="1045" w:type="dxa"/>
          </w:tcPr>
          <w:p w14:paraId="3FBC19C5">
            <w:pPr>
              <w:jc w:val="both"/>
              <w:rPr>
                <w:rFonts w:hint="eastAsia" w:ascii="宋体" w:hAnsi="宋体" w:eastAsia="宋体" w:cs="宋体"/>
                <w:color w:val="auto"/>
                <w:highlight w:val="none"/>
              </w:rPr>
            </w:pPr>
          </w:p>
        </w:tc>
        <w:tc>
          <w:tcPr>
            <w:tcW w:w="1952" w:type="dxa"/>
          </w:tcPr>
          <w:p w14:paraId="2FDF0A46">
            <w:pPr>
              <w:jc w:val="both"/>
              <w:rPr>
                <w:rFonts w:hint="eastAsia" w:ascii="宋体" w:hAnsi="宋体" w:eastAsia="宋体" w:cs="宋体"/>
                <w:color w:val="auto"/>
                <w:highlight w:val="none"/>
              </w:rPr>
            </w:pPr>
          </w:p>
        </w:tc>
        <w:tc>
          <w:tcPr>
            <w:tcW w:w="850" w:type="dxa"/>
          </w:tcPr>
          <w:p w14:paraId="27FAD8F7">
            <w:pPr>
              <w:jc w:val="both"/>
              <w:rPr>
                <w:rFonts w:hint="eastAsia" w:ascii="宋体" w:hAnsi="宋体" w:eastAsia="宋体" w:cs="宋体"/>
                <w:color w:val="auto"/>
                <w:highlight w:val="none"/>
              </w:rPr>
            </w:pPr>
          </w:p>
        </w:tc>
      </w:tr>
      <w:tr w14:paraId="1370F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34E98138">
            <w:pPr>
              <w:jc w:val="both"/>
              <w:rPr>
                <w:rFonts w:hint="eastAsia" w:ascii="宋体" w:hAnsi="宋体" w:eastAsia="宋体" w:cs="宋体"/>
                <w:color w:val="auto"/>
                <w:highlight w:val="none"/>
              </w:rPr>
            </w:pPr>
          </w:p>
        </w:tc>
        <w:tc>
          <w:tcPr>
            <w:tcW w:w="992" w:type="dxa"/>
          </w:tcPr>
          <w:p w14:paraId="144973EB">
            <w:pPr>
              <w:jc w:val="both"/>
              <w:rPr>
                <w:rFonts w:hint="eastAsia" w:ascii="宋体" w:hAnsi="宋体" w:eastAsia="宋体" w:cs="宋体"/>
                <w:color w:val="auto"/>
                <w:highlight w:val="none"/>
              </w:rPr>
            </w:pPr>
          </w:p>
        </w:tc>
        <w:tc>
          <w:tcPr>
            <w:tcW w:w="1134" w:type="dxa"/>
          </w:tcPr>
          <w:p w14:paraId="2ABFCBA9">
            <w:pPr>
              <w:jc w:val="both"/>
              <w:rPr>
                <w:rFonts w:hint="eastAsia" w:ascii="宋体" w:hAnsi="宋体" w:eastAsia="宋体" w:cs="宋体"/>
                <w:color w:val="auto"/>
                <w:highlight w:val="none"/>
              </w:rPr>
            </w:pPr>
          </w:p>
        </w:tc>
        <w:tc>
          <w:tcPr>
            <w:tcW w:w="1345" w:type="dxa"/>
          </w:tcPr>
          <w:p w14:paraId="22D591F3">
            <w:pPr>
              <w:jc w:val="both"/>
              <w:rPr>
                <w:rFonts w:hint="eastAsia" w:ascii="宋体" w:hAnsi="宋体" w:eastAsia="宋体" w:cs="宋体"/>
                <w:color w:val="auto"/>
                <w:highlight w:val="none"/>
              </w:rPr>
            </w:pPr>
          </w:p>
        </w:tc>
        <w:tc>
          <w:tcPr>
            <w:tcW w:w="1045" w:type="dxa"/>
          </w:tcPr>
          <w:p w14:paraId="1CC156D3">
            <w:pPr>
              <w:jc w:val="both"/>
              <w:rPr>
                <w:rFonts w:hint="eastAsia" w:ascii="宋体" w:hAnsi="宋体" w:eastAsia="宋体" w:cs="宋体"/>
                <w:color w:val="auto"/>
                <w:highlight w:val="none"/>
              </w:rPr>
            </w:pPr>
          </w:p>
        </w:tc>
        <w:tc>
          <w:tcPr>
            <w:tcW w:w="1045" w:type="dxa"/>
          </w:tcPr>
          <w:p w14:paraId="09CD9EF2">
            <w:pPr>
              <w:jc w:val="both"/>
              <w:rPr>
                <w:rFonts w:hint="eastAsia" w:ascii="宋体" w:hAnsi="宋体" w:eastAsia="宋体" w:cs="宋体"/>
                <w:color w:val="auto"/>
                <w:highlight w:val="none"/>
              </w:rPr>
            </w:pPr>
          </w:p>
        </w:tc>
        <w:tc>
          <w:tcPr>
            <w:tcW w:w="1952" w:type="dxa"/>
          </w:tcPr>
          <w:p w14:paraId="7FCB8375">
            <w:pPr>
              <w:jc w:val="both"/>
              <w:rPr>
                <w:rFonts w:hint="eastAsia" w:ascii="宋体" w:hAnsi="宋体" w:eastAsia="宋体" w:cs="宋体"/>
                <w:color w:val="auto"/>
                <w:highlight w:val="none"/>
              </w:rPr>
            </w:pPr>
          </w:p>
        </w:tc>
        <w:tc>
          <w:tcPr>
            <w:tcW w:w="850" w:type="dxa"/>
          </w:tcPr>
          <w:p w14:paraId="083358A7">
            <w:pPr>
              <w:jc w:val="both"/>
              <w:rPr>
                <w:rFonts w:hint="eastAsia" w:ascii="宋体" w:hAnsi="宋体" w:eastAsia="宋体" w:cs="宋体"/>
                <w:color w:val="auto"/>
                <w:highlight w:val="none"/>
              </w:rPr>
            </w:pPr>
          </w:p>
        </w:tc>
      </w:tr>
      <w:tr w14:paraId="3DB34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Pr>
          <w:p w14:paraId="19823C8B">
            <w:pPr>
              <w:jc w:val="both"/>
              <w:rPr>
                <w:rFonts w:hint="eastAsia" w:ascii="宋体" w:hAnsi="宋体" w:eastAsia="宋体" w:cs="宋体"/>
                <w:color w:val="auto"/>
                <w:highlight w:val="none"/>
              </w:rPr>
            </w:pPr>
          </w:p>
        </w:tc>
        <w:tc>
          <w:tcPr>
            <w:tcW w:w="992" w:type="dxa"/>
          </w:tcPr>
          <w:p w14:paraId="03D6CA16">
            <w:pPr>
              <w:jc w:val="both"/>
              <w:rPr>
                <w:rFonts w:hint="eastAsia" w:ascii="宋体" w:hAnsi="宋体" w:eastAsia="宋体" w:cs="宋体"/>
                <w:color w:val="auto"/>
                <w:highlight w:val="none"/>
              </w:rPr>
            </w:pPr>
          </w:p>
        </w:tc>
        <w:tc>
          <w:tcPr>
            <w:tcW w:w="1134" w:type="dxa"/>
          </w:tcPr>
          <w:p w14:paraId="518CA3D6">
            <w:pPr>
              <w:jc w:val="both"/>
              <w:rPr>
                <w:rFonts w:hint="eastAsia" w:ascii="宋体" w:hAnsi="宋体" w:eastAsia="宋体" w:cs="宋体"/>
                <w:color w:val="auto"/>
                <w:highlight w:val="none"/>
              </w:rPr>
            </w:pPr>
          </w:p>
        </w:tc>
        <w:tc>
          <w:tcPr>
            <w:tcW w:w="1345" w:type="dxa"/>
          </w:tcPr>
          <w:p w14:paraId="5B44323E">
            <w:pPr>
              <w:jc w:val="both"/>
              <w:rPr>
                <w:rFonts w:hint="eastAsia" w:ascii="宋体" w:hAnsi="宋体" w:eastAsia="宋体" w:cs="宋体"/>
                <w:color w:val="auto"/>
                <w:highlight w:val="none"/>
              </w:rPr>
            </w:pPr>
          </w:p>
        </w:tc>
        <w:tc>
          <w:tcPr>
            <w:tcW w:w="1045" w:type="dxa"/>
          </w:tcPr>
          <w:p w14:paraId="2BD99835">
            <w:pPr>
              <w:jc w:val="both"/>
              <w:rPr>
                <w:rFonts w:hint="eastAsia" w:ascii="宋体" w:hAnsi="宋体" w:eastAsia="宋体" w:cs="宋体"/>
                <w:color w:val="auto"/>
                <w:highlight w:val="none"/>
              </w:rPr>
            </w:pPr>
          </w:p>
        </w:tc>
        <w:tc>
          <w:tcPr>
            <w:tcW w:w="1045" w:type="dxa"/>
          </w:tcPr>
          <w:p w14:paraId="7FBE8B8F">
            <w:pPr>
              <w:jc w:val="both"/>
              <w:rPr>
                <w:rFonts w:hint="eastAsia" w:ascii="宋体" w:hAnsi="宋体" w:eastAsia="宋体" w:cs="宋体"/>
                <w:color w:val="auto"/>
                <w:highlight w:val="none"/>
              </w:rPr>
            </w:pPr>
          </w:p>
        </w:tc>
        <w:tc>
          <w:tcPr>
            <w:tcW w:w="1952" w:type="dxa"/>
          </w:tcPr>
          <w:p w14:paraId="75127FAF">
            <w:pPr>
              <w:jc w:val="both"/>
              <w:rPr>
                <w:rFonts w:hint="eastAsia" w:ascii="宋体" w:hAnsi="宋体" w:eastAsia="宋体" w:cs="宋体"/>
                <w:color w:val="auto"/>
                <w:highlight w:val="none"/>
              </w:rPr>
            </w:pPr>
          </w:p>
        </w:tc>
        <w:tc>
          <w:tcPr>
            <w:tcW w:w="850" w:type="dxa"/>
          </w:tcPr>
          <w:p w14:paraId="4F649C35">
            <w:pPr>
              <w:jc w:val="both"/>
              <w:rPr>
                <w:rFonts w:hint="eastAsia" w:ascii="宋体" w:hAnsi="宋体" w:eastAsia="宋体" w:cs="宋体"/>
                <w:color w:val="auto"/>
                <w:highlight w:val="none"/>
              </w:rPr>
            </w:pPr>
          </w:p>
        </w:tc>
      </w:tr>
    </w:tbl>
    <w:p w14:paraId="268C2BB2">
      <w:pPr>
        <w:spacing w:line="291" w:lineRule="auto"/>
        <w:jc w:val="both"/>
        <w:rPr>
          <w:rFonts w:hint="eastAsia" w:ascii="宋体" w:hAnsi="宋体" w:eastAsia="宋体" w:cs="宋体"/>
          <w:color w:val="auto"/>
          <w:highlight w:val="none"/>
        </w:rPr>
      </w:pPr>
    </w:p>
    <w:p w14:paraId="2B307CE6">
      <w:pPr>
        <w:spacing w:line="292" w:lineRule="auto"/>
        <w:jc w:val="both"/>
        <w:rPr>
          <w:rFonts w:hint="eastAsia" w:ascii="宋体" w:hAnsi="宋体" w:eastAsia="宋体" w:cs="宋体"/>
          <w:color w:val="auto"/>
          <w:highlight w:val="none"/>
        </w:rPr>
      </w:pPr>
    </w:p>
    <w:p w14:paraId="0B4A9C59">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7F5CF0A7">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429142E">
      <w:pPr>
        <w:jc w:val="right"/>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3442F867">
      <w:pPr>
        <w:spacing w:line="347" w:lineRule="auto"/>
        <w:jc w:val="both"/>
        <w:rPr>
          <w:rFonts w:hint="eastAsia" w:ascii="宋体" w:hAnsi="宋体" w:eastAsia="宋体" w:cs="宋体"/>
          <w:color w:val="auto"/>
          <w:highlight w:val="none"/>
        </w:rPr>
      </w:pPr>
    </w:p>
    <w:p w14:paraId="6F90B286">
      <w:pPr>
        <w:spacing w:before="91" w:line="220" w:lineRule="auto"/>
        <w:ind w:left="312"/>
        <w:jc w:val="both"/>
        <w:outlineLvl w:val="1"/>
        <w:rPr>
          <w:rFonts w:hint="eastAsia" w:ascii="宋体" w:hAnsi="宋体" w:eastAsia="宋体" w:cs="宋体"/>
          <w:color w:val="auto"/>
          <w:sz w:val="28"/>
          <w:szCs w:val="28"/>
          <w:highlight w:val="none"/>
        </w:rPr>
      </w:pPr>
      <w:bookmarkStart w:id="42" w:name="_bookmark6"/>
      <w:bookmarkEnd w:id="42"/>
      <w:r>
        <w:rPr>
          <w:rFonts w:hint="eastAsia" w:ascii="宋体" w:hAnsi="宋体" w:eastAsia="宋体" w:cs="宋体"/>
          <w:color w:val="auto"/>
          <w:sz w:val="28"/>
          <w:szCs w:val="28"/>
          <w:highlight w:val="none"/>
        </w:rPr>
        <w:t>附表二：问题澄清通知</w:t>
      </w:r>
    </w:p>
    <w:p w14:paraId="76126114">
      <w:pPr>
        <w:spacing w:line="331" w:lineRule="auto"/>
        <w:jc w:val="both"/>
        <w:rPr>
          <w:rFonts w:hint="eastAsia" w:ascii="宋体" w:hAnsi="宋体" w:eastAsia="宋体" w:cs="宋体"/>
          <w:color w:val="auto"/>
          <w:highlight w:val="none"/>
        </w:rPr>
      </w:pPr>
    </w:p>
    <w:p w14:paraId="06C44A15">
      <w:pPr>
        <w:spacing w:line="332" w:lineRule="auto"/>
        <w:jc w:val="both"/>
        <w:rPr>
          <w:rFonts w:hint="eastAsia" w:ascii="宋体" w:hAnsi="宋体" w:eastAsia="宋体" w:cs="宋体"/>
          <w:color w:val="auto"/>
          <w:highlight w:val="none"/>
        </w:rPr>
      </w:pPr>
    </w:p>
    <w:p w14:paraId="0735F82D">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7C90127B">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40F37771">
      <w:pPr>
        <w:spacing w:line="349" w:lineRule="auto"/>
        <w:jc w:val="both"/>
        <w:rPr>
          <w:rFonts w:hint="eastAsia" w:ascii="宋体" w:hAnsi="宋体" w:eastAsia="宋体" w:cs="宋体"/>
          <w:color w:val="auto"/>
          <w:highlight w:val="none"/>
        </w:rPr>
      </w:pPr>
    </w:p>
    <w:p w14:paraId="509B7972">
      <w:pPr>
        <w:spacing w:line="349" w:lineRule="auto"/>
        <w:jc w:val="both"/>
        <w:rPr>
          <w:rFonts w:hint="eastAsia" w:ascii="宋体" w:hAnsi="宋体" w:eastAsia="宋体" w:cs="宋体"/>
          <w:color w:val="auto"/>
          <w:highlight w:val="none"/>
        </w:rPr>
      </w:pPr>
    </w:p>
    <w:p w14:paraId="66D637FD">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4B86E3D4">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2BB47EF8">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14341470">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1D249161">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642A12C9">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7E8543E9">
      <w:pPr>
        <w:spacing w:line="248" w:lineRule="auto"/>
        <w:jc w:val="both"/>
        <w:rPr>
          <w:rFonts w:hint="eastAsia" w:ascii="宋体" w:hAnsi="宋体" w:eastAsia="宋体" w:cs="宋体"/>
          <w:color w:val="auto"/>
          <w:sz w:val="24"/>
          <w:szCs w:val="24"/>
          <w:highlight w:val="none"/>
        </w:rPr>
      </w:pPr>
    </w:p>
    <w:p w14:paraId="35C35F85">
      <w:pPr>
        <w:spacing w:line="249" w:lineRule="auto"/>
        <w:jc w:val="both"/>
        <w:rPr>
          <w:rFonts w:hint="eastAsia" w:ascii="宋体" w:hAnsi="宋体" w:eastAsia="宋体" w:cs="宋体"/>
          <w:color w:val="auto"/>
          <w:sz w:val="24"/>
          <w:szCs w:val="24"/>
          <w:highlight w:val="none"/>
        </w:rPr>
      </w:pPr>
    </w:p>
    <w:p w14:paraId="25C2C414">
      <w:pPr>
        <w:spacing w:line="249" w:lineRule="auto"/>
        <w:jc w:val="both"/>
        <w:rPr>
          <w:rFonts w:hint="eastAsia" w:ascii="宋体" w:hAnsi="宋体" w:eastAsia="宋体" w:cs="宋体"/>
          <w:color w:val="auto"/>
          <w:sz w:val="24"/>
          <w:szCs w:val="24"/>
          <w:highlight w:val="none"/>
        </w:rPr>
      </w:pPr>
    </w:p>
    <w:p w14:paraId="14E5FE9B">
      <w:pPr>
        <w:spacing w:line="249" w:lineRule="auto"/>
        <w:jc w:val="both"/>
        <w:rPr>
          <w:rFonts w:hint="eastAsia" w:ascii="宋体" w:hAnsi="宋体" w:eastAsia="宋体" w:cs="宋体"/>
          <w:color w:val="auto"/>
          <w:sz w:val="24"/>
          <w:szCs w:val="24"/>
          <w:highlight w:val="none"/>
        </w:rPr>
      </w:pPr>
    </w:p>
    <w:p w14:paraId="12ECDC03">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181EA2CE">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4F9E5AB">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5A37E931">
      <w:pPr>
        <w:spacing w:before="157" w:line="220" w:lineRule="auto"/>
        <w:ind w:left="314"/>
        <w:jc w:val="both"/>
        <w:outlineLvl w:val="1"/>
        <w:rPr>
          <w:rFonts w:hint="eastAsia" w:ascii="宋体" w:hAnsi="宋体" w:eastAsia="宋体" w:cs="宋体"/>
          <w:color w:val="auto"/>
          <w:sz w:val="28"/>
          <w:szCs w:val="28"/>
          <w:highlight w:val="none"/>
        </w:rPr>
      </w:pPr>
      <w:bookmarkStart w:id="43" w:name="_bookmark7"/>
      <w:bookmarkEnd w:id="43"/>
      <w:r>
        <w:rPr>
          <w:rFonts w:hint="eastAsia" w:ascii="宋体" w:hAnsi="宋体" w:eastAsia="宋体" w:cs="宋体"/>
          <w:color w:val="auto"/>
          <w:sz w:val="28"/>
          <w:szCs w:val="28"/>
          <w:highlight w:val="none"/>
        </w:rPr>
        <w:t>附表三：问题的澄清</w:t>
      </w:r>
    </w:p>
    <w:p w14:paraId="06030100">
      <w:pPr>
        <w:spacing w:line="264" w:lineRule="auto"/>
        <w:jc w:val="both"/>
        <w:rPr>
          <w:rFonts w:hint="eastAsia" w:ascii="宋体" w:hAnsi="宋体" w:eastAsia="宋体" w:cs="宋体"/>
          <w:color w:val="auto"/>
          <w:highlight w:val="none"/>
        </w:rPr>
      </w:pPr>
    </w:p>
    <w:p w14:paraId="16045CFA">
      <w:pPr>
        <w:spacing w:line="264" w:lineRule="auto"/>
        <w:jc w:val="both"/>
        <w:rPr>
          <w:rFonts w:hint="eastAsia" w:ascii="宋体" w:hAnsi="宋体" w:eastAsia="宋体" w:cs="宋体"/>
          <w:color w:val="auto"/>
          <w:highlight w:val="none"/>
        </w:rPr>
      </w:pPr>
    </w:p>
    <w:p w14:paraId="24C9A657">
      <w:pPr>
        <w:spacing w:line="264" w:lineRule="auto"/>
        <w:jc w:val="both"/>
        <w:rPr>
          <w:rFonts w:hint="eastAsia" w:ascii="宋体" w:hAnsi="宋体" w:eastAsia="宋体" w:cs="宋体"/>
          <w:color w:val="auto"/>
          <w:highlight w:val="none"/>
        </w:rPr>
      </w:pPr>
    </w:p>
    <w:p w14:paraId="53E0AEF7">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7AAAB643">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5318F6CA">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50DC582C">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03FFFE36">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C62B514">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47DCAF28">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64C5853F">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2D4AB37">
      <w:pPr>
        <w:spacing w:line="249" w:lineRule="auto"/>
        <w:jc w:val="both"/>
        <w:rPr>
          <w:rFonts w:hint="eastAsia" w:ascii="宋体" w:hAnsi="宋体" w:eastAsia="宋体" w:cs="宋体"/>
          <w:color w:val="auto"/>
          <w:sz w:val="24"/>
          <w:szCs w:val="24"/>
          <w:highlight w:val="none"/>
        </w:rPr>
      </w:pPr>
    </w:p>
    <w:p w14:paraId="23BD8328">
      <w:pPr>
        <w:spacing w:line="249" w:lineRule="auto"/>
        <w:jc w:val="both"/>
        <w:rPr>
          <w:rFonts w:hint="eastAsia" w:ascii="宋体" w:hAnsi="宋体" w:eastAsia="宋体" w:cs="宋体"/>
          <w:color w:val="auto"/>
          <w:sz w:val="24"/>
          <w:szCs w:val="24"/>
          <w:highlight w:val="none"/>
        </w:rPr>
      </w:pPr>
    </w:p>
    <w:p w14:paraId="758C9E0D">
      <w:pPr>
        <w:spacing w:line="249" w:lineRule="auto"/>
        <w:jc w:val="both"/>
        <w:rPr>
          <w:rFonts w:hint="eastAsia" w:ascii="宋体" w:hAnsi="宋体" w:eastAsia="宋体" w:cs="宋体"/>
          <w:color w:val="auto"/>
          <w:sz w:val="24"/>
          <w:szCs w:val="24"/>
          <w:highlight w:val="none"/>
        </w:rPr>
      </w:pPr>
    </w:p>
    <w:p w14:paraId="7ADE5512">
      <w:pPr>
        <w:spacing w:line="249" w:lineRule="auto"/>
        <w:jc w:val="both"/>
        <w:rPr>
          <w:rFonts w:hint="eastAsia" w:ascii="宋体" w:hAnsi="宋体" w:eastAsia="宋体" w:cs="宋体"/>
          <w:color w:val="auto"/>
          <w:sz w:val="24"/>
          <w:szCs w:val="24"/>
          <w:highlight w:val="none"/>
        </w:rPr>
      </w:pPr>
    </w:p>
    <w:p w14:paraId="4825383E">
      <w:pPr>
        <w:spacing w:line="249" w:lineRule="auto"/>
        <w:jc w:val="both"/>
        <w:rPr>
          <w:rFonts w:hint="eastAsia" w:ascii="宋体" w:hAnsi="宋体" w:eastAsia="宋体" w:cs="宋体"/>
          <w:color w:val="auto"/>
          <w:sz w:val="24"/>
          <w:szCs w:val="24"/>
          <w:highlight w:val="none"/>
        </w:rPr>
      </w:pPr>
    </w:p>
    <w:p w14:paraId="4F0D8B49">
      <w:pPr>
        <w:spacing w:line="249" w:lineRule="auto"/>
        <w:jc w:val="both"/>
        <w:rPr>
          <w:rFonts w:hint="eastAsia" w:ascii="宋体" w:hAnsi="宋体" w:eastAsia="宋体" w:cs="宋体"/>
          <w:color w:val="auto"/>
          <w:sz w:val="24"/>
          <w:szCs w:val="24"/>
          <w:highlight w:val="none"/>
        </w:rPr>
      </w:pPr>
    </w:p>
    <w:p w14:paraId="48A7EE22">
      <w:pPr>
        <w:spacing w:line="249" w:lineRule="auto"/>
        <w:jc w:val="both"/>
        <w:rPr>
          <w:rFonts w:hint="eastAsia" w:ascii="宋体" w:hAnsi="宋体" w:eastAsia="宋体" w:cs="宋体"/>
          <w:color w:val="auto"/>
          <w:sz w:val="24"/>
          <w:szCs w:val="24"/>
          <w:highlight w:val="none"/>
        </w:rPr>
      </w:pPr>
    </w:p>
    <w:p w14:paraId="7BAD112B">
      <w:pPr>
        <w:spacing w:line="249" w:lineRule="auto"/>
        <w:jc w:val="both"/>
        <w:rPr>
          <w:rFonts w:hint="eastAsia" w:ascii="宋体" w:hAnsi="宋体" w:eastAsia="宋体" w:cs="宋体"/>
          <w:color w:val="auto"/>
          <w:sz w:val="24"/>
          <w:szCs w:val="24"/>
          <w:highlight w:val="none"/>
        </w:rPr>
      </w:pPr>
    </w:p>
    <w:p w14:paraId="6DAE7C86">
      <w:pPr>
        <w:spacing w:line="251" w:lineRule="auto"/>
        <w:jc w:val="both"/>
        <w:rPr>
          <w:rFonts w:hint="eastAsia" w:ascii="宋体" w:hAnsi="宋体" w:eastAsia="宋体" w:cs="宋体"/>
          <w:color w:val="auto"/>
          <w:sz w:val="24"/>
          <w:szCs w:val="24"/>
          <w:highlight w:val="none"/>
        </w:rPr>
      </w:pPr>
    </w:p>
    <w:p w14:paraId="6F984186">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1CF6520D">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68239926">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596CF4CA">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2AAA7F48">
      <w:pPr>
        <w:spacing w:before="91" w:line="220" w:lineRule="auto"/>
        <w:jc w:val="both"/>
        <w:outlineLvl w:val="1"/>
        <w:rPr>
          <w:rFonts w:hint="eastAsia" w:ascii="宋体" w:hAnsi="宋体" w:eastAsia="宋体" w:cs="宋体"/>
          <w:color w:val="auto"/>
          <w:sz w:val="28"/>
          <w:szCs w:val="28"/>
          <w:highlight w:val="none"/>
        </w:rPr>
      </w:pPr>
      <w:bookmarkStart w:id="44" w:name="_bookmark8"/>
      <w:bookmarkEnd w:id="44"/>
      <w:r>
        <w:rPr>
          <w:rFonts w:hint="eastAsia" w:ascii="宋体" w:hAnsi="宋体" w:eastAsia="宋体" w:cs="宋体"/>
          <w:color w:val="auto"/>
          <w:sz w:val="28"/>
          <w:szCs w:val="28"/>
          <w:highlight w:val="none"/>
        </w:rPr>
        <w:t>附表四：中标通知书</w:t>
      </w:r>
    </w:p>
    <w:p w14:paraId="605CFEE1">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242C8588">
      <w:pPr>
        <w:spacing w:before="157" w:line="358" w:lineRule="auto"/>
        <w:ind w:left="237" w:leftChars="113" w:right="53"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6417B031">
      <w:pPr>
        <w:jc w:val="both"/>
        <w:rPr>
          <w:rFonts w:hint="eastAsia" w:ascii="宋体" w:hAnsi="宋体" w:eastAsia="宋体" w:cs="宋体"/>
          <w:color w:val="auto"/>
          <w:highlight w:val="none"/>
        </w:rPr>
      </w:pPr>
    </w:p>
    <w:p w14:paraId="36C0F204">
      <w:pPr>
        <w:spacing w:line="27" w:lineRule="exact"/>
        <w:jc w:val="both"/>
        <w:rPr>
          <w:rFonts w:hint="eastAsia" w:ascii="宋体" w:hAnsi="宋体" w:eastAsia="宋体" w:cs="宋体"/>
          <w:color w:val="auto"/>
          <w:highlight w:val="none"/>
        </w:rPr>
      </w:pPr>
    </w:p>
    <w:tbl>
      <w:tblPr>
        <w:tblStyle w:val="49"/>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53642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0" w:hRule="atLeast"/>
        </w:trPr>
        <w:tc>
          <w:tcPr>
            <w:tcW w:w="2129" w:type="dxa"/>
          </w:tcPr>
          <w:p w14:paraId="58C58510">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tcPr>
          <w:p w14:paraId="77563CF3">
            <w:pPr>
              <w:jc w:val="both"/>
              <w:rPr>
                <w:rFonts w:hint="eastAsia" w:ascii="宋体" w:hAnsi="宋体" w:eastAsia="宋体" w:cs="宋体"/>
                <w:color w:val="auto"/>
                <w:highlight w:val="none"/>
              </w:rPr>
            </w:pPr>
          </w:p>
        </w:tc>
      </w:tr>
      <w:tr w14:paraId="20E41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Pr>
          <w:p w14:paraId="28F2998C">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tcPr>
          <w:p w14:paraId="3C85FB49">
            <w:pPr>
              <w:jc w:val="both"/>
              <w:rPr>
                <w:rFonts w:hint="eastAsia" w:ascii="宋体" w:hAnsi="宋体" w:eastAsia="宋体" w:cs="宋体"/>
                <w:color w:val="auto"/>
                <w:highlight w:val="none"/>
              </w:rPr>
            </w:pPr>
          </w:p>
        </w:tc>
      </w:tr>
      <w:tr w14:paraId="4D9A8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Pr>
          <w:p w14:paraId="0849380D">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tcPr>
          <w:p w14:paraId="25E09B35">
            <w:pPr>
              <w:jc w:val="both"/>
              <w:rPr>
                <w:rFonts w:hint="eastAsia" w:ascii="宋体" w:hAnsi="宋体" w:eastAsia="宋体" w:cs="宋体"/>
                <w:color w:val="auto"/>
                <w:highlight w:val="none"/>
              </w:rPr>
            </w:pPr>
          </w:p>
        </w:tc>
      </w:tr>
      <w:tr w14:paraId="5E98D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Pr>
          <w:p w14:paraId="5DE58464">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tcPr>
          <w:p w14:paraId="645087C7">
            <w:pPr>
              <w:jc w:val="both"/>
              <w:rPr>
                <w:rFonts w:hint="eastAsia" w:ascii="宋体" w:hAnsi="宋体" w:eastAsia="宋体" w:cs="宋体"/>
                <w:color w:val="auto"/>
                <w:highlight w:val="none"/>
              </w:rPr>
            </w:pPr>
          </w:p>
        </w:tc>
      </w:tr>
      <w:tr w14:paraId="2B4BE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Pr>
          <w:p w14:paraId="2EF4DEDC">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tcPr>
          <w:p w14:paraId="28AA98A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71A1278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2EE36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Pr>
          <w:p w14:paraId="44E73C04">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tcPr>
          <w:p w14:paraId="2F089549">
            <w:pPr>
              <w:jc w:val="both"/>
              <w:rPr>
                <w:rFonts w:hint="eastAsia" w:ascii="宋体" w:hAnsi="宋体" w:eastAsia="宋体" w:cs="宋体"/>
                <w:color w:val="auto"/>
                <w:highlight w:val="none"/>
              </w:rPr>
            </w:pPr>
          </w:p>
        </w:tc>
      </w:tr>
      <w:tr w14:paraId="59DF5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Pr>
          <w:p w14:paraId="4EF89A56">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2F17C005">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tcPr>
          <w:p w14:paraId="5A54DFEB">
            <w:pPr>
              <w:jc w:val="both"/>
              <w:rPr>
                <w:rFonts w:hint="eastAsia" w:ascii="宋体" w:hAnsi="宋体" w:eastAsia="宋体" w:cs="宋体"/>
                <w:color w:val="auto"/>
                <w:highlight w:val="none"/>
              </w:rPr>
            </w:pPr>
          </w:p>
        </w:tc>
      </w:tr>
      <w:tr w14:paraId="66D17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Pr>
          <w:p w14:paraId="3F7C47A5">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tcPr>
          <w:p w14:paraId="22F95AE1">
            <w:pPr>
              <w:jc w:val="both"/>
              <w:rPr>
                <w:rFonts w:hint="eastAsia" w:ascii="宋体" w:hAnsi="宋体" w:eastAsia="宋体" w:cs="宋体"/>
                <w:color w:val="auto"/>
                <w:highlight w:val="none"/>
              </w:rPr>
            </w:pPr>
          </w:p>
        </w:tc>
      </w:tr>
      <w:tr w14:paraId="76439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Pr>
          <w:p w14:paraId="566405CC">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tcPr>
          <w:p w14:paraId="1D183267">
            <w:pPr>
              <w:jc w:val="both"/>
              <w:rPr>
                <w:rFonts w:hint="eastAsia" w:ascii="宋体" w:hAnsi="宋体" w:eastAsia="宋体" w:cs="宋体"/>
                <w:color w:val="auto"/>
                <w:highlight w:val="none"/>
              </w:rPr>
            </w:pPr>
          </w:p>
        </w:tc>
      </w:tr>
    </w:tbl>
    <w:p w14:paraId="7D6D2F3E">
      <w:pPr>
        <w:spacing w:line="245" w:lineRule="auto"/>
        <w:jc w:val="both"/>
        <w:rPr>
          <w:rFonts w:hint="eastAsia" w:ascii="宋体" w:hAnsi="宋体" w:eastAsia="宋体" w:cs="宋体"/>
          <w:color w:val="auto"/>
          <w:highlight w:val="none"/>
        </w:rPr>
      </w:pPr>
    </w:p>
    <w:p w14:paraId="3139C20D">
      <w:pPr>
        <w:spacing w:line="246" w:lineRule="auto"/>
        <w:jc w:val="both"/>
        <w:rPr>
          <w:rFonts w:hint="eastAsia" w:ascii="宋体" w:hAnsi="宋体" w:eastAsia="宋体" w:cs="宋体"/>
          <w:color w:val="auto"/>
          <w:highlight w:val="none"/>
        </w:rPr>
      </w:pPr>
    </w:p>
    <w:p w14:paraId="5FA9E65E">
      <w:pPr>
        <w:spacing w:line="246" w:lineRule="auto"/>
        <w:jc w:val="both"/>
        <w:rPr>
          <w:rFonts w:hint="eastAsia" w:ascii="宋体" w:hAnsi="宋体" w:eastAsia="宋体" w:cs="宋体"/>
          <w:color w:val="auto"/>
          <w:highlight w:val="none"/>
        </w:rPr>
      </w:pPr>
    </w:p>
    <w:p w14:paraId="3471CD18">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566EEFE">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106CCB1B">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35307768">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71E625D2">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7F5A8DC">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14:paraId="71B97203">
      <w:pPr>
        <w:spacing w:before="91" w:line="220" w:lineRule="auto"/>
        <w:jc w:val="both"/>
        <w:outlineLvl w:val="1"/>
        <w:rPr>
          <w:rFonts w:hint="eastAsia" w:ascii="宋体" w:hAnsi="宋体" w:eastAsia="宋体" w:cs="宋体"/>
          <w:color w:val="auto"/>
          <w:sz w:val="28"/>
          <w:szCs w:val="28"/>
          <w:highlight w:val="none"/>
        </w:rPr>
      </w:pPr>
      <w:bookmarkStart w:id="45" w:name="_bookmark10"/>
      <w:bookmarkEnd w:id="45"/>
      <w:r>
        <w:rPr>
          <w:rFonts w:hint="eastAsia" w:ascii="宋体" w:hAnsi="宋体" w:eastAsia="宋体" w:cs="宋体"/>
          <w:color w:val="auto"/>
          <w:sz w:val="28"/>
          <w:szCs w:val="28"/>
          <w:highlight w:val="none"/>
        </w:rPr>
        <w:t>附表五：确认通知</w:t>
      </w:r>
    </w:p>
    <w:p w14:paraId="2BF24DD7">
      <w:pPr>
        <w:spacing w:line="349" w:lineRule="auto"/>
        <w:jc w:val="both"/>
        <w:rPr>
          <w:rFonts w:hint="eastAsia" w:ascii="宋体" w:hAnsi="宋体" w:eastAsia="宋体" w:cs="宋体"/>
          <w:color w:val="auto"/>
          <w:highlight w:val="none"/>
        </w:rPr>
      </w:pPr>
    </w:p>
    <w:p w14:paraId="0675BF2B">
      <w:pPr>
        <w:spacing w:line="350" w:lineRule="auto"/>
        <w:jc w:val="both"/>
        <w:rPr>
          <w:rFonts w:hint="eastAsia" w:ascii="宋体" w:hAnsi="宋体" w:eastAsia="宋体" w:cs="宋体"/>
          <w:color w:val="auto"/>
          <w:highlight w:val="none"/>
        </w:rPr>
      </w:pPr>
    </w:p>
    <w:p w14:paraId="355F40C8">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32810E00">
      <w:pPr>
        <w:spacing w:line="345" w:lineRule="auto"/>
        <w:jc w:val="both"/>
        <w:rPr>
          <w:rFonts w:hint="eastAsia" w:ascii="宋体" w:hAnsi="宋体" w:eastAsia="宋体" w:cs="宋体"/>
          <w:color w:val="auto"/>
          <w:highlight w:val="none"/>
        </w:rPr>
      </w:pPr>
    </w:p>
    <w:p w14:paraId="0E44CAD1">
      <w:pPr>
        <w:spacing w:line="345" w:lineRule="auto"/>
        <w:jc w:val="both"/>
        <w:rPr>
          <w:rFonts w:hint="eastAsia" w:ascii="宋体" w:hAnsi="宋体" w:eastAsia="宋体" w:cs="宋体"/>
          <w:color w:val="auto"/>
          <w:highlight w:val="none"/>
        </w:rPr>
      </w:pPr>
    </w:p>
    <w:p w14:paraId="2AFB314B">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1D05B105">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39A1AE9A">
      <w:pPr>
        <w:spacing w:line="441" w:lineRule="auto"/>
        <w:jc w:val="both"/>
        <w:rPr>
          <w:rFonts w:hint="eastAsia" w:ascii="宋体" w:hAnsi="宋体" w:eastAsia="宋体" w:cs="宋体"/>
          <w:color w:val="auto"/>
          <w:sz w:val="24"/>
          <w:szCs w:val="24"/>
          <w:highlight w:val="none"/>
        </w:rPr>
      </w:pPr>
    </w:p>
    <w:p w14:paraId="26D02A61">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0664F51B">
      <w:pPr>
        <w:spacing w:line="249" w:lineRule="auto"/>
        <w:jc w:val="both"/>
        <w:rPr>
          <w:rFonts w:hint="eastAsia" w:ascii="宋体" w:hAnsi="宋体" w:eastAsia="宋体" w:cs="宋体"/>
          <w:color w:val="auto"/>
          <w:sz w:val="24"/>
          <w:szCs w:val="24"/>
          <w:highlight w:val="none"/>
        </w:rPr>
      </w:pPr>
    </w:p>
    <w:p w14:paraId="07156F91">
      <w:pPr>
        <w:spacing w:line="249" w:lineRule="auto"/>
        <w:jc w:val="both"/>
        <w:rPr>
          <w:rFonts w:hint="eastAsia" w:ascii="宋体" w:hAnsi="宋体" w:eastAsia="宋体" w:cs="宋体"/>
          <w:color w:val="auto"/>
          <w:sz w:val="24"/>
          <w:szCs w:val="24"/>
          <w:highlight w:val="none"/>
        </w:rPr>
      </w:pPr>
    </w:p>
    <w:p w14:paraId="386C8C4E">
      <w:pPr>
        <w:spacing w:line="249" w:lineRule="auto"/>
        <w:jc w:val="both"/>
        <w:rPr>
          <w:rFonts w:hint="eastAsia" w:ascii="宋体" w:hAnsi="宋体" w:eastAsia="宋体" w:cs="宋体"/>
          <w:color w:val="auto"/>
          <w:sz w:val="24"/>
          <w:szCs w:val="24"/>
          <w:highlight w:val="none"/>
        </w:rPr>
      </w:pPr>
    </w:p>
    <w:p w14:paraId="78AC372E">
      <w:pPr>
        <w:spacing w:line="249" w:lineRule="auto"/>
        <w:jc w:val="both"/>
        <w:rPr>
          <w:rFonts w:hint="eastAsia" w:ascii="宋体" w:hAnsi="宋体" w:eastAsia="宋体" w:cs="宋体"/>
          <w:color w:val="auto"/>
          <w:sz w:val="24"/>
          <w:szCs w:val="24"/>
          <w:highlight w:val="none"/>
        </w:rPr>
      </w:pPr>
    </w:p>
    <w:p w14:paraId="3DA748AC">
      <w:pPr>
        <w:spacing w:line="249" w:lineRule="auto"/>
        <w:jc w:val="both"/>
        <w:rPr>
          <w:rFonts w:hint="eastAsia" w:ascii="宋体" w:hAnsi="宋体" w:eastAsia="宋体" w:cs="宋体"/>
          <w:color w:val="auto"/>
          <w:sz w:val="24"/>
          <w:szCs w:val="24"/>
          <w:highlight w:val="none"/>
        </w:rPr>
      </w:pPr>
    </w:p>
    <w:p w14:paraId="67880721">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2DD53DC5">
      <w:pPr>
        <w:tabs>
          <w:tab w:val="left" w:pos="7060"/>
        </w:tabs>
        <w:spacing w:before="91" w:line="377" w:lineRule="auto"/>
        <w:ind w:left="6628" w:hanging="1993"/>
        <w:jc w:val="both"/>
        <w:rPr>
          <w:rFonts w:hint="eastAsia" w:ascii="宋体" w:hAnsi="宋体" w:eastAsia="宋体" w:cs="宋体"/>
          <w:color w:val="auto"/>
          <w:highlight w:val="none"/>
        </w:rPr>
        <w:sectPr>
          <w:footerReference r:id="rId13" w:type="default"/>
          <w:pgSz w:w="11906" w:h="16839"/>
          <w:pgMar w:top="1418" w:right="1559" w:bottom="1418" w:left="1474" w:header="0" w:footer="1035"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307AA34">
      <w:pPr>
        <w:spacing w:line="371" w:lineRule="auto"/>
        <w:jc w:val="both"/>
        <w:rPr>
          <w:rFonts w:hint="eastAsia" w:ascii="宋体" w:hAnsi="宋体" w:eastAsia="宋体" w:cs="宋体"/>
          <w:color w:val="auto"/>
          <w:highlight w:val="none"/>
        </w:rPr>
      </w:pPr>
    </w:p>
    <w:p w14:paraId="1243AF38">
      <w:pPr>
        <w:pStyle w:val="4"/>
        <w:jc w:val="center"/>
        <w:rPr>
          <w:rFonts w:hint="eastAsia" w:ascii="宋体" w:hAnsi="宋体" w:eastAsia="宋体" w:cs="宋体"/>
          <w:snapToGrid/>
          <w:color w:val="auto"/>
          <w:sz w:val="36"/>
          <w:szCs w:val="36"/>
          <w:highlight w:val="none"/>
        </w:rPr>
      </w:pPr>
      <w:bookmarkStart w:id="46" w:name="_bookmark11"/>
      <w:bookmarkEnd w:id="46"/>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530C7CE4">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16E4E7F1">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645727F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rFonts w:hint="eastAsia" w:ascii="宋体" w:hAnsi="宋体" w:eastAsia="宋体" w:cs="宋体"/>
          <w:color w:val="auto"/>
          <w:sz w:val="24"/>
          <w:szCs w:val="24"/>
          <w:highlight w:val="none"/>
        </w:rPr>
        <w:t>经评审的最低投标价法</w:t>
      </w:r>
    </w:p>
    <w:p w14:paraId="2AEC5FC6">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624BFEC6">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07E23A90">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19D07431">
      <w:pPr>
        <w:spacing w:before="101" w:line="225" w:lineRule="auto"/>
        <w:ind w:left="3188"/>
        <w:jc w:val="both"/>
        <w:outlineLvl w:val="0"/>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55D99BDD">
      <w:pPr>
        <w:spacing w:before="64" w:line="224" w:lineRule="auto"/>
        <w:ind w:left="3326"/>
        <w:jc w:val="both"/>
        <w:rPr>
          <w:rFonts w:hint="eastAsia" w:ascii="宋体" w:hAnsi="宋体" w:eastAsia="宋体" w:cs="宋体"/>
          <w:color w:val="auto"/>
          <w:sz w:val="31"/>
          <w:szCs w:val="31"/>
          <w:highlight w:val="none"/>
        </w:rPr>
      </w:pPr>
    </w:p>
    <w:p w14:paraId="3DFE603F">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07ED1615">
      <w:pPr>
        <w:spacing w:line="247" w:lineRule="auto"/>
        <w:jc w:val="both"/>
        <w:rPr>
          <w:rFonts w:hint="eastAsia" w:ascii="宋体" w:hAnsi="宋体" w:eastAsia="宋体" w:cs="宋体"/>
          <w:color w:val="auto"/>
          <w:highlight w:val="none"/>
        </w:rPr>
      </w:pPr>
    </w:p>
    <w:p w14:paraId="0A6B7281">
      <w:pPr>
        <w:spacing w:line="248" w:lineRule="auto"/>
        <w:jc w:val="both"/>
        <w:rPr>
          <w:rFonts w:hint="eastAsia" w:ascii="宋体" w:hAnsi="宋体" w:eastAsia="宋体" w:cs="宋体"/>
          <w:color w:val="auto"/>
          <w:highlight w:val="none"/>
        </w:rPr>
      </w:pPr>
    </w:p>
    <w:p w14:paraId="29587918">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14:paraId="64168CA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14:paraId="42CDB2E8">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14:paraId="46A90A11">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14:paraId="32D9DCE5">
      <w:pPr>
        <w:spacing w:line="324" w:lineRule="auto"/>
        <w:ind w:firstLine="47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3DBF2EE4">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73325FC">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22937202">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14:paraId="5934141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14:paraId="3ADF3590">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55463A8B">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14:paraId="3D13853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14:paraId="3CB15F11">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14:paraId="01566E1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14:paraId="164A7CE4">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14:paraId="3BCD6D8B">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19F47186">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14:paraId="52F1B28F">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14:paraId="3FEA28AE">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14:paraId="56F19A6D">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14:paraId="00FF6C71">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2E8ECB7F">
      <w:pPr>
        <w:spacing w:line="324" w:lineRule="auto"/>
        <w:ind w:firstLine="575" w:firstLineChars="25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14:paraId="1D20B74A">
      <w:pPr>
        <w:spacing w:line="324" w:lineRule="auto"/>
        <w:ind w:firstLine="4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14:paraId="3CC001F9">
      <w:pPr>
        <w:spacing w:line="324" w:lineRule="auto"/>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700ECFD4">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14:paraId="7456E1EA">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14:paraId="71BE2D61">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14:paraId="37F65DAE">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14:paraId="38750720">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14:paraId="4D7C88C2">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业绩评分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p w14:paraId="58818EAB">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投标人自2021年1月1日以来【以竣工报告时间为准】，投标人完成过合同金额在900万元及以上的医用气体工程</w:t>
      </w:r>
      <w:r>
        <w:rPr>
          <w:rFonts w:hint="eastAsia" w:ascii="宋体" w:hAnsi="宋体" w:eastAsia="宋体" w:cs="宋体"/>
          <w:color w:val="auto"/>
          <w:sz w:val="23"/>
          <w:szCs w:val="23"/>
          <w:highlight w:val="none"/>
        </w:rPr>
        <w:t>项目</w:t>
      </w:r>
      <w:r>
        <w:rPr>
          <w:rFonts w:hint="eastAsia" w:ascii="宋体" w:hAnsi="宋体" w:eastAsia="宋体" w:cs="宋体"/>
          <w:color w:val="auto"/>
          <w:sz w:val="23"/>
          <w:szCs w:val="23"/>
          <w:highlight w:val="none"/>
          <w:lang w:val="en-US" w:eastAsia="zh-CN"/>
        </w:rPr>
        <w:t>业绩（业绩金额以合同金额为准）的，</w:t>
      </w:r>
      <w:r>
        <w:rPr>
          <w:rFonts w:hint="eastAsia" w:ascii="宋体" w:hAnsi="宋体" w:eastAsia="宋体" w:cs="宋体"/>
          <w:color w:val="auto"/>
          <w:sz w:val="23"/>
          <w:szCs w:val="23"/>
          <w:highlight w:val="none"/>
        </w:rPr>
        <w:t>每项业绩得</w:t>
      </w:r>
      <w:r>
        <w:rPr>
          <w:rFonts w:hint="eastAsia" w:ascii="宋体" w:hAnsi="宋体" w:eastAsia="宋体" w:cs="宋体"/>
          <w:color w:val="auto"/>
          <w:sz w:val="23"/>
          <w:szCs w:val="23"/>
          <w:highlight w:val="none"/>
          <w:lang w:val="en-US" w:eastAsia="zh-CN"/>
        </w:rPr>
        <w:t>1.5</w:t>
      </w:r>
      <w:r>
        <w:rPr>
          <w:rFonts w:hint="eastAsia" w:ascii="宋体" w:hAnsi="宋体" w:eastAsia="宋体" w:cs="宋体"/>
          <w:color w:val="auto"/>
          <w:sz w:val="23"/>
          <w:szCs w:val="23"/>
          <w:highlight w:val="none"/>
        </w:rPr>
        <w:t>分。</w:t>
      </w:r>
    </w:p>
    <w:p w14:paraId="00A862C1">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本项最多提供</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个业绩，最高得</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分</w:t>
      </w:r>
    </w:p>
    <w:p w14:paraId="4414660C">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业绩证明材料：（1）须提供中标通知书、合同、单项（或整体）验收证明材料复印件加盖投标单位公章</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竣工报告（时间以验收证明时间为准）</w:t>
      </w:r>
      <w:r>
        <w:rPr>
          <w:rFonts w:hint="eastAsia" w:ascii="宋体" w:hAnsi="宋体" w:eastAsia="宋体" w:cs="宋体"/>
          <w:color w:val="auto"/>
          <w:sz w:val="23"/>
          <w:szCs w:val="23"/>
          <w:highlight w:val="none"/>
        </w:rPr>
        <w:t>，合同中未能体现项目特征的提供相应项目建设单位证明材料加盖公章。若缺其中任何一项则业绩不予认可</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业绩完成时间以验收证明资料上的时间为准，业绩金额以合同金额为准。</w:t>
      </w:r>
    </w:p>
    <w:p w14:paraId="2ED8A6D8">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投标资格证明中的业绩可以作为本项计分业绩。</w:t>
      </w:r>
    </w:p>
    <w:p w14:paraId="73EAC88A">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14:paraId="73F36BF7">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采用记名方式各自评分。如发现某个单项的评分超出了规定的分值范围的，则该张评分表无效。此项评分为：从评标专家的有效评分中扣除一个最高总分和一个最低总分后的算术平均值(保留小数2位)。</w:t>
      </w:r>
    </w:p>
    <w:p w14:paraId="2BFC2BCF">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60</w:t>
      </w:r>
      <w:r>
        <w:rPr>
          <w:rFonts w:hint="eastAsia" w:ascii="宋体" w:hAnsi="宋体" w:eastAsia="宋体" w:cs="宋体"/>
          <w:b/>
          <w:bCs/>
          <w:color w:val="auto"/>
          <w:sz w:val="23"/>
          <w:szCs w:val="23"/>
          <w:highlight w:val="none"/>
        </w:rPr>
        <w:t>分)：</w:t>
      </w:r>
    </w:p>
    <w:p w14:paraId="7741FCC2">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21E9185E">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□加工能力、制造水平</w:t>
      </w:r>
    </w:p>
    <w:p w14:paraId="06810FD9">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投标货物技术指标的符合性、优越性（</w:t>
      </w:r>
      <w:r>
        <w:rPr>
          <w:rFonts w:hint="eastAsia" w:ascii="宋体" w:hAnsi="宋体" w:eastAsia="宋体" w:cs="宋体"/>
          <w:b/>
          <w:bCs/>
          <w:color w:val="auto"/>
          <w:sz w:val="23"/>
          <w:szCs w:val="23"/>
          <w:highlight w:val="none"/>
          <w:lang w:val="en-US" w:eastAsia="zh-CN"/>
        </w:rPr>
        <w:t>30</w:t>
      </w:r>
      <w:r>
        <w:rPr>
          <w:rFonts w:hint="eastAsia" w:ascii="宋体" w:hAnsi="宋体" w:eastAsia="宋体" w:cs="宋体"/>
          <w:b/>
          <w:bCs/>
          <w:color w:val="auto"/>
          <w:sz w:val="23"/>
          <w:szCs w:val="23"/>
          <w:highlight w:val="none"/>
        </w:rPr>
        <w:t>分）</w:t>
      </w:r>
    </w:p>
    <w:tbl>
      <w:tblPr>
        <w:tblStyle w:val="31"/>
        <w:tblW w:w="9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662"/>
        <w:gridCol w:w="6824"/>
      </w:tblGrid>
      <w:tr w14:paraId="5B9D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68" w:type="dxa"/>
            <w:tcBorders>
              <w:top w:val="single" w:color="auto" w:sz="4" w:space="0"/>
              <w:left w:val="single" w:color="auto" w:sz="4" w:space="0"/>
              <w:right w:val="single" w:color="auto" w:sz="4" w:space="0"/>
            </w:tcBorders>
            <w:noWrap w:val="0"/>
            <w:vAlign w:val="center"/>
          </w:tcPr>
          <w:p w14:paraId="6B226ACC">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1662" w:type="dxa"/>
            <w:tcBorders>
              <w:top w:val="single" w:color="auto" w:sz="4" w:space="0"/>
              <w:left w:val="single" w:color="auto" w:sz="4" w:space="0"/>
              <w:right w:val="single" w:color="auto" w:sz="4" w:space="0"/>
            </w:tcBorders>
            <w:noWrap w:val="0"/>
            <w:vAlign w:val="center"/>
          </w:tcPr>
          <w:p w14:paraId="1EFB0818">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投标货物技术指标的符合性、优越性（28分）</w:t>
            </w:r>
          </w:p>
        </w:tc>
        <w:tc>
          <w:tcPr>
            <w:tcW w:w="6824" w:type="dxa"/>
            <w:tcBorders>
              <w:top w:val="single" w:color="auto" w:sz="4" w:space="0"/>
              <w:left w:val="single" w:color="auto" w:sz="4" w:space="0"/>
              <w:bottom w:val="single" w:color="auto" w:sz="4" w:space="0"/>
              <w:right w:val="single" w:color="auto" w:sz="4" w:space="0"/>
            </w:tcBorders>
            <w:noWrap w:val="0"/>
            <w:vAlign w:val="center"/>
          </w:tcPr>
          <w:p w14:paraId="5BA1155D">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80"/>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根据各投标人所投设备性能以及技术参数和设备质量对招标文件各项基本要求（招标货物清单及技术要求中各项条款）的逐项响应等方面情况由评委进行评议打分，投标人所投设备完全满足招标文件技术规范及要求的，得30分，标注“▲”符号的投标产品技术要求及须提供的资料要求每有一条不满足招标文件要求的扣1分；未标注“▲”的投标产品技术要求及须提供的资料要求每有一条不满足招标文件要求的扣0.5分,扣完为止；正偏离不加分。(同一设备同一条一般性技术参数不重复扣分)。</w:t>
            </w:r>
          </w:p>
          <w:p w14:paraId="23AC4C4C">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25" w:firstLineChars="185"/>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证明材料:1.由投标人以投标承诺的方式响应，在投标文件中提供相应的《一般性技术参数响应承诺书》(格式自拟，未提供视作一般性技术参数负偏离)。</w:t>
            </w:r>
          </w:p>
          <w:p w14:paraId="200BEDE1">
            <w:pPr>
              <w:keepNext w:val="0"/>
              <w:keepLines w:val="0"/>
              <w:pageBreakBefore w:val="0"/>
              <w:widowControl/>
              <w:numPr>
                <w:ilvl w:val="0"/>
                <w:numId w:val="5"/>
              </w:numPr>
              <w:kinsoku w:val="0"/>
              <w:wordWrap/>
              <w:overflowPunct/>
              <w:topLinePunct w:val="0"/>
              <w:autoSpaceDE w:val="0"/>
              <w:autoSpaceDN w:val="0"/>
              <w:bidi w:val="0"/>
              <w:adjustRightInd w:val="0"/>
              <w:snapToGrid w:val="0"/>
              <w:spacing w:line="312" w:lineRule="auto"/>
              <w:ind w:left="0" w:right="0" w:firstLine="425" w:firstLineChars="185"/>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招标文件技术参数中涉及到的▲项重要参数或需要提供第三方证明材料、检测报告的需在《重要性技术参数响应承诺书》(格式自拟，未提供视作重要性技术参数负偏离)中逐条列出，并提供采购清单内每样产品的相关参数佐证材料（如官网截图、产品彩页、原厂技术说明、检测报告等）扫描件并加盖投标单位公章，表内响应内容为空头或仅拷贝粘贴响应均不得分。</w:t>
            </w:r>
          </w:p>
          <w:p w14:paraId="702725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60" w:firstLineChars="200"/>
              <w:jc w:val="both"/>
              <w:textAlignment w:val="baseline"/>
              <w:rPr>
                <w:rFonts w:hint="eastAsia" w:ascii="宋体" w:hAnsi="宋体" w:eastAsia="宋体" w:cs="宋体"/>
                <w:b/>
                <w:bCs/>
                <w:color w:val="auto"/>
                <w:sz w:val="23"/>
                <w:szCs w:val="23"/>
                <w:highlight w:val="none"/>
                <w:u w:val="single"/>
                <w:lang w:val="en-US" w:eastAsia="zh-CN"/>
              </w:rPr>
            </w:pPr>
            <w:r>
              <w:rPr>
                <w:rFonts w:hint="eastAsia" w:ascii="宋体" w:hAnsi="宋体" w:eastAsia="宋体" w:cs="宋体"/>
                <w:color w:val="auto"/>
                <w:sz w:val="23"/>
                <w:szCs w:val="23"/>
                <w:highlight w:val="none"/>
                <w:lang w:val="en-US" w:eastAsia="zh-CN"/>
              </w:rPr>
              <w:t>评标委员会根据投标单位提供的《一般性技术参数响应承诺书》和《重要性技术参数响应承诺书》偏离情况进行打分。</w:t>
            </w:r>
          </w:p>
        </w:tc>
      </w:tr>
    </w:tbl>
    <w:p w14:paraId="4F213EE2">
      <w:pPr>
        <w:spacing w:line="324" w:lineRule="auto"/>
        <w:ind w:firstLine="425" w:firstLineChars="185"/>
        <w:jc w:val="both"/>
        <w:rPr>
          <w:rFonts w:hint="eastAsia" w:ascii="宋体" w:hAnsi="宋体" w:eastAsia="宋体" w:cs="宋体"/>
          <w:b w:val="0"/>
          <w:bCs w:val="0"/>
          <w:color w:val="auto"/>
          <w:sz w:val="23"/>
          <w:szCs w:val="23"/>
          <w:highlight w:val="none"/>
        </w:rPr>
      </w:pP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rPr>
        <w:t>主要制作材料选用的比较</w:t>
      </w:r>
    </w:p>
    <w:p w14:paraId="53A8FFEC">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□辅助制作材料及配件选用的比较</w:t>
      </w:r>
    </w:p>
    <w:p w14:paraId="373A9EA9">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r>
        <w:rPr>
          <w:rFonts w:hint="eastAsia" w:ascii="宋体" w:hAnsi="宋体" w:eastAsia="宋体" w:cs="宋体"/>
          <w:b/>
          <w:bCs/>
          <w:color w:val="auto"/>
          <w:sz w:val="23"/>
          <w:szCs w:val="23"/>
          <w:highlight w:val="none"/>
          <w:lang w:val="en-US" w:eastAsia="zh-CN"/>
        </w:rPr>
        <w:t>20</w:t>
      </w:r>
      <w:r>
        <w:rPr>
          <w:rFonts w:hint="eastAsia" w:ascii="宋体" w:hAnsi="宋体" w:eastAsia="宋体" w:cs="宋体"/>
          <w:b/>
          <w:bCs/>
          <w:color w:val="auto"/>
          <w:sz w:val="23"/>
          <w:szCs w:val="23"/>
          <w:highlight w:val="none"/>
        </w:rPr>
        <w:t>分）</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27"/>
        <w:gridCol w:w="3182"/>
        <w:gridCol w:w="5289"/>
      </w:tblGrid>
      <w:tr w14:paraId="4111B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0D1E4DE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4"/>
                <w:szCs w:val="24"/>
                <w:highlight w:val="none"/>
                <w:lang w:val="en-US" w:eastAsia="zh-CN"/>
              </w:rPr>
              <w:t>1</w:t>
            </w:r>
          </w:p>
        </w:tc>
        <w:tc>
          <w:tcPr>
            <w:tcW w:w="3182"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4CD50EC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4"/>
                <w:szCs w:val="24"/>
                <w:highlight w:val="none"/>
              </w:rPr>
              <w:t>实施方案与技术措施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top"/>
          </w:tcPr>
          <w:p w14:paraId="0C9D6F6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78B1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253E4B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4"/>
                <w:szCs w:val="24"/>
                <w:highlight w:val="none"/>
                <w:lang w:val="en-US" w:eastAsia="zh-CN"/>
              </w:rPr>
              <w:t>2</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A74421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color w:val="auto"/>
                <w:sz w:val="24"/>
                <w:szCs w:val="24"/>
                <w:highlight w:val="none"/>
              </w:rPr>
              <w:t>质量管理体系与措施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48DD529">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7BC3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68CFBBE">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CB06DB9">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工程进度计划与措施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8EAAE0">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7A4C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4F61C9F">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4</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B73632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实施措施方案</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CFA9014">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本项目施工工况相对复杂，包括但不限于与总承包机电、暖通专业施工，与智能化、净化、实验室等专项施工之间的管线碰撞、交叉作业、预埋管线、垂直运输、安全文明管理等具体协同、协调工作，以及配合总包评优创杯要求。评委会对投标人具体协同施工措施</w:t>
            </w:r>
            <w:r>
              <w:rPr>
                <w:rFonts w:hint="eastAsia" w:ascii="宋体" w:hAnsi="宋体" w:cs="宋体"/>
                <w:color w:val="auto"/>
                <w:sz w:val="24"/>
                <w:szCs w:val="24"/>
                <w:highlight w:val="none"/>
                <w:lang w:val="en-US" w:eastAsia="zh-CN"/>
              </w:rPr>
              <w:t>方案进行横向打分，</w:t>
            </w:r>
          </w:p>
          <w:p w14:paraId="18451A6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color w:val="auto"/>
                <w:sz w:val="23"/>
                <w:szCs w:val="23"/>
                <w:highlight w:val="none"/>
                <w:lang w:val="en-US" w:eastAsia="zh-CN"/>
              </w:rPr>
            </w:pPr>
            <w:r>
              <w:rPr>
                <w:rFonts w:hint="eastAsia" w:ascii="宋体" w:hAnsi="宋体" w:cs="宋体"/>
                <w:color w:val="auto"/>
                <w:sz w:val="24"/>
                <w:szCs w:val="24"/>
                <w:highlight w:val="none"/>
                <w:lang w:val="en-US" w:eastAsia="zh-CN"/>
              </w:rPr>
              <w:t>优秀（1.4-2.0]分，良好（0.8-1.4]分，一般（0.2-0.8]分，未提供不得分。</w:t>
            </w:r>
          </w:p>
        </w:tc>
      </w:tr>
      <w:tr w14:paraId="680F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314398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5</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B89670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安全、文明施工保证措施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4D02A4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41FF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C626D2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6</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489271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劳动力安排计划与措施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EE56C5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7029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C711C17">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7</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2770A1E">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材料供应保证措施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B12318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0D42B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234C8C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8</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96A0A3E">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除项目负责人和技术负责人以外的其它项目管理机构人员结构、设备配置情况</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C50B1EE">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3BB5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567067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9</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E13577">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针对本工程的创新技术应用</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364DB2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31BB7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95AA039">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10</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6CD155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针对本工程的合理化建议</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63E8F11">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bl>
    <w:p w14:paraId="58FA45EE">
      <w:pPr>
        <w:spacing w:line="324" w:lineRule="auto"/>
        <w:ind w:firstLine="427" w:firstLineChars="185"/>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25"/>
        <w:gridCol w:w="1689"/>
        <w:gridCol w:w="6745"/>
      </w:tblGrid>
      <w:tr w14:paraId="241C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A672A0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1689"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6502B56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3"/>
                <w:szCs w:val="23"/>
                <w:highlight w:val="none"/>
              </w:rPr>
              <w:t>质保期</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674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41EEC0B">
            <w:pPr>
              <w:tabs>
                <w:tab w:val="left" w:pos="3060"/>
              </w:tabs>
              <w:spacing w:line="360" w:lineRule="exact"/>
              <w:rPr>
                <w:rFonts w:ascii="宋体" w:hAnsi="宋体"/>
                <w:color w:val="auto"/>
                <w:sz w:val="23"/>
                <w:szCs w:val="23"/>
                <w:highlight w:val="none"/>
              </w:rPr>
            </w:pPr>
            <w:r>
              <w:rPr>
                <w:rFonts w:hint="eastAsia" w:ascii="宋体" w:hAnsi="宋体"/>
                <w:color w:val="auto"/>
                <w:sz w:val="23"/>
                <w:szCs w:val="23"/>
                <w:highlight w:val="none"/>
              </w:rPr>
              <w:t>质保期期限（含驻场维保要求）仅满足招标文件规定的质保期（至少24个月）要求的得0分，质保期期限（含驻场维保要求）超过招标文件规定的质保期每12个月的得1</w:t>
            </w:r>
            <w:r>
              <w:rPr>
                <w:rFonts w:hint="eastAsia" w:ascii="宋体" w:hAnsi="宋体"/>
                <w:color w:val="auto"/>
                <w:sz w:val="23"/>
                <w:szCs w:val="23"/>
                <w:highlight w:val="none"/>
                <w:lang w:val="en-US" w:eastAsia="zh-CN"/>
              </w:rPr>
              <w:t>.5</w:t>
            </w:r>
            <w:r>
              <w:rPr>
                <w:rFonts w:hint="eastAsia" w:ascii="宋体" w:hAnsi="宋体"/>
                <w:color w:val="auto"/>
                <w:sz w:val="23"/>
                <w:szCs w:val="23"/>
                <w:highlight w:val="none"/>
              </w:rPr>
              <w:t>分，最高得3分。（维保开始时间从竣工验收并移交给使用单位后开始计算）</w:t>
            </w:r>
          </w:p>
          <w:p w14:paraId="130CA447">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b/>
                <w:bCs/>
                <w:color w:val="auto"/>
                <w:sz w:val="23"/>
                <w:szCs w:val="23"/>
                <w:highlight w:val="none"/>
              </w:rPr>
              <w:t>注：质保期优惠包含人工、差旅住宿费、材料及配件费等质保期间产生的一切费用。</w:t>
            </w:r>
          </w:p>
        </w:tc>
      </w:tr>
    </w:tbl>
    <w:p w14:paraId="17D9D566">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b/>
          <w:bCs/>
          <w:color w:val="auto"/>
          <w:sz w:val="23"/>
          <w:szCs w:val="23"/>
          <w:highlight w:val="none"/>
        </w:rPr>
        <w:t>投标人提供的样品质量比较（</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tbl>
      <w:tblPr>
        <w:tblStyle w:val="31"/>
        <w:tblpPr w:leftFromText="180" w:rightFromText="180" w:vertAnchor="text" w:horzAnchor="page" w:tblpX="1555" w:tblpY="117"/>
        <w:tblOverlap w:val="never"/>
        <w:tblW w:w="49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520"/>
        <w:gridCol w:w="1651"/>
        <w:gridCol w:w="6768"/>
      </w:tblGrid>
      <w:tr w14:paraId="3BCF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291"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1953E0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923" w:type="pct"/>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19E216A0">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样品</w:t>
            </w:r>
          </w:p>
          <w:p w14:paraId="34A60DA8">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w:t>
            </w:r>
            <w:r>
              <w:rPr>
                <w:rFonts w:hint="eastAsia" w:ascii="宋体" w:hAnsi="宋体" w:cs="宋体"/>
                <w:color w:val="auto"/>
                <w:sz w:val="23"/>
                <w:szCs w:val="23"/>
                <w:highlight w:val="none"/>
                <w:lang w:val="en-US" w:eastAsia="zh-CN" w:bidi="ar"/>
              </w:rPr>
              <w:t>3</w:t>
            </w:r>
            <w:r>
              <w:rPr>
                <w:rFonts w:hint="eastAsia" w:ascii="宋体" w:hAnsi="宋体" w:eastAsia="宋体" w:cs="宋体"/>
                <w:color w:val="auto"/>
                <w:sz w:val="23"/>
                <w:szCs w:val="23"/>
                <w:highlight w:val="none"/>
                <w:lang w:val="en-US" w:eastAsia="zh-CN" w:bidi="ar"/>
              </w:rPr>
              <w:t>分）</w:t>
            </w:r>
          </w:p>
        </w:tc>
        <w:tc>
          <w:tcPr>
            <w:tcW w:w="3785"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B2AFE7">
            <w:pPr>
              <w:pStyle w:val="2"/>
              <w:spacing w:after="0" w:line="276" w:lineRule="auto"/>
              <w:contextualSpacing/>
              <w:rPr>
                <w:rFonts w:hint="eastAsia" w:ascii="宋体" w:hAnsi="宋体" w:eastAsia="宋体" w:cs="宋体"/>
                <w:color w:val="auto"/>
                <w:sz w:val="23"/>
                <w:szCs w:val="23"/>
                <w:highlight w:val="none"/>
              </w:rPr>
            </w:pPr>
            <w:r>
              <w:rPr>
                <w:rFonts w:hint="eastAsia" w:ascii="Times New Roman" w:hAnsi="Times New Roman" w:eastAsia="宋体" w:cs="Times New Roman"/>
                <w:color w:val="auto"/>
                <w:sz w:val="23"/>
                <w:szCs w:val="23"/>
                <w:highlight w:val="none"/>
                <w:lang w:val="en-US" w:eastAsia="zh-CN"/>
              </w:rPr>
              <w:t>提供完整的投标设备带样品1.2米，设备带内部气电分离，需包含氧气、吸引快速接头、电源开关、电源插座、床头灯等组成部分及设备带内部的电线、气体管路等。展示焊接工艺，并作为后续验收标准。根据投标单位提供的设备带等样品进行评分，最高得3分。</w:t>
            </w:r>
          </w:p>
        </w:tc>
      </w:tr>
    </w:tbl>
    <w:p w14:paraId="39D5BA16">
      <w:pPr>
        <w:spacing w:line="324" w:lineRule="auto"/>
        <w:ind w:firstLine="427" w:firstLineChars="185"/>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eastAsia="zh-CN"/>
        </w:rPr>
        <w:t>☑</w:t>
      </w:r>
      <w:r>
        <w:rPr>
          <w:rFonts w:hint="eastAsia" w:ascii="宋体" w:hAnsi="宋体" w:eastAsia="宋体" w:cs="宋体"/>
          <w:b/>
          <w:bCs/>
          <w:color w:val="auto"/>
          <w:sz w:val="23"/>
          <w:szCs w:val="23"/>
          <w:highlight w:val="none"/>
        </w:rPr>
        <w:t>其它</w:t>
      </w:r>
      <w:r>
        <w:rPr>
          <w:rFonts w:hint="eastAsia" w:ascii="宋体" w:hAnsi="宋体" w:eastAsia="宋体" w:cs="宋体"/>
          <w:b/>
          <w:bCs/>
          <w:color w:val="auto"/>
          <w:sz w:val="23"/>
          <w:szCs w:val="23"/>
          <w:highlight w:val="none"/>
          <w:lang w:val="en-US" w:eastAsia="zh-CN"/>
        </w:rPr>
        <w:t>(4分)</w:t>
      </w:r>
    </w:p>
    <w:tbl>
      <w:tblPr>
        <w:tblStyle w:val="31"/>
        <w:tblW w:w="8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10"/>
        <w:gridCol w:w="1680"/>
        <w:gridCol w:w="6732"/>
      </w:tblGrid>
      <w:tr w14:paraId="1A86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510"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2136A796">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1680"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046513CB">
            <w:pPr>
              <w:spacing w:line="319" w:lineRule="auto"/>
              <w:jc w:val="center"/>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3"/>
                <w:szCs w:val="23"/>
                <w:highlight w:val="none"/>
              </w:rPr>
              <w:t>项目负责人业绩（</w:t>
            </w:r>
            <w:r>
              <w:rPr>
                <w:rFonts w:hint="eastAsia" w:ascii="宋体" w:hAnsi="宋体"/>
                <w:color w:val="auto"/>
                <w:sz w:val="23"/>
                <w:szCs w:val="23"/>
                <w:highlight w:val="none"/>
                <w:lang w:val="en-US" w:eastAsia="zh-CN"/>
              </w:rPr>
              <w:t>2</w:t>
            </w:r>
            <w:r>
              <w:rPr>
                <w:rFonts w:hint="eastAsia" w:ascii="宋体" w:hAnsi="宋体"/>
                <w:color w:val="auto"/>
                <w:sz w:val="23"/>
                <w:szCs w:val="23"/>
                <w:highlight w:val="none"/>
              </w:rPr>
              <w:t>分）</w:t>
            </w:r>
          </w:p>
        </w:tc>
        <w:tc>
          <w:tcPr>
            <w:tcW w:w="673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1C8B554">
            <w:pPr>
              <w:tabs>
                <w:tab w:val="left" w:pos="3060"/>
              </w:tabs>
              <w:spacing w:line="360" w:lineRule="exact"/>
              <w:rPr>
                <w:rFonts w:ascii="宋体" w:hAnsi="宋体"/>
                <w:color w:val="auto"/>
                <w:sz w:val="23"/>
                <w:szCs w:val="23"/>
                <w:highlight w:val="none"/>
              </w:rPr>
            </w:pPr>
            <w:r>
              <w:rPr>
                <w:rFonts w:hint="eastAsia" w:ascii="宋体" w:hAnsi="宋体"/>
                <w:color w:val="auto"/>
                <w:sz w:val="23"/>
                <w:szCs w:val="23"/>
                <w:highlight w:val="none"/>
              </w:rPr>
              <w:t>本项目拟派项目负责人自2021年1月1日（以竣工验收报告时间为准）至投标截止日止，</w:t>
            </w:r>
            <w:r>
              <w:rPr>
                <w:rFonts w:hint="eastAsia" w:ascii="宋体" w:hAnsi="宋体"/>
                <w:color w:val="auto"/>
                <w:sz w:val="23"/>
                <w:szCs w:val="23"/>
                <w:highlight w:val="none"/>
                <w:lang w:val="en-US" w:eastAsia="zh-CN"/>
              </w:rPr>
              <w:t>以项目负责人身份</w:t>
            </w:r>
            <w:r>
              <w:rPr>
                <w:rFonts w:hint="eastAsia" w:ascii="宋体" w:hAnsi="宋体"/>
                <w:color w:val="auto"/>
                <w:sz w:val="23"/>
                <w:szCs w:val="23"/>
                <w:highlight w:val="none"/>
              </w:rPr>
              <w:t>完成过单项合同金</w:t>
            </w:r>
            <w:r>
              <w:rPr>
                <w:rFonts w:hint="eastAsia" w:ascii="宋体" w:hAnsi="宋体" w:eastAsia="宋体" w:cs="宋体"/>
                <w:bCs/>
                <w:color w:val="auto"/>
                <w:sz w:val="23"/>
                <w:szCs w:val="23"/>
                <w:highlight w:val="none"/>
                <w:u w:val="none"/>
                <w:lang w:val="en-US" w:eastAsia="zh-CN"/>
              </w:rPr>
              <w:t>额900万</w:t>
            </w:r>
            <w:r>
              <w:rPr>
                <w:rFonts w:hint="eastAsia" w:ascii="宋体" w:hAnsi="宋体"/>
                <w:color w:val="auto"/>
                <w:sz w:val="23"/>
                <w:szCs w:val="23"/>
                <w:highlight w:val="none"/>
                <w:shd w:val="clear" w:color="auto" w:fill="auto"/>
              </w:rPr>
              <w:t>元</w:t>
            </w:r>
            <w:r>
              <w:rPr>
                <w:rFonts w:hint="eastAsia" w:ascii="宋体" w:hAnsi="宋体"/>
                <w:color w:val="auto"/>
                <w:sz w:val="23"/>
                <w:szCs w:val="23"/>
                <w:highlight w:val="none"/>
                <w:lang w:val="en-US" w:eastAsia="zh-CN"/>
              </w:rPr>
              <w:t>及以上的医用气体工程</w:t>
            </w:r>
            <w:r>
              <w:rPr>
                <w:rFonts w:hint="eastAsia" w:ascii="宋体" w:hAnsi="宋体"/>
                <w:color w:val="auto"/>
                <w:sz w:val="23"/>
                <w:szCs w:val="23"/>
                <w:highlight w:val="none"/>
              </w:rPr>
              <w:t>项目</w:t>
            </w:r>
            <w:r>
              <w:rPr>
                <w:rFonts w:hint="eastAsia" w:ascii="宋体" w:hAnsi="宋体"/>
                <w:color w:val="auto"/>
                <w:sz w:val="23"/>
                <w:szCs w:val="23"/>
                <w:highlight w:val="none"/>
                <w:lang w:val="en-US" w:eastAsia="zh-CN"/>
              </w:rPr>
              <w:t>业绩</w:t>
            </w:r>
            <w:r>
              <w:rPr>
                <w:rFonts w:hint="eastAsia" w:ascii="宋体" w:hAnsi="宋体"/>
                <w:color w:val="auto"/>
                <w:sz w:val="23"/>
                <w:szCs w:val="23"/>
                <w:highlight w:val="none"/>
              </w:rPr>
              <w:t>的，每项业绩得</w:t>
            </w:r>
            <w:r>
              <w:rPr>
                <w:rFonts w:hint="eastAsia" w:ascii="宋体" w:hAnsi="宋体"/>
                <w:color w:val="auto"/>
                <w:sz w:val="23"/>
                <w:szCs w:val="23"/>
                <w:highlight w:val="none"/>
                <w:lang w:val="en-US" w:eastAsia="zh-CN"/>
              </w:rPr>
              <w:t>2</w:t>
            </w:r>
            <w:r>
              <w:rPr>
                <w:rFonts w:hint="eastAsia" w:ascii="宋体" w:hAnsi="宋体"/>
                <w:color w:val="auto"/>
                <w:sz w:val="23"/>
                <w:szCs w:val="23"/>
                <w:highlight w:val="none"/>
              </w:rPr>
              <w:t>分。</w:t>
            </w:r>
          </w:p>
          <w:p w14:paraId="7CD050F9">
            <w:pPr>
              <w:tabs>
                <w:tab w:val="left" w:pos="3060"/>
              </w:tabs>
              <w:spacing w:line="360" w:lineRule="exact"/>
              <w:rPr>
                <w:rFonts w:hint="eastAsia" w:ascii="宋体" w:hAnsi="宋体"/>
                <w:color w:val="auto"/>
                <w:sz w:val="23"/>
                <w:szCs w:val="23"/>
                <w:highlight w:val="none"/>
              </w:rPr>
            </w:pPr>
            <w:r>
              <w:rPr>
                <w:rFonts w:hint="eastAsia" w:ascii="宋体" w:hAnsi="宋体"/>
                <w:color w:val="auto"/>
                <w:sz w:val="23"/>
                <w:szCs w:val="23"/>
                <w:highlight w:val="none"/>
              </w:rPr>
              <w:t>本项最多提供1个业绩，最高得</w:t>
            </w:r>
            <w:r>
              <w:rPr>
                <w:rFonts w:hint="eastAsia" w:ascii="宋体" w:hAnsi="宋体"/>
                <w:color w:val="auto"/>
                <w:sz w:val="23"/>
                <w:szCs w:val="23"/>
                <w:highlight w:val="none"/>
                <w:lang w:val="en-US" w:eastAsia="zh-CN"/>
              </w:rPr>
              <w:t>2</w:t>
            </w:r>
            <w:r>
              <w:rPr>
                <w:rFonts w:hint="eastAsia" w:ascii="宋体" w:hAnsi="宋体"/>
                <w:color w:val="auto"/>
                <w:sz w:val="23"/>
                <w:szCs w:val="23"/>
                <w:highlight w:val="none"/>
              </w:rPr>
              <w:t>分。</w:t>
            </w:r>
          </w:p>
          <w:p w14:paraId="1AE98234">
            <w:pPr>
              <w:spacing w:line="360" w:lineRule="exact"/>
              <w:rPr>
                <w:rFonts w:hint="eastAsia" w:ascii="宋体" w:hAnsi="宋体" w:eastAsia="宋体" w:cs="宋体"/>
                <w:b w:val="0"/>
                <w:bCs w:val="0"/>
                <w:color w:val="auto"/>
                <w:sz w:val="23"/>
                <w:szCs w:val="23"/>
                <w:highlight w:val="none"/>
                <w:lang w:val="en-US" w:eastAsia="zh-CN"/>
              </w:rPr>
            </w:pPr>
            <w:r>
              <w:rPr>
                <w:rFonts w:hint="eastAsia" w:ascii="宋体" w:hAnsi="宋体"/>
                <w:b/>
                <w:bCs/>
                <w:color w:val="auto"/>
                <w:sz w:val="23"/>
                <w:szCs w:val="23"/>
                <w:highlight w:val="none"/>
              </w:rPr>
              <w:t>注：业绩证明材料必须同时提供中标通知书或合同（须体现项目负责人名字）、竣工报告（时间以验收证明时间为准）的复印件加盖投标人公章，三者必须兼备，若缺其中任何一项则业绩不予认可。</w:t>
            </w:r>
          </w:p>
        </w:tc>
      </w:tr>
      <w:tr w14:paraId="0CBF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510"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427EC03A">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3"/>
                <w:szCs w:val="23"/>
                <w:highlight w:val="none"/>
                <w:lang w:val="en-US" w:eastAsia="zh-CN"/>
              </w:rPr>
              <w:t>2</w:t>
            </w:r>
          </w:p>
        </w:tc>
        <w:tc>
          <w:tcPr>
            <w:tcW w:w="1680"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50272D00">
            <w:pPr>
              <w:spacing w:line="319" w:lineRule="auto"/>
              <w:jc w:val="center"/>
              <w:rPr>
                <w:rFonts w:hint="default" w:ascii="宋体" w:hAnsi="宋体" w:eastAsia="宋体"/>
                <w:color w:val="auto"/>
                <w:sz w:val="23"/>
                <w:szCs w:val="23"/>
                <w:highlight w:val="none"/>
                <w:lang w:val="en-US" w:eastAsia="zh-CN"/>
              </w:rPr>
            </w:pPr>
            <w:r>
              <w:rPr>
                <w:rFonts w:hint="eastAsia" w:ascii="宋体" w:hAnsi="宋体"/>
                <w:color w:val="auto"/>
                <w:sz w:val="23"/>
                <w:szCs w:val="23"/>
                <w:highlight w:val="none"/>
                <w:lang w:val="en-US" w:eastAsia="zh-CN"/>
              </w:rPr>
              <w:t>认证证书</w:t>
            </w:r>
            <w:r>
              <w:rPr>
                <w:rFonts w:hint="eastAsia" w:ascii="宋体" w:hAnsi="宋体"/>
                <w:color w:val="auto"/>
                <w:sz w:val="23"/>
                <w:szCs w:val="23"/>
                <w:highlight w:val="none"/>
              </w:rPr>
              <w:t>（</w:t>
            </w:r>
            <w:r>
              <w:rPr>
                <w:rFonts w:hint="eastAsia"/>
                <w:color w:val="auto"/>
                <w:sz w:val="23"/>
                <w:szCs w:val="23"/>
                <w:highlight w:val="none"/>
                <w:lang w:val="en-US" w:eastAsia="zh-CN"/>
              </w:rPr>
              <w:t>2</w:t>
            </w:r>
            <w:r>
              <w:rPr>
                <w:rFonts w:hint="eastAsia" w:ascii="宋体" w:hAnsi="宋体"/>
                <w:color w:val="auto"/>
                <w:sz w:val="23"/>
                <w:szCs w:val="23"/>
                <w:highlight w:val="none"/>
              </w:rPr>
              <w:t>分）</w:t>
            </w:r>
          </w:p>
        </w:tc>
        <w:tc>
          <w:tcPr>
            <w:tcW w:w="673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84A8A53">
            <w:pPr>
              <w:spacing w:line="360" w:lineRule="exact"/>
              <w:rPr>
                <w:rFonts w:hint="eastAsia" w:ascii="宋体" w:hAnsi="宋体"/>
                <w:b/>
                <w:bCs/>
                <w:color w:val="auto"/>
                <w:sz w:val="23"/>
                <w:szCs w:val="23"/>
                <w:highlight w:val="none"/>
                <w:lang w:val="en-US" w:eastAsia="zh-CN"/>
              </w:rPr>
            </w:pPr>
            <w:r>
              <w:rPr>
                <w:rFonts w:hint="eastAsia" w:ascii="宋体" w:hAnsi="宋体"/>
                <w:b/>
                <w:bCs/>
                <w:color w:val="auto"/>
                <w:sz w:val="23"/>
                <w:szCs w:val="23"/>
                <w:highlight w:val="none"/>
                <w:lang w:val="en-US" w:eastAsia="zh-CN"/>
              </w:rPr>
              <w:t>投标人具有有效期内的质量管理体系认证证书、医疗器械质量管理体系认证证书每有一个得1分，最多得2分。</w:t>
            </w:r>
          </w:p>
          <w:p w14:paraId="4215C074">
            <w:pPr>
              <w:spacing w:line="360" w:lineRule="exact"/>
              <w:rPr>
                <w:rFonts w:hint="eastAsia" w:ascii="宋体" w:hAnsi="宋体"/>
                <w:b/>
                <w:bCs/>
                <w:color w:val="auto"/>
                <w:sz w:val="23"/>
                <w:szCs w:val="23"/>
                <w:highlight w:val="none"/>
              </w:rPr>
            </w:pPr>
            <w:r>
              <w:rPr>
                <w:rFonts w:hint="eastAsia" w:ascii="宋体" w:hAnsi="宋体"/>
                <w:b/>
                <w:bCs/>
                <w:color w:val="auto"/>
                <w:sz w:val="23"/>
                <w:szCs w:val="23"/>
                <w:highlight w:val="none"/>
                <w:lang w:val="en-US" w:eastAsia="zh-CN"/>
              </w:rPr>
              <w:t>注：投标文件中提供相关证书扫描件加盖投标单位公章和全国认证认可信息公共服务平台http://cx.cnca.cn/CertECloud/index/index/page查询结果截图，未提供相应证书、查询结果截图的，相应得分项不得分。</w:t>
            </w:r>
          </w:p>
        </w:tc>
      </w:tr>
    </w:tbl>
    <w:p w14:paraId="0AE714A1">
      <w:pPr>
        <w:spacing w:line="324" w:lineRule="auto"/>
        <w:ind w:firstLine="425" w:firstLineChars="185"/>
        <w:jc w:val="both"/>
        <w:rPr>
          <w:rFonts w:hint="default" w:ascii="宋体" w:hAnsi="宋体" w:eastAsia="宋体" w:cs="宋体"/>
          <w:color w:val="auto"/>
          <w:sz w:val="23"/>
          <w:szCs w:val="23"/>
          <w:highlight w:val="none"/>
          <w:lang w:val="en-US" w:eastAsia="zh-CN"/>
        </w:rPr>
      </w:pPr>
    </w:p>
    <w:p w14:paraId="12EDC4B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14:paraId="15D8914B">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67E48039">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75AF5565">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计算差错，仅限于以下两种情况：(1)纯算术性四则运算差错；(2)未按约定的计算方法，多计或者少计投标人报价的。由于评标差错，导致否决投标错误，重新评标纠正等其他情况，不属于计算差错。</w:t>
      </w:r>
    </w:p>
    <w:p w14:paraId="43192C3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37</w:t>
      </w:r>
      <w:r>
        <w:rPr>
          <w:rFonts w:hint="eastAsia" w:ascii="宋体" w:hAnsi="宋体" w:eastAsia="宋体" w:cs="宋体"/>
          <w:b/>
          <w:bCs/>
          <w:color w:val="auto"/>
          <w:sz w:val="23"/>
          <w:szCs w:val="23"/>
          <w:highlight w:val="none"/>
        </w:rPr>
        <w:t>分)</w:t>
      </w:r>
    </w:p>
    <w:p w14:paraId="3C8CC8F5">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bookmarkStart w:id="47" w:name="_Toc23267"/>
      <w:r>
        <w:rPr>
          <w:rFonts w:hint="eastAsia" w:ascii="宋体" w:hAnsi="宋体" w:eastAsia="宋体" w:cs="宋体"/>
          <w:color w:val="auto"/>
          <w:sz w:val="23"/>
          <w:szCs w:val="23"/>
          <w:highlight w:val="none"/>
          <w:lang w:val="en-US" w:eastAsia="zh-CN"/>
        </w:rPr>
        <w:t>平均价法（方法一）</w:t>
      </w:r>
    </w:p>
    <w:p w14:paraId="2A2F85A2">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(1)评分范围：通过符合性审查的所有投标文件进入评分范围。</w:t>
      </w:r>
    </w:p>
    <w:p w14:paraId="0727B1DC">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(2)评标基准价：进入评分范围的投标评标价的算术平均值为评标基准价(其中，</w:t>
      </w:r>
    </w:p>
    <w:p w14:paraId="4D9065EA">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投标评标价在5个至7个时，去除一个最高价和一个最低价；投标评标价在8个及以上时，去除一个最高、次高价和一个最低、次低价)。</w:t>
      </w:r>
    </w:p>
    <w:p w14:paraId="0BB1BC33">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(3)根据投标文件的投标评标价与评标基准价对比，计算投标人的商务报价的得分值。</w:t>
      </w:r>
    </w:p>
    <w:p w14:paraId="13B2935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即：</w:t>
      </w:r>
    </w:p>
    <w:p w14:paraId="2ACCC00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a.投标评标价等于评标基准价时，得满分(37分)；</w:t>
      </w:r>
    </w:p>
    <w:p w14:paraId="24F1529F">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b.投标评标价每低于评标基准价1个百分点，扣0.5分；</w:t>
      </w:r>
    </w:p>
    <w:p w14:paraId="44501BBA">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c.投标评标价每高于评标基准价1个百分点，扣1分。</w:t>
      </w:r>
    </w:p>
    <w:p w14:paraId="363D0CCD">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以上报价得分不足一个百分点时，使用直线插入法计算，保留小数2位。投标文件的商务标评分不足10分的，计为10分。</w:t>
      </w:r>
      <w:bookmarkEnd w:id="47"/>
    </w:p>
    <w:p w14:paraId="50DB10B6">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14:paraId="2B3904F6">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14:paraId="39606E6D">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记名投票表决)方式排序。</w:t>
      </w:r>
    </w:p>
    <w:p w14:paraId="4E87F22B">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14:paraId="339D2272">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14:paraId="34944BF3">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268096BF">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14:paraId="5850B6A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14:paraId="59F264AD">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14:paraId="4ADFCB45">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14:paraId="079215D3">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14:paraId="67F3D5CC">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14:paraId="1A87F40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14:paraId="52D0C24C">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14:paraId="5A43D6EA">
      <w:pPr>
        <w:spacing w:line="324" w:lineRule="auto"/>
        <w:jc w:val="both"/>
        <w:rPr>
          <w:rFonts w:hint="eastAsia" w:ascii="宋体" w:hAnsi="宋体" w:eastAsia="宋体" w:cs="宋体"/>
          <w:color w:val="auto"/>
          <w:highlight w:val="none"/>
        </w:rPr>
        <w:sectPr>
          <w:footerReference r:id="rId15" w:type="default"/>
          <w:pgSz w:w="11907" w:h="16840"/>
          <w:pgMar w:top="1418" w:right="1559" w:bottom="1418" w:left="1474" w:header="0" w:footer="723" w:gutter="0"/>
          <w:cols w:space="720" w:num="1"/>
        </w:sectPr>
      </w:pPr>
    </w:p>
    <w:p w14:paraId="3CE86A51">
      <w:pPr>
        <w:spacing w:line="243" w:lineRule="auto"/>
        <w:jc w:val="both"/>
        <w:rPr>
          <w:rFonts w:hint="eastAsia" w:ascii="宋体" w:hAnsi="宋体" w:eastAsia="宋体" w:cs="宋体"/>
          <w:color w:val="auto"/>
          <w:highlight w:val="none"/>
        </w:rPr>
      </w:pPr>
    </w:p>
    <w:p w14:paraId="3F457AD7">
      <w:pPr>
        <w:spacing w:line="243" w:lineRule="auto"/>
        <w:jc w:val="both"/>
        <w:rPr>
          <w:rFonts w:hint="eastAsia" w:ascii="宋体" w:hAnsi="宋体" w:eastAsia="宋体" w:cs="宋体"/>
          <w:color w:val="auto"/>
          <w:highlight w:val="none"/>
        </w:rPr>
      </w:pPr>
    </w:p>
    <w:p w14:paraId="584BD49A">
      <w:pPr>
        <w:spacing w:before="101" w:line="225" w:lineRule="auto"/>
        <w:ind w:left="2654"/>
        <w:jc w:val="both"/>
        <w:outlineLvl w:val="0"/>
        <w:rPr>
          <w:rFonts w:hint="eastAsia" w:ascii="宋体" w:hAnsi="宋体" w:eastAsia="宋体" w:cs="宋体"/>
          <w:color w:val="auto"/>
          <w:sz w:val="31"/>
          <w:szCs w:val="31"/>
          <w:highlight w:val="none"/>
        </w:rPr>
      </w:pPr>
      <w:bookmarkStart w:id="48" w:name="_bookmark12"/>
      <w:bookmarkEnd w:id="48"/>
      <w:r>
        <w:rPr>
          <w:rFonts w:hint="eastAsia" w:ascii="宋体" w:hAnsi="宋体" w:eastAsia="宋体" w:cs="宋体"/>
          <w:color w:val="auto"/>
          <w:sz w:val="31"/>
          <w:szCs w:val="31"/>
          <w:highlight w:val="none"/>
        </w:rPr>
        <w:t>第四章合同条款及格式</w:t>
      </w:r>
    </w:p>
    <w:p w14:paraId="09FBAA5D">
      <w:pPr>
        <w:bidi w:val="0"/>
        <w:jc w:val="center"/>
        <w:rPr>
          <w:rFonts w:hint="eastAsia" w:ascii="宋体" w:hAnsi="宋体" w:eastAsia="宋体" w:cs="宋体"/>
          <w:color w:val="auto"/>
          <w:sz w:val="23"/>
          <w:szCs w:val="23"/>
          <w:highlight w:val="none"/>
        </w:rPr>
      </w:pPr>
      <w:bookmarkStart w:id="49" w:name="_Toc296503025"/>
      <w:bookmarkStart w:id="50" w:name="_Toc351203480"/>
      <w:bookmarkStart w:id="51" w:name="_Toc296890982"/>
    </w:p>
    <w:bookmarkEnd w:id="49"/>
    <w:bookmarkEnd w:id="50"/>
    <w:bookmarkEnd w:id="51"/>
    <w:p w14:paraId="4AF2D13E">
      <w:pPr>
        <w:spacing w:line="360" w:lineRule="auto"/>
        <w:ind w:firstLine="462" w:firstLineChars="200"/>
        <w:rPr>
          <w:rFonts w:ascii="宋体" w:hAnsi="宋体" w:eastAsia="宋体" w:cs="宋体"/>
          <w:b/>
          <w:bCs/>
          <w:color w:val="auto"/>
          <w:sz w:val="23"/>
          <w:szCs w:val="23"/>
          <w:highlight w:val="none"/>
        </w:rPr>
      </w:pPr>
      <w:bookmarkStart w:id="52" w:name="_bookmark13"/>
      <w:bookmarkEnd w:id="52"/>
      <w:r>
        <w:rPr>
          <w:rFonts w:hint="eastAsia" w:ascii="宋体" w:hAnsi="宋体" w:eastAsia="宋体" w:cs="宋体"/>
          <w:b/>
          <w:bCs/>
          <w:color w:val="auto"/>
          <w:sz w:val="23"/>
          <w:szCs w:val="23"/>
          <w:highlight w:val="none"/>
        </w:rPr>
        <w:t>第一节通用合同条款</w:t>
      </w:r>
    </w:p>
    <w:p w14:paraId="273FE865">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1.一般约定</w:t>
      </w:r>
    </w:p>
    <w:p w14:paraId="443E9E3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1.1词语定义</w:t>
      </w:r>
    </w:p>
    <w:p w14:paraId="7B9E762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除专用合同条款另有约定外，合同中的下列词语应具有本款所赋予的含义。</w:t>
      </w:r>
    </w:p>
    <w:p w14:paraId="28CCC2C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1.1.1合同</w:t>
      </w:r>
    </w:p>
    <w:p w14:paraId="6340B3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7414DAE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1.1.1.2合同协议书：指买方和卖方共同签署的合同协议书。</w:t>
      </w:r>
    </w:p>
    <w:p w14:paraId="3CD5560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1.1.1.3中标通知书：指买方通知卖方中标的函件。</w:t>
      </w:r>
    </w:p>
    <w:p w14:paraId="1CBEAC2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1.1.1.4投标函：指由卖方填写并签署的，名为“投标函”的函件。</w:t>
      </w:r>
    </w:p>
    <w:p w14:paraId="2215BE3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1.1.1.5商务和技术偏差表：指卖方投标文件中的商务和技术偏差表。</w:t>
      </w:r>
    </w:p>
    <w:p w14:paraId="72106D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1.1.1.6供货要求：指合同文件中名为“供货要求”的文件。</w:t>
      </w:r>
    </w:p>
    <w:p w14:paraId="4DEA038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1.1.1.7中标设备(材料)技术性能指标的详细描述：指卖方投标文件中的投标设备(材料)技术性能指标的详细描述。</w:t>
      </w:r>
    </w:p>
    <w:p w14:paraId="771647E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1.1.1.8技术服务和质保期服务计划：指卖方投标文件中的技术服务和质保期服务计划。</w:t>
      </w:r>
    </w:p>
    <w:p w14:paraId="27BC75C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1.1.1.9分项报价表：指卖方投标文件中的分项报价表。</w:t>
      </w:r>
    </w:p>
    <w:p w14:paraId="0DD940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1.1.1.10其他合同文件：指经合同双方当事人确认构成合同文件的其他文件。</w:t>
      </w:r>
    </w:p>
    <w:p w14:paraId="1E1FE29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1.1.2合同当事人</w:t>
      </w:r>
    </w:p>
    <w:p w14:paraId="73923B5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1.1.2.1合同当事人：指买方和（或）卖方。</w:t>
      </w:r>
    </w:p>
    <w:p w14:paraId="128A08B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1.1.2.2买方：指与卖方签订合同协议书，购买合同设备(材料)和技术服务和质保期服务的当事人，及其合法继承人。</w:t>
      </w:r>
    </w:p>
    <w:p w14:paraId="05C026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1.1.2.3卖方：指与买方签订合同协议书，提供合同设备(材料)和技术服务和质保期服务的当事人，及其合法继承人。</w:t>
      </w:r>
    </w:p>
    <w:p w14:paraId="2979880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1.1.3合同价格</w:t>
      </w:r>
    </w:p>
    <w:p w14:paraId="1CB2285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1.1.3.1签约合同价：是签订合同时合同协议书中写明的合同总金额。</w:t>
      </w:r>
    </w:p>
    <w:p w14:paraId="72022D8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1.1.3.2合同价格：指卖方按合同约定履行了全部合同义务后，买方应付给卖方的金额。</w:t>
      </w:r>
    </w:p>
    <w:p w14:paraId="774C4F9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1.1.4合同设备(材料)：指卖方按合同约定应向买方提供的设备(材料)、装置、备品、备件、易损易耗件、配套使用的软件或其他辅助电子应用程序及技术资料，或其中任何一部分。</w:t>
      </w:r>
    </w:p>
    <w:p w14:paraId="6B3270C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1.1.5技术资料：指各种纸质及电子载体的与合同设备(材料)的设计、检验、安装、调试、考核、操作、维修以及保养等有关的技术指标、规格、图纸和说明文件。</w:t>
      </w:r>
    </w:p>
    <w:p w14:paraId="1948207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1.1.6安装：指对合同设备(材料)进行的组装、连接以及根据需要将合同设备(材料)固定在施工场地内一定的位置上，使其就位并与相关设备(材料)、工程实现连接。</w:t>
      </w:r>
    </w:p>
    <w:p w14:paraId="58FBC4D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1.1.7调试：指在合同设备(材料)安装完成后，对合同设备(材料)所进行的调校和测试。</w:t>
      </w:r>
    </w:p>
    <w:p w14:paraId="1086C61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1.1.8考核：指在合同设备(材料)调试完成后，对合同设备(材料)进行的用于确定其是否达到合同约定的技术性能考核指标的考核。</w:t>
      </w:r>
    </w:p>
    <w:p w14:paraId="5828F06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1.1.9验收：指合同设备(材料)通过考核达到合同约定的技术性能考核指标后，买方作出接受合同设备(材料)的确认。</w:t>
      </w:r>
    </w:p>
    <w:p w14:paraId="62A116E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1.1.10技术服务：指卖方按合同约定，在合同设备(材料)验收前，向买方提供的安装、调试服务，或者在由买方负责的安装、调试、考核中对买方进行的技术指导、协助、监督和培训等。</w:t>
      </w:r>
    </w:p>
    <w:p w14:paraId="6CC7CE0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1.1.11质量保证期：指合同设备(材料)验收后，卖方按合同约定保证合同设备(材料)适当、稳定运行，并负责消除合同设备(材料)故障的期限。</w:t>
      </w:r>
    </w:p>
    <w:p w14:paraId="2DB6AD4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1.1.12质保期服务：指在质量保证期内，卖方向买方提供的合同设备(材料)维护服务、咨询服务、技术指导、协助以及对出现故障的合同设备(材料)进行修理或更换的服务。</w:t>
      </w:r>
    </w:p>
    <w:p w14:paraId="2A67ACC9">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1.1.13工程</w:t>
      </w:r>
    </w:p>
    <w:p w14:paraId="68F29D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1.1.13.1工程：指在专用合同条款中指明的，安装运行合同设备(材料)的工程。</w:t>
      </w:r>
    </w:p>
    <w:p w14:paraId="7B20E15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1.1.13.2施工场地（或称工地、施工现场）：指专用合同条款中指明的工程所在场所。</w:t>
      </w:r>
    </w:p>
    <w:p w14:paraId="71D162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14:paraId="36F8A5E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1.1.15月：按照公历月计算。合同中按月计算时间的，开始当天不计入，从次日开始计算。合同约定的期间的最后一天是星期日或者其他法定休假日的，以休假日的次日为期间的最后一天。</w:t>
      </w:r>
    </w:p>
    <w:p w14:paraId="215EBBE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1.1.16书面形式：指合同文件、信件和数据电文（包括电报、电传、传真、电子数据交换和电子邮件）等可以有形地表现所载内容的形式。</w:t>
      </w:r>
    </w:p>
    <w:p w14:paraId="4FD9932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1.2语言文字</w:t>
      </w:r>
    </w:p>
    <w:p w14:paraId="038BEB9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合同使用的语言文字为中文。专用术语使用外文的，应附有中文注释。</w:t>
      </w:r>
    </w:p>
    <w:p w14:paraId="35C689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1.3合同文件的优先顺序</w:t>
      </w:r>
    </w:p>
    <w:p w14:paraId="40424CD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组成合同的各项文件应互相解释，互为说明。除专用合同条款另有约定外，解释合同文件的优先顺序如下：</w:t>
      </w:r>
    </w:p>
    <w:p w14:paraId="1397AA1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（1）合同协议书；</w:t>
      </w:r>
    </w:p>
    <w:p w14:paraId="4BCD27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（2）中标通知书；</w:t>
      </w:r>
    </w:p>
    <w:p w14:paraId="37B6845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（3）投标函；</w:t>
      </w:r>
    </w:p>
    <w:p w14:paraId="770C0A6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（4）商务和技术偏差表；</w:t>
      </w:r>
    </w:p>
    <w:p w14:paraId="3742421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（5）专用合同条款；</w:t>
      </w:r>
    </w:p>
    <w:p w14:paraId="1688D45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（6）通用合同条款；</w:t>
      </w:r>
    </w:p>
    <w:p w14:paraId="65753B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（7）供货要求；</w:t>
      </w:r>
    </w:p>
    <w:p w14:paraId="394EE17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（8）分项报价表；</w:t>
      </w:r>
    </w:p>
    <w:p w14:paraId="69DA532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（9）中标设备(材料)技术性能指标的详细描述；</w:t>
      </w:r>
    </w:p>
    <w:p w14:paraId="0AB1F0D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（10）技术服务和质保期服务计划；</w:t>
      </w:r>
    </w:p>
    <w:p w14:paraId="21E50CA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（11）其他合同文件。</w:t>
      </w:r>
    </w:p>
    <w:p w14:paraId="6DC4CF5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1.4合同的生效及变更</w:t>
      </w:r>
    </w:p>
    <w:p w14:paraId="7977E1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1.4.1除专用合同条款另有约定外，买方和卖方的法定代表人（单位负责人）或其授权代表在合同协议书上签字并加盖单位章后，合同生效。</w:t>
      </w:r>
    </w:p>
    <w:p w14:paraId="72CAA53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1.4.2除专用合同条款另有约定外，在合同履行过程中，如需对合同进行变更，双方应签订书面协议，并经双方法定代表人（单位负责人）或其授权代表签字并加盖单位章后生效。</w:t>
      </w:r>
    </w:p>
    <w:p w14:paraId="310160E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1.5联络</w:t>
      </w:r>
    </w:p>
    <w:p w14:paraId="3EBC3D1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75CC0C7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1.5.2合同履行中或与合同有关的任何联络，送达到第1.5.1项指定的联系人即视为送达。</w:t>
      </w:r>
    </w:p>
    <w:p w14:paraId="166025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1.5.3买方可以安排监理等相关人员作为买方人员，与卖方进行联络或参加合同设备(材料)的监造（如有）、交货前检验（如有）、开箱检验、安装、调试、考核、验收等，但应按照第1.5.1项的约定事先书面通知卖方。</w:t>
      </w:r>
    </w:p>
    <w:p w14:paraId="3CE34DE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1.6联合体</w:t>
      </w:r>
    </w:p>
    <w:p w14:paraId="2F9C356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1.6.1卖方为联合体的，联合体各方应当共同与买方签订合同，并向买方为履行合同承担连带责任。</w:t>
      </w:r>
    </w:p>
    <w:p w14:paraId="0BFE31E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1.6.2在合同履行过程中，未经买方同意，不得修改联合体协议。联合体协议中关于联合体成员间权利义务的划分，并不影响或减损联合体各方应就履行合同向买方承担的连带责任。</w:t>
      </w:r>
    </w:p>
    <w:p w14:paraId="1E3CD5B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6089780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1.7转让</w:t>
      </w:r>
    </w:p>
    <w:p w14:paraId="70A663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未经对方当事人书面同意，合同任何一方均不得转让其在合同项下的权利和（或）义务。</w:t>
      </w:r>
    </w:p>
    <w:p w14:paraId="3AA9850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2.合同范围</w:t>
      </w:r>
    </w:p>
    <w:p w14:paraId="1B6BB9C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卖方应根据供货要求、中标设备(材料)技术性能指标的详细描述、技术服务和质保期服务计划等合同文件的约定向买方提供合同设备(材料)、技术服务和质保期服务。</w:t>
      </w:r>
    </w:p>
    <w:p w14:paraId="18D6FB9D">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3.合同价格与支付</w:t>
      </w:r>
    </w:p>
    <w:p w14:paraId="0E5EA6E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3.1合同价格</w:t>
      </w:r>
    </w:p>
    <w:p w14:paraId="09CDCF2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3.1.1合同协议书中载明的签约合同价包括卖方为完成合同全部义务应承担的一切成本、费用和支出以及卖方的合理利润。</w:t>
      </w:r>
    </w:p>
    <w:p w14:paraId="279A1FF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3.1.2除专用合同条款另有约定外，签约合同价为固定价格。</w:t>
      </w:r>
    </w:p>
    <w:p w14:paraId="076133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3.2合同价款的支付</w:t>
      </w:r>
    </w:p>
    <w:p w14:paraId="6C4DE9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strike/>
          <w:color w:val="auto"/>
          <w:sz w:val="23"/>
          <w:szCs w:val="23"/>
          <w:highlight w:val="none"/>
        </w:rPr>
        <w:t>除按</w:t>
      </w:r>
      <w:r>
        <w:rPr>
          <w:rFonts w:hint="eastAsia" w:ascii="宋体" w:hAnsi="宋体" w:eastAsia="宋体" w:cs="宋体"/>
          <w:color w:val="auto"/>
          <w:sz w:val="23"/>
          <w:szCs w:val="23"/>
          <w:highlight w:val="none"/>
        </w:rPr>
        <w:t>专用合同条款约定</w:t>
      </w:r>
      <w:r>
        <w:rPr>
          <w:rFonts w:hint="eastAsia" w:ascii="宋体" w:hAnsi="宋体" w:eastAsia="宋体" w:cs="宋体"/>
          <w:strike/>
          <w:color w:val="auto"/>
          <w:sz w:val="23"/>
          <w:szCs w:val="23"/>
          <w:highlight w:val="none"/>
        </w:rPr>
        <w:t>外，买方应通过以下方式和比例向卖方支付合同价款：</w:t>
      </w:r>
    </w:p>
    <w:p w14:paraId="44DD6269">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3.2.1预付款</w:t>
      </w:r>
    </w:p>
    <w:p w14:paraId="5D3918D0">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553D41B3">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3.2.2交货款</w:t>
      </w:r>
    </w:p>
    <w:p w14:paraId="024C91AE">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卖方按合同约定交付全部合同设备(材料)后，买方在收到卖方提交的下列全部单据并经审核无误后28日内，向卖方支付合同价格的60%：</w:t>
      </w:r>
    </w:p>
    <w:p w14:paraId="36EA06E2">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（1）卖方出具的交货清单正本一份；</w:t>
      </w:r>
    </w:p>
    <w:p w14:paraId="6DA3BB93">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（2）买方签署的收货清单正本一份；</w:t>
      </w:r>
    </w:p>
    <w:p w14:paraId="0439C0F5">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（3）制造商出具的出厂质量合格证正本一份；</w:t>
      </w:r>
    </w:p>
    <w:p w14:paraId="21AC68EC">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（4）合同价格100%金额的增值税发票正本一份。</w:t>
      </w:r>
    </w:p>
    <w:p w14:paraId="4EED3DD6">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3.2.3验收款</w:t>
      </w:r>
    </w:p>
    <w:p w14:paraId="5F3CA3F8">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买方在收到卖方提交的买卖双方签署的合同设备(材料)验收证书或已生效的验收款支付函正本一份并经审核无误后28日内，向卖方支付合同价格的25%。</w:t>
      </w:r>
    </w:p>
    <w:p w14:paraId="7C9D446B">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3.2.4结清款</w:t>
      </w:r>
    </w:p>
    <w:p w14:paraId="7ED41305">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买方在收到卖方提交的买方签署的质量保证期届满证书或已生效的结清款支付函正本一份并经审核无误后28日内，向卖方支付合同价格的5%。</w:t>
      </w:r>
    </w:p>
    <w:p w14:paraId="6B5B998D">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如果依照合同第9.1项，卖方应向买方支付费用的，买方有权从结清款中直接扣除该笔费用。</w:t>
      </w:r>
    </w:p>
    <w:p w14:paraId="337C14C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2976FA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3.3买方扣款的权利</w:t>
      </w:r>
    </w:p>
    <w:p w14:paraId="2E6228D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当卖方应向买方支付合同项下的违约金或赔偿金时，买方有权从上述任何一笔应付款中予以直接扣除和（或）兑付履约保证金。</w:t>
      </w:r>
    </w:p>
    <w:p w14:paraId="70DE098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4.监造及交货前检验</w:t>
      </w:r>
    </w:p>
    <w:p w14:paraId="247DA6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4.1监造</w:t>
      </w:r>
    </w:p>
    <w:p w14:paraId="091CA42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专用合同条款约定买方对合同设备(材料)进行监造的，双方应按本款及专用合同条款约定履行。</w:t>
      </w:r>
    </w:p>
    <w:p w14:paraId="334AB5B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4.1.1在合同设备(材料)的制造过程中，买方可派出监造人员，对合同设备(材料)的生产制造进行监造，</w:t>
      </w:r>
    </w:p>
    <w:p w14:paraId="780119E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监督合同设备(材料)制造、检验等情况。监造的范围、方式等应符合专用合同条款和（或）供货要求等合同文件的约定。</w:t>
      </w:r>
    </w:p>
    <w:p w14:paraId="505DADE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6434AF6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1CD629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098BEF6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314826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4.2交货前检验</w:t>
      </w:r>
    </w:p>
    <w:p w14:paraId="2C788F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专用合同条款约定买方参与交货前检验的，双方应按本款及专用合同条款约定履行。</w:t>
      </w:r>
    </w:p>
    <w:p w14:paraId="5F284D3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69E42F0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23FB9E9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4.2.3买方代表在检验中如发现合同设备(材料)不符合合同约定的标准，则有权提出异议。卖方应采取必要措施消除合同设备(材料)的不符，由此增加的费用和（或）造成的延误由卖方负责。</w:t>
      </w:r>
    </w:p>
    <w:p w14:paraId="68117C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02E136E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5.包装、标记、运输和交付</w:t>
      </w:r>
    </w:p>
    <w:p w14:paraId="288809D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5.1包装</w:t>
      </w:r>
    </w:p>
    <w:p w14:paraId="006CE8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29F55AA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5.1.2每个独立包装箱内应附装箱清单、质量合格证、装配图、说明书、操作指南等资料。</w:t>
      </w:r>
    </w:p>
    <w:p w14:paraId="3166CEC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5.1.3除专用合同条款另有约定外，买方无需将包装物退还给卖方。</w:t>
      </w:r>
    </w:p>
    <w:p w14:paraId="5FECEBF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5.2标记</w:t>
      </w:r>
    </w:p>
    <w:p w14:paraId="3EED9C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5.2.1除专用合同条款另有约定外，卖方应在每一包装箱相邻的四个侧面以不可擦除的、明显的方式标记必要的装运信息和标记，以满足合同设备(材料)运输和保管的需要。</w:t>
      </w:r>
    </w:p>
    <w:p w14:paraId="0FA8D4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092F52C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5.3运输</w:t>
      </w:r>
    </w:p>
    <w:p w14:paraId="12456E7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5.3.1卖方应自行选择适宜的运输工具及线路安排合同设备(材料)运输。</w:t>
      </w:r>
    </w:p>
    <w:p w14:paraId="4168CA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5.3.2除专用合同条款另有约定外，每件能够独立运行的设备(材料)应整套装运。该设备(材料)安装、调试、考核和运行所使用的备品、备件、易损易耗件等应随相关的主机一齐装运。</w:t>
      </w:r>
    </w:p>
    <w:p w14:paraId="10EDBD3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表示）、每箱尺寸（长×宽×高）、装运合同设备(材料)总金额、运输方式、预计交付日期和合同设备(材料)在运输、装卸、保管中的注意事项等预通知买方，并在合同设备(材料)启运后24小时之内正式通知买方。</w:t>
      </w:r>
    </w:p>
    <w:p w14:paraId="3837A0B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55BF641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5.4交付</w:t>
      </w:r>
    </w:p>
    <w:p w14:paraId="6B87DF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352845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5.4.2合同设备(材料)的所有权和风险自交付时起由卖方转移至买方，合同设备(材料)交付给买方之前包括运输在内的所有风险均由卖方承担。</w:t>
      </w:r>
    </w:p>
    <w:p w14:paraId="67E9278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63CCB236">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6.开箱检验、安装、调试、考核、验收</w:t>
      </w:r>
    </w:p>
    <w:p w14:paraId="036720F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6.1开箱检验</w:t>
      </w:r>
    </w:p>
    <w:p w14:paraId="38DB6B1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6.1.1合同设备(材料)交付后应进行开箱检验，即合同设备(材料)数量及外观检验。开箱检验在专用合同</w:t>
      </w:r>
    </w:p>
    <w:p w14:paraId="3C0272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条款约定的下列任一种时间进行：</w:t>
      </w:r>
    </w:p>
    <w:p w14:paraId="514F7B4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（1）合同设备(材料)交付时；</w:t>
      </w:r>
    </w:p>
    <w:p w14:paraId="45657A4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（2）合同设备(材料)交付后的一定期限内。如开箱检验不在合同设备(材料)交付时进行，买方应在开箱检验3日前将开箱检验的时间和地点通知卖方。</w:t>
      </w:r>
    </w:p>
    <w:p w14:paraId="0C2D521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6.1.2除专用合同条款另有约定外，合同设备(材料)的开箱检验应在施工场地进行。</w:t>
      </w:r>
    </w:p>
    <w:p w14:paraId="776F10D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6.1.3开箱检验由买卖双方共同进行，卖方应自负费用派遣代表到场参加开箱检验。</w:t>
      </w:r>
    </w:p>
    <w:p w14:paraId="1E083B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6.1.4在开箱检验中，买方和卖方应共同签署数量、外观检验报告，报告应列明检验结果，包括检验合格或发现的任何短缺、损坏或其它与合同约定不符的情形。</w:t>
      </w:r>
    </w:p>
    <w:p w14:paraId="5B0CB8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387AFED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3B9C059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1AC939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3B136D4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6.2安装、调试</w:t>
      </w:r>
    </w:p>
    <w:p w14:paraId="39E4650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6.2.1开箱检验完成后，双方应对合同设备(材料)进行安装、调试，以使其具备考核的状态。安装、调试应按照专用合同条款约定的下列任一种方式进行：</w:t>
      </w:r>
    </w:p>
    <w:p w14:paraId="7B403E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（1）卖方按照合同约定完成合同设备(材料)的安装、调试工作；</w:t>
      </w:r>
    </w:p>
    <w:p w14:paraId="3878AB2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358F7C3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6.2.2除专用合同条款另有约定外，安装、调试中合同设备(材料)运行需要的用水、用电、其他动力和原材料（如需要）等均由买方承担。</w:t>
      </w:r>
    </w:p>
    <w:p w14:paraId="350CF60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6.2.3双方应对合同设备(材料)的安装、调试情况共同及时进行记录。</w:t>
      </w:r>
    </w:p>
    <w:p w14:paraId="2C5B377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6.3考核</w:t>
      </w:r>
    </w:p>
    <w:p w14:paraId="0CFF45D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39665B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6.3.2如由于卖方原因合同设备(材料)在考核中未能达到合同约定的技术性能考核指标，则卖方应在双方同意的期限内采取措施消除合同设备(材料)中存在的缺陷，并在缺陷消除以后，尽快进行再次考核。</w:t>
      </w:r>
    </w:p>
    <w:p w14:paraId="556A9E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46A5E3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6.3.4如由于买方原因合同设备(材料)在考核中未能达到合同约定的技术性能考核指标，则卖方应协助买方安排再次考核。由于买方原因未能达到技术性能考核指标时，为买方进行考核的机会不超过三次。</w:t>
      </w:r>
    </w:p>
    <w:p w14:paraId="36517CD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6.3.5考核期间，双方应及时共同记录合同设备(材料)的用水、用电、其他动力和原材料（如有）的使用及设备(材料)考核情况。对于未达到技术性能考核指标的，应如实记录设备(材料)表现、可能原因及处理情况等。</w:t>
      </w:r>
    </w:p>
    <w:p w14:paraId="753F9EA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6.4验收</w:t>
      </w:r>
    </w:p>
    <w:p w14:paraId="091A88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25E089A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257A1AB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0EFC34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6.4.4在第6.4.2项和第6.4.3项情形下，卖方也可单方签署验收款支付函提交买方，如果买方在收到卖方签署的验收款支付函后14日内未向卖方提出书面异议，则验收款支付函自签署之日起生效。</w:t>
      </w:r>
    </w:p>
    <w:p w14:paraId="6DF3CF2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6.4.5合同设备(材料)验收证书的签署不能免除卖方在质量保证期内对合同设备(材料)应承担的保证责任。</w:t>
      </w:r>
    </w:p>
    <w:p w14:paraId="560F8111">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7.技术服务</w:t>
      </w:r>
    </w:p>
    <w:p w14:paraId="424A88B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7.1卖方应派遣技术熟练、称职的技术人员到施工场地为买方提供技术服务。卖方的技术服务应符合合同的约定。</w:t>
      </w:r>
    </w:p>
    <w:p w14:paraId="561E73E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7.2买方应免费为卖方技术人员提供工作条件及便利，包括但不限于必要的办公场所、技术资料及出入许可等。除专用合同条款另有约定外，卖方技术人员的交通、食宿费用由卖方承担。</w:t>
      </w:r>
    </w:p>
    <w:p w14:paraId="22D7D3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7.3卖方技术人员应遵守买方施工现场的各项规章制度和安全操作规程，并服从买方的现场管理。</w:t>
      </w:r>
    </w:p>
    <w:p w14:paraId="417A0C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7.4如果任何技术人员不合格，买方有权要求卖方撤换，因撤换而产生的费用应由卖方承担。在不影响技术服务并且征得买方同意的条件下，卖方也可自负费用更换其技术人员。</w:t>
      </w:r>
    </w:p>
    <w:p w14:paraId="346B476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8.质量保证期</w:t>
      </w:r>
    </w:p>
    <w:p w14:paraId="02D8208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40C8E9A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67E25D0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8.3质量保证期届满后，买方应在7日内或专用合同条款另行约定的时间内向卖方出具合同设备(材料)的质量保证期届满证书。</w:t>
      </w:r>
    </w:p>
    <w:p w14:paraId="1D649EB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37FA89A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07D80F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8.6在第8.4款和第8.5款情形下，卖方也可单方签署结清款支付函提交买方，如果买方在收到卖方签署的结清款支付函后14日内未向卖方提出书面异议，则结清款支付函自签署之日起生效。</w:t>
      </w:r>
    </w:p>
    <w:p w14:paraId="05238BB4">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9.质保期服务</w:t>
      </w:r>
    </w:p>
    <w:p w14:paraId="57E1FA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4676856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40FC5B1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9.3如果任何技术人员不合格，买方有权要求卖方撤换，因撤换而产生的费用应由卖方承担。在不影响质保期服务并且征得买方同意的条件下，卖方也可自负费用更换其技术人员。</w:t>
      </w:r>
    </w:p>
    <w:p w14:paraId="30ACC21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9.4除专用合同条款另有约定外，卖方应就在施工现场进行质保期服务的情况进行记录，记载合同设备(材料)故障发生的时间、原因及解决情况等，由买方签字确认，并在质量保证期结束后提交给买方。</w:t>
      </w:r>
    </w:p>
    <w:p w14:paraId="29C5383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10.履约保证金</w:t>
      </w:r>
    </w:p>
    <w:p w14:paraId="3D80E9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57A78FAF">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11.保证</w:t>
      </w:r>
    </w:p>
    <w:p w14:paraId="182C3D8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11.1卖方保证其具有完全的能力履行本合同项下的全部义务。</w:t>
      </w:r>
    </w:p>
    <w:p w14:paraId="51BB9F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11.2卖方保证其所提供的合同设备(材料)及对合同的履行符合所有应适用的法律、行政法规、地方性法规、自治条例和单行条例、规章及其他规范性文件的强制性规定。</w:t>
      </w:r>
    </w:p>
    <w:p w14:paraId="43B97C7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11.3卖方保证其对合同设备(材料)的销售不损害任何第三方的合法权益和社会公众利益。任何第三方不会因卖方原因而基于所有权、抵押权、留置权或其他任何权利或事由对合同设备(材料)主张权利。</w:t>
      </w:r>
    </w:p>
    <w:p w14:paraId="60A3386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4EF52DC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11.5卖方保证，卖方所提供的技术资料完整、清晰、准确，符合合同约定并且能够满足合同设备(材料)的安装、调试、考核、操作以及维修和保养的需要。</w:t>
      </w:r>
    </w:p>
    <w:p w14:paraId="248EA51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796FE2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4BAB035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（1）以不高于同期市场价格或其向任何第三方销售同类产品的价格提供合同设备(材料)正常运行所需的全部备品备件。或</w:t>
      </w:r>
    </w:p>
    <w:p w14:paraId="54F4E31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0BC24C0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782CB64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12.知识产权</w:t>
      </w:r>
    </w:p>
    <w:p w14:paraId="63E1527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12.1买方在履行合同过程中提供给卖方的全部图纸、文件和其他含有数据和信息的资料，其知识产权属于买方。</w:t>
      </w:r>
    </w:p>
    <w:p w14:paraId="77B2097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12.2除专用合同条款另有约定外，买方不因签署和履行合同而享有卖方在履行合同过程中提供给买方的图纸、文件、配套软件、电子辅助程序和其他含有数据和信息的资料的知识产权。</w:t>
      </w:r>
    </w:p>
    <w:p w14:paraId="04161FA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12.3如合同设备(材料)涉及知识产权，则卖方保证买方在使用合同设备(材料)过程中免于受到第三方提出的有关知识产权侵权的主张、索赔或诉讼的伤害。</w:t>
      </w:r>
    </w:p>
    <w:p w14:paraId="2376D9D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2B22154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13.保密</w:t>
      </w:r>
    </w:p>
    <w:p w14:paraId="776FFF0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5A7583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合同当事人的保密义务不适用于下列信息：</w:t>
      </w:r>
    </w:p>
    <w:p w14:paraId="19D267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（1）非因接受信息一方的过失现在或以后进入公共领域的信息；</w:t>
      </w:r>
    </w:p>
    <w:p w14:paraId="507DC71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（2）接受信息一方当事人合法地从第三方获得并且据其善意了解第三方也不对此承担保密义务的信息；</w:t>
      </w:r>
    </w:p>
    <w:p w14:paraId="75BE957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（3）法律或法律的执行要求披露的信息。</w:t>
      </w:r>
    </w:p>
    <w:p w14:paraId="5DEDFEF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14.违约责任</w:t>
      </w:r>
    </w:p>
    <w:p w14:paraId="2E6170F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14.1合同一方不履行合同义务、履行合同义务不符合约定或者违反合同项下所作保证的，应向对方承担继续履行、采取修理、更换、退货等补救措施或者赔偿损失等违约责任。</w:t>
      </w:r>
    </w:p>
    <w:p w14:paraId="02941E3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4F88E1C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（1）从迟交的第一周到第四周，每周迟延交付违约金为迟交合同设备(材料)价格的0.5%；</w:t>
      </w:r>
    </w:p>
    <w:p w14:paraId="1AAB1D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（2）从迟交的第五周到第八周，每周迟延交付违约金为迟交合同设备(材料)价格的1%；</w:t>
      </w:r>
    </w:p>
    <w:p w14:paraId="58354A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4FB661F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14.3买方未能按合同约定支付合同价款的，应向卖方支付延迟付款违约金。除专用合同条款另有约定外，迟延付款违约金的计算方法如下：</w:t>
      </w:r>
    </w:p>
    <w:p w14:paraId="1AECD78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（1）从迟付的第一周到第四周，每周迟延付款违约金为迟延付款金额的0.5%；</w:t>
      </w:r>
    </w:p>
    <w:p w14:paraId="520ADDF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（2）从迟付的第五周到第八周，每周迟延付款违约金为迟延付款金额的1%；</w:t>
      </w:r>
    </w:p>
    <w:p w14:paraId="6B40B3D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（3）从迟付第九周起，每周迟延付款违约金为迟延付款金额的1.5%。在计算迟延付款违约金时，迟付不足一周的按一周计算。迟延付款违约金的总额不得超过合同价格的10%。</w:t>
      </w:r>
    </w:p>
    <w:p w14:paraId="785ABB3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15.合同的解除</w:t>
      </w:r>
    </w:p>
    <w:p w14:paraId="34E97D2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除专用合同条款另有约定外，有下述情形之一，当事人可发出书面通知全部或部分地解除合同，合同自通知到达对方时全部或部分地解除：</w:t>
      </w:r>
    </w:p>
    <w:p w14:paraId="1CDD3A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（1）卖方迟延交付合同设备(材料)超过3个月；</w:t>
      </w:r>
    </w:p>
    <w:p w14:paraId="3D7B57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4E9C8B1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（3）买方迟延付款超过3个月；</w:t>
      </w:r>
    </w:p>
    <w:p w14:paraId="407E011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5EBB273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（5）合同一方当事人出现破产、清算、资不抵债、成为失信被执行人等可能丧失履约能力的情形，且未能提供令对方满意的履约保证金。</w:t>
      </w:r>
    </w:p>
    <w:p w14:paraId="0E300CD3">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16.不可抗力</w:t>
      </w:r>
    </w:p>
    <w:p w14:paraId="79B1C7C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70BAC6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14:paraId="598A16B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6C47DD4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17.争议的解决</w:t>
      </w:r>
    </w:p>
    <w:p w14:paraId="5394574A">
      <w:pPr>
        <w:spacing w:beforeLines="50" w:afterLines="50" w:line="4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因合同及合同有关事项发生的争议，按向</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绍兴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仲裁委员会申请仲裁解决</w:t>
      </w:r>
      <w:r>
        <w:rPr>
          <w:rFonts w:hint="eastAsia" w:ascii="宋体" w:hAnsi="宋体" w:eastAsia="宋体" w:cs="宋体"/>
          <w:color w:val="auto"/>
          <w:sz w:val="23"/>
          <w:szCs w:val="23"/>
          <w:highlight w:val="none"/>
          <w:lang w:eastAsia="zh-CN"/>
        </w:rPr>
        <w:t>。</w:t>
      </w:r>
    </w:p>
    <w:p w14:paraId="59002932">
      <w:pPr>
        <w:spacing w:line="360" w:lineRule="auto"/>
        <w:ind w:firstLine="460" w:firstLineChars="200"/>
        <w:rPr>
          <w:rFonts w:hint="eastAsia" w:ascii="宋体" w:hAnsi="宋体" w:eastAsia="宋体" w:cs="宋体"/>
          <w:color w:val="auto"/>
          <w:sz w:val="23"/>
          <w:szCs w:val="23"/>
          <w:highlight w:val="none"/>
        </w:rPr>
      </w:pPr>
    </w:p>
    <w:p w14:paraId="13689E3D">
      <w:pPr>
        <w:pStyle w:val="2"/>
        <w:rPr>
          <w:color w:val="auto"/>
          <w:highlight w:val="none"/>
        </w:rPr>
      </w:pPr>
    </w:p>
    <w:p w14:paraId="24F452BC">
      <w:pPr>
        <w:spacing w:line="360" w:lineRule="auto"/>
        <w:ind w:firstLine="462" w:firstLineChars="200"/>
        <w:jc w:val="both"/>
        <w:rPr>
          <w:rFonts w:hint="eastAsia" w:ascii="宋体" w:hAnsi="宋体" w:eastAsia="宋体" w:cs="宋体"/>
          <w:b/>
          <w:bCs/>
          <w:color w:val="auto"/>
          <w:sz w:val="23"/>
          <w:szCs w:val="23"/>
          <w:highlight w:val="none"/>
          <w:lang w:bidi="ar"/>
        </w:rPr>
      </w:pPr>
    </w:p>
    <w:p w14:paraId="49ECD018">
      <w:pPr>
        <w:spacing w:line="360" w:lineRule="auto"/>
        <w:ind w:firstLine="462" w:firstLineChars="200"/>
        <w:jc w:val="center"/>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br w:type="page"/>
      </w:r>
      <w:r>
        <w:rPr>
          <w:rFonts w:hint="eastAsia" w:ascii="宋体" w:hAnsi="宋体" w:eastAsia="宋体" w:cs="宋体"/>
          <w:b/>
          <w:bCs/>
          <w:color w:val="auto"/>
          <w:sz w:val="23"/>
          <w:szCs w:val="23"/>
          <w:highlight w:val="none"/>
          <w:lang w:bidi="ar"/>
        </w:rPr>
        <w:t>第二节专用合同条款</w:t>
      </w:r>
    </w:p>
    <w:p w14:paraId="210BD58E">
      <w:pPr>
        <w:jc w:val="left"/>
        <w:rPr>
          <w:rFonts w:asciiTheme="minorEastAsia" w:hAnsiTheme="minorEastAsia" w:cstheme="minorEastAsia"/>
          <w:b/>
          <w:bCs/>
          <w:color w:val="auto"/>
          <w:sz w:val="23"/>
          <w:szCs w:val="23"/>
          <w:highlight w:val="none"/>
        </w:rPr>
      </w:pPr>
      <w:r>
        <w:rPr>
          <w:rFonts w:hint="eastAsia" w:eastAsia="宋体" w:asciiTheme="minorEastAsia" w:hAnsiTheme="minorEastAsia" w:cstheme="minorEastAsia"/>
          <w:b/>
          <w:bCs/>
          <w:color w:val="auto"/>
          <w:sz w:val="23"/>
          <w:szCs w:val="23"/>
          <w:highlight w:val="none"/>
          <w:lang w:val="en-US" w:eastAsia="zh-CN"/>
        </w:rPr>
        <w:t>一</w:t>
      </w:r>
      <w:r>
        <w:rPr>
          <w:rFonts w:hint="eastAsia" w:asciiTheme="minorEastAsia" w:hAnsiTheme="minorEastAsia" w:cstheme="minorEastAsia"/>
          <w:b/>
          <w:bCs/>
          <w:color w:val="auto"/>
          <w:sz w:val="23"/>
          <w:szCs w:val="23"/>
          <w:highlight w:val="none"/>
        </w:rPr>
        <w:t>、合同主要条款</w:t>
      </w:r>
    </w:p>
    <w:p w14:paraId="20437797">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本合同</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条款是对合同一般条款的补充，两者之间如有抵触，以本</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 xml:space="preserve">条款为准。  </w:t>
      </w:r>
    </w:p>
    <w:p w14:paraId="579079D3">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 xml:space="preserve">  </w:t>
      </w:r>
      <w:r>
        <w:rPr>
          <w:rFonts w:hint="eastAsia" w:ascii="宋体" w:hAnsi="宋体" w:eastAsia="宋体" w:cs="宋体"/>
          <w:color w:val="auto"/>
          <w:sz w:val="23"/>
          <w:szCs w:val="23"/>
          <w:highlight w:val="none"/>
        </w:rPr>
        <w:t xml:space="preserve"> </w:t>
      </w:r>
      <w:r>
        <w:rPr>
          <w:rFonts w:hint="eastAsia" w:ascii="宋体" w:hAnsi="宋体" w:cs="宋体"/>
          <w:color w:val="auto"/>
          <w:sz w:val="23"/>
          <w:szCs w:val="23"/>
          <w:highlight w:val="none"/>
        </w:rPr>
        <w:t xml:space="preserve">一、合同工期    </w:t>
      </w:r>
    </w:p>
    <w:p w14:paraId="624E4640">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lang w:val="en-US" w:eastAsia="zh-CN"/>
        </w:rPr>
        <w:t>180日历天，并不得影响总包总进度计划（以招标人发出的开工指令为准，具体应与工程施工总进度计划同步，服从总包管理）。</w:t>
      </w:r>
      <w:r>
        <w:rPr>
          <w:rFonts w:hint="eastAsia" w:ascii="宋体" w:hAnsi="宋体" w:cs="宋体"/>
          <w:color w:val="auto"/>
          <w:sz w:val="23"/>
          <w:szCs w:val="23"/>
          <w:highlight w:val="none"/>
        </w:rPr>
        <w:t xml:space="preserve">    </w:t>
      </w:r>
    </w:p>
    <w:p w14:paraId="3501AA3B">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rPr>
        <w:t xml:space="preserve"> 二、交货方式：现场交货。乙方将设备运抵工地现场并初验合格的日期为交货日期。甲方可以要求乙方根据工程进度要求分批交货但不再额外增加其他费用。</w:t>
      </w:r>
    </w:p>
    <w:p w14:paraId="66DD6554">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三、交货地点：现场交货，并堆放至指定仓库（如需）。</w:t>
      </w:r>
    </w:p>
    <w:p w14:paraId="3A90FB43">
      <w:pPr>
        <w:spacing w:line="400" w:lineRule="exact"/>
        <w:ind w:firstLine="115" w:firstLineChars="50"/>
        <w:rPr>
          <w:rFonts w:ascii="宋体" w:hAnsi="宋体" w:cs="宋体"/>
          <w:color w:val="auto"/>
          <w:sz w:val="23"/>
          <w:szCs w:val="23"/>
          <w:highlight w:val="none"/>
        </w:rPr>
      </w:pPr>
      <w:r>
        <w:rPr>
          <w:rFonts w:hint="eastAsia" w:ascii="宋体" w:hAnsi="宋体" w:cs="宋体"/>
          <w:color w:val="auto"/>
          <w:sz w:val="23"/>
          <w:szCs w:val="23"/>
          <w:highlight w:val="none"/>
        </w:rPr>
        <w:t xml:space="preserve">    四、接货通知</w:t>
      </w:r>
    </w:p>
    <w:p w14:paraId="7DA1A290">
      <w:pPr>
        <w:spacing w:line="400" w:lineRule="exact"/>
        <w:ind w:firstLine="210"/>
        <w:rPr>
          <w:rFonts w:ascii="宋体" w:hAnsi="宋体" w:cs="宋体"/>
          <w:b/>
          <w:bCs/>
          <w:color w:val="auto"/>
          <w:sz w:val="23"/>
          <w:szCs w:val="23"/>
          <w:highlight w:val="none"/>
        </w:rPr>
      </w:pPr>
      <w:r>
        <w:rPr>
          <w:rFonts w:hint="eastAsia" w:ascii="宋体" w:hAnsi="宋体" w:cs="宋体"/>
          <w:color w:val="auto"/>
          <w:sz w:val="23"/>
          <w:szCs w:val="23"/>
          <w:highlight w:val="none"/>
        </w:rPr>
        <w:t xml:space="preserve">   乙方在设备发运前10天，需将准备发运的设备名称、规格、数量、包装箱件数、每件包装箱的尺码、毛重及对货物的卸车、贮存的特殊要求以传真</w:t>
      </w:r>
      <w:r>
        <w:rPr>
          <w:rFonts w:hint="eastAsia" w:ascii="宋体" w:hAnsi="宋体" w:cs="宋体"/>
          <w:color w:val="auto"/>
          <w:sz w:val="23"/>
          <w:szCs w:val="23"/>
          <w:highlight w:val="none"/>
          <w:lang w:val="en-US" w:eastAsia="zh-CN"/>
        </w:rPr>
        <w:t>或双方确定</w:t>
      </w:r>
      <w:r>
        <w:rPr>
          <w:rFonts w:hint="eastAsia" w:ascii="宋体" w:hAnsi="宋体" w:cs="宋体"/>
          <w:color w:val="auto"/>
          <w:sz w:val="23"/>
          <w:szCs w:val="23"/>
          <w:highlight w:val="none"/>
        </w:rPr>
        <w:t>的形式通知甲方，以便接货。甲方只协助乙方接货。</w:t>
      </w:r>
      <w:r>
        <w:rPr>
          <w:rFonts w:hint="eastAsia" w:ascii="宋体" w:hAnsi="宋体" w:cs="宋体"/>
          <w:color w:val="auto"/>
          <w:sz w:val="23"/>
          <w:szCs w:val="23"/>
          <w:highlight w:val="none"/>
          <w:lang w:val="en-US" w:eastAsia="zh-CN"/>
        </w:rPr>
        <w:t>卸</w:t>
      </w:r>
      <w:r>
        <w:rPr>
          <w:rFonts w:hint="eastAsia" w:ascii="宋体" w:hAnsi="宋体" w:cs="宋体"/>
          <w:color w:val="auto"/>
          <w:sz w:val="23"/>
          <w:szCs w:val="23"/>
          <w:highlight w:val="none"/>
        </w:rPr>
        <w:t>货、清点、搬运、保管、安装调试、试运行等均由乙方负责，并承担相应费用。</w:t>
      </w:r>
    </w:p>
    <w:p w14:paraId="0D56B92B">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五、运输及装卸保险</w:t>
      </w:r>
    </w:p>
    <w:p w14:paraId="6D88C69D">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1、货物在装运前由乙方投保，一旦货物在装卸、运输过程中发生损坏或短缺，由乙方负责索赔。</w:t>
      </w:r>
    </w:p>
    <w:p w14:paraId="5555EF25">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2、乙方保证在确认货物因装卸、运输中发生损坏或短缺后，尽快给予调换、修复和补齐缺件，不管其造成的原因如何，也不以办理索赔为由而拖延</w:t>
      </w:r>
      <w:r>
        <w:rPr>
          <w:rFonts w:hint="eastAsia" w:ascii="宋体" w:hAnsi="宋体" w:cs="宋体"/>
          <w:color w:val="auto"/>
          <w:sz w:val="23"/>
          <w:szCs w:val="23"/>
          <w:highlight w:val="none"/>
          <w:lang w:val="en-US" w:eastAsia="zh-CN"/>
        </w:rPr>
        <w:t>交付</w:t>
      </w:r>
      <w:r>
        <w:rPr>
          <w:rFonts w:hint="eastAsia" w:ascii="宋体" w:hAnsi="宋体" w:cs="宋体"/>
          <w:color w:val="auto"/>
          <w:sz w:val="23"/>
          <w:szCs w:val="23"/>
          <w:highlight w:val="none"/>
        </w:rPr>
        <w:t>。</w:t>
      </w:r>
    </w:p>
    <w:p w14:paraId="1B2614A2">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3、乙方工作人员及设备进场时，应遵守交货现场环境卫生管理、安全管理的有关规定，配备相应的环境保护及安全措施。承担因自身原因违反有关规定而导致的所有责任。</w:t>
      </w:r>
    </w:p>
    <w:p w14:paraId="0BF34CB5">
      <w:pPr>
        <w:keepNext/>
        <w:keepLines/>
        <w:spacing w:line="400" w:lineRule="exact"/>
        <w:ind w:firstLine="460" w:firstLineChars="200"/>
        <w:outlineLvl w:val="2"/>
        <w:rPr>
          <w:rFonts w:ascii="宋体" w:hAnsi="宋体" w:cs="宋体"/>
          <w:color w:val="auto"/>
          <w:sz w:val="23"/>
          <w:szCs w:val="23"/>
          <w:highlight w:val="none"/>
        </w:rPr>
      </w:pPr>
      <w:bookmarkStart w:id="53" w:name="_Toc21937"/>
      <w:r>
        <w:rPr>
          <w:rFonts w:hint="eastAsia" w:ascii="宋体" w:hAnsi="宋体" w:cs="宋体"/>
          <w:bCs/>
          <w:color w:val="auto"/>
          <w:sz w:val="23"/>
          <w:szCs w:val="23"/>
          <w:highlight w:val="none"/>
        </w:rPr>
        <w:t>六、</w:t>
      </w:r>
      <w:r>
        <w:rPr>
          <w:rFonts w:hint="eastAsia" w:ascii="宋体" w:hAnsi="宋体" w:cs="宋体"/>
          <w:color w:val="auto"/>
          <w:sz w:val="23"/>
          <w:szCs w:val="23"/>
          <w:highlight w:val="none"/>
        </w:rPr>
        <w:t>付款方式</w:t>
      </w:r>
      <w:bookmarkEnd w:id="53"/>
    </w:p>
    <w:p w14:paraId="61E44403">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（1）合同签订并</w:t>
      </w:r>
      <w:r>
        <w:rPr>
          <w:rFonts w:hint="eastAsia" w:ascii="宋体" w:hAnsi="宋体" w:eastAsia="宋体" w:cs="宋体"/>
          <w:color w:val="auto"/>
          <w:sz w:val="24"/>
          <w:szCs w:val="24"/>
          <w:highlight w:val="none"/>
          <w:lang w:eastAsia="zh-CN"/>
        </w:rPr>
        <w:t>中标单位</w:t>
      </w:r>
      <w:r>
        <w:rPr>
          <w:rFonts w:hint="eastAsia" w:ascii="宋体" w:hAnsi="宋体" w:eastAsia="宋体" w:cs="宋体"/>
          <w:color w:val="auto"/>
          <w:sz w:val="24"/>
          <w:szCs w:val="24"/>
          <w:highlight w:val="none"/>
        </w:rPr>
        <w:t>提交履约担保后支付</w:t>
      </w:r>
      <w:r>
        <w:rPr>
          <w:rFonts w:hint="eastAsia" w:ascii="宋体" w:hAnsi="宋体" w:cs="宋体"/>
          <w:color w:val="auto"/>
          <w:sz w:val="24"/>
          <w:szCs w:val="24"/>
          <w:highlight w:val="none"/>
          <w:lang w:val="en-US" w:eastAsia="zh-CN"/>
        </w:rPr>
        <w:t>至</w:t>
      </w:r>
      <w:r>
        <w:rPr>
          <w:rFonts w:hint="eastAsia" w:ascii="宋体" w:hAnsi="宋体" w:eastAsia="宋体" w:cs="宋体"/>
          <w:color w:val="auto"/>
          <w:sz w:val="24"/>
          <w:szCs w:val="24"/>
          <w:highlight w:val="none"/>
        </w:rPr>
        <w:t>签约合同价的10%</w:t>
      </w:r>
      <w:r>
        <w:rPr>
          <w:rFonts w:hint="eastAsia" w:ascii="宋体" w:hAnsi="宋体" w:eastAsia="宋体" w:cs="宋体"/>
          <w:color w:val="auto"/>
          <w:sz w:val="24"/>
          <w:szCs w:val="24"/>
          <w:highlight w:val="none"/>
          <w:lang w:eastAsia="zh-CN"/>
        </w:rPr>
        <w:t>；</w:t>
      </w:r>
    </w:p>
    <w:p w14:paraId="7A9203AF">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中标人向全咨单位、代建单位和招标人上报完成的本</w:t>
      </w:r>
      <w:r>
        <w:rPr>
          <w:rFonts w:hint="eastAsia" w:ascii="宋体" w:hAnsi="宋体" w:cs="宋体"/>
          <w:color w:val="auto"/>
          <w:sz w:val="24"/>
          <w:szCs w:val="24"/>
          <w:highlight w:val="none"/>
          <w:lang w:val="en-US" w:eastAsia="zh-CN"/>
        </w:rPr>
        <w:t>项目</w:t>
      </w:r>
      <w:r>
        <w:rPr>
          <w:rFonts w:hint="default" w:ascii="宋体" w:hAnsi="宋体" w:eastAsia="宋体" w:cs="宋体"/>
          <w:color w:val="auto"/>
          <w:sz w:val="24"/>
          <w:szCs w:val="24"/>
          <w:highlight w:val="none"/>
          <w:lang w:val="en-US" w:eastAsia="zh-CN"/>
        </w:rPr>
        <w:t>工程量产值的60%后，支付至合同价的50%；</w:t>
      </w:r>
    </w:p>
    <w:p w14:paraId="69EF5322">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（3）本项目完工并通过验收后支付至合同价的85%；</w:t>
      </w:r>
    </w:p>
    <w:p w14:paraId="69B584F6">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审核结算完成且资料齐全移交招标单位后15个工作日内支付至审定价的98.5%.</w:t>
      </w:r>
    </w:p>
    <w:p w14:paraId="6247FABA">
      <w:pPr>
        <w:snapToGrid w:val="0"/>
        <w:spacing w:line="312"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）根据中标单位投标时承诺的质保期时间，余款1.5%在承诺的质保期满且无质量和服务问题后一次性付清。</w:t>
      </w:r>
    </w:p>
    <w:p w14:paraId="1789B87B">
      <w:pPr>
        <w:spacing w:line="400" w:lineRule="exact"/>
        <w:ind w:firstLine="554" w:firstLineChars="2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本项目付款方为绍兴大学附属医院(发包人)，每次付款时承包人需提供增值税专用发票，经全咨单位、代建人出具支出审批意见后由发包人支付，发包人应在收到代建人付款审批资料后按时足额支付款项，承包人未提供发票的，绍兴大学附属医院有权顺延付款且不视为违约。</w:t>
      </w:r>
    </w:p>
    <w:p w14:paraId="2B28C3DD">
      <w:pPr>
        <w:spacing w:line="400" w:lineRule="exact"/>
        <w:ind w:firstLine="532" w:firstLineChars="231"/>
        <w:rPr>
          <w:rFonts w:hint="eastAsia" w:ascii="宋体" w:hAnsi="宋体" w:eastAsia="宋体" w:cs="宋体"/>
          <w:b/>
          <w:color w:val="auto"/>
          <w:sz w:val="23"/>
          <w:szCs w:val="23"/>
          <w:highlight w:val="none"/>
        </w:rPr>
      </w:pPr>
      <w:r>
        <w:rPr>
          <w:rFonts w:hint="eastAsia" w:ascii="宋体" w:hAnsi="宋体" w:cs="宋体"/>
          <w:b/>
          <w:color w:val="auto"/>
          <w:sz w:val="23"/>
          <w:szCs w:val="23"/>
          <w:highlight w:val="none"/>
        </w:rPr>
        <w:t>七、结算原则</w:t>
      </w:r>
      <w:r>
        <w:rPr>
          <w:rFonts w:hint="eastAsia" w:ascii="宋体" w:hAnsi="宋体" w:eastAsia="宋体" w:cs="宋体"/>
          <w:b/>
          <w:color w:val="auto"/>
          <w:sz w:val="23"/>
          <w:szCs w:val="23"/>
          <w:highlight w:val="none"/>
        </w:rPr>
        <w:t xml:space="preserve"> </w:t>
      </w:r>
    </w:p>
    <w:p w14:paraId="2C963222">
      <w:pPr>
        <w:spacing w:line="360" w:lineRule="auto"/>
        <w:ind w:firstLine="460" w:firstLineChars="20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1.合同价格形式：</w:t>
      </w:r>
      <w:r>
        <w:rPr>
          <w:rFonts w:hint="eastAsia" w:ascii="宋体" w:hAnsi="宋体" w:cs="宋体"/>
          <w:color w:val="auto"/>
          <w:sz w:val="23"/>
          <w:szCs w:val="23"/>
          <w:highlight w:val="none"/>
          <w:lang w:val="en-US" w:eastAsia="zh-CN"/>
        </w:rPr>
        <w:t>约定范围内固定单价合同</w:t>
      </w:r>
      <w:r>
        <w:rPr>
          <w:rFonts w:hint="eastAsia" w:ascii="宋体" w:hAnsi="宋体" w:cs="宋体"/>
          <w:strike w:val="0"/>
          <w:dstrike w:val="0"/>
          <w:color w:val="auto"/>
          <w:sz w:val="23"/>
          <w:szCs w:val="23"/>
          <w:highlight w:val="none"/>
          <w:lang w:val="en-US" w:eastAsia="zh-CN"/>
        </w:rPr>
        <w:t>。</w:t>
      </w:r>
    </w:p>
    <w:p w14:paraId="439BDCB0">
      <w:pPr>
        <w:spacing w:line="360" w:lineRule="auto"/>
        <w:ind w:firstLine="460" w:firstLineChars="200"/>
        <w:rPr>
          <w:rFonts w:hint="eastAsia" w:ascii="宋体" w:hAnsi="宋体" w:cs="宋体"/>
          <w:strike w:val="0"/>
          <w:dstrike w:val="0"/>
          <w:color w:val="auto"/>
          <w:sz w:val="23"/>
          <w:szCs w:val="23"/>
          <w:highlight w:val="none"/>
        </w:rPr>
      </w:pPr>
      <w:r>
        <w:rPr>
          <w:rFonts w:hint="eastAsia" w:ascii="宋体" w:hAnsi="宋体" w:cs="宋体"/>
          <w:color w:val="auto"/>
          <w:sz w:val="23"/>
          <w:szCs w:val="23"/>
          <w:highlight w:val="none"/>
        </w:rPr>
        <w:t>2.价款确定：货物清单中的工程量、清单描述若与图纸及答疑不一致时，以图纸及答疑为准并须满足各专业的功能要求。(本项目须进行结算审计，除招标人提出的功能需要较大调整造成调整情况除外，其他情况下最终结算价不得突破中标价，突破部分由承包人自行承担)。</w:t>
      </w:r>
    </w:p>
    <w:p w14:paraId="37F2427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如因甲方原因需进行设计变更，则变更内容必须经过全咨单位、设计单位、代建单位同意，乙方需无条件配合实施，未经各方同意，不作为结算依据。</w:t>
      </w:r>
    </w:p>
    <w:p w14:paraId="330E2A1F">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设计变更内容结算口径：1</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有投标综合单价的，按投标综合单价</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2</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无投标综合单价的，但有类似工程项目单价的，可以参照合同中类似项目的单价计算，并经监理工程师审核，发包人或其委托的跟踪审计单位工程师审定，并按相关程序批准后确定</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3</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也无类似工程项目单价的，由承包人按浙江省建设工程计价依据(2018版)计算并按中标下浮率同比率下浮后提出单价，经监理工程师审核，发包人或其委托的跟踪审计单位工程师审定，并按相关程序批准后确定;投标书中既无该项目综合单价、也无类似工程项目单价且无定额可套用的，按照市场询价情况并经全咨单位、代建人、发包人按相关程序签证结算，管理费、利润按12%计取(除税金外不再计取其它任何费用，也不下浮)</w:t>
      </w:r>
      <w:r>
        <w:rPr>
          <w:rFonts w:hint="eastAsia" w:ascii="宋体" w:hAnsi="宋体" w:cs="宋体"/>
          <w:color w:val="auto"/>
          <w:sz w:val="23"/>
          <w:szCs w:val="23"/>
          <w:highlight w:val="none"/>
          <w:lang w:eastAsia="zh-CN"/>
        </w:rPr>
        <w:t>；</w:t>
      </w:r>
    </w:p>
    <w:p w14:paraId="01777CB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总承包管理及配合服务费为本医用气体项目合同价的【2%】，该笔费用计入总承包合同价中，由发包人支付给总承包人。水电费为本医用气体项目合同价的【1%】，由本医用气体项目中标单位支付给总承包人。</w:t>
      </w:r>
    </w:p>
    <w:p w14:paraId="2F1CF742">
      <w:pPr>
        <w:spacing w:line="360" w:lineRule="auto"/>
        <w:ind w:firstLine="460" w:firstLineChars="200"/>
        <w:rPr>
          <w:rFonts w:ascii="宋体" w:hAnsi="宋体" w:cs="宋体"/>
          <w:b/>
          <w:bCs/>
          <w:color w:val="auto"/>
          <w:kern w:val="2"/>
          <w:sz w:val="23"/>
          <w:szCs w:val="23"/>
          <w:highlight w:val="none"/>
        </w:rPr>
      </w:pPr>
      <w:r>
        <w:rPr>
          <w:rFonts w:hint="eastAsia" w:ascii="宋体" w:hAnsi="宋体" w:cs="宋体"/>
          <w:b/>
          <w:bCs/>
          <w:color w:val="auto"/>
          <w:kern w:val="2"/>
          <w:sz w:val="23"/>
          <w:szCs w:val="23"/>
          <w:highlight w:val="none"/>
        </w:rPr>
        <w:t>八、变更：</w:t>
      </w:r>
    </w:p>
    <w:p w14:paraId="139C678A">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 、采购合同履行中甲方需追加与合同标的相同的货物、工程或者服务的，在不改变合同其他条款的前提下，可以与乙方协商签订补充合同，但所有补充合同的采购金额不得超过原合同采购金额的百分之十。</w:t>
      </w:r>
    </w:p>
    <w:p w14:paraId="209BD350">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2、当变更只是采购量增减时，按投标所报的单价进行结算。</w:t>
      </w:r>
    </w:p>
    <w:p w14:paraId="3613FFD8">
      <w:pPr>
        <w:spacing w:line="360" w:lineRule="auto"/>
        <w:ind w:firstLine="422"/>
        <w:rPr>
          <w:rFonts w:ascii="宋体" w:hAnsi="宋体" w:eastAsia="宋体" w:cs="宋体"/>
          <w:b/>
          <w:color w:val="auto"/>
          <w:sz w:val="23"/>
          <w:szCs w:val="23"/>
          <w:highlight w:val="none"/>
        </w:rPr>
      </w:pPr>
      <w:r>
        <w:rPr>
          <w:rFonts w:hint="eastAsia" w:ascii="宋体" w:hAnsi="宋体" w:eastAsia="宋体" w:cs="宋体"/>
          <w:b/>
          <w:color w:val="auto"/>
          <w:sz w:val="23"/>
          <w:szCs w:val="23"/>
          <w:highlight w:val="none"/>
        </w:rPr>
        <w:t>九、文件和技术资料</w:t>
      </w:r>
    </w:p>
    <w:p w14:paraId="5F80220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设备交货前乙方向甲方提供下列技术资料、图纸和文件：</w:t>
      </w:r>
    </w:p>
    <w:p w14:paraId="700CE4E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（1）样本及技术规格书，要求有8份。</w:t>
      </w:r>
    </w:p>
    <w:p w14:paraId="4D48ECD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（2）施工图，要求有10份。</w:t>
      </w:r>
    </w:p>
    <w:p w14:paraId="29066FD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（3）制造厂的设备生产许可证明和设备合格证书。</w:t>
      </w:r>
    </w:p>
    <w:p w14:paraId="64025B8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（4）制造厂出具的品质保证书正本。</w:t>
      </w:r>
    </w:p>
    <w:p w14:paraId="129AEF5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（5）制作期间的试验、检试报告。</w:t>
      </w:r>
    </w:p>
    <w:p w14:paraId="4B58DA2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（6）出厂检试报告。设备安装、操作、维护手册或说明书，要求有8份。此手册或说明书不应少于如下内容：</w:t>
      </w:r>
    </w:p>
    <w:p w14:paraId="0E37FAF8">
      <w:pPr>
        <w:tabs>
          <w:tab w:val="left" w:pos="560"/>
          <w:tab w:val="left" w:pos="140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a、电气接线图；</w:t>
      </w:r>
    </w:p>
    <w:p w14:paraId="26FAFB4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b、设备操作与维修手册。</w:t>
      </w:r>
    </w:p>
    <w:p w14:paraId="05DA45A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（7）甲方认为有必要提供的其他技术资料。</w:t>
      </w:r>
    </w:p>
    <w:p w14:paraId="52B6993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（8）以上所有资料必须为中文。</w:t>
      </w:r>
    </w:p>
    <w:p w14:paraId="7821AA4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资料：提交的技术资料要符合城建档案馆及其他有关部门的要求，要符合评杯要求。</w:t>
      </w:r>
    </w:p>
    <w:p w14:paraId="1A5D14F8">
      <w:pPr>
        <w:tabs>
          <w:tab w:val="left" w:pos="280"/>
        </w:tabs>
        <w:spacing w:line="360" w:lineRule="auto"/>
        <w:ind w:firstLine="460" w:firstLineChars="200"/>
        <w:rPr>
          <w:rFonts w:hint="eastAsia" w:ascii="宋体" w:hAnsi="宋体" w:cs="宋体"/>
          <w:b/>
          <w:bCs/>
          <w:color w:val="auto"/>
          <w:sz w:val="23"/>
          <w:szCs w:val="23"/>
          <w:highlight w:val="none"/>
          <w:lang w:val="en-US" w:eastAsia="zh-CN"/>
        </w:rPr>
      </w:pPr>
      <w:r>
        <w:rPr>
          <w:rFonts w:hint="eastAsia" w:ascii="宋体" w:hAnsi="宋体" w:cs="宋体"/>
          <w:b/>
          <w:bCs/>
          <w:color w:val="auto"/>
          <w:sz w:val="23"/>
          <w:szCs w:val="23"/>
          <w:highlight w:val="none"/>
        </w:rPr>
        <w:t>十、</w:t>
      </w:r>
      <w:r>
        <w:rPr>
          <w:rFonts w:hint="eastAsia" w:ascii="宋体" w:hAnsi="宋体" w:cs="宋体"/>
          <w:b/>
          <w:bCs/>
          <w:color w:val="auto"/>
          <w:sz w:val="23"/>
          <w:szCs w:val="23"/>
          <w:highlight w:val="none"/>
          <w:lang w:val="en-US" w:eastAsia="zh-CN"/>
        </w:rPr>
        <w:t>人员培训</w:t>
      </w:r>
    </w:p>
    <w:p w14:paraId="0567D47A">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乙方免费对甲方的操作、维修人员在厂方或使用地进行技术培训。设备交货时乙方向甲方提供设备技术资料、图纸和甲方认为有必要提供的其他技术资料。</w:t>
      </w:r>
    </w:p>
    <w:p w14:paraId="26D2A9EA">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应针对项目系统中的不同操作角色对使用方的人员进行相应的培训，培训的目标是使使用方能熟练使用和维护该系统，培训具体形式应至少包括集中的基础理论、系统日常管理、运维等内容，培训至熟练使用。</w:t>
      </w:r>
    </w:p>
    <w:p w14:paraId="7829E848">
      <w:pPr>
        <w:tabs>
          <w:tab w:val="left" w:pos="280"/>
        </w:tabs>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lang w:val="en-US" w:eastAsia="zh-CN"/>
        </w:rPr>
        <w:t>乙方必须为所有被培训人员提供培训用文字资料和讲义等相关用品。所有的资料必须是中文书写。</w:t>
      </w:r>
    </w:p>
    <w:p w14:paraId="6277C821">
      <w:pPr>
        <w:tabs>
          <w:tab w:val="left" w:pos="280"/>
        </w:tabs>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十一、质量、技术标准</w:t>
      </w:r>
    </w:p>
    <w:p w14:paraId="63F2057C">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设备的制造、安装、验收标准及技术规范，必须符合中国国家标准，或甲方认可的其他标准。乙方必须保证交货产品各项性能不得低于中国国家标准或甲方认可的其他标准，甲方随时有抽检及送检产品的权利，检验机构为政府法定检验机构。对于产品的任何技术及质量不合格，乙方承担检测费用，甲方有权拒收、部分拒收、退货、部分退货直至解除本合同，追究乙方违约责任，并要求乙方支付承担因此造成的所有损失。因此造成工期违约的，同时承担工期违约的违约责任。</w:t>
      </w:r>
    </w:p>
    <w:p w14:paraId="15E3E1CD">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2、未经甲方同意，乙方不得擅自更改或换用投标产品的零部件或配件，否则，乙方承担由此发生的费用，并赔偿甲方的有关损失，延误的供货日期不予顺延。</w:t>
      </w:r>
    </w:p>
    <w:p w14:paraId="3AE686AB">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 xml:space="preserve">十二、设备、材料检验 </w:t>
      </w:r>
    </w:p>
    <w:p w14:paraId="256887CE">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甲方认为有必要在设备制造过程中派人到生产厂监制，乙方应予以积极配合并对监制或预验收工作提供方便并承担相关费用。但甲方监制并不解除制造商对所有产品在制造质量上应负的全部责任，也不作为甲方的最终验收。</w:t>
      </w:r>
    </w:p>
    <w:p w14:paraId="4A639860">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在第一批设备供货之前，甲方会同监理工程师等相关单位到乙方的设备制造厂进行样品审核，乙方应积极配合并对甲方的工作提供方便并承担相关费用。在检验结束后，乙方须提供必要的技术数据和图纸，并提交一份测试报告给甲方，但甲方的工厂检验并不解除制造商对所有产品在制造质量上应负的全部责任。</w:t>
      </w:r>
    </w:p>
    <w:p w14:paraId="5167DCA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所有的货物准备进场时须同时提供货物出厂合格证书、检测报告。国外生产的必须有合法的进货渠道证明，如海关报关单、原产地证明、商检证明等</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若存在特殊货物需第三方授权的，提供相关授权文件</w:t>
      </w:r>
      <w:r>
        <w:rPr>
          <w:rFonts w:hint="eastAsia" w:ascii="宋体" w:hAnsi="宋体" w:cs="宋体"/>
          <w:color w:val="auto"/>
          <w:sz w:val="23"/>
          <w:szCs w:val="23"/>
          <w:highlight w:val="none"/>
        </w:rPr>
        <w:t>。</w:t>
      </w:r>
    </w:p>
    <w:p w14:paraId="58711C65">
      <w:pPr>
        <w:spacing w:line="360" w:lineRule="auto"/>
        <w:ind w:firstLine="42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14:paraId="74530A3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样品的报送与封存：需要乙方报送样品的材料或工程设备，样品的种类、名称、规格、数量要求：</w:t>
      </w:r>
      <w:bookmarkStart w:id="54" w:name="_Toc27309"/>
      <w:bookmarkStart w:id="55" w:name="_Toc812"/>
      <w:r>
        <w:rPr>
          <w:rFonts w:hint="eastAsia" w:ascii="宋体" w:hAnsi="宋体" w:cs="宋体"/>
          <w:color w:val="auto"/>
          <w:sz w:val="23"/>
          <w:szCs w:val="23"/>
          <w:highlight w:val="none"/>
          <w:u w:val="single"/>
          <w:lang w:val="en-US" w:eastAsia="zh-CN"/>
        </w:rPr>
        <w:t>以符合设计和规范要求为原则。a、一般材料由甲方、监理看样认可后自行采购；主要设备应由甲方和监理共同看样定货认可后采购。b 、所有材料必须有质保书和合格证，经认证许可，并符合施工图纸和规范要求，若材料质量不符合规定要求，乙方无条件退换并承担返工损失及工期、质量违约责任 。</w:t>
      </w:r>
    </w:p>
    <w:p w14:paraId="778D3CA0">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十三、设备的安装、调试</w:t>
      </w:r>
      <w:bookmarkEnd w:id="54"/>
      <w:bookmarkEnd w:id="55"/>
    </w:p>
    <w:p w14:paraId="2CC0BE0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1、合同所订的货物到达甲方后，乙方应在收到甲方通知后2天内，及时派人前往设备交货地点对设备进行安装调试。</w:t>
      </w:r>
    </w:p>
    <w:p w14:paraId="429AFE4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2、乙方人员在甲方进行指导安装及设备调试期间，所有费用由乙方负责。</w:t>
      </w:r>
    </w:p>
    <w:p w14:paraId="4067A7D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3、乙方应在设备安装完毕后的5日内完成设备调试工作；调试完毕后须经过二个月的试运行。如因乙方责任而造成的延期，所有因安装延期而产生的费用由乙方负担并乙方应承担相应的违约责任。</w:t>
      </w:r>
    </w:p>
    <w:p w14:paraId="69EE087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14:paraId="27337B55">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十四、设备验收</w:t>
      </w:r>
    </w:p>
    <w:p w14:paraId="33C7CFB3">
      <w:pPr>
        <w:spacing w:line="360" w:lineRule="auto"/>
        <w:ind w:firstLine="460" w:firstLineChars="200"/>
        <w:rPr>
          <w:rFonts w:hint="eastAsia" w:ascii="宋体" w:hAnsi="宋体" w:cs="宋体"/>
          <w:color w:val="auto"/>
          <w:sz w:val="23"/>
          <w:szCs w:val="23"/>
          <w:highlight w:val="none"/>
          <w:lang w:val="en-US" w:eastAsia="zh-CN"/>
        </w:rPr>
      </w:pPr>
      <w:bookmarkStart w:id="56" w:name="_Toc8150"/>
      <w:bookmarkStart w:id="57" w:name="_Toc20765"/>
      <w:r>
        <w:rPr>
          <w:rFonts w:hint="eastAsia" w:ascii="宋体" w:hAnsi="宋体" w:cs="宋体"/>
          <w:color w:val="auto"/>
          <w:sz w:val="23"/>
          <w:szCs w:val="23"/>
          <w:highlight w:val="none"/>
          <w:lang w:val="en-US" w:eastAsia="zh-CN"/>
        </w:rPr>
        <w:t>（1）乙方应提供验收大纲和验收标准供甲方参考，经甲方、代建单位、全咨单位确认后，作为验收的依据。</w:t>
      </w:r>
    </w:p>
    <w:p w14:paraId="1FEF43B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（2）开箱检查：设备到达现场后，乙方派人到现场与甲方、代建单位、全咨单位一起开箱检查，设备的数量、规格、外观质量、其余资料（包括但不限于操作手册，设备参数等）需</w:t>
      </w:r>
      <w:r>
        <w:rPr>
          <w:rFonts w:hint="eastAsia" w:ascii="宋体" w:hAnsi="宋体" w:cs="宋体"/>
          <w:color w:val="auto"/>
          <w:sz w:val="23"/>
          <w:szCs w:val="23"/>
          <w:highlight w:val="none"/>
        </w:rPr>
        <w:t>符合合同约定、满足使用需求的关键环节</w:t>
      </w:r>
      <w:r>
        <w:rPr>
          <w:rFonts w:hint="eastAsia" w:ascii="宋体" w:hAnsi="宋体" w:cs="宋体"/>
          <w:color w:val="auto"/>
          <w:sz w:val="23"/>
          <w:szCs w:val="23"/>
          <w:highlight w:val="none"/>
          <w:lang w:val="en-US" w:eastAsia="zh-CN"/>
        </w:rPr>
        <w:t>并进行纸质记录。</w:t>
      </w:r>
    </w:p>
    <w:p w14:paraId="245FA222">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（3）单项验收：</w:t>
      </w:r>
    </w:p>
    <w:p w14:paraId="21BB598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在设备安装调试完成后、系统正式交付前，对</w:t>
      </w:r>
      <w:r>
        <w:rPr>
          <w:rFonts w:hint="eastAsia" w:ascii="宋体" w:hAnsi="宋体" w:cs="宋体"/>
          <w:color w:val="auto"/>
          <w:sz w:val="23"/>
          <w:szCs w:val="23"/>
          <w:highlight w:val="none"/>
          <w:lang w:val="en-US" w:eastAsia="zh-CN"/>
        </w:rPr>
        <w:t>设备及</w:t>
      </w:r>
      <w:r>
        <w:rPr>
          <w:rFonts w:hint="eastAsia" w:ascii="宋体" w:hAnsi="宋体" w:cs="宋体"/>
          <w:color w:val="auto"/>
          <w:sz w:val="23"/>
          <w:szCs w:val="23"/>
          <w:highlight w:val="none"/>
        </w:rPr>
        <w:t>系统功能完整性、性能达标性、运行稳定性及文档规范性进行综合性</w:t>
      </w:r>
      <w:r>
        <w:rPr>
          <w:rFonts w:hint="eastAsia" w:ascii="宋体" w:hAnsi="宋体" w:cs="宋体"/>
          <w:color w:val="auto"/>
          <w:sz w:val="23"/>
          <w:szCs w:val="23"/>
          <w:highlight w:val="none"/>
          <w:lang w:val="en-US" w:eastAsia="zh-CN"/>
        </w:rPr>
        <w:t>初步检收。乙方负责本合同项目所在地政府主管部门（卫生管理部门等）的备案以及办理所需相关手续(如有)；本项目必须满足消防要求，最终应配合甲方通过消防验收。如需整改，乙方必须按照消防部门要求整改并通过验收。</w:t>
      </w:r>
    </w:p>
    <w:p w14:paraId="37B1F388">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设备在安装、调试结束后，试运行阶段满足甲方需求，甲方会同当地有关部门对设备共同进行验收，乙方自行承担第三方检验费用（如有，第三方检测单位须甲方及相关验收主管部门认可）。</w:t>
      </w:r>
    </w:p>
    <w:p w14:paraId="35CAAAFF">
      <w:pPr>
        <w:spacing w:line="360" w:lineRule="auto"/>
        <w:ind w:firstLine="460" w:firstLineChars="20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lang w:eastAsia="zh-CN"/>
        </w:rPr>
        <w:t>注：乙方应在设备安装完毕后的5日内完成设备调试工作；调试完毕后须经过三个月的试运行。</w:t>
      </w:r>
      <w:r>
        <w:rPr>
          <w:rFonts w:hint="eastAsia" w:ascii="宋体" w:hAnsi="宋体" w:cs="宋体"/>
          <w:color w:val="auto"/>
          <w:sz w:val="23"/>
          <w:szCs w:val="23"/>
          <w:highlight w:val="none"/>
          <w:lang w:val="en-US" w:eastAsia="zh-CN"/>
        </w:rPr>
        <w:t>试运行阶段需保证不少于1名的专业维保人员进行24小时驻场</w:t>
      </w:r>
      <w:r>
        <w:rPr>
          <w:rFonts w:hint="eastAsia" w:ascii="宋体" w:hAnsi="宋体" w:cs="宋体"/>
          <w:color w:val="auto"/>
          <w:sz w:val="23"/>
          <w:szCs w:val="23"/>
          <w:highlight w:val="none"/>
          <w:lang w:eastAsia="zh-CN"/>
        </w:rPr>
        <w:t>。</w:t>
      </w:r>
    </w:p>
    <w:p w14:paraId="513C5A0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（4）总包整体竣工验收</w:t>
      </w:r>
    </w:p>
    <w:p w14:paraId="6D88024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乙方配合总包完成工程整体竣工验收，及时根据甲方及总包要求提供相关技术经济资料。</w:t>
      </w:r>
    </w:p>
    <w:p w14:paraId="493CE132">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十五、质保及维修</w:t>
      </w:r>
      <w:bookmarkEnd w:id="56"/>
      <w:bookmarkEnd w:id="57"/>
    </w:p>
    <w:p w14:paraId="777052A2">
      <w:pPr>
        <w:keepNext w:val="0"/>
        <w:keepLines w:val="0"/>
        <w:pageBreakBefore w:val="0"/>
        <w:widowControl w:val="0"/>
        <w:kinsoku/>
        <w:wordWrap/>
        <w:overflowPunct/>
        <w:topLinePunct w:val="0"/>
        <w:autoSpaceDE/>
        <w:autoSpaceDN/>
        <w:bidi w:val="0"/>
        <w:adjustRightInd/>
        <w:snapToGrid w:val="0"/>
        <w:spacing w:line="312" w:lineRule="auto"/>
        <w:ind w:firstLine="462"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（1）本项目质保期不少于2年</w:t>
      </w:r>
      <w:r>
        <w:rPr>
          <w:rFonts w:hint="eastAsia" w:ascii="宋体" w:hAnsi="宋体" w:eastAsia="宋体" w:cs="宋体"/>
          <w:b/>
          <w:bCs/>
          <w:strike w:val="0"/>
          <w:snapToGrid w:val="0"/>
          <w:color w:val="auto"/>
          <w:kern w:val="0"/>
          <w:sz w:val="23"/>
          <w:szCs w:val="23"/>
          <w:highlight w:val="none"/>
          <w:lang w:val="en-US" w:eastAsia="zh-CN" w:bidi="ar"/>
        </w:rPr>
        <w:t>（提供厂家及供应商盖章承诺）</w:t>
      </w:r>
      <w:r>
        <w:rPr>
          <w:rFonts w:hint="eastAsia" w:ascii="宋体" w:hAnsi="宋体" w:eastAsia="宋体" w:cs="宋体"/>
          <w:b/>
          <w:bCs/>
          <w:color w:val="auto"/>
          <w:sz w:val="23"/>
          <w:szCs w:val="23"/>
          <w:highlight w:val="none"/>
          <w:lang w:val="en-US" w:eastAsia="zh-CN"/>
        </w:rPr>
        <w:t>，</w:t>
      </w:r>
      <w:r>
        <w:rPr>
          <w:rFonts w:hint="eastAsia" w:ascii="宋体" w:hAnsi="宋体" w:eastAsia="宋体" w:cs="宋体"/>
          <w:color w:val="auto"/>
          <w:sz w:val="23"/>
          <w:szCs w:val="23"/>
          <w:highlight w:val="none"/>
          <w:lang w:val="en-US" w:eastAsia="zh-CN"/>
        </w:rPr>
        <w:t>项目质保期为总包整体验收合格且试运行3个月并交付使用之日起</w:t>
      </w:r>
      <w:r>
        <w:rPr>
          <w:rFonts w:hint="eastAsia" w:ascii="宋体" w:hAnsi="宋体" w:eastAsia="宋体" w:cs="宋体"/>
          <w:color w:val="auto"/>
          <w:sz w:val="23"/>
          <w:szCs w:val="23"/>
          <w:highlight w:val="none"/>
          <w:u w:val="single"/>
          <w:lang w:val="en-US" w:eastAsia="zh-CN"/>
        </w:rPr>
        <w:t>（根据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投标时的承诺在合同签订时明确）</w:t>
      </w:r>
      <w:r>
        <w:rPr>
          <w:rFonts w:hint="eastAsia" w:ascii="宋体" w:hAnsi="宋体" w:eastAsia="宋体" w:cs="宋体"/>
          <w:color w:val="auto"/>
          <w:sz w:val="23"/>
          <w:szCs w:val="23"/>
          <w:highlight w:val="none"/>
          <w:lang w:val="en-US" w:eastAsia="zh-CN"/>
        </w:rPr>
        <w:t>个月。质保期内如无问题，则在质保期满时，由</w:t>
      </w:r>
      <w:r>
        <w:rPr>
          <w:rFonts w:hint="eastAsia" w:ascii="宋体" w:hAnsi="宋体" w:cs="宋体"/>
          <w:strike w:val="0"/>
          <w:dstrike w:val="0"/>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提交质保期验收</w:t>
      </w:r>
      <w:r>
        <w:rPr>
          <w:rFonts w:hint="eastAsia" w:ascii="宋体" w:hAnsi="宋体" w:cs="宋体"/>
          <w:strike w:val="0"/>
          <w:dstrike w:val="0"/>
          <w:color w:val="auto"/>
          <w:sz w:val="23"/>
          <w:szCs w:val="23"/>
          <w:highlight w:val="none"/>
          <w:lang w:val="en-US" w:eastAsia="zh-CN"/>
        </w:rPr>
        <w:t>申请</w:t>
      </w:r>
      <w:r>
        <w:rPr>
          <w:rFonts w:hint="eastAsia" w:ascii="宋体" w:hAnsi="宋体" w:eastAsia="宋体" w:cs="宋体"/>
          <w:color w:val="auto"/>
          <w:sz w:val="23"/>
          <w:szCs w:val="23"/>
          <w:highlight w:val="none"/>
          <w:lang w:val="en-US" w:eastAsia="zh-CN"/>
        </w:rPr>
        <w:t>，验收由</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签字认可。</w:t>
      </w:r>
    </w:p>
    <w:p w14:paraId="2B48FD06">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（2）在项目质保期内，因设备本身的缺陷导致各种故障，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w:t>
      </w:r>
      <w:r>
        <w:rPr>
          <w:rFonts w:hint="eastAsia" w:ascii="宋体" w:hAnsi="宋体" w:cs="宋体"/>
          <w:color w:val="auto"/>
          <w:sz w:val="23"/>
          <w:szCs w:val="23"/>
          <w:highlight w:val="none"/>
          <w:lang w:val="en-US" w:eastAsia="zh-CN"/>
        </w:rPr>
        <w:t>负责</w:t>
      </w:r>
      <w:r>
        <w:rPr>
          <w:rFonts w:hint="eastAsia" w:ascii="宋体" w:hAnsi="宋体" w:eastAsia="宋体" w:cs="宋体"/>
          <w:color w:val="auto"/>
          <w:sz w:val="23"/>
          <w:szCs w:val="23"/>
          <w:highlight w:val="none"/>
          <w:lang w:val="en-US" w:eastAsia="zh-CN"/>
        </w:rPr>
        <w:t>设备维修、提供技术服务，若无法维修的则负责免费更换产品，更换后的产品的质量保证期为更换后的产品使用之日起至少</w:t>
      </w:r>
      <w:r>
        <w:rPr>
          <w:rFonts w:hint="eastAsia" w:ascii="宋体" w:hAnsi="宋体" w:eastAsia="宋体" w:cs="宋体"/>
          <w:color w:val="auto"/>
          <w:sz w:val="23"/>
          <w:szCs w:val="23"/>
          <w:highlight w:val="none"/>
          <w:u w:val="single"/>
          <w:lang w:val="en-US" w:eastAsia="zh-CN"/>
        </w:rPr>
        <w:t xml:space="preserve"> （根据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 xml:space="preserve">投标时的承诺在合同签订时明确）  </w:t>
      </w:r>
      <w:r>
        <w:rPr>
          <w:rFonts w:hint="eastAsia" w:ascii="宋体" w:hAnsi="宋体" w:eastAsia="宋体" w:cs="宋体"/>
          <w:color w:val="auto"/>
          <w:sz w:val="23"/>
          <w:szCs w:val="23"/>
          <w:highlight w:val="none"/>
          <w:lang w:val="en-US" w:eastAsia="zh-CN"/>
        </w:rPr>
        <w:t>个月。</w:t>
      </w:r>
    </w:p>
    <w:p w14:paraId="369C110F">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（3）如设备在质保期后发生故障，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在收到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的书面维修通知后，应即时给予响应。在质保期内的工作应包括对所有设备每月至少1次的常规检查、调整和润滑。</w:t>
      </w:r>
    </w:p>
    <w:p w14:paraId="2E9BB135">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在投标文件中所承诺的辅材、配件价格及保修期外的保修年费及服务方案做为合同的一部分。</w:t>
      </w:r>
    </w:p>
    <w:p w14:paraId="297ADAB2">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cs="宋体"/>
          <w:color w:val="auto"/>
          <w:sz w:val="23"/>
          <w:szCs w:val="23"/>
          <w:highlight w:val="none"/>
          <w:lang w:val="en-US" w:eastAsia="zh-CN"/>
        </w:rPr>
        <w:t>5</w:t>
      </w:r>
      <w:r>
        <w:rPr>
          <w:rFonts w:hint="eastAsia" w:ascii="宋体" w:hAnsi="宋体" w:eastAsia="宋体" w:cs="宋体"/>
          <w:color w:val="auto"/>
          <w:sz w:val="23"/>
          <w:szCs w:val="23"/>
          <w:highlight w:val="none"/>
          <w:lang w:eastAsia="zh-CN"/>
        </w:rPr>
        <w:t>）质量保证期内，</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需提供对系统软件的免费升级服务，同时不得设置升级障碍，必须对其他系统软件开</w:t>
      </w:r>
      <w:r>
        <w:rPr>
          <w:rFonts w:hint="eastAsia" w:ascii="宋体" w:hAnsi="宋体" w:cs="宋体"/>
          <w:color w:val="auto"/>
          <w:sz w:val="23"/>
          <w:szCs w:val="23"/>
          <w:highlight w:val="none"/>
          <w:lang w:val="en-US" w:eastAsia="zh-CN"/>
        </w:rPr>
        <w:t>放</w:t>
      </w:r>
      <w:r>
        <w:rPr>
          <w:rFonts w:hint="eastAsia" w:ascii="宋体" w:hAnsi="宋体" w:eastAsia="宋体" w:cs="宋体"/>
          <w:color w:val="auto"/>
          <w:sz w:val="23"/>
          <w:szCs w:val="23"/>
          <w:highlight w:val="none"/>
          <w:lang w:eastAsia="zh-CN"/>
        </w:rPr>
        <w:t>端口。质量保证期满后，</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有义务配合</w:t>
      </w:r>
      <w:r>
        <w:rPr>
          <w:rFonts w:hint="eastAsia" w:ascii="宋体" w:hAnsi="宋体" w:cs="宋体"/>
          <w:color w:val="auto"/>
          <w:sz w:val="23"/>
          <w:szCs w:val="23"/>
          <w:highlight w:val="none"/>
          <w:lang w:eastAsia="zh-CN"/>
        </w:rPr>
        <w:t>甲方</w:t>
      </w:r>
      <w:r>
        <w:rPr>
          <w:rFonts w:hint="eastAsia" w:ascii="宋体" w:hAnsi="宋体" w:eastAsia="宋体" w:cs="宋体"/>
          <w:color w:val="auto"/>
          <w:sz w:val="23"/>
          <w:szCs w:val="23"/>
          <w:highlight w:val="none"/>
          <w:lang w:eastAsia="zh-CN"/>
        </w:rPr>
        <w:t>对设备设施</w:t>
      </w:r>
      <w:r>
        <w:rPr>
          <w:rFonts w:hint="eastAsia" w:ascii="宋体" w:hAnsi="宋体" w:cs="宋体"/>
          <w:strike w:val="0"/>
          <w:dstrike w:val="0"/>
          <w:color w:val="auto"/>
          <w:sz w:val="23"/>
          <w:szCs w:val="23"/>
          <w:highlight w:val="none"/>
          <w:lang w:val="en-US" w:eastAsia="zh-CN"/>
        </w:rPr>
        <w:t>进行</w:t>
      </w:r>
      <w:r>
        <w:rPr>
          <w:rFonts w:hint="eastAsia" w:ascii="宋体" w:hAnsi="宋体" w:eastAsia="宋体" w:cs="宋体"/>
          <w:color w:val="auto"/>
          <w:sz w:val="23"/>
          <w:szCs w:val="23"/>
          <w:highlight w:val="none"/>
          <w:lang w:eastAsia="zh-CN"/>
        </w:rPr>
        <w:t>改造升级。</w:t>
      </w:r>
    </w:p>
    <w:p w14:paraId="1972BFF6">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6</w:t>
      </w: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应按法律、行政法规或国家关于设备质量保修的有关规定，对交付</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使用的设备在质量保修期内承担质量保修责任。</w:t>
      </w:r>
    </w:p>
    <w:p w14:paraId="79924958">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7</w:t>
      </w:r>
      <w:r>
        <w:rPr>
          <w:rFonts w:hint="eastAsia" w:ascii="宋体" w:hAnsi="宋体" w:eastAsia="宋体" w:cs="宋体"/>
          <w:color w:val="auto"/>
          <w:sz w:val="23"/>
          <w:szCs w:val="23"/>
          <w:highlight w:val="none"/>
          <w:lang w:val="en-US" w:eastAsia="zh-CN"/>
        </w:rPr>
        <w:t>）无论在质量保证期内还是质量保证期满后，一旦设备发生故障，而</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无法自行排除时，在接到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通知后，</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须在</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书面通知后24小时内赶到现场维修并及时提供备品、备件，并于4小时内完成维修。</w:t>
      </w:r>
    </w:p>
    <w:p w14:paraId="45364E03">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8</w:t>
      </w: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承诺，无论属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或其他方责任，在接到通知后，均遵守上述时间性要求不问理由地进行维修，并在维修过程中与</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及管理方共同取证，以判断责任原因，不属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责任的，由责任方向</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支付材料及人工费用。</w:t>
      </w:r>
    </w:p>
    <w:p w14:paraId="5746C02E">
      <w:pPr>
        <w:spacing w:line="360" w:lineRule="auto"/>
        <w:ind w:firstLine="460" w:firstLineChars="200"/>
        <w:rPr>
          <w:rFonts w:hint="eastAsia" w:ascii="宋体" w:hAnsi="宋体" w:eastAsia="宋体" w:cs="宋体"/>
          <w:b/>
          <w:bCs/>
          <w:color w:val="auto"/>
          <w:kern w:val="2"/>
          <w:sz w:val="23"/>
          <w:szCs w:val="23"/>
          <w:highlight w:val="none"/>
          <w:lang w:val="en-US" w:eastAsia="zh-CN" w:bidi="ar-SA"/>
        </w:rPr>
      </w:pPr>
      <w:r>
        <w:rPr>
          <w:rFonts w:hint="eastAsia" w:ascii="宋体" w:hAnsi="宋体" w:eastAsia="宋体" w:cs="宋体"/>
          <w:color w:val="auto"/>
          <w:sz w:val="23"/>
          <w:szCs w:val="23"/>
          <w:highlight w:val="none"/>
          <w:lang w:val="en-US" w:eastAsia="zh-CN"/>
        </w:rPr>
        <w:t>（9）</w:t>
      </w:r>
      <w:r>
        <w:rPr>
          <w:rFonts w:hint="eastAsia" w:ascii="宋体" w:hAnsi="宋体" w:eastAsia="宋体" w:cs="宋体"/>
          <w:b/>
          <w:bCs/>
          <w:color w:val="auto"/>
          <w:kern w:val="2"/>
          <w:sz w:val="23"/>
          <w:szCs w:val="23"/>
          <w:highlight w:val="none"/>
          <w:lang w:val="en-US" w:eastAsia="zh-CN" w:bidi="ar-SA"/>
        </w:rPr>
        <w:t>零配件保持供应8年以上。</w:t>
      </w:r>
    </w:p>
    <w:p w14:paraId="26BB44B1">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十六、安全要求：</w:t>
      </w:r>
    </w:p>
    <w:p w14:paraId="609A3D56">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r>
        <w:rPr>
          <w:rFonts w:hint="eastAsia" w:ascii="宋体" w:hAnsi="宋体" w:cs="宋体"/>
          <w:color w:val="auto"/>
          <w:sz w:val="23"/>
          <w:szCs w:val="23"/>
          <w:highlight w:val="none"/>
          <w:lang w:val="en-US" w:eastAsia="zh-CN"/>
        </w:rPr>
        <w:t>，招标人、代建单位因此担责的，有权行使追偿。</w:t>
      </w:r>
    </w:p>
    <w:p w14:paraId="121A505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2、乙方在实施过程中应采取必要的安全防护和消防措施，保障作业人员及出入施工现场人员的安全。乙方应为施工人员办理所需的工伤等保险，费用由乙方自行负责。</w:t>
      </w:r>
    </w:p>
    <w:p w14:paraId="132B259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乙方在实施过程中如发生质量事故责任全部自行承担，及时报告甲方。做到及时查清事故原因，分清事故责任，并采取有效的补救措施。一般质量事故的处理方案应送甲方共同研究实施；重大质量事故的处理按国家相关条例执行。</w:t>
      </w:r>
    </w:p>
    <w:p w14:paraId="38F7A7C2">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4、本项目实施过程中出现的作业人员或因承包人原因引起的第三方人员、财务损失，造成的责任和因此发生的费用，由乙方承担。</w:t>
      </w:r>
    </w:p>
    <w:p w14:paraId="095732B4">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5、本项目实施过程中，由乙方引起的管线、线路等损坏由乙方承担相应的责任和损失。</w:t>
      </w:r>
    </w:p>
    <w:p w14:paraId="7A8B6841">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6、中标后，乙方须与总包单位、建设单位签订《安全协议》。</w:t>
      </w:r>
    </w:p>
    <w:p w14:paraId="729A8AAA">
      <w:pPr>
        <w:spacing w:line="360" w:lineRule="auto"/>
        <w:ind w:firstLine="460" w:firstLineChars="200"/>
        <w:rPr>
          <w:rFonts w:ascii="宋体" w:hAnsi="宋体" w:cs="宋体"/>
          <w:b/>
          <w:bCs/>
          <w:color w:val="auto"/>
          <w:sz w:val="23"/>
          <w:szCs w:val="23"/>
          <w:highlight w:val="none"/>
        </w:rPr>
      </w:pPr>
      <w:bookmarkStart w:id="58" w:name="_Toc6009"/>
      <w:bookmarkStart w:id="59" w:name="_Toc10358"/>
      <w:r>
        <w:rPr>
          <w:rFonts w:hint="eastAsia" w:ascii="宋体" w:hAnsi="宋体" w:cs="宋体"/>
          <w:b/>
          <w:bCs/>
          <w:color w:val="auto"/>
          <w:sz w:val="23"/>
          <w:szCs w:val="23"/>
          <w:highlight w:val="none"/>
        </w:rPr>
        <w:t>十七、违约责任</w:t>
      </w:r>
      <w:bookmarkEnd w:id="58"/>
      <w:bookmarkEnd w:id="59"/>
    </w:p>
    <w:p w14:paraId="278125F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1、乙方未按合同约定工期节点的（</w:t>
      </w:r>
      <w:r>
        <w:rPr>
          <w:rFonts w:hint="eastAsia" w:ascii="宋体" w:hAnsi="宋体" w:cs="宋体"/>
          <w:b w:val="0"/>
          <w:bCs/>
          <w:color w:val="auto"/>
          <w:sz w:val="23"/>
          <w:szCs w:val="23"/>
          <w:highlight w:val="none"/>
          <w:lang w:val="en-US" w:eastAsia="zh-CN"/>
        </w:rPr>
        <w:t>本项目完工并通过验收后</w:t>
      </w:r>
      <w:r>
        <w:rPr>
          <w:rFonts w:hint="eastAsia" w:ascii="宋体" w:hAnsi="宋体" w:cs="宋体"/>
          <w:color w:val="auto"/>
          <w:sz w:val="23"/>
          <w:szCs w:val="23"/>
          <w:highlight w:val="none"/>
          <w:lang w:val="en-US" w:eastAsia="zh-CN"/>
        </w:rPr>
        <w:t>），每逾期一天，乙方按2000元/天向甲方支付违约金；逾期超过30天的，乙方按4000元/天向甲方支付违约金直至扣除合同价款的3%且甲方有权解除合同，乙方承担所有的违约责任并承担由此造成的甲方的全部损失。乙方总工期超过本合同约定期限的，按照逾期交货承担违约责任。以上违约金经累计后最终在结算时扣除。</w:t>
      </w:r>
    </w:p>
    <w:p w14:paraId="4AFADC7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乙方交付的货品不能满足招标文件及合同主要技术标准及质量要求的，应按照要求更换、重做、修理直至按照甲方的要求退货并每发生一次，乙方应向甲方支付违约金2000元，累计发生3次（含）以上的，甲方有权解除本合同、甲方有权没收全部的履约保证金，乙方承担全部的违约责任并乙方应承担因此造成的甲方的所有损失。以上违约金经累计后最终在结算时扣除。</w:t>
      </w:r>
    </w:p>
    <w:p w14:paraId="3346335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3、乙方接受甲方对供货期调整的要求，具体方式为：甲方提前十五天发出有甲方代表签发的书面通知，乙方进行书面确认后即可执行，对此甲方不承担违约责任。</w:t>
      </w:r>
    </w:p>
    <w:p w14:paraId="25EC557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如果乙方对本合同的执行敷衍了事，或忽视履行本合同约定的乙方任何工作及责任，而且从甲方发出书面要求其改正之日起30日内仍未采取有效措施并体现效果的，甲方有权解除本合同，并书面通知乙方，由此造成的经济损失，甲方有权在给乙方的任何款项中先行提取补偿，不足部分乙方仍应予以赔偿。</w:t>
      </w:r>
    </w:p>
    <w:p w14:paraId="412F01B5">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因乙方原因解除本合同时，乙方应向甲方支付签约合同价款20%的违约金，且甲方有权决定是否接受属于乙方在现场的一切设施、设备、材料使用于本工程，并乙方应承担由此造成的甲方的全部损失。以上违约金经累计后最终在结算时扣除。</w:t>
      </w:r>
    </w:p>
    <w:p w14:paraId="0B232AE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6、因乙方原因延误工期给甲方造成损失的（包括但不限于直接损失与间接损失）均由乙方承担相应责任及费用，甲方有权从乙方工程款中扣除相应费用，不足部分甲方有权追偿。</w:t>
      </w:r>
    </w:p>
    <w:p w14:paraId="02AF0F4B">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7、因乙方原因造成本项目工程单项或整体验收不合格或验收标准的，甲方有权没收乙方缴纳的履约保证金，同时由此产生的一切责任与费用均由乙方承担，甲方有权在乙方工程款中扣除相应费用，不足部分甲方有权追偿。</w:t>
      </w:r>
    </w:p>
    <w:p w14:paraId="25E45739">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color w:val="auto"/>
          <w:highlight w:val="none"/>
        </w:rPr>
      </w:pPr>
      <w:r>
        <w:rPr>
          <w:rFonts w:hint="eastAsia" w:ascii="宋体" w:hAnsi="宋体" w:eastAsia="宋体" w:cs="宋体"/>
          <w:color w:val="auto"/>
          <w:sz w:val="24"/>
          <w:szCs w:val="24"/>
          <w:highlight w:val="none"/>
          <w:lang w:val="en-US" w:eastAsia="zh-CN"/>
        </w:rPr>
        <w:t>8、乙方位未经招标人、代建单位同意擅自将项目转包、分包或部分分包给第三方，甲方有权解除合同，具体按照本条第（5）项执行。</w:t>
      </w:r>
    </w:p>
    <w:p w14:paraId="1C3F772E">
      <w:pPr>
        <w:spacing w:line="360" w:lineRule="auto"/>
        <w:ind w:firstLine="460" w:firstLineChars="200"/>
        <w:rPr>
          <w:rFonts w:ascii="宋体" w:hAnsi="宋体" w:cs="宋体"/>
          <w:b/>
          <w:bCs/>
          <w:color w:val="auto"/>
          <w:sz w:val="23"/>
          <w:szCs w:val="23"/>
          <w:highlight w:val="none"/>
        </w:rPr>
      </w:pPr>
      <w:bookmarkStart w:id="60" w:name="_Toc1229"/>
      <w:bookmarkStart w:id="61" w:name="_Toc18664"/>
      <w:r>
        <w:rPr>
          <w:rFonts w:hint="eastAsia" w:ascii="宋体" w:hAnsi="宋体" w:cs="宋体"/>
          <w:b/>
          <w:bCs/>
          <w:color w:val="auto"/>
          <w:sz w:val="23"/>
          <w:szCs w:val="23"/>
          <w:highlight w:val="none"/>
        </w:rPr>
        <w:t>十八、</w:t>
      </w:r>
      <w:bookmarkEnd w:id="60"/>
      <w:bookmarkEnd w:id="61"/>
      <w:r>
        <w:rPr>
          <w:rFonts w:hint="eastAsia" w:ascii="宋体" w:hAnsi="宋体" w:cs="宋体"/>
          <w:b/>
          <w:bCs/>
          <w:color w:val="auto"/>
          <w:sz w:val="23"/>
          <w:szCs w:val="23"/>
          <w:highlight w:val="none"/>
        </w:rPr>
        <w:t>不可抗力</w:t>
      </w:r>
    </w:p>
    <w:p w14:paraId="2BFE9C44">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1、如果双方中任何一方由于战争、严重火灾、水灾、台风和地震以及其它经双方同意属于不可抗力的事故，致使合同履行受阻时，履行合同的期限应予延长，延长的期限应相当于事故所影响的时间。</w:t>
      </w:r>
    </w:p>
    <w:p w14:paraId="717CB14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3E69CE88">
      <w:pPr>
        <w:spacing w:line="360" w:lineRule="auto"/>
        <w:ind w:left="420" w:leftChars="200"/>
        <w:rPr>
          <w:rFonts w:ascii="宋体" w:hAnsi="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十九</w:t>
      </w:r>
      <w:r>
        <w:rPr>
          <w:rFonts w:hint="eastAsia" w:ascii="宋体" w:hAnsi="宋体" w:cs="宋体"/>
          <w:b/>
          <w:bCs/>
          <w:color w:val="auto"/>
          <w:sz w:val="23"/>
          <w:szCs w:val="23"/>
          <w:highlight w:val="none"/>
        </w:rPr>
        <w:t>、其他</w:t>
      </w:r>
    </w:p>
    <w:p w14:paraId="15C0FD2D">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（1）乙方提出使用其他专利技术或特殊工艺，应取得甲方和监理单位认可，乙方负责办理许可手续并承担有关费用。</w:t>
      </w:r>
    </w:p>
    <w:p w14:paraId="6939D6EF">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（2）乙方擅自使用专利技术等侵犯他人专利权及知识产权的，因此产生的侵权纠纷，由乙方自行承担并每发生一次，乙方应向甲方支付违约金 50000 元，如造成甲方损失的，甲方有权全额向乙方追索且甲方有权视情形解除本合同。以上违约金经累计后最终在结算时扣除。</w:t>
      </w:r>
    </w:p>
    <w:p w14:paraId="5C778C40">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特别注明：本项目所有涉及到的方案或者深化图纸及变更都需经甲方书面确认并同意后实施，甲方单方面要求乙方的变更无效。</w:t>
      </w:r>
    </w:p>
    <w:p w14:paraId="1D7EDCF4">
      <w:pPr>
        <w:numPr>
          <w:ilvl w:val="0"/>
          <w:numId w:val="6"/>
        </w:num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需服从总包管理，配合总包完成工程整体竣工验收。</w:t>
      </w:r>
    </w:p>
    <w:p w14:paraId="2D654F69">
      <w:pPr>
        <w:numPr>
          <w:ilvl w:val="0"/>
          <w:numId w:val="6"/>
        </w:numPr>
        <w:spacing w:line="360" w:lineRule="auto"/>
        <w:ind w:firstLine="420" w:firstLineChars="200"/>
        <w:rPr>
          <w:rFonts w:hint="eastAsia" w:ascii="宋体" w:hAnsi="宋体" w:eastAsia="宋体" w:cs="宋体"/>
          <w:color w:val="auto"/>
          <w:sz w:val="23"/>
          <w:szCs w:val="23"/>
          <w:highlight w:val="none"/>
          <w:lang w:val="en-US" w:eastAsia="zh-CN"/>
        </w:rPr>
      </w:pPr>
      <w:r>
        <w:rPr>
          <w:rFonts w:hint="eastAsia"/>
          <w:color w:val="auto"/>
          <w:highlight w:val="none"/>
          <w:lang w:val="en-US" w:eastAsia="zh-CN"/>
        </w:rPr>
        <w:t>中标单位需配合总包做好创杯工作。</w:t>
      </w:r>
    </w:p>
    <w:p w14:paraId="092B63B2">
      <w:pPr>
        <w:spacing w:line="360" w:lineRule="auto"/>
        <w:ind w:firstLine="460" w:firstLineChars="200"/>
        <w:rPr>
          <w:rFonts w:hint="eastAsia" w:ascii="宋体" w:hAnsi="宋体" w:eastAsia="宋体" w:cs="宋体"/>
          <w:color w:val="auto"/>
          <w:sz w:val="23"/>
          <w:szCs w:val="23"/>
          <w:highlight w:val="none"/>
        </w:rPr>
      </w:pPr>
    </w:p>
    <w:p w14:paraId="40CA1615">
      <w:pPr>
        <w:pStyle w:val="67"/>
        <w:rPr>
          <w:rFonts w:hint="eastAsia" w:ascii="宋体" w:hAnsi="宋体" w:eastAsia="宋体" w:cs="宋体"/>
          <w:color w:val="auto"/>
          <w:sz w:val="23"/>
          <w:szCs w:val="23"/>
          <w:highlight w:val="none"/>
        </w:rPr>
      </w:pPr>
    </w:p>
    <w:p w14:paraId="33577CDA">
      <w:pPr>
        <w:pStyle w:val="67"/>
        <w:rPr>
          <w:rFonts w:hint="eastAsia" w:ascii="宋体" w:hAnsi="宋体" w:eastAsia="宋体" w:cs="宋体"/>
          <w:color w:val="auto"/>
          <w:sz w:val="23"/>
          <w:szCs w:val="23"/>
          <w:highlight w:val="none"/>
        </w:rPr>
      </w:pPr>
    </w:p>
    <w:p w14:paraId="501FFFB0">
      <w:pP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br w:type="page"/>
      </w:r>
    </w:p>
    <w:p w14:paraId="35EFDE98">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合同附件1</w:t>
      </w:r>
    </w:p>
    <w:p w14:paraId="28A14592">
      <w:pPr>
        <w:spacing w:line="360" w:lineRule="auto"/>
        <w:jc w:val="center"/>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廉政承诺书</w:t>
      </w:r>
    </w:p>
    <w:p w14:paraId="0425E6D9">
      <w:pPr>
        <w:spacing w:line="440" w:lineRule="exact"/>
        <w:rPr>
          <w:rFonts w:hint="eastAsia" w:ascii="宋体" w:hAnsi="宋体" w:eastAsia="宋体" w:cs="宋体"/>
          <w:color w:val="auto"/>
          <w:sz w:val="23"/>
          <w:szCs w:val="23"/>
          <w:highlight w:val="none"/>
          <w:u w:val="single"/>
        </w:rPr>
      </w:pPr>
      <w:r>
        <w:rPr>
          <w:rFonts w:hint="eastAsia" w:ascii="宋体" w:hAnsi="宋体" w:eastAsia="宋体" w:cs="宋体"/>
          <w:color w:val="auto"/>
          <w:sz w:val="23"/>
          <w:szCs w:val="23"/>
          <w:highlight w:val="none"/>
        </w:rPr>
        <w:t>甲方（以下简称</w:t>
      </w:r>
      <w:r>
        <w:rPr>
          <w:rFonts w:hint="eastAsia" w:ascii="宋体" w:hAnsi="宋体" w:eastAsia="宋体" w:cs="宋体"/>
          <w:color w:val="auto"/>
          <w:kern w:val="1"/>
          <w:sz w:val="23"/>
          <w:szCs w:val="23"/>
          <w:highlight w:val="none"/>
        </w:rPr>
        <w:t>买方</w:t>
      </w:r>
      <w:r>
        <w:rPr>
          <w:rFonts w:hint="eastAsia" w:ascii="宋体" w:hAnsi="宋体" w:eastAsia="宋体" w:cs="宋体"/>
          <w:color w:val="auto"/>
          <w:sz w:val="23"/>
          <w:szCs w:val="23"/>
          <w:highlight w:val="none"/>
        </w:rPr>
        <w:t>）：</w:t>
      </w:r>
    </w:p>
    <w:p w14:paraId="0B39C4BE">
      <w:pPr>
        <w:spacing w:line="440" w:lineRule="exac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乙方（以下简称卖方）：</w:t>
      </w:r>
    </w:p>
    <w:p w14:paraId="5FAD37F9">
      <w:pPr>
        <w:spacing w:line="360" w:lineRule="auto"/>
        <w:ind w:firstLine="460" w:firstLineChars="200"/>
        <w:rPr>
          <w:rFonts w:hint="eastAsia" w:ascii="宋体" w:hAnsi="宋体" w:eastAsia="宋体" w:cs="宋体"/>
          <w:bCs/>
          <w:color w:val="auto"/>
          <w:sz w:val="23"/>
          <w:szCs w:val="23"/>
          <w:highlight w:val="none"/>
        </w:rPr>
      </w:pPr>
    </w:p>
    <w:p w14:paraId="5D7850D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根据有关廉政建设的规定，为做好项目过程中的党风廉政建设，保证项目高效优质，保证合同资金的安全和有效使用，特订立如下合同：</w:t>
      </w:r>
    </w:p>
    <w:p w14:paraId="3D71473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第一条 买卖双方的基本要求</w:t>
      </w:r>
    </w:p>
    <w:p w14:paraId="6AFF4DC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（一）严格遵守党和国家有关法律法规。</w:t>
      </w:r>
    </w:p>
    <w:p w14:paraId="4E83078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（二）严格执行_____________________项目合同文件，自觉按合同办事。</w:t>
      </w:r>
    </w:p>
    <w:p w14:paraId="29070AA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（三）双方所涉业务活动坚持公开、公正、诚信、透明的原则（除法律认定的商业秘密和合同文件另有规定之外），不得损害国家和集体利益，违反买卖管理规章制度。</w:t>
      </w:r>
    </w:p>
    <w:p w14:paraId="69C7E94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（四）建立健全廉政制度，开展廉政教育，公布举报电话，监督并认真查处违法违纪行为。</w:t>
      </w:r>
    </w:p>
    <w:p w14:paraId="0592E49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（五）发现对方在业务活动中有违反廉政规定的行为，有及时提醒对方纠正的权利和义务。</w:t>
      </w:r>
    </w:p>
    <w:p w14:paraId="4A6994E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（六）发现对方严重违反本合同义务条款的行为，有向其上级有关部门举报、建议给予处理并要求告知处理结果的权利。</w:t>
      </w:r>
    </w:p>
    <w:p w14:paraId="12B04C7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第二条 买方义务</w:t>
      </w:r>
    </w:p>
    <w:p w14:paraId="3B63469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（一）买方及其工作人员不得索要或接受卖方的礼金、有价证券和贵重物品，不得在卖方报销任何应由买方或个人支付的费用等。</w:t>
      </w:r>
    </w:p>
    <w:p w14:paraId="2618B4F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（二）买方工作人员不得参加卖方安排的宴请和娱乐活动，不得接受卖方提供的通信工具、交通工具和办公用品等。</w:t>
      </w:r>
    </w:p>
    <w:p w14:paraId="133570D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（三）买方及其工作人员不得要求或者接受卖方为其住房装修、婚丧嫁娶活动、配偶子女的工作安排以及出国出境、旅游等提供方便等。</w:t>
      </w:r>
    </w:p>
    <w:p w14:paraId="69C9897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（四）买方工作人员的配偶、子女不得从事与买方项目有关的经济活动。</w:t>
      </w:r>
    </w:p>
    <w:p w14:paraId="5245047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第三条 卖方义务</w:t>
      </w:r>
    </w:p>
    <w:p w14:paraId="0F5350B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（一）卖方不得以任何理由向买方及其工作人员行贿或馈赠礼金，有价证券、贵重礼品。</w:t>
      </w:r>
    </w:p>
    <w:p w14:paraId="7DB76EE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（二）卖方不得以任何名义为买方及其工作人员报销应由买方或个人支付的任何费用。</w:t>
      </w:r>
    </w:p>
    <w:p w14:paraId="5DC924D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（三）卖方不得以任何理由安排买方工作人员参加宴请及娱乐活动。</w:t>
      </w:r>
    </w:p>
    <w:p w14:paraId="518D61C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（四）卖方不得为买方单位和个人购置或提供通信工具、交通工具和办公用品等。</w:t>
      </w:r>
    </w:p>
    <w:p w14:paraId="7E886AC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第四条  违约责任</w:t>
      </w:r>
    </w:p>
    <w:p w14:paraId="3CCD7C9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（一）买方及其工作人员违反本合同第一，二条，按管理权限，依据有关规定给予党纪、政纪或组织处理；涉嫌犯罪的，移交司法机关追究刑事责任；给卖方单位造成经济损失的，应予以赔偿。</w:t>
      </w:r>
    </w:p>
    <w:p w14:paraId="25C8772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及其工作人员违反本合同第一，三条，按管理权限，依据有关规定、给予党纪、政纪或组织处理；给买方造成经济损失的，应予以赔偿；情节严重的，买方建议招投标主管部门给予卖方一至三年内不得进入其主管的交易市场的处罚。</w:t>
      </w:r>
    </w:p>
    <w:p w14:paraId="3AEB9C1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第五条  本合同有效期为买卖双方签署之日起至该项目服务完成并经买方认可后止。</w:t>
      </w:r>
    </w:p>
    <w:p w14:paraId="427B9B0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本合同作为____________________项目合同的附件，与项目合同具有同等的法律效力，经合同双方签署立即生效。</w:t>
      </w:r>
    </w:p>
    <w:p w14:paraId="1BFFE5F1">
      <w:pPr>
        <w:spacing w:line="360" w:lineRule="auto"/>
        <w:ind w:firstLine="460" w:firstLineChars="200"/>
        <w:rPr>
          <w:rFonts w:hint="eastAsia" w:ascii="宋体" w:hAnsi="宋体" w:eastAsia="宋体" w:cs="宋体"/>
          <w:bCs/>
          <w:strike/>
          <w:color w:val="auto"/>
          <w:sz w:val="23"/>
          <w:szCs w:val="23"/>
          <w:highlight w:val="none"/>
        </w:rPr>
      </w:pPr>
    </w:p>
    <w:p w14:paraId="0B360D1F">
      <w:pPr>
        <w:spacing w:line="360" w:lineRule="auto"/>
        <w:ind w:firstLine="460" w:firstLineChars="200"/>
        <w:rPr>
          <w:rFonts w:hint="eastAsia" w:ascii="宋体" w:hAnsi="宋体" w:eastAsia="宋体" w:cs="宋体"/>
          <w:bCs/>
          <w:color w:val="auto"/>
          <w:sz w:val="23"/>
          <w:szCs w:val="23"/>
          <w:highlight w:val="none"/>
        </w:rPr>
      </w:pPr>
    </w:p>
    <w:p w14:paraId="7DB9D47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买方：（盖章）                            </w:t>
      </w:r>
      <w:r>
        <w:rPr>
          <w:rFonts w:hint="eastAsia" w:ascii="宋体" w:hAnsi="宋体" w:eastAsia="宋体" w:cs="宋体"/>
          <w:bCs/>
          <w:color w:val="auto"/>
          <w:sz w:val="23"/>
          <w:szCs w:val="23"/>
          <w:highlight w:val="none"/>
          <w:lang w:val="en-US" w:eastAsia="zh-CN"/>
        </w:rPr>
        <w:t xml:space="preserve">  </w:t>
      </w:r>
      <w:r>
        <w:rPr>
          <w:rFonts w:hint="eastAsia" w:ascii="宋体" w:hAnsi="宋体" w:eastAsia="宋体" w:cs="宋体"/>
          <w:bCs/>
          <w:color w:val="auto"/>
          <w:sz w:val="23"/>
          <w:szCs w:val="23"/>
          <w:highlight w:val="none"/>
        </w:rPr>
        <w:t xml:space="preserve"> 卖方：（盖章）</w:t>
      </w:r>
    </w:p>
    <w:p w14:paraId="6EEC656F">
      <w:pPr>
        <w:spacing w:line="360" w:lineRule="auto"/>
        <w:ind w:firstLine="460" w:firstLineChars="200"/>
        <w:rPr>
          <w:rFonts w:hint="eastAsia" w:ascii="宋体" w:hAnsi="宋体" w:eastAsia="宋体" w:cs="宋体"/>
          <w:bCs/>
          <w:color w:val="auto"/>
          <w:sz w:val="23"/>
          <w:szCs w:val="23"/>
          <w:highlight w:val="none"/>
        </w:rPr>
      </w:pPr>
    </w:p>
    <w:p w14:paraId="67A33B4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7B7203E6">
      <w:pPr>
        <w:spacing w:line="360" w:lineRule="auto"/>
        <w:ind w:firstLine="460" w:firstLineChars="200"/>
        <w:rPr>
          <w:rFonts w:hint="eastAsia" w:ascii="宋体" w:hAnsi="宋体" w:eastAsia="宋体" w:cs="宋体"/>
          <w:bCs/>
          <w:color w:val="auto"/>
          <w:sz w:val="23"/>
          <w:szCs w:val="23"/>
          <w:highlight w:val="none"/>
        </w:rPr>
      </w:pPr>
    </w:p>
    <w:p w14:paraId="3AC140B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 年    月    日                               年    月    日</w:t>
      </w:r>
    </w:p>
    <w:p w14:paraId="7CB25194">
      <w:pPr>
        <w:spacing w:line="360" w:lineRule="auto"/>
        <w:ind w:firstLine="462" w:firstLineChars="200"/>
        <w:rPr>
          <w:rFonts w:hint="eastAsia" w:ascii="宋体" w:hAnsi="宋体" w:eastAsia="宋体" w:cs="宋体"/>
          <w:bCs/>
          <w:color w:val="auto"/>
          <w:sz w:val="23"/>
          <w:szCs w:val="23"/>
          <w:highlight w:val="none"/>
        </w:rPr>
      </w:pPr>
      <w:r>
        <w:rPr>
          <w:rFonts w:hint="eastAsia" w:ascii="宋体" w:hAnsi="宋体" w:eastAsia="宋体" w:cs="宋体"/>
          <w:b/>
          <w:color w:val="auto"/>
          <w:sz w:val="23"/>
          <w:szCs w:val="23"/>
          <w:highlight w:val="none"/>
        </w:rPr>
        <w:br w:type="page"/>
      </w:r>
      <w:r>
        <w:rPr>
          <w:rFonts w:hint="eastAsia" w:ascii="宋体" w:hAnsi="宋体" w:eastAsia="宋体" w:cs="宋体"/>
          <w:bCs/>
          <w:color w:val="auto"/>
          <w:sz w:val="23"/>
          <w:szCs w:val="23"/>
          <w:highlight w:val="none"/>
        </w:rPr>
        <w:t xml:space="preserve">合同附件2 </w:t>
      </w:r>
    </w:p>
    <w:p w14:paraId="483B3398">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安全协议书</w:t>
      </w:r>
    </w:p>
    <w:p w14:paraId="3162437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甲方（以下简称买方）：</w:t>
      </w:r>
    </w:p>
    <w:p w14:paraId="05ED2A2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乙方（以下简称卖方）：</w:t>
      </w:r>
    </w:p>
    <w:p w14:paraId="588ED7B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为了切实加强本项目的安全管理，双方本着平等、自愿的原则，签订本协议书。买方和卖方均严格遵守本协议书规定的权力、责任和义务，确保实施人员作业的安全。</w:t>
      </w:r>
    </w:p>
    <w:p w14:paraId="5E40889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一、买方的权利、责任和义务：</w:t>
      </w:r>
    </w:p>
    <w:p w14:paraId="32DA3EA6">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1、贯彻落实国家有关生产现场安全作业的法规和管理规定。</w:t>
      </w:r>
    </w:p>
    <w:p w14:paraId="5806BC1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2、及时纠正卖方的危险行为，并按照有关规定予以查处。</w:t>
      </w:r>
    </w:p>
    <w:p w14:paraId="2F189F8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3、对卖方的安全作业培训和危险预知工作提出指导意见，并监督落实情况。</w:t>
      </w:r>
    </w:p>
    <w:p w14:paraId="53A3F3D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4、对卖方提出的安全作业要求积极提供帮助。</w:t>
      </w:r>
    </w:p>
    <w:p w14:paraId="7980740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施工前需与卖方签订协议包括且不仅包括以下内容：安全协议、实施方案的技术交底、现场安全交底、重要相关方记录等。施工期间将监管卖方临时接电（水）、有限空间等危险作业等内容按制度审批工作，并具对其进行相应告知监督义务。</w:t>
      </w:r>
    </w:p>
    <w:p w14:paraId="1EBD5DD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6、施工期间，买方将自行或委派监理公司，根据安全协议、方案等规定，检查卖方是否违规、冒险作业。若存在违反者，将立即停工整改，且整改时间计入工期。</w:t>
      </w:r>
    </w:p>
    <w:p w14:paraId="72B1E2BA">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二、卖方的权利、责任和义务：</w:t>
      </w:r>
    </w:p>
    <w:p w14:paraId="3D41524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1、遵守国家相关工作的法规和管理制度，建立健全安全责任制度。</w:t>
      </w:r>
    </w:p>
    <w:p w14:paraId="0F72E46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服从买方安全管理要求，做好项目工作中所有工作人员的安全教育、安全培训、安全交底工作。施工前需出具包括且不仅包括以下证明材料：安全资质证书、工程施工的安全协议、特种作业证等。各类材料须提供原件备查，复印件报备给买方留档。施工期间需临时接电（水）、有限空间等危险作业，须提前按买方相应制度进行申请，审批，备案和登记。作业结束后，卖方须及时清除作业现场的物资和废弃物，做到工完场清。</w:t>
      </w:r>
    </w:p>
    <w:p w14:paraId="1583114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3、按照国家安全法律法规要求，做好对工作人员的安全督查，确保工作人员的劳保用品、使用工具等都使用到位，安全可靠。</w:t>
      </w:r>
    </w:p>
    <w:p w14:paraId="0E8DEFF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4、经常性开展安全生产检查工作，对发现的隐患及时整改消除，并做好记录，确保安全生产，做到文明作业。</w:t>
      </w:r>
    </w:p>
    <w:p w14:paraId="19F64F1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5、工作人员的要求：（1）所有工作人员身体健康无缺陷，持《从业人员健康检查合格证》上岗，无传染病；（2）涉及特种作业相关作业人员必须遵守国家有关规定，持有效资格证才能上岗作业。</w:t>
      </w:r>
    </w:p>
    <w:p w14:paraId="41BAA00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6、发生事故必须按规定及时上报，并严格按“四不放过”的原则进行处理，认真落实防范措施，杜绝同类事故的再次发生。</w:t>
      </w:r>
    </w:p>
    <w:p w14:paraId="152F5D9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7、卖方造成的安全事故，以及卖方人员在实施项目工作过程中造成的财产损失和人身伤亡，与买方无涉，由卖方承担事故责任和经济责任，并对买方造成的各种损失须进行赔偿。</w:t>
      </w:r>
    </w:p>
    <w:p w14:paraId="541E6C4A">
      <w:pPr>
        <w:spacing w:line="360" w:lineRule="auto"/>
        <w:ind w:firstLine="460" w:firstLineChars="200"/>
        <w:rPr>
          <w:rFonts w:hint="eastAsia" w:ascii="宋体" w:hAnsi="宋体" w:eastAsia="宋体" w:cs="宋体"/>
          <w:bCs/>
          <w:color w:val="auto"/>
          <w:sz w:val="23"/>
          <w:szCs w:val="23"/>
          <w:highlight w:val="none"/>
        </w:rPr>
      </w:pPr>
    </w:p>
    <w:p w14:paraId="502E258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本协议作为____________________项目合同的附件，与项目合同具有同等的法律效力，经合同双方签署立即生效。</w:t>
      </w:r>
    </w:p>
    <w:p w14:paraId="4AEEB791">
      <w:pPr>
        <w:spacing w:line="360" w:lineRule="auto"/>
        <w:ind w:firstLine="460" w:firstLineChars="200"/>
        <w:rPr>
          <w:rFonts w:hint="eastAsia" w:ascii="宋体" w:hAnsi="宋体" w:eastAsia="宋体" w:cs="宋体"/>
          <w:bCs/>
          <w:color w:val="auto"/>
          <w:sz w:val="23"/>
          <w:szCs w:val="23"/>
          <w:highlight w:val="none"/>
        </w:rPr>
      </w:pPr>
    </w:p>
    <w:p w14:paraId="1934071F">
      <w:pPr>
        <w:spacing w:line="360" w:lineRule="auto"/>
        <w:ind w:firstLine="460" w:firstLineChars="200"/>
        <w:rPr>
          <w:rFonts w:hint="eastAsia" w:ascii="宋体" w:hAnsi="宋体" w:eastAsia="宋体" w:cs="宋体"/>
          <w:bCs/>
          <w:color w:val="auto"/>
          <w:sz w:val="23"/>
          <w:szCs w:val="23"/>
          <w:highlight w:val="none"/>
        </w:rPr>
      </w:pPr>
    </w:p>
    <w:p w14:paraId="63088F7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买方：(盖章）                              卖方：(盖章）</w:t>
      </w:r>
    </w:p>
    <w:p w14:paraId="6233A477">
      <w:pPr>
        <w:spacing w:line="360" w:lineRule="auto"/>
        <w:ind w:firstLine="460" w:firstLineChars="200"/>
        <w:rPr>
          <w:rFonts w:hint="eastAsia" w:ascii="宋体" w:hAnsi="宋体" w:eastAsia="宋体" w:cs="宋体"/>
          <w:bCs/>
          <w:color w:val="auto"/>
          <w:sz w:val="23"/>
          <w:szCs w:val="23"/>
          <w:highlight w:val="none"/>
        </w:rPr>
      </w:pPr>
    </w:p>
    <w:p w14:paraId="2A99360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18FB067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年   月   日                              年   月   日</w:t>
      </w:r>
    </w:p>
    <w:p w14:paraId="7C0F9B19">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2371224E">
      <w:pPr>
        <w:spacing w:before="63" w:line="225" w:lineRule="auto"/>
        <w:ind w:left="2253"/>
        <w:jc w:val="both"/>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第五章 招标内容和技术要求</w:t>
      </w:r>
    </w:p>
    <w:p w14:paraId="3CC84DA7">
      <w:pPr>
        <w:pStyle w:val="14"/>
        <w:rPr>
          <w:rFonts w:hint="eastAsia" w:hAnsi="宋体" w:eastAsia="宋体" w:cs="宋体"/>
          <w:color w:val="auto"/>
          <w:highlight w:val="none"/>
        </w:rPr>
      </w:pPr>
    </w:p>
    <w:p w14:paraId="47E5C050">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一、项目概述及技术规范</w:t>
      </w:r>
    </w:p>
    <w:p w14:paraId="09CD5B37">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1、项目概况</w:t>
      </w:r>
    </w:p>
    <w:p w14:paraId="796018E4">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1.1项目名称：</w:t>
      </w:r>
      <w:r>
        <w:rPr>
          <w:rFonts w:hint="eastAsia" w:ascii="宋体" w:hAnsi="宋体" w:eastAsia="宋体" w:cs="宋体"/>
          <w:color w:val="auto"/>
          <w:sz w:val="23"/>
          <w:szCs w:val="23"/>
          <w:highlight w:val="none"/>
          <w:lang w:eastAsia="zh-CN"/>
        </w:rPr>
        <w:t>绍兴文理学院附属医院(绍兴市立医院)二期A地块建设工程医用气体项目</w:t>
      </w:r>
      <w:r>
        <w:rPr>
          <w:rFonts w:hint="eastAsia" w:ascii="宋体" w:hAnsi="宋体" w:eastAsia="宋体" w:cs="宋体"/>
          <w:color w:val="auto"/>
          <w:sz w:val="23"/>
          <w:szCs w:val="23"/>
          <w:highlight w:val="none"/>
        </w:rPr>
        <w:t>系统</w:t>
      </w:r>
    </w:p>
    <w:p w14:paraId="672BC320">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2、招标范围及工程界面划分</w:t>
      </w:r>
    </w:p>
    <w:p w14:paraId="67196FDA">
      <w:pPr>
        <w:tabs>
          <w:tab w:val="left" w:pos="360"/>
        </w:tabs>
        <w:spacing w:line="360" w:lineRule="auto"/>
        <w:ind w:firstLine="345" w:firstLineChars="150"/>
        <w:jc w:val="left"/>
        <w:rPr>
          <w:rFonts w:hint="eastAsia" w:ascii="宋体" w:hAnsi="宋体" w:eastAsia="宋体" w:cs="宋体"/>
          <w:color w:val="auto"/>
          <w:sz w:val="23"/>
          <w:szCs w:val="23"/>
          <w:highlight w:val="none"/>
          <w:u w:val="single"/>
        </w:rPr>
      </w:pPr>
      <w:r>
        <w:rPr>
          <w:rFonts w:hint="eastAsia" w:ascii="宋体" w:hAnsi="宋体" w:eastAsia="宋体" w:cs="宋体"/>
          <w:bCs/>
          <w:color w:val="auto"/>
          <w:sz w:val="23"/>
          <w:szCs w:val="23"/>
          <w:highlight w:val="none"/>
        </w:rPr>
        <w:t>2.1医气单位工作内容</w:t>
      </w:r>
    </w:p>
    <w:p w14:paraId="01614DFB">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整个项目的医用气体系统（包含液氧罐、空气压缩机、真空吸引泵等）的设备采购及安装，包括但不限于医用气体系统的深化设计、制造、安装、调试、检验试验、移交使用、质保期的保养保修、技术培训等。本工程承包范围若存在不明确的部位或内容，则以施工图、工程量清单为准。本次医气招标范围含</w:t>
      </w:r>
    </w:p>
    <w:p w14:paraId="6595FBE9">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（1）医用中心供氧系统：包括液氧站、气体减压装置、应急备用氧气汇流排及其后至医院各区域管道、区域阀门流量报警箱、阀门等设备组件；</w:t>
      </w:r>
    </w:p>
    <w:p w14:paraId="2F93CB8E">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（2）医用真空系统：包括真空泵、细菌过滤器、真空贮罐、分气缸、控制柜、各区域管道、阀门等设备组件；</w:t>
      </w:r>
    </w:p>
    <w:p w14:paraId="1700E76A">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（3）医疗用压缩空气系统：包括空气压缩机、干燥机、过滤器、空气储罐、气体减压装置、分气缸、各区域管道、阀门等设备组件；</w:t>
      </w:r>
    </w:p>
    <w:p w14:paraId="1238C493">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（4）病房设备带及终端电器系统：包括病房床头设备带、医用气体管道、阀门、气体终端组件、电源开关、插座、照明灯、设备带内电线；</w:t>
      </w:r>
    </w:p>
    <w:p w14:paraId="5A2F8EF1">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（5）医用气体监测报警系统：包括气源报警器，区域阀门流量报警箱、医用气体监测报警系统及相应管线等组成。</w:t>
      </w:r>
    </w:p>
    <w:p w14:paraId="2AE5C3FC">
      <w:pPr>
        <w:spacing w:line="360" w:lineRule="auto"/>
        <w:ind w:firstLine="230" w:firstLineChars="100"/>
        <w:jc w:val="left"/>
        <w:rPr>
          <w:rFonts w:hint="eastAsia" w:ascii="宋体" w:hAnsi="宋体" w:eastAsia="宋体" w:cs="宋体"/>
          <w:bCs/>
          <w:color w:val="auto"/>
          <w:sz w:val="23"/>
          <w:szCs w:val="23"/>
          <w:highlight w:val="none"/>
        </w:rPr>
      </w:pPr>
      <w:r>
        <w:rPr>
          <w:rFonts w:hint="eastAsia" w:ascii="宋体" w:hAnsi="宋体" w:eastAsia="宋体" w:cs="宋体"/>
          <w:color w:val="auto"/>
          <w:sz w:val="23"/>
          <w:szCs w:val="23"/>
          <w:highlight w:val="none"/>
        </w:rPr>
        <w:t>（6）医用呼叫系统：</w:t>
      </w:r>
      <w:r>
        <w:rPr>
          <w:rFonts w:hint="eastAsia" w:ascii="宋体" w:hAnsi="宋体" w:eastAsia="宋体" w:cs="宋体"/>
          <w:bCs/>
          <w:color w:val="auto"/>
          <w:sz w:val="23"/>
          <w:szCs w:val="23"/>
          <w:highlight w:val="none"/>
        </w:rPr>
        <w:t>包括传呼主机、走廊显示屏、床头分机、卫生间紧急呼叫按钮等组成。</w:t>
      </w:r>
    </w:p>
    <w:p w14:paraId="699940A6">
      <w:pPr>
        <w:spacing w:line="360" w:lineRule="auto"/>
        <w:ind w:firstLine="240" w:firstLineChars="100"/>
        <w:jc w:val="left"/>
        <w:rPr>
          <w:rFonts w:hint="eastAsia" w:ascii="宋体" w:hAnsi="宋体" w:eastAsia="宋体" w:cs="宋体"/>
          <w:bCs/>
          <w:color w:val="auto"/>
          <w:sz w:val="23"/>
          <w:szCs w:val="23"/>
          <w:highlight w:val="none"/>
        </w:rPr>
      </w:pPr>
      <w:r>
        <w:rPr>
          <w:rFonts w:hint="eastAsia" w:ascii="宋体" w:hAnsi="宋体" w:eastAsia="宋体" w:cs="宋体"/>
          <w:color w:val="auto"/>
          <w:sz w:val="24"/>
          <w:szCs w:val="24"/>
          <w:highlight w:val="none"/>
          <w:u w:val="none"/>
          <w:lang w:val="en-US" w:eastAsia="zh-CN"/>
        </w:rPr>
        <w:t>注：所有系统配置投标单位均须符合要求，否则视为实质性偏离。</w:t>
      </w:r>
    </w:p>
    <w:p w14:paraId="061B7D0F">
      <w:pPr>
        <w:tabs>
          <w:tab w:val="left" w:pos="360"/>
        </w:tabs>
        <w:spacing w:line="360" w:lineRule="auto"/>
        <w:ind w:firstLine="345" w:firstLineChars="150"/>
        <w:jc w:val="left"/>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2.2医气单位与各专业的界面划分</w:t>
      </w:r>
    </w:p>
    <w:p w14:paraId="434FD577">
      <w:pPr>
        <w:tabs>
          <w:tab w:val="left" w:pos="360"/>
        </w:tabs>
        <w:spacing w:line="360" w:lineRule="auto"/>
        <w:ind w:firstLine="345" w:firstLineChars="150"/>
        <w:jc w:val="left"/>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2.2.1医气单位与施工总承包单位界面划分</w:t>
      </w:r>
    </w:p>
    <w:p w14:paraId="589AE76C">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气单位负责向施工总承包单位提供设备基础大样、机房及室外管沟布置图、病房内吊顶管道到区域阀门流量报警箱、病房的管槽规格。施工总承包单位负责室外液氧站设备基础、围栏（含围栏门）及室外医用气体管沟施工；负责气体机房的设备基座基础浇筑、各气体机房内的电源箱、房间的建筑装饰（含机房地面找平、隔音降噪）、开关、插座、灯具、空调、通风系统、给排水系统、周边接地预留、机房管道预留开孔等施工，负责医气相关的区域阀门流量报警箱的电源插座预留、检修孔预留，病房内吊顶管道到区域阀门流量报警箱、病房的管槽开槽及修复，病房内的设备带电线预留到位（包括等电位接地线）等。</w:t>
      </w:r>
    </w:p>
    <w:p w14:paraId="79718C0B">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医气单位负责根据系统需要在楼板及墙体所需洞口的开设，并负责承包范围内预留孔洞（管）的封堵；施工总承包单位负责本项目范围内主体施工期间的各系统砼结构内的线管、底盒、套管、孔洞的预留预埋。</w:t>
      </w:r>
    </w:p>
    <w:p w14:paraId="093D9AD5">
      <w:pPr>
        <w:spacing w:line="360" w:lineRule="auto"/>
        <w:ind w:firstLine="460" w:firstLineChars="200"/>
        <w:jc w:val="left"/>
        <w:outlineLvl w:val="1"/>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2.2.2医气单位与精装修专业工程承包单位界面划分</w:t>
      </w:r>
    </w:p>
    <w:p w14:paraId="7BC9E6DD">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精装修专业工程承包单位负责其承包范围内区域阀门流量报警箱等设备的布局优化和安装完成后的收边收口；负责配合医用气体专业承包单位在天花、板材墙面等预留符合要求的洞口尺寸。医气单位负责向精装修专业工程承包单位提供区域阀门流量报警箱安装空间及位置尺寸等并对其准确性负责。</w:t>
      </w:r>
    </w:p>
    <w:p w14:paraId="5C800EF9">
      <w:pPr>
        <w:spacing w:line="360" w:lineRule="auto"/>
        <w:ind w:firstLine="402" w:firstLineChars="175"/>
        <w:jc w:val="left"/>
        <w:outlineLvl w:val="1"/>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2.2.3医气单位与医疗净化专业承包单位界面划分</w:t>
      </w:r>
    </w:p>
    <w:p w14:paraId="3C4F890B">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1）医气单位负责向医疗净化专业承包单位提供医用气体系统相关管道（医用氧气、医用吸引和医用压缩空气），在净化区域气体管道井出口预留阀门。</w:t>
      </w:r>
    </w:p>
    <w:p w14:paraId="3266FF2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3、技术规范</w:t>
      </w:r>
    </w:p>
    <w:p w14:paraId="2ECA570E">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50751-2012《医用气体工程技术规范》</w:t>
      </w:r>
    </w:p>
    <w:p w14:paraId="4A2A45A6">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50030-2013《氧气站设计规范》</w:t>
      </w:r>
    </w:p>
    <w:p w14:paraId="25414B8A">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50029-2014《压缩空气站设计规范》</w:t>
      </w:r>
    </w:p>
    <w:p w14:paraId="468CB675">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50333-2013《医院洁净手术部建筑技术规范一医用气体篇》</w:t>
      </w:r>
    </w:p>
    <w:p w14:paraId="58E09E2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50016-2014《建筑设计防火规范》 (2018 年版)</w:t>
      </w:r>
    </w:p>
    <w:p w14:paraId="35EC038B">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55037-2022《建筑防火通用规范》</w:t>
      </w:r>
    </w:p>
    <w:p w14:paraId="6E12D8BC">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50316-2000《工业金属管道设计规范》 (2008 年版)</w:t>
      </w:r>
    </w:p>
    <w:p w14:paraId="6E92F92D">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50235-2010《工业金属管道工程施工规范》</w:t>
      </w:r>
    </w:p>
    <w:p w14:paraId="26462062">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50184-2011《工业金属管道工程施工质量验收规范》</w:t>
      </w:r>
    </w:p>
    <w:p w14:paraId="2A199347">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50236-2011《现场设备、工业管道焊接工程施工规范》</w:t>
      </w:r>
    </w:p>
    <w:p w14:paraId="0CCA5752">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50683-2011《现场设备、工业管道焊接工程施工质量验收规范》</w:t>
      </w:r>
    </w:p>
    <w:p w14:paraId="35A9DE1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14976-</w:t>
      </w:r>
      <w:r>
        <w:rPr>
          <w:rFonts w:hint="eastAsia" w:ascii="宋体" w:hAnsi="宋体" w:eastAsia="宋体" w:cs="宋体"/>
          <w:color w:val="auto"/>
          <w:sz w:val="23"/>
          <w:szCs w:val="23"/>
          <w:highlight w:val="none"/>
          <w:lang w:val="en-US" w:eastAsia="zh-CN"/>
        </w:rPr>
        <w:t>2025</w:t>
      </w:r>
      <w:r>
        <w:rPr>
          <w:rFonts w:hint="eastAsia" w:ascii="宋体" w:hAnsi="宋体" w:eastAsia="宋体" w:cs="宋体"/>
          <w:color w:val="auto"/>
          <w:sz w:val="23"/>
          <w:szCs w:val="23"/>
          <w:highlight w:val="none"/>
        </w:rPr>
        <w:t>《流体输送用不锈钢无缝钢管》</w:t>
      </w:r>
    </w:p>
    <w:p w14:paraId="1EAA9621">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YS/T 650-2020《医用气体和真空用无缝铜管》</w:t>
      </w:r>
    </w:p>
    <w:p w14:paraId="7660CA88">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150.1~150.4-</w:t>
      </w:r>
      <w:r>
        <w:rPr>
          <w:rFonts w:hint="eastAsia" w:ascii="宋体" w:hAnsi="宋体" w:eastAsia="宋体" w:cs="宋体"/>
          <w:color w:val="auto"/>
          <w:sz w:val="23"/>
          <w:szCs w:val="23"/>
          <w:highlight w:val="none"/>
          <w:lang w:val="en-US" w:eastAsia="zh-CN"/>
        </w:rPr>
        <w:t>2024</w:t>
      </w:r>
      <w:r>
        <w:rPr>
          <w:rFonts w:hint="eastAsia" w:ascii="宋体" w:hAnsi="宋体" w:eastAsia="宋体" w:cs="宋体"/>
          <w:color w:val="auto"/>
          <w:sz w:val="23"/>
          <w:szCs w:val="23"/>
          <w:highlight w:val="none"/>
        </w:rPr>
        <w:t>《压力容器》</w:t>
      </w:r>
    </w:p>
    <w:p w14:paraId="6D9D1F93">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8982-2009 《医用及航空呼吸用氧》</w:t>
      </w:r>
    </w:p>
    <w:p w14:paraId="5B9C41D5">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50254-2014《电气装置安装工程 低压电器施工及验收规范》</w:t>
      </w:r>
    </w:p>
    <w:p w14:paraId="373D1B16">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12241-2021《安全阀一般要求》</w:t>
      </w:r>
    </w:p>
    <w:p w14:paraId="34E9C67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3836.4-2021《爆炸性环境 第 4 部分:由本质安全型“i”保护的设备》</w:t>
      </w:r>
    </w:p>
    <w:p w14:paraId="5D0976DA">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51039-2014（2024版）《综合医院建筑设计标准》</w:t>
      </w:r>
    </w:p>
    <w:p w14:paraId="06DDA728">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国家及地方颁布的其它相关法律法规</w:t>
      </w:r>
    </w:p>
    <w:p w14:paraId="0669C3BF">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如有最新版本的技术规范，以最新的技术规范为准</w:t>
      </w:r>
    </w:p>
    <w:p w14:paraId="68D7EB05">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w:t>
      </w:r>
    </w:p>
    <w:p w14:paraId="37C2CFCA">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二、医用中心供氧系统详细说明</w:t>
      </w:r>
    </w:p>
    <w:p w14:paraId="0AB5A368">
      <w:pPr>
        <w:pStyle w:val="16"/>
        <w:spacing w:after="0" w:line="360" w:lineRule="auto"/>
        <w:ind w:left="0" w:leftChars="0"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医用中心供氧系统由中心供氧站、减压装置、管道、阀门及氧气终端等组成。</w:t>
      </w:r>
    </w:p>
    <w:p w14:paraId="6B828117">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1、医用中心供氧站</w:t>
      </w:r>
    </w:p>
    <w:p w14:paraId="17B469DB">
      <w:pPr>
        <w:spacing w:line="360" w:lineRule="auto"/>
        <w:ind w:firstLine="402" w:firstLineChars="175"/>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医用中心供氧系统</w:t>
      </w:r>
      <w:r>
        <w:rPr>
          <w:rFonts w:hint="eastAsia" w:ascii="宋体" w:hAnsi="宋体" w:eastAsia="宋体" w:cs="宋体"/>
          <w:bCs/>
          <w:color w:val="auto"/>
          <w:sz w:val="23"/>
          <w:szCs w:val="23"/>
          <w:highlight w:val="none"/>
        </w:rPr>
        <w:t>供氧站</w:t>
      </w:r>
      <w:r>
        <w:rPr>
          <w:rFonts w:hint="eastAsia" w:ascii="宋体" w:hAnsi="宋体" w:eastAsia="宋体" w:cs="宋体"/>
          <w:color w:val="auto"/>
          <w:sz w:val="23"/>
          <w:szCs w:val="23"/>
          <w:highlight w:val="none"/>
        </w:rPr>
        <w:t>采用液氧站为主氧源，瓶氧站作为应急备用氧源。</w:t>
      </w:r>
    </w:p>
    <w:p w14:paraId="14BE228A">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1）液氧站</w:t>
      </w:r>
    </w:p>
    <w:p w14:paraId="173A6D3B">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1.1液氧站配置设备：</w:t>
      </w:r>
    </w:p>
    <w:tbl>
      <w:tblPr>
        <w:tblStyle w:val="31"/>
        <w:tblW w:w="8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410"/>
        <w:gridCol w:w="4536"/>
        <w:gridCol w:w="1168"/>
      </w:tblGrid>
      <w:tr w14:paraId="5323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73971CC">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序号</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666DBCE">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设备名称</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359509BB">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技术参数</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314BE816">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数量</w:t>
            </w:r>
          </w:p>
        </w:tc>
      </w:tr>
      <w:tr w14:paraId="72AC9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2BD6EA3">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809113D">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液氧罐</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54C4CBE8">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有效容积5m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，最高工作压力：≥0.8MPa</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054084D7">
            <w:pPr>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2台</w:t>
            </w:r>
          </w:p>
        </w:tc>
      </w:tr>
      <w:tr w14:paraId="66C4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876185A">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1569F80">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空温式汽化器</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61BBE110">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气化量</w:t>
            </w: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rPr>
              <w:t>00m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 xml:space="preserve">/h  </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4FC6E810">
            <w:pPr>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2台</w:t>
            </w:r>
          </w:p>
        </w:tc>
      </w:tr>
      <w:tr w14:paraId="0E3D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911B76B">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4221EAC">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氧气减压阀组</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6949C7E9">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调压阀二用一备,进口压力0.8MPa，出口压力</w:t>
            </w:r>
            <w:r>
              <w:rPr>
                <w:rFonts w:hint="eastAsia" w:ascii="宋体" w:hAnsi="宋体" w:eastAsia="宋体" w:cs="宋体"/>
                <w:color w:val="auto"/>
                <w:sz w:val="23"/>
                <w:szCs w:val="23"/>
                <w:highlight w:val="none"/>
                <w:lang w:val="en-US" w:eastAsia="zh-CN"/>
              </w:rPr>
              <w:t>0~</w:t>
            </w:r>
            <w:r>
              <w:rPr>
                <w:rFonts w:hint="eastAsia" w:ascii="宋体" w:hAnsi="宋体" w:eastAsia="宋体" w:cs="宋体"/>
                <w:color w:val="auto"/>
                <w:sz w:val="23"/>
                <w:szCs w:val="23"/>
                <w:highlight w:val="none"/>
              </w:rPr>
              <w:t>0.6MPa（可调）</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64D4B939">
            <w:pPr>
              <w:spacing w:line="360" w:lineRule="auto"/>
              <w:jc w:val="center"/>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lang w:val="en-US" w:eastAsia="zh-CN"/>
              </w:rPr>
              <w:t>套</w:t>
            </w:r>
          </w:p>
        </w:tc>
      </w:tr>
      <w:tr w14:paraId="4CE5D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F756734">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847EE32">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管路及阀门</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0FDFAE03">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配套</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650AAFF9">
            <w:pPr>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1套</w:t>
            </w:r>
          </w:p>
        </w:tc>
      </w:tr>
    </w:tbl>
    <w:p w14:paraId="06EAB3E1">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w:t>
      </w:r>
      <w:r>
        <w:rPr>
          <w:rFonts w:hint="eastAsia" w:ascii="宋体" w:hAnsi="宋体" w:eastAsia="宋体" w:cs="宋体"/>
          <w:bCs/>
          <w:color w:val="auto"/>
          <w:sz w:val="23"/>
          <w:szCs w:val="23"/>
          <w:highlight w:val="none"/>
        </w:rPr>
        <w:t>液氧</w:t>
      </w:r>
      <w:r>
        <w:rPr>
          <w:rFonts w:hint="eastAsia" w:ascii="宋体" w:hAnsi="宋体" w:eastAsia="宋体" w:cs="宋体"/>
          <w:color w:val="auto"/>
          <w:sz w:val="23"/>
          <w:szCs w:val="23"/>
          <w:highlight w:val="none"/>
        </w:rPr>
        <w:t>站主要技术参数：</w:t>
      </w:r>
    </w:p>
    <w:p w14:paraId="140F879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液氧站最大出口流量</w:t>
      </w:r>
      <w:r>
        <w:rPr>
          <w:rFonts w:hint="eastAsia" w:ascii="宋体" w:hAnsi="宋体" w:eastAsia="宋体" w:cs="宋体"/>
          <w:color w:val="auto"/>
          <w:sz w:val="23"/>
          <w:szCs w:val="23"/>
          <w:highlight w:val="none"/>
          <w:lang w:val="en-US" w:eastAsia="zh-CN"/>
        </w:rPr>
        <w:t>8</w:t>
      </w:r>
      <w:r>
        <w:rPr>
          <w:rFonts w:hint="eastAsia" w:ascii="宋体" w:hAnsi="宋体" w:eastAsia="宋体" w:cs="宋体"/>
          <w:color w:val="auto"/>
          <w:sz w:val="23"/>
          <w:szCs w:val="23"/>
          <w:highlight w:val="none"/>
        </w:rPr>
        <w:t>00m</w:t>
      </w:r>
      <w:r>
        <w:rPr>
          <w:rFonts w:hint="eastAsia" w:ascii="宋体" w:hAnsi="宋体" w:eastAsia="宋体" w:cs="宋体"/>
          <w:color w:val="auto"/>
          <w:sz w:val="23"/>
          <w:szCs w:val="23"/>
          <w:highlight w:val="none"/>
          <w:vertAlign w:val="superscript"/>
        </w:rPr>
        <w:t xml:space="preserve"> 3</w:t>
      </w:r>
      <w:r>
        <w:rPr>
          <w:rFonts w:hint="eastAsia" w:ascii="宋体" w:hAnsi="宋体" w:eastAsia="宋体" w:cs="宋体"/>
          <w:color w:val="auto"/>
          <w:sz w:val="23"/>
          <w:szCs w:val="23"/>
          <w:highlight w:val="none"/>
        </w:rPr>
        <w:t>/h</w:t>
      </w:r>
    </w:p>
    <w:p w14:paraId="7BC0B2DC">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1.3液氧罐需符合如下指标</w:t>
      </w:r>
    </w:p>
    <w:tbl>
      <w:tblPr>
        <w:tblStyle w:val="31"/>
        <w:tblW w:w="894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7868"/>
      </w:tblGrid>
      <w:tr w14:paraId="4370D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0C3D3641">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1</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6FD96943">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满足产品设计使用寿命≥30年，提供生产厂家质量证明书相关数据加盖</w:t>
            </w:r>
            <w:r>
              <w:rPr>
                <w:rFonts w:hint="eastAsia" w:ascii="宋体" w:hAnsi="宋体" w:eastAsia="宋体" w:cs="宋体"/>
                <w:color w:val="auto"/>
                <w:kern w:val="0"/>
                <w:sz w:val="23"/>
                <w:szCs w:val="23"/>
                <w:highlight w:val="none"/>
                <w:lang w:eastAsia="zh-CN"/>
              </w:rPr>
              <w:t>投标单位</w:t>
            </w:r>
            <w:r>
              <w:rPr>
                <w:rFonts w:hint="eastAsia" w:ascii="宋体" w:hAnsi="宋体" w:eastAsia="宋体" w:cs="宋体"/>
                <w:color w:val="auto"/>
                <w:kern w:val="0"/>
                <w:sz w:val="23"/>
                <w:szCs w:val="23"/>
                <w:highlight w:val="none"/>
              </w:rPr>
              <w:t>公章；</w:t>
            </w:r>
          </w:p>
        </w:tc>
      </w:tr>
      <w:tr w14:paraId="0F8E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312BAF58">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2</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6F0A8651">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进出液阀采用双阀结构，一用一备，使用安全，操作更有保障。提供实物图片及生产厂家参数确认证明加盖</w:t>
            </w:r>
            <w:r>
              <w:rPr>
                <w:rFonts w:hint="eastAsia" w:ascii="宋体" w:hAnsi="宋体" w:eastAsia="宋体" w:cs="宋体"/>
                <w:color w:val="auto"/>
                <w:kern w:val="0"/>
                <w:sz w:val="23"/>
                <w:szCs w:val="23"/>
                <w:highlight w:val="none"/>
                <w:lang w:eastAsia="zh-CN"/>
              </w:rPr>
              <w:t>投标单位</w:t>
            </w:r>
            <w:r>
              <w:rPr>
                <w:rFonts w:hint="eastAsia" w:ascii="宋体" w:hAnsi="宋体" w:eastAsia="宋体" w:cs="宋体"/>
                <w:color w:val="auto"/>
                <w:kern w:val="0"/>
                <w:sz w:val="23"/>
                <w:szCs w:val="23"/>
                <w:highlight w:val="none"/>
              </w:rPr>
              <w:t>公章；</w:t>
            </w:r>
          </w:p>
        </w:tc>
      </w:tr>
      <w:tr w14:paraId="3167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4F9BD153">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3</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687ADE5B">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部分关键阀门采用进口品牌如真空隔离阀，经济调节阀，单向阀，真空规管，短柄排放阀等保证了罐的真空度更有利于稳定的供气。提供实物图片生产厂家参数确认证明加盖</w:t>
            </w:r>
            <w:r>
              <w:rPr>
                <w:rFonts w:hint="eastAsia" w:ascii="宋体" w:hAnsi="宋体" w:eastAsia="宋体" w:cs="宋体"/>
                <w:color w:val="auto"/>
                <w:kern w:val="0"/>
                <w:sz w:val="23"/>
                <w:szCs w:val="23"/>
                <w:highlight w:val="none"/>
                <w:lang w:eastAsia="zh-CN"/>
              </w:rPr>
              <w:t>投标单位公章</w:t>
            </w:r>
            <w:r>
              <w:rPr>
                <w:rFonts w:hint="eastAsia" w:ascii="宋体" w:hAnsi="宋体" w:eastAsia="宋体" w:cs="宋体"/>
                <w:color w:val="auto"/>
                <w:kern w:val="0"/>
                <w:sz w:val="23"/>
                <w:szCs w:val="23"/>
                <w:highlight w:val="none"/>
              </w:rPr>
              <w:t>；</w:t>
            </w:r>
          </w:p>
        </w:tc>
      </w:tr>
      <w:tr w14:paraId="2684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5569F5F5">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4</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03A51F9F">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真空度国家标准为2pa，要求达到抽到1.5pa封结，保证日蒸发率低于国家标准。提供生产厂家检测参数证明数据加盖</w:t>
            </w:r>
            <w:r>
              <w:rPr>
                <w:rFonts w:hint="eastAsia" w:ascii="宋体" w:hAnsi="宋体" w:eastAsia="宋体" w:cs="宋体"/>
                <w:color w:val="auto"/>
                <w:kern w:val="0"/>
                <w:sz w:val="23"/>
                <w:szCs w:val="23"/>
                <w:highlight w:val="none"/>
                <w:lang w:eastAsia="zh-CN"/>
              </w:rPr>
              <w:t>投标单位公章</w:t>
            </w:r>
            <w:r>
              <w:rPr>
                <w:rFonts w:hint="eastAsia" w:ascii="宋体" w:hAnsi="宋体" w:eastAsia="宋体" w:cs="宋体"/>
                <w:color w:val="auto"/>
                <w:kern w:val="0"/>
                <w:sz w:val="23"/>
                <w:szCs w:val="23"/>
                <w:highlight w:val="none"/>
              </w:rPr>
              <w:t>；</w:t>
            </w:r>
          </w:p>
        </w:tc>
      </w:tr>
      <w:tr w14:paraId="0675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237BC93D">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5</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6B68EC70">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液氧罐上增装一套经济回路系统，减少排放更节约了用气量。提供实物系统原理图及生产厂家参数确认证明加盖</w:t>
            </w:r>
            <w:r>
              <w:rPr>
                <w:rFonts w:hint="eastAsia" w:ascii="宋体" w:hAnsi="宋体" w:eastAsia="宋体" w:cs="宋体"/>
                <w:color w:val="auto"/>
                <w:kern w:val="0"/>
                <w:sz w:val="23"/>
                <w:szCs w:val="23"/>
                <w:highlight w:val="none"/>
                <w:lang w:eastAsia="zh-CN"/>
              </w:rPr>
              <w:t>投标单位公章</w:t>
            </w:r>
            <w:r>
              <w:rPr>
                <w:rFonts w:hint="eastAsia" w:ascii="宋体" w:hAnsi="宋体" w:eastAsia="宋体" w:cs="宋体"/>
                <w:color w:val="auto"/>
                <w:kern w:val="0"/>
                <w:sz w:val="23"/>
                <w:szCs w:val="23"/>
                <w:highlight w:val="none"/>
              </w:rPr>
              <w:t>；</w:t>
            </w:r>
          </w:p>
        </w:tc>
      </w:tr>
      <w:tr w14:paraId="1027D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06B220A5">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6</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75E67B6F">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液位计采用电子数显表，读数更准确直观，也防止超压打坏故障的发生。提供实物图片及生产厂家参数确认证明加盖</w:t>
            </w:r>
            <w:r>
              <w:rPr>
                <w:rFonts w:hint="eastAsia" w:ascii="宋体" w:hAnsi="宋体" w:eastAsia="宋体" w:cs="宋体"/>
                <w:color w:val="auto"/>
                <w:kern w:val="0"/>
                <w:sz w:val="23"/>
                <w:szCs w:val="23"/>
                <w:highlight w:val="none"/>
                <w:lang w:eastAsia="zh-CN"/>
              </w:rPr>
              <w:t>投标单位公章</w:t>
            </w:r>
            <w:r>
              <w:rPr>
                <w:rFonts w:hint="eastAsia" w:ascii="宋体" w:hAnsi="宋体" w:eastAsia="宋体" w:cs="宋体"/>
                <w:color w:val="auto"/>
                <w:kern w:val="0"/>
                <w:sz w:val="23"/>
                <w:szCs w:val="23"/>
                <w:highlight w:val="none"/>
              </w:rPr>
              <w:t>；</w:t>
            </w:r>
          </w:p>
        </w:tc>
      </w:tr>
      <w:tr w14:paraId="6ED01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6449783D">
            <w:pPr>
              <w:widowControl/>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7</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12227D2C">
            <w:pPr>
              <w:widowControl/>
              <w:jc w:val="left"/>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协助甲方办理特种设备使用登记证等相关证件并移交档案资料</w:t>
            </w:r>
          </w:p>
        </w:tc>
      </w:tr>
    </w:tbl>
    <w:p w14:paraId="7901876E">
      <w:pPr>
        <w:widowControl/>
        <w:ind w:firstLine="460" w:firstLineChars="200"/>
        <w:jc w:val="left"/>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提供设备生产厂家售后服务承诺书（加盖投标单位公章）。</w:t>
      </w:r>
    </w:p>
    <w:p w14:paraId="3B8FAA97">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2）瓶氧站：</w:t>
      </w:r>
    </w:p>
    <w:p w14:paraId="2C8625B0">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瓶氧站设置在室</w:t>
      </w:r>
      <w:r>
        <w:rPr>
          <w:rFonts w:hint="eastAsia" w:ascii="宋体" w:hAnsi="宋体" w:eastAsia="宋体" w:cs="宋体"/>
          <w:color w:val="auto"/>
          <w:sz w:val="23"/>
          <w:szCs w:val="23"/>
          <w:highlight w:val="none"/>
          <w:lang w:val="en-US" w:eastAsia="zh-CN"/>
        </w:rPr>
        <w:t>内</w:t>
      </w:r>
      <w:r>
        <w:rPr>
          <w:rFonts w:hint="eastAsia" w:ascii="宋体" w:hAnsi="宋体" w:eastAsia="宋体" w:cs="宋体"/>
          <w:color w:val="auto"/>
          <w:sz w:val="23"/>
          <w:szCs w:val="23"/>
          <w:highlight w:val="none"/>
        </w:rPr>
        <w:t>，采用双排气瓶，每排十瓶，双路控制系统，一路工作、一路备用。具有自动控制及人工控制两种功能。</w:t>
      </w:r>
    </w:p>
    <w:p w14:paraId="05B6D78E">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瓶氧站内配置:</w:t>
      </w:r>
    </w:p>
    <w:tbl>
      <w:tblPr>
        <w:tblStyle w:val="3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2271"/>
        <w:gridCol w:w="4819"/>
        <w:gridCol w:w="993"/>
      </w:tblGrid>
      <w:tr w14:paraId="7881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0"/>
            <w:vAlign w:val="top"/>
          </w:tcPr>
          <w:p w14:paraId="39F902E0">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序号</w:t>
            </w:r>
          </w:p>
        </w:tc>
        <w:tc>
          <w:tcPr>
            <w:tcW w:w="2271" w:type="dxa"/>
            <w:tcBorders>
              <w:top w:val="single" w:color="auto" w:sz="4" w:space="0"/>
              <w:left w:val="nil"/>
              <w:bottom w:val="single" w:color="auto" w:sz="4" w:space="0"/>
              <w:right w:val="single" w:color="auto" w:sz="4" w:space="0"/>
            </w:tcBorders>
            <w:noWrap w:val="0"/>
            <w:vAlign w:val="top"/>
          </w:tcPr>
          <w:p w14:paraId="6090B1A1">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设备名称</w:t>
            </w:r>
          </w:p>
        </w:tc>
        <w:tc>
          <w:tcPr>
            <w:tcW w:w="4819" w:type="dxa"/>
            <w:tcBorders>
              <w:top w:val="single" w:color="auto" w:sz="4" w:space="0"/>
              <w:left w:val="nil"/>
              <w:bottom w:val="single" w:color="auto" w:sz="4" w:space="0"/>
              <w:right w:val="single" w:color="auto" w:sz="4" w:space="0"/>
            </w:tcBorders>
            <w:noWrap w:val="0"/>
            <w:vAlign w:val="top"/>
          </w:tcPr>
          <w:p w14:paraId="1998ED1D">
            <w:pPr>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技术参数</w:t>
            </w:r>
          </w:p>
        </w:tc>
        <w:tc>
          <w:tcPr>
            <w:tcW w:w="993" w:type="dxa"/>
            <w:tcBorders>
              <w:top w:val="single" w:color="auto" w:sz="4" w:space="0"/>
              <w:left w:val="nil"/>
              <w:bottom w:val="single" w:color="auto" w:sz="4" w:space="0"/>
              <w:right w:val="single" w:color="auto" w:sz="4" w:space="0"/>
            </w:tcBorders>
            <w:noWrap w:val="0"/>
            <w:vAlign w:val="top"/>
          </w:tcPr>
          <w:p w14:paraId="72498CBD">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数量</w:t>
            </w:r>
          </w:p>
        </w:tc>
      </w:tr>
      <w:tr w14:paraId="1F7E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0"/>
            <w:vAlign w:val="center"/>
          </w:tcPr>
          <w:p w14:paraId="0D071760">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w:t>
            </w:r>
          </w:p>
        </w:tc>
        <w:tc>
          <w:tcPr>
            <w:tcW w:w="2271" w:type="dxa"/>
            <w:tcBorders>
              <w:top w:val="single" w:color="auto" w:sz="4" w:space="0"/>
              <w:left w:val="nil"/>
              <w:bottom w:val="single" w:color="auto" w:sz="4" w:space="0"/>
              <w:right w:val="single" w:color="auto" w:sz="4" w:space="0"/>
            </w:tcBorders>
            <w:noWrap w:val="0"/>
            <w:vAlign w:val="center"/>
          </w:tcPr>
          <w:p w14:paraId="52645ACB">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瓶氧汇流排</w:t>
            </w:r>
          </w:p>
        </w:tc>
        <w:tc>
          <w:tcPr>
            <w:tcW w:w="4819" w:type="dxa"/>
            <w:tcBorders>
              <w:top w:val="single" w:color="auto" w:sz="4" w:space="0"/>
              <w:left w:val="nil"/>
              <w:bottom w:val="single" w:color="auto" w:sz="4" w:space="0"/>
              <w:right w:val="single" w:color="auto" w:sz="4" w:space="0"/>
            </w:tcBorders>
            <w:noWrap w:val="0"/>
            <w:vAlign w:val="top"/>
          </w:tcPr>
          <w:p w14:paraId="21FB8ABD">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10瓶*2组，全自动切换，采用液晶面板与触控按键,</w:t>
            </w:r>
            <w:r>
              <w:rPr>
                <w:rFonts w:hint="eastAsia" w:ascii="宋体" w:hAnsi="宋体" w:eastAsia="宋体" w:cs="宋体"/>
                <w:color w:val="auto"/>
                <w:sz w:val="23"/>
                <w:szCs w:val="23"/>
                <w:highlight w:val="none"/>
              </w:rPr>
              <w:t xml:space="preserve"> </w:t>
            </w:r>
            <w:r>
              <w:rPr>
                <w:rFonts w:hint="eastAsia" w:ascii="宋体" w:hAnsi="宋体" w:eastAsia="宋体" w:cs="宋体"/>
                <w:bCs/>
                <w:color w:val="auto"/>
                <w:sz w:val="23"/>
                <w:szCs w:val="23"/>
                <w:highlight w:val="none"/>
              </w:rPr>
              <w:t>具备输出压力超欠压报警及切换报警功能，具有RS485数据远传模块及接口</w:t>
            </w:r>
          </w:p>
        </w:tc>
        <w:tc>
          <w:tcPr>
            <w:tcW w:w="993" w:type="dxa"/>
            <w:tcBorders>
              <w:top w:val="single" w:color="auto" w:sz="4" w:space="0"/>
              <w:left w:val="nil"/>
              <w:bottom w:val="single" w:color="auto" w:sz="4" w:space="0"/>
              <w:right w:val="single" w:color="auto" w:sz="4" w:space="0"/>
            </w:tcBorders>
            <w:noWrap w:val="0"/>
            <w:vAlign w:val="center"/>
          </w:tcPr>
          <w:p w14:paraId="75F7E952">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1套</w:t>
            </w:r>
          </w:p>
        </w:tc>
      </w:tr>
    </w:tbl>
    <w:p w14:paraId="552EC14F">
      <w:pPr>
        <w:spacing w:line="360" w:lineRule="auto"/>
        <w:ind w:right="-94" w:rightChars="-45"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汇流排主要技术特点如下：</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07"/>
        <w:gridCol w:w="6435"/>
        <w:gridCol w:w="1872"/>
      </w:tblGrid>
      <w:tr w14:paraId="6668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758E870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6435" w:type="dxa"/>
            <w:noWrap w:val="0"/>
            <w:tcMar>
              <w:top w:w="120" w:type="dxa"/>
              <w:left w:w="120" w:type="dxa"/>
              <w:bottom w:w="120" w:type="dxa"/>
              <w:right w:w="120" w:type="dxa"/>
            </w:tcMar>
            <w:vAlign w:val="center"/>
          </w:tcPr>
          <w:p w14:paraId="3A405A13">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1872" w:type="dxa"/>
            <w:noWrap w:val="0"/>
            <w:tcMar>
              <w:top w:w="120" w:type="dxa"/>
              <w:left w:w="120" w:type="dxa"/>
              <w:bottom w:w="120" w:type="dxa"/>
              <w:right w:w="120" w:type="dxa"/>
            </w:tcMar>
            <w:vAlign w:val="center"/>
          </w:tcPr>
          <w:p w14:paraId="5A38B2DE">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 xml:space="preserve">备注 </w:t>
            </w:r>
          </w:p>
        </w:tc>
      </w:tr>
      <w:tr w14:paraId="54C4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DC1B93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6435" w:type="dxa"/>
            <w:noWrap w:val="0"/>
            <w:tcMar>
              <w:top w:w="120" w:type="dxa"/>
              <w:left w:w="120" w:type="dxa"/>
              <w:bottom w:w="120" w:type="dxa"/>
              <w:right w:w="120" w:type="dxa"/>
            </w:tcMar>
            <w:vAlign w:val="center"/>
          </w:tcPr>
          <w:p w14:paraId="0139718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额定流量：≥100 m³/h</w:t>
            </w:r>
          </w:p>
        </w:tc>
        <w:tc>
          <w:tcPr>
            <w:tcW w:w="1872" w:type="dxa"/>
            <w:noWrap w:val="0"/>
            <w:tcMar>
              <w:top w:w="120" w:type="dxa"/>
              <w:left w:w="120" w:type="dxa"/>
              <w:bottom w:w="120" w:type="dxa"/>
              <w:right w:w="120" w:type="dxa"/>
            </w:tcMar>
            <w:vAlign w:val="center"/>
          </w:tcPr>
          <w:p w14:paraId="6A42CC2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9CF6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6BBF89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6435" w:type="dxa"/>
            <w:noWrap w:val="0"/>
            <w:tcMar>
              <w:top w:w="120" w:type="dxa"/>
              <w:left w:w="120" w:type="dxa"/>
              <w:bottom w:w="120" w:type="dxa"/>
              <w:right w:w="120" w:type="dxa"/>
            </w:tcMar>
            <w:vAlign w:val="center"/>
          </w:tcPr>
          <w:p w14:paraId="17EF2B0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额定进口压力：≥15MPa</w:t>
            </w:r>
          </w:p>
        </w:tc>
        <w:tc>
          <w:tcPr>
            <w:tcW w:w="1872" w:type="dxa"/>
            <w:noWrap w:val="0"/>
            <w:tcMar>
              <w:top w:w="120" w:type="dxa"/>
              <w:left w:w="120" w:type="dxa"/>
              <w:bottom w:w="120" w:type="dxa"/>
              <w:right w:w="120" w:type="dxa"/>
            </w:tcMar>
            <w:vAlign w:val="center"/>
          </w:tcPr>
          <w:p w14:paraId="309E6BC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5D8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B3B75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6435" w:type="dxa"/>
            <w:noWrap w:val="0"/>
            <w:tcMar>
              <w:top w:w="120" w:type="dxa"/>
              <w:left w:w="120" w:type="dxa"/>
              <w:bottom w:w="120" w:type="dxa"/>
              <w:right w:w="120" w:type="dxa"/>
            </w:tcMar>
            <w:vAlign w:val="center"/>
          </w:tcPr>
          <w:p w14:paraId="2A3C2F1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额定出口压力：0～0.6MPa（可调）</w:t>
            </w:r>
          </w:p>
        </w:tc>
        <w:tc>
          <w:tcPr>
            <w:tcW w:w="1872" w:type="dxa"/>
            <w:noWrap w:val="0"/>
            <w:tcMar>
              <w:top w:w="120" w:type="dxa"/>
              <w:left w:w="120" w:type="dxa"/>
              <w:bottom w:w="120" w:type="dxa"/>
              <w:right w:w="120" w:type="dxa"/>
            </w:tcMar>
            <w:vAlign w:val="center"/>
          </w:tcPr>
          <w:p w14:paraId="1946C1B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12C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0F6FFB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6435" w:type="dxa"/>
            <w:noWrap w:val="0"/>
            <w:tcMar>
              <w:top w:w="120" w:type="dxa"/>
              <w:left w:w="120" w:type="dxa"/>
              <w:bottom w:w="120" w:type="dxa"/>
              <w:right w:w="120" w:type="dxa"/>
            </w:tcMar>
            <w:vAlign w:val="center"/>
          </w:tcPr>
          <w:p w14:paraId="2118314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输出压力 380kPa 时，在压降不超过 35kPa 情况下最小输出流量为 108m³/h</w:t>
            </w:r>
          </w:p>
        </w:tc>
        <w:tc>
          <w:tcPr>
            <w:tcW w:w="1872" w:type="dxa"/>
            <w:noWrap w:val="0"/>
            <w:tcMar>
              <w:top w:w="120" w:type="dxa"/>
              <w:left w:w="120" w:type="dxa"/>
              <w:bottom w:w="120" w:type="dxa"/>
              <w:right w:w="120" w:type="dxa"/>
            </w:tcMar>
            <w:vAlign w:val="center"/>
          </w:tcPr>
          <w:p w14:paraId="4DC01CF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0ED1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5D8D00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6435" w:type="dxa"/>
            <w:noWrap w:val="0"/>
            <w:tcMar>
              <w:top w:w="120" w:type="dxa"/>
              <w:left w:w="120" w:type="dxa"/>
              <w:bottom w:w="120" w:type="dxa"/>
              <w:right w:w="120" w:type="dxa"/>
            </w:tcMar>
            <w:vAlign w:val="center"/>
          </w:tcPr>
          <w:p w14:paraId="7361531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内置两组高流量减压阀、检修阀、止回阀、卸荷阀及一套控制系统、气源阀组件</w:t>
            </w:r>
          </w:p>
        </w:tc>
        <w:tc>
          <w:tcPr>
            <w:tcW w:w="1872" w:type="dxa"/>
            <w:noWrap w:val="0"/>
            <w:tcMar>
              <w:top w:w="120" w:type="dxa"/>
              <w:left w:w="120" w:type="dxa"/>
              <w:bottom w:w="120" w:type="dxa"/>
              <w:right w:w="120" w:type="dxa"/>
            </w:tcMar>
            <w:vAlign w:val="center"/>
          </w:tcPr>
          <w:p w14:paraId="3429F31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7994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1FBC45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w:t>
            </w:r>
          </w:p>
        </w:tc>
        <w:tc>
          <w:tcPr>
            <w:tcW w:w="6435" w:type="dxa"/>
            <w:noWrap w:val="0"/>
            <w:tcMar>
              <w:top w:w="120" w:type="dxa"/>
              <w:left w:w="120" w:type="dxa"/>
              <w:bottom w:w="120" w:type="dxa"/>
              <w:right w:w="120" w:type="dxa"/>
            </w:tcMar>
            <w:vAlign w:val="center"/>
          </w:tcPr>
          <w:p w14:paraId="5BFE34A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全自动控制，一组钢瓶压力不足时自动切换至另一组；更换钢瓶后不得立即切换，保障供气安全</w:t>
            </w:r>
          </w:p>
        </w:tc>
        <w:tc>
          <w:tcPr>
            <w:tcW w:w="1872" w:type="dxa"/>
            <w:noWrap w:val="0"/>
            <w:tcMar>
              <w:top w:w="120" w:type="dxa"/>
              <w:left w:w="120" w:type="dxa"/>
              <w:bottom w:w="120" w:type="dxa"/>
              <w:right w:w="120" w:type="dxa"/>
            </w:tcMar>
            <w:vAlign w:val="center"/>
          </w:tcPr>
          <w:p w14:paraId="0AB2E3F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1C8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AC2CE4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w:t>
            </w:r>
          </w:p>
        </w:tc>
        <w:tc>
          <w:tcPr>
            <w:tcW w:w="6435" w:type="dxa"/>
            <w:noWrap w:val="0"/>
            <w:tcMar>
              <w:top w:w="120" w:type="dxa"/>
              <w:left w:w="120" w:type="dxa"/>
              <w:bottom w:w="120" w:type="dxa"/>
              <w:right w:w="120" w:type="dxa"/>
            </w:tcMar>
            <w:vAlign w:val="center"/>
          </w:tcPr>
          <w:p w14:paraId="0EC8F7A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全自动切换，带停电保护装置；断电后自动切换至机械式压力控制，断电不断气，具备断电恢复自启动功能</w:t>
            </w:r>
          </w:p>
        </w:tc>
        <w:tc>
          <w:tcPr>
            <w:tcW w:w="1872" w:type="dxa"/>
            <w:noWrap w:val="0"/>
            <w:tcMar>
              <w:top w:w="120" w:type="dxa"/>
              <w:left w:w="120" w:type="dxa"/>
              <w:bottom w:w="120" w:type="dxa"/>
              <w:right w:w="120" w:type="dxa"/>
            </w:tcMar>
            <w:vAlign w:val="center"/>
          </w:tcPr>
          <w:p w14:paraId="3709A3A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7551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CB53A5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w:t>
            </w:r>
          </w:p>
        </w:tc>
        <w:tc>
          <w:tcPr>
            <w:tcW w:w="6435" w:type="dxa"/>
            <w:noWrap w:val="0"/>
            <w:tcMar>
              <w:top w:w="120" w:type="dxa"/>
              <w:left w:w="120" w:type="dxa"/>
              <w:bottom w:w="120" w:type="dxa"/>
              <w:right w:w="120" w:type="dxa"/>
            </w:tcMar>
            <w:vAlign w:val="center"/>
          </w:tcPr>
          <w:p w14:paraId="7F09DB4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具备手动切换功能，可手动切至备用回路，满足日常维护需求</w:t>
            </w:r>
          </w:p>
        </w:tc>
        <w:tc>
          <w:tcPr>
            <w:tcW w:w="1872" w:type="dxa"/>
            <w:noWrap w:val="0"/>
            <w:tcMar>
              <w:top w:w="120" w:type="dxa"/>
              <w:left w:w="120" w:type="dxa"/>
              <w:bottom w:w="120" w:type="dxa"/>
              <w:right w:w="120" w:type="dxa"/>
            </w:tcMar>
            <w:vAlign w:val="center"/>
          </w:tcPr>
          <w:p w14:paraId="4CEDCC4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215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51A729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9</w:t>
            </w:r>
          </w:p>
        </w:tc>
        <w:tc>
          <w:tcPr>
            <w:tcW w:w="6435" w:type="dxa"/>
            <w:noWrap w:val="0"/>
            <w:tcMar>
              <w:top w:w="120" w:type="dxa"/>
              <w:left w:w="120" w:type="dxa"/>
              <w:bottom w:w="120" w:type="dxa"/>
              <w:right w:w="120" w:type="dxa"/>
            </w:tcMar>
            <w:vAlign w:val="center"/>
          </w:tcPr>
          <w:p w14:paraId="62B11E2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进气口配置过滤器系统，保证输出气体纯净度</w:t>
            </w:r>
          </w:p>
        </w:tc>
        <w:tc>
          <w:tcPr>
            <w:tcW w:w="1872" w:type="dxa"/>
            <w:noWrap w:val="0"/>
            <w:tcMar>
              <w:top w:w="120" w:type="dxa"/>
              <w:left w:w="120" w:type="dxa"/>
              <w:bottom w:w="120" w:type="dxa"/>
              <w:right w:w="120" w:type="dxa"/>
            </w:tcMar>
            <w:vAlign w:val="center"/>
          </w:tcPr>
          <w:p w14:paraId="2A5DCDF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25D4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D8BD88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10</w:t>
            </w:r>
          </w:p>
        </w:tc>
        <w:tc>
          <w:tcPr>
            <w:tcW w:w="6435" w:type="dxa"/>
            <w:noWrap w:val="0"/>
            <w:tcMar>
              <w:top w:w="120" w:type="dxa"/>
              <w:left w:w="120" w:type="dxa"/>
              <w:bottom w:w="120" w:type="dxa"/>
              <w:right w:w="120" w:type="dxa"/>
            </w:tcMar>
            <w:vAlign w:val="center"/>
          </w:tcPr>
          <w:p w14:paraId="55F08A1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配备带内置单向阀的专用钢瓶连接组件，可无泄漏更换气瓶</w:t>
            </w:r>
          </w:p>
        </w:tc>
        <w:tc>
          <w:tcPr>
            <w:tcW w:w="1872" w:type="dxa"/>
            <w:noWrap w:val="0"/>
            <w:tcMar>
              <w:top w:w="120" w:type="dxa"/>
              <w:left w:w="120" w:type="dxa"/>
              <w:bottom w:w="120" w:type="dxa"/>
              <w:right w:w="120" w:type="dxa"/>
            </w:tcMar>
            <w:vAlign w:val="center"/>
          </w:tcPr>
          <w:p w14:paraId="7D6DD86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5C6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AC4BDE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11</w:t>
            </w:r>
          </w:p>
        </w:tc>
        <w:tc>
          <w:tcPr>
            <w:tcW w:w="6435" w:type="dxa"/>
            <w:noWrap w:val="0"/>
            <w:tcMar>
              <w:top w:w="120" w:type="dxa"/>
              <w:left w:w="120" w:type="dxa"/>
              <w:bottom w:w="120" w:type="dxa"/>
              <w:right w:w="120" w:type="dxa"/>
            </w:tcMar>
            <w:vAlign w:val="center"/>
          </w:tcPr>
          <w:p w14:paraId="2BF473E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带远程干接点输出，可直接接入气源报警器，低压时自动报警提示换瓶</w:t>
            </w:r>
          </w:p>
        </w:tc>
        <w:tc>
          <w:tcPr>
            <w:tcW w:w="1872" w:type="dxa"/>
            <w:noWrap w:val="0"/>
            <w:tcMar>
              <w:top w:w="120" w:type="dxa"/>
              <w:left w:w="120" w:type="dxa"/>
              <w:bottom w:w="120" w:type="dxa"/>
              <w:right w:w="120" w:type="dxa"/>
            </w:tcMar>
            <w:vAlign w:val="center"/>
          </w:tcPr>
          <w:p w14:paraId="0AB1CBB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789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1CDF00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12</w:t>
            </w:r>
          </w:p>
        </w:tc>
        <w:tc>
          <w:tcPr>
            <w:tcW w:w="6435" w:type="dxa"/>
            <w:noWrap w:val="0"/>
            <w:tcMar>
              <w:top w:w="120" w:type="dxa"/>
              <w:left w:w="120" w:type="dxa"/>
              <w:bottom w:w="120" w:type="dxa"/>
              <w:right w:w="120" w:type="dxa"/>
            </w:tcMar>
            <w:vAlign w:val="center"/>
          </w:tcPr>
          <w:p w14:paraId="46EDDD5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内部所有零部件均有备用，维修更换配件时不停止供气</w:t>
            </w:r>
          </w:p>
        </w:tc>
        <w:tc>
          <w:tcPr>
            <w:tcW w:w="1872" w:type="dxa"/>
            <w:noWrap w:val="0"/>
            <w:tcMar>
              <w:top w:w="120" w:type="dxa"/>
              <w:left w:w="120" w:type="dxa"/>
              <w:bottom w:w="120" w:type="dxa"/>
              <w:right w:w="120" w:type="dxa"/>
            </w:tcMar>
            <w:vAlign w:val="center"/>
          </w:tcPr>
          <w:p w14:paraId="10672A5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62B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829B9C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13</w:t>
            </w:r>
          </w:p>
        </w:tc>
        <w:tc>
          <w:tcPr>
            <w:tcW w:w="6435" w:type="dxa"/>
            <w:noWrap w:val="0"/>
            <w:tcMar>
              <w:top w:w="120" w:type="dxa"/>
              <w:left w:w="120" w:type="dxa"/>
              <w:bottom w:w="120" w:type="dxa"/>
              <w:right w:w="120" w:type="dxa"/>
            </w:tcMar>
            <w:vAlign w:val="center"/>
          </w:tcPr>
          <w:p w14:paraId="11F1513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设有总阀、可调减压阀及压力开关或传感器</w:t>
            </w:r>
          </w:p>
        </w:tc>
        <w:tc>
          <w:tcPr>
            <w:tcW w:w="1872" w:type="dxa"/>
            <w:noWrap w:val="0"/>
            <w:tcMar>
              <w:top w:w="120" w:type="dxa"/>
              <w:left w:w="120" w:type="dxa"/>
              <w:bottom w:w="120" w:type="dxa"/>
              <w:right w:w="120" w:type="dxa"/>
            </w:tcMar>
            <w:vAlign w:val="center"/>
          </w:tcPr>
          <w:p w14:paraId="46C10BB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041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F2BEF0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14</w:t>
            </w:r>
          </w:p>
        </w:tc>
        <w:tc>
          <w:tcPr>
            <w:tcW w:w="6435" w:type="dxa"/>
            <w:noWrap w:val="0"/>
            <w:tcMar>
              <w:top w:w="120" w:type="dxa"/>
              <w:left w:w="120" w:type="dxa"/>
              <w:bottom w:w="120" w:type="dxa"/>
              <w:right w:w="120" w:type="dxa"/>
            </w:tcMar>
            <w:vAlign w:val="center"/>
          </w:tcPr>
          <w:p w14:paraId="1D4EB44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可壁挂或水平安装，系统整体经耐压测试，安全可靠</w:t>
            </w:r>
          </w:p>
        </w:tc>
        <w:tc>
          <w:tcPr>
            <w:tcW w:w="1872" w:type="dxa"/>
            <w:noWrap w:val="0"/>
            <w:tcMar>
              <w:top w:w="120" w:type="dxa"/>
              <w:left w:w="120" w:type="dxa"/>
              <w:bottom w:w="120" w:type="dxa"/>
              <w:right w:w="120" w:type="dxa"/>
            </w:tcMar>
            <w:vAlign w:val="center"/>
          </w:tcPr>
          <w:p w14:paraId="44EC5C6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F25B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87809E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15</w:t>
            </w:r>
          </w:p>
        </w:tc>
        <w:tc>
          <w:tcPr>
            <w:tcW w:w="6435" w:type="dxa"/>
            <w:noWrap w:val="0"/>
            <w:tcMar>
              <w:top w:w="120" w:type="dxa"/>
              <w:left w:w="120" w:type="dxa"/>
              <w:bottom w:w="120" w:type="dxa"/>
              <w:right w:w="120" w:type="dxa"/>
            </w:tcMar>
            <w:vAlign w:val="center"/>
          </w:tcPr>
          <w:p w14:paraId="2E5A777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中、低压回路设安全阀，采用集中卸荷排气口，保证系统稳定运行</w:t>
            </w:r>
          </w:p>
        </w:tc>
        <w:tc>
          <w:tcPr>
            <w:tcW w:w="1872" w:type="dxa"/>
            <w:noWrap w:val="0"/>
            <w:tcMar>
              <w:top w:w="120" w:type="dxa"/>
              <w:left w:w="120" w:type="dxa"/>
              <w:bottom w:w="120" w:type="dxa"/>
              <w:right w:w="120" w:type="dxa"/>
            </w:tcMar>
            <w:vAlign w:val="center"/>
          </w:tcPr>
          <w:p w14:paraId="4E9F120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1C4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4FEB3E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16</w:t>
            </w:r>
          </w:p>
        </w:tc>
        <w:tc>
          <w:tcPr>
            <w:tcW w:w="6435" w:type="dxa"/>
            <w:noWrap w:val="0"/>
            <w:tcMar>
              <w:top w:w="120" w:type="dxa"/>
              <w:left w:w="120" w:type="dxa"/>
              <w:bottom w:w="120" w:type="dxa"/>
              <w:right w:w="120" w:type="dxa"/>
            </w:tcMar>
            <w:vAlign w:val="center"/>
          </w:tcPr>
          <w:p w14:paraId="272982F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带开放通讯协议远程输出接口及干接点报警输出点，支持远程报警监测</w:t>
            </w:r>
          </w:p>
        </w:tc>
        <w:tc>
          <w:tcPr>
            <w:tcW w:w="1872" w:type="dxa"/>
            <w:noWrap w:val="0"/>
            <w:tcMar>
              <w:top w:w="120" w:type="dxa"/>
              <w:left w:w="120" w:type="dxa"/>
              <w:bottom w:w="120" w:type="dxa"/>
              <w:right w:w="120" w:type="dxa"/>
            </w:tcMar>
            <w:vAlign w:val="center"/>
          </w:tcPr>
          <w:p w14:paraId="469AC4B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859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1" w:hRule="atLeast"/>
        </w:trPr>
        <w:tc>
          <w:tcPr>
            <w:tcW w:w="0" w:type="auto"/>
            <w:noWrap w:val="0"/>
            <w:tcMar>
              <w:top w:w="120" w:type="dxa"/>
              <w:left w:w="120" w:type="dxa"/>
              <w:bottom w:w="120" w:type="dxa"/>
              <w:right w:w="120" w:type="dxa"/>
            </w:tcMar>
            <w:vAlign w:val="center"/>
          </w:tcPr>
          <w:p w14:paraId="3497405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17</w:t>
            </w:r>
          </w:p>
        </w:tc>
        <w:tc>
          <w:tcPr>
            <w:tcW w:w="6435" w:type="dxa"/>
            <w:noWrap w:val="0"/>
            <w:tcMar>
              <w:top w:w="120" w:type="dxa"/>
              <w:left w:w="120" w:type="dxa"/>
              <w:bottom w:w="120" w:type="dxa"/>
              <w:right w:w="120" w:type="dxa"/>
            </w:tcMar>
            <w:vAlign w:val="center"/>
          </w:tcPr>
          <w:p w14:paraId="5672AE9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bCs/>
                <w:color w:val="auto"/>
                <w:sz w:val="24"/>
                <w:szCs w:val="24"/>
                <w:highlight w:val="none"/>
                <w:lang w:val="en-US" w:eastAsia="zh-CN" w:bidi="ar"/>
              </w:rPr>
              <w:t>汇流排与医用气体钢瓶的连接应采取防错接措施。</w:t>
            </w:r>
          </w:p>
        </w:tc>
        <w:tc>
          <w:tcPr>
            <w:tcW w:w="1872" w:type="dxa"/>
            <w:noWrap w:val="0"/>
            <w:tcMar>
              <w:top w:w="120" w:type="dxa"/>
              <w:left w:w="120" w:type="dxa"/>
              <w:bottom w:w="120" w:type="dxa"/>
              <w:right w:w="120" w:type="dxa"/>
            </w:tcMar>
            <w:vAlign w:val="center"/>
          </w:tcPr>
          <w:p w14:paraId="18D7918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需提供有效证明文件</w:t>
            </w:r>
          </w:p>
        </w:tc>
      </w:tr>
      <w:tr w14:paraId="60E39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6F4550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▲18</w:t>
            </w:r>
          </w:p>
        </w:tc>
        <w:tc>
          <w:tcPr>
            <w:tcW w:w="6435" w:type="dxa"/>
            <w:noWrap w:val="0"/>
            <w:tcMar>
              <w:top w:w="120" w:type="dxa"/>
              <w:left w:w="120" w:type="dxa"/>
              <w:bottom w:w="120" w:type="dxa"/>
              <w:right w:w="120" w:type="dxa"/>
            </w:tcMar>
            <w:vAlign w:val="center"/>
          </w:tcPr>
          <w:p w14:paraId="43FB8AC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高压减压阀设非电加热防结冰措施，断电时仍可正常持续供气</w:t>
            </w:r>
          </w:p>
        </w:tc>
        <w:tc>
          <w:tcPr>
            <w:tcW w:w="1872" w:type="dxa"/>
            <w:noWrap w:val="0"/>
            <w:tcMar>
              <w:top w:w="120" w:type="dxa"/>
              <w:left w:w="120" w:type="dxa"/>
              <w:bottom w:w="120" w:type="dxa"/>
              <w:right w:w="120" w:type="dxa"/>
            </w:tcMar>
            <w:vAlign w:val="center"/>
          </w:tcPr>
          <w:p w14:paraId="0B5DEBE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6B9A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9305ED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19</w:t>
            </w:r>
          </w:p>
        </w:tc>
        <w:tc>
          <w:tcPr>
            <w:tcW w:w="6435" w:type="dxa"/>
            <w:noWrap w:val="0"/>
            <w:tcMar>
              <w:top w:w="120" w:type="dxa"/>
              <w:left w:w="120" w:type="dxa"/>
              <w:bottom w:w="120" w:type="dxa"/>
              <w:right w:w="120" w:type="dxa"/>
            </w:tcMar>
            <w:vAlign w:val="center"/>
          </w:tcPr>
          <w:p w14:paraId="683CBDF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配备高清触摸屏控制面板，可显示进 / 排气压力、报警提示、输出流量等</w:t>
            </w:r>
          </w:p>
        </w:tc>
        <w:tc>
          <w:tcPr>
            <w:tcW w:w="1872" w:type="dxa"/>
            <w:noWrap w:val="0"/>
            <w:tcMar>
              <w:top w:w="120" w:type="dxa"/>
              <w:left w:w="120" w:type="dxa"/>
              <w:bottom w:w="120" w:type="dxa"/>
              <w:right w:w="120" w:type="dxa"/>
            </w:tcMar>
            <w:vAlign w:val="center"/>
          </w:tcPr>
          <w:p w14:paraId="4BC7265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C8E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2FE664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▲20</w:t>
            </w:r>
          </w:p>
        </w:tc>
        <w:tc>
          <w:tcPr>
            <w:tcW w:w="6435" w:type="dxa"/>
            <w:noWrap w:val="0"/>
            <w:tcMar>
              <w:top w:w="120" w:type="dxa"/>
              <w:left w:w="120" w:type="dxa"/>
              <w:bottom w:w="120" w:type="dxa"/>
              <w:right w:w="120" w:type="dxa"/>
            </w:tcMar>
            <w:vAlign w:val="center"/>
          </w:tcPr>
          <w:p w14:paraId="35FD923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高、中压段采用铜或铜合金材料</w:t>
            </w:r>
          </w:p>
        </w:tc>
        <w:tc>
          <w:tcPr>
            <w:tcW w:w="1872" w:type="dxa"/>
            <w:noWrap w:val="0"/>
            <w:tcMar>
              <w:top w:w="120" w:type="dxa"/>
              <w:left w:w="120" w:type="dxa"/>
              <w:bottom w:w="120" w:type="dxa"/>
              <w:right w:w="120" w:type="dxa"/>
            </w:tcMar>
            <w:vAlign w:val="center"/>
          </w:tcPr>
          <w:p w14:paraId="7FDD15D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45A59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76C059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▲21</w:t>
            </w:r>
          </w:p>
        </w:tc>
        <w:tc>
          <w:tcPr>
            <w:tcW w:w="6435" w:type="dxa"/>
            <w:noWrap w:val="0"/>
            <w:tcMar>
              <w:top w:w="120" w:type="dxa"/>
              <w:left w:w="120" w:type="dxa"/>
              <w:bottom w:w="120" w:type="dxa"/>
              <w:right w:w="120" w:type="dxa"/>
            </w:tcMar>
            <w:vAlign w:val="center"/>
          </w:tcPr>
          <w:p w14:paraId="28A9EAD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内部为一体式锻造结构，连接采用液压密封技术，小时泄漏率≤0.05%</w:t>
            </w:r>
          </w:p>
        </w:tc>
        <w:tc>
          <w:tcPr>
            <w:tcW w:w="1872" w:type="dxa"/>
            <w:noWrap w:val="0"/>
            <w:tcMar>
              <w:top w:w="120" w:type="dxa"/>
              <w:left w:w="120" w:type="dxa"/>
              <w:bottom w:w="120" w:type="dxa"/>
              <w:right w:w="120" w:type="dxa"/>
            </w:tcMar>
            <w:vAlign w:val="center"/>
          </w:tcPr>
          <w:p w14:paraId="6A9BF5B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0AF3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335F86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22</w:t>
            </w:r>
          </w:p>
        </w:tc>
        <w:tc>
          <w:tcPr>
            <w:tcW w:w="6435" w:type="dxa"/>
            <w:noWrap w:val="0"/>
            <w:tcMar>
              <w:top w:w="120" w:type="dxa"/>
              <w:left w:w="120" w:type="dxa"/>
              <w:bottom w:w="120" w:type="dxa"/>
              <w:right w:w="120" w:type="dxa"/>
            </w:tcMar>
            <w:vAlign w:val="center"/>
          </w:tcPr>
          <w:p w14:paraId="40B9F7A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压力调节阀符合 YY/T1439.2 要求</w:t>
            </w:r>
          </w:p>
        </w:tc>
        <w:tc>
          <w:tcPr>
            <w:tcW w:w="1872" w:type="dxa"/>
            <w:noWrap w:val="0"/>
            <w:tcMar>
              <w:top w:w="120" w:type="dxa"/>
              <w:left w:w="120" w:type="dxa"/>
              <w:bottom w:w="120" w:type="dxa"/>
              <w:right w:w="120" w:type="dxa"/>
            </w:tcMar>
            <w:vAlign w:val="center"/>
          </w:tcPr>
          <w:p w14:paraId="5DFCCF3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76163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735808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23</w:t>
            </w:r>
          </w:p>
        </w:tc>
        <w:tc>
          <w:tcPr>
            <w:tcW w:w="6435" w:type="dxa"/>
            <w:noWrap w:val="0"/>
            <w:tcMar>
              <w:top w:w="120" w:type="dxa"/>
              <w:left w:w="120" w:type="dxa"/>
              <w:bottom w:w="120" w:type="dxa"/>
              <w:right w:w="120" w:type="dxa"/>
            </w:tcMar>
            <w:vAlign w:val="center"/>
          </w:tcPr>
          <w:p w14:paraId="7BC6A31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EN60601-1 或 GB9706.1 医用设备电气安全要求</w:t>
            </w:r>
          </w:p>
        </w:tc>
        <w:tc>
          <w:tcPr>
            <w:tcW w:w="1872" w:type="dxa"/>
            <w:noWrap w:val="0"/>
            <w:tcMar>
              <w:top w:w="120" w:type="dxa"/>
              <w:left w:w="120" w:type="dxa"/>
              <w:bottom w:w="120" w:type="dxa"/>
              <w:right w:w="120" w:type="dxa"/>
            </w:tcMar>
            <w:vAlign w:val="center"/>
          </w:tcPr>
          <w:p w14:paraId="083BFA2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5570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8CAB5A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24</w:t>
            </w:r>
          </w:p>
        </w:tc>
        <w:tc>
          <w:tcPr>
            <w:tcW w:w="6435" w:type="dxa"/>
            <w:noWrap w:val="0"/>
            <w:tcMar>
              <w:top w:w="120" w:type="dxa"/>
              <w:left w:w="120" w:type="dxa"/>
              <w:bottom w:w="120" w:type="dxa"/>
              <w:right w:w="120" w:type="dxa"/>
            </w:tcMar>
            <w:vAlign w:val="center"/>
          </w:tcPr>
          <w:p w14:paraId="38C281A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EN60601-1-2 或 YY9706.102 医用设备电磁兼容安全要求</w:t>
            </w:r>
          </w:p>
        </w:tc>
        <w:tc>
          <w:tcPr>
            <w:tcW w:w="1872" w:type="dxa"/>
            <w:noWrap w:val="0"/>
            <w:tcMar>
              <w:top w:w="120" w:type="dxa"/>
              <w:left w:w="120" w:type="dxa"/>
              <w:bottom w:w="120" w:type="dxa"/>
              <w:right w:w="120" w:type="dxa"/>
            </w:tcMar>
            <w:vAlign w:val="center"/>
          </w:tcPr>
          <w:p w14:paraId="4ED2FD6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2193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E144F6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25</w:t>
            </w:r>
          </w:p>
        </w:tc>
        <w:tc>
          <w:tcPr>
            <w:tcW w:w="6435" w:type="dxa"/>
            <w:noWrap w:val="0"/>
            <w:tcMar>
              <w:top w:w="120" w:type="dxa"/>
              <w:left w:w="120" w:type="dxa"/>
              <w:bottom w:w="120" w:type="dxa"/>
              <w:right w:w="120" w:type="dxa"/>
            </w:tcMar>
            <w:vAlign w:val="center"/>
          </w:tcPr>
          <w:p w14:paraId="3AAA64A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提供设备生产厂家售后服务承诺书</w:t>
            </w:r>
          </w:p>
        </w:tc>
        <w:tc>
          <w:tcPr>
            <w:tcW w:w="1872" w:type="dxa"/>
            <w:noWrap w:val="0"/>
            <w:tcMar>
              <w:top w:w="120" w:type="dxa"/>
              <w:left w:w="120" w:type="dxa"/>
              <w:bottom w:w="120" w:type="dxa"/>
              <w:right w:w="120" w:type="dxa"/>
            </w:tcMar>
            <w:vAlign w:val="center"/>
          </w:tcPr>
          <w:p w14:paraId="758C6DE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需加盖投标单位公章</w:t>
            </w:r>
          </w:p>
        </w:tc>
      </w:tr>
    </w:tbl>
    <w:p w14:paraId="11B8F036">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2、氧气管道</w:t>
      </w:r>
    </w:p>
    <w:p w14:paraId="0BB829C0">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2.1管道材质：参照图纸。</w:t>
      </w:r>
    </w:p>
    <w:p w14:paraId="7333426F">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2.2管道管径：参照图纸。</w:t>
      </w:r>
    </w:p>
    <w:p w14:paraId="03971453">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2.3管道连接方法技术要求</w:t>
      </w:r>
    </w:p>
    <w:p w14:paraId="0932BDA4">
      <w:pPr>
        <w:spacing w:line="360" w:lineRule="auto"/>
        <w:ind w:right="-105" w:rightChars="-50" w:firstLine="453" w:firstLineChars="197"/>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铜管道连接采用标准的铜管件连接后银基钎焊连焊接。整个系统连接均采用金属密封，可保证系统的气密性。不锈钢管连接采用标准的不锈钢球头、螺帽、焊咀连接后氩弧焊接连接。整个系统连接均采用金属密封，可保证系统的气密性。</w:t>
      </w:r>
    </w:p>
    <w:p w14:paraId="34E9AC8C">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2.4管道布置</w:t>
      </w:r>
    </w:p>
    <w:p w14:paraId="561DAF4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主管道沿地沟敷设进入大楼后沿走廊墙面架设至大楼管道井，病区走廊横管安装在吊顶内，区域阀门流量报警箱安装在护士站适当位置，病房内支管及终端、截止阀均安装在铝合金设备带内，这样既整齐又美观。</w:t>
      </w:r>
    </w:p>
    <w:p w14:paraId="57CEB345">
      <w:pPr>
        <w:spacing w:line="360" w:lineRule="auto"/>
        <w:ind w:right="-105" w:rightChars="-50"/>
        <w:rPr>
          <w:rFonts w:hint="eastAsia" w:ascii="宋体" w:hAnsi="宋体" w:eastAsia="宋体" w:cs="宋体"/>
          <w:b/>
          <w:color w:val="auto"/>
          <w:sz w:val="23"/>
          <w:szCs w:val="23"/>
          <w:highlight w:val="none"/>
        </w:rPr>
      </w:pPr>
      <w:r>
        <w:rPr>
          <w:rFonts w:hint="eastAsia" w:ascii="宋体" w:hAnsi="宋体" w:eastAsia="宋体" w:cs="宋体"/>
          <w:color w:val="auto"/>
          <w:sz w:val="23"/>
          <w:szCs w:val="23"/>
          <w:highlight w:val="none"/>
        </w:rPr>
        <w:t>3、系统压力试验、吹扫技术要求</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65"/>
        <w:gridCol w:w="1032"/>
        <w:gridCol w:w="1406"/>
        <w:gridCol w:w="2613"/>
        <w:gridCol w:w="3498"/>
      </w:tblGrid>
      <w:tr w14:paraId="741A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24FB7A66">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6752A8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试验名称</w:t>
            </w:r>
          </w:p>
        </w:tc>
        <w:tc>
          <w:tcPr>
            <w:tcW w:w="0" w:type="auto"/>
            <w:noWrap w:val="0"/>
            <w:tcMar>
              <w:top w:w="120" w:type="dxa"/>
              <w:left w:w="120" w:type="dxa"/>
              <w:bottom w:w="120" w:type="dxa"/>
              <w:right w:w="120" w:type="dxa"/>
            </w:tcMar>
            <w:vAlign w:val="center"/>
          </w:tcPr>
          <w:p w14:paraId="5EE5BA32">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试验介质</w:t>
            </w:r>
          </w:p>
        </w:tc>
        <w:tc>
          <w:tcPr>
            <w:tcW w:w="0" w:type="auto"/>
            <w:noWrap w:val="0"/>
            <w:tcMar>
              <w:top w:w="120" w:type="dxa"/>
              <w:left w:w="120" w:type="dxa"/>
              <w:bottom w:w="120" w:type="dxa"/>
              <w:right w:w="120" w:type="dxa"/>
            </w:tcMar>
            <w:vAlign w:val="center"/>
          </w:tcPr>
          <w:p w14:paraId="638909C0">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试验参数</w:t>
            </w:r>
          </w:p>
        </w:tc>
        <w:tc>
          <w:tcPr>
            <w:tcW w:w="0" w:type="auto"/>
            <w:noWrap w:val="0"/>
            <w:tcMar>
              <w:top w:w="120" w:type="dxa"/>
              <w:left w:w="120" w:type="dxa"/>
              <w:bottom w:w="120" w:type="dxa"/>
              <w:right w:w="120" w:type="dxa"/>
            </w:tcMar>
            <w:vAlign w:val="center"/>
          </w:tcPr>
          <w:p w14:paraId="0FAD164E">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合格标准</w:t>
            </w:r>
          </w:p>
        </w:tc>
      </w:tr>
      <w:tr w14:paraId="50875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C39CFB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1522722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系统压力试验</w:t>
            </w:r>
          </w:p>
        </w:tc>
        <w:tc>
          <w:tcPr>
            <w:tcW w:w="0" w:type="auto"/>
            <w:noWrap w:val="0"/>
            <w:tcMar>
              <w:top w:w="120" w:type="dxa"/>
              <w:left w:w="120" w:type="dxa"/>
              <w:bottom w:w="120" w:type="dxa"/>
              <w:right w:w="120" w:type="dxa"/>
            </w:tcMar>
            <w:vAlign w:val="center"/>
          </w:tcPr>
          <w:p w14:paraId="1220C2B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4947E7B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 设计压力 ×1.15 倍，保压≥10min</w:t>
            </w:r>
          </w:p>
        </w:tc>
        <w:tc>
          <w:tcPr>
            <w:tcW w:w="0" w:type="auto"/>
            <w:noWrap w:val="0"/>
            <w:tcMar>
              <w:top w:w="120" w:type="dxa"/>
              <w:left w:w="120" w:type="dxa"/>
              <w:bottom w:w="120" w:type="dxa"/>
              <w:right w:w="120" w:type="dxa"/>
            </w:tcMar>
            <w:vAlign w:val="center"/>
          </w:tcPr>
          <w:p w14:paraId="6D932BF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管道无泄漏、外观无变形</w:t>
            </w:r>
          </w:p>
        </w:tc>
      </w:tr>
      <w:tr w14:paraId="6949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16F529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6FD375F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系统泄漏性试验</w:t>
            </w:r>
          </w:p>
        </w:tc>
        <w:tc>
          <w:tcPr>
            <w:tcW w:w="0" w:type="auto"/>
            <w:noWrap w:val="0"/>
            <w:tcMar>
              <w:top w:w="120" w:type="dxa"/>
              <w:left w:w="120" w:type="dxa"/>
              <w:bottom w:w="120" w:type="dxa"/>
              <w:right w:w="120" w:type="dxa"/>
            </w:tcMar>
            <w:vAlign w:val="center"/>
          </w:tcPr>
          <w:p w14:paraId="24D5C1D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4ECA4BA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 设计压力，保压 24h</w:t>
            </w:r>
          </w:p>
        </w:tc>
        <w:tc>
          <w:tcPr>
            <w:tcW w:w="0" w:type="auto"/>
            <w:noWrap w:val="0"/>
            <w:tcMar>
              <w:top w:w="120" w:type="dxa"/>
              <w:left w:w="120" w:type="dxa"/>
              <w:bottom w:w="120" w:type="dxa"/>
              <w:right w:w="120" w:type="dxa"/>
            </w:tcMar>
            <w:vAlign w:val="center"/>
          </w:tcPr>
          <w:p w14:paraId="5B7A84C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每小时泄漏率 0.2%～0.5%（符合 GB50751-2012 第 10.2.19 条）</w:t>
            </w:r>
          </w:p>
        </w:tc>
      </w:tr>
      <w:tr w14:paraId="6671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164C04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3BD9D80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系统吹扫</w:t>
            </w:r>
          </w:p>
        </w:tc>
        <w:tc>
          <w:tcPr>
            <w:tcW w:w="0" w:type="auto"/>
            <w:noWrap w:val="0"/>
            <w:tcMar>
              <w:top w:w="120" w:type="dxa"/>
              <w:left w:w="120" w:type="dxa"/>
              <w:bottom w:w="120" w:type="dxa"/>
              <w:right w:w="120" w:type="dxa"/>
            </w:tcMar>
            <w:vAlign w:val="center"/>
          </w:tcPr>
          <w:p w14:paraId="7F19F23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31A1667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吹扫至管道内无残留杂质</w:t>
            </w:r>
          </w:p>
        </w:tc>
        <w:tc>
          <w:tcPr>
            <w:tcW w:w="0" w:type="auto"/>
            <w:noWrap w:val="0"/>
            <w:tcMar>
              <w:top w:w="120" w:type="dxa"/>
              <w:left w:w="120" w:type="dxa"/>
              <w:bottom w:w="120" w:type="dxa"/>
              <w:right w:w="120" w:type="dxa"/>
            </w:tcMar>
            <w:vAlign w:val="center"/>
          </w:tcPr>
          <w:p w14:paraId="24B5671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出气口无杂质、洁净无油污</w:t>
            </w:r>
          </w:p>
        </w:tc>
      </w:tr>
    </w:tbl>
    <w:p w14:paraId="570BAFBD">
      <w:pPr>
        <w:bidi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r>
        <w:rPr>
          <w:rFonts w:hint="eastAsia" w:ascii="宋体" w:hAnsi="宋体" w:eastAsia="宋体" w:cs="宋体"/>
          <w:color w:val="auto"/>
          <w:sz w:val="23"/>
          <w:szCs w:val="23"/>
          <w:highlight w:val="none"/>
          <w:lang w:val="en-US" w:eastAsia="zh-CN"/>
        </w:rPr>
        <w:t>医用</w:t>
      </w:r>
      <w:r>
        <w:rPr>
          <w:rFonts w:hint="eastAsia" w:ascii="宋体" w:hAnsi="宋体" w:eastAsia="宋体" w:cs="宋体"/>
          <w:color w:val="auto"/>
          <w:sz w:val="23"/>
          <w:szCs w:val="23"/>
          <w:highlight w:val="none"/>
        </w:rPr>
        <w:t>中心供氧系统技术参数</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20"/>
        <w:gridCol w:w="2133"/>
        <w:gridCol w:w="6261"/>
      </w:tblGrid>
      <w:tr w14:paraId="79C8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321764A2">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064480B">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技术参数项目</w:t>
            </w:r>
          </w:p>
        </w:tc>
        <w:tc>
          <w:tcPr>
            <w:tcW w:w="0" w:type="auto"/>
            <w:noWrap w:val="0"/>
            <w:tcMar>
              <w:top w:w="120" w:type="dxa"/>
              <w:left w:w="120" w:type="dxa"/>
              <w:bottom w:w="120" w:type="dxa"/>
              <w:right w:w="120" w:type="dxa"/>
            </w:tcMar>
            <w:vAlign w:val="center"/>
          </w:tcPr>
          <w:p w14:paraId="42569336">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要求详情</w:t>
            </w:r>
          </w:p>
        </w:tc>
      </w:tr>
      <w:tr w14:paraId="1C60C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A89567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773DE0A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终端保证气压</w:t>
            </w:r>
          </w:p>
        </w:tc>
        <w:tc>
          <w:tcPr>
            <w:tcW w:w="0" w:type="auto"/>
            <w:noWrap w:val="0"/>
            <w:tcMar>
              <w:top w:w="120" w:type="dxa"/>
              <w:left w:w="120" w:type="dxa"/>
              <w:bottom w:w="120" w:type="dxa"/>
              <w:right w:w="120" w:type="dxa"/>
            </w:tcMar>
            <w:vAlign w:val="center"/>
          </w:tcPr>
          <w:p w14:paraId="4129111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0.4～0.5MPa（可调）</w:t>
            </w:r>
          </w:p>
        </w:tc>
      </w:tr>
      <w:tr w14:paraId="52D8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838BB0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0E8FDB1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系统小时泄漏率</w:t>
            </w:r>
          </w:p>
        </w:tc>
        <w:tc>
          <w:tcPr>
            <w:tcW w:w="0" w:type="auto"/>
            <w:noWrap w:val="0"/>
            <w:tcMar>
              <w:top w:w="120" w:type="dxa"/>
              <w:left w:w="120" w:type="dxa"/>
              <w:bottom w:w="120" w:type="dxa"/>
              <w:right w:w="120" w:type="dxa"/>
            </w:tcMar>
            <w:vAlign w:val="center"/>
          </w:tcPr>
          <w:p w14:paraId="5679053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GB 50751-2012 第 10.2.19 条，泄漏率 0.2%～0.5%</w:t>
            </w:r>
          </w:p>
        </w:tc>
      </w:tr>
      <w:tr w14:paraId="7A57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F69D2D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3C46C90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供氧压力误差</w:t>
            </w:r>
          </w:p>
        </w:tc>
        <w:tc>
          <w:tcPr>
            <w:tcW w:w="0" w:type="auto"/>
            <w:noWrap w:val="0"/>
            <w:tcMar>
              <w:top w:w="120" w:type="dxa"/>
              <w:left w:w="120" w:type="dxa"/>
              <w:bottom w:w="120" w:type="dxa"/>
              <w:right w:w="120" w:type="dxa"/>
            </w:tcMar>
            <w:vAlign w:val="center"/>
          </w:tcPr>
          <w:p w14:paraId="60C327B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最大 / 最小流量工况下压力误差≤0.02MPa</w:t>
            </w:r>
          </w:p>
        </w:tc>
      </w:tr>
      <w:tr w14:paraId="7E959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E69A06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44830F4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氧气终端流量</w:t>
            </w:r>
          </w:p>
        </w:tc>
        <w:tc>
          <w:tcPr>
            <w:tcW w:w="0" w:type="auto"/>
            <w:noWrap w:val="0"/>
            <w:tcMar>
              <w:top w:w="120" w:type="dxa"/>
              <w:left w:w="120" w:type="dxa"/>
              <w:bottom w:w="120" w:type="dxa"/>
              <w:right w:w="120" w:type="dxa"/>
            </w:tcMar>
            <w:vAlign w:val="center"/>
          </w:tcPr>
          <w:p w14:paraId="094BB24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普通床≥10L/min；手术室、麻醉室等≥100L/min</w:t>
            </w:r>
          </w:p>
        </w:tc>
      </w:tr>
      <w:tr w14:paraId="45595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4617CD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0BC66FC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氧气管道气体流速</w:t>
            </w:r>
          </w:p>
        </w:tc>
        <w:tc>
          <w:tcPr>
            <w:tcW w:w="0" w:type="auto"/>
            <w:noWrap w:val="0"/>
            <w:tcMar>
              <w:top w:w="120" w:type="dxa"/>
              <w:left w:w="120" w:type="dxa"/>
              <w:bottom w:w="120" w:type="dxa"/>
              <w:right w:w="120" w:type="dxa"/>
            </w:tcMar>
            <w:vAlign w:val="center"/>
          </w:tcPr>
          <w:p w14:paraId="5293D24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≤8m/s</w:t>
            </w:r>
          </w:p>
        </w:tc>
      </w:tr>
      <w:tr w14:paraId="1F6B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DEA48A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w:t>
            </w:r>
          </w:p>
        </w:tc>
        <w:tc>
          <w:tcPr>
            <w:tcW w:w="0" w:type="auto"/>
            <w:noWrap w:val="0"/>
            <w:tcMar>
              <w:top w:w="120" w:type="dxa"/>
              <w:left w:w="120" w:type="dxa"/>
              <w:bottom w:w="120" w:type="dxa"/>
              <w:right w:w="120" w:type="dxa"/>
            </w:tcMar>
            <w:vAlign w:val="center"/>
          </w:tcPr>
          <w:p w14:paraId="5947E25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系统运行方式</w:t>
            </w:r>
          </w:p>
        </w:tc>
        <w:tc>
          <w:tcPr>
            <w:tcW w:w="0" w:type="auto"/>
            <w:noWrap w:val="0"/>
            <w:tcMar>
              <w:top w:w="120" w:type="dxa"/>
              <w:left w:w="120" w:type="dxa"/>
              <w:bottom w:w="120" w:type="dxa"/>
              <w:right w:w="120" w:type="dxa"/>
            </w:tcMar>
            <w:vAlign w:val="center"/>
          </w:tcPr>
          <w:p w14:paraId="52CAF50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各终端连续用气，停电不停气</w:t>
            </w:r>
          </w:p>
        </w:tc>
      </w:tr>
      <w:tr w14:paraId="3BA7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1CA2D0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w:t>
            </w:r>
          </w:p>
        </w:tc>
        <w:tc>
          <w:tcPr>
            <w:tcW w:w="0" w:type="auto"/>
            <w:noWrap w:val="0"/>
            <w:tcMar>
              <w:top w:w="120" w:type="dxa"/>
              <w:left w:w="120" w:type="dxa"/>
              <w:bottom w:w="120" w:type="dxa"/>
              <w:right w:w="120" w:type="dxa"/>
            </w:tcMar>
            <w:vAlign w:val="center"/>
          </w:tcPr>
          <w:p w14:paraId="5E26E02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自动控制要求</w:t>
            </w:r>
          </w:p>
        </w:tc>
        <w:tc>
          <w:tcPr>
            <w:tcW w:w="0" w:type="auto"/>
            <w:noWrap w:val="0"/>
            <w:tcMar>
              <w:top w:w="120" w:type="dxa"/>
              <w:left w:w="120" w:type="dxa"/>
              <w:bottom w:w="120" w:type="dxa"/>
              <w:right w:w="120" w:type="dxa"/>
            </w:tcMar>
            <w:vAlign w:val="center"/>
          </w:tcPr>
          <w:p w14:paraId="4389D9E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氧源及管路压力超 / 欠压时，有声光报警</w:t>
            </w:r>
          </w:p>
        </w:tc>
      </w:tr>
      <w:tr w14:paraId="76D1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6DEE1D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w:t>
            </w:r>
          </w:p>
        </w:tc>
        <w:tc>
          <w:tcPr>
            <w:tcW w:w="0" w:type="auto"/>
            <w:noWrap w:val="0"/>
            <w:tcMar>
              <w:top w:w="120" w:type="dxa"/>
              <w:left w:w="120" w:type="dxa"/>
              <w:bottom w:w="120" w:type="dxa"/>
              <w:right w:w="120" w:type="dxa"/>
            </w:tcMar>
            <w:vAlign w:val="center"/>
          </w:tcPr>
          <w:p w14:paraId="75F4EE3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管道接地要求</w:t>
            </w:r>
          </w:p>
        </w:tc>
        <w:tc>
          <w:tcPr>
            <w:tcW w:w="0" w:type="auto"/>
            <w:noWrap w:val="0"/>
            <w:tcMar>
              <w:top w:w="120" w:type="dxa"/>
              <w:left w:w="120" w:type="dxa"/>
              <w:bottom w:w="120" w:type="dxa"/>
              <w:right w:w="120" w:type="dxa"/>
            </w:tcMar>
            <w:vAlign w:val="center"/>
          </w:tcPr>
          <w:p w14:paraId="0CA5E45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可靠接地，接地电阻＜10Ω</w:t>
            </w:r>
          </w:p>
        </w:tc>
      </w:tr>
    </w:tbl>
    <w:p w14:paraId="06B3ABD2">
      <w:pPr>
        <w:spacing w:line="360" w:lineRule="auto"/>
        <w:ind w:right="420" w:right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w:t>
      </w:r>
      <w:r>
        <w:rPr>
          <w:rFonts w:hint="eastAsia" w:ascii="宋体" w:hAnsi="宋体" w:eastAsia="宋体" w:cs="宋体"/>
          <w:b/>
          <w:bCs/>
          <w:strike w:val="0"/>
          <w:dstrike w:val="0"/>
          <w:color w:val="auto"/>
          <w:sz w:val="23"/>
          <w:szCs w:val="23"/>
          <w:highlight w:val="none"/>
          <w:u w:val="single"/>
        </w:rPr>
        <w:t>医用中心吸引系统</w:t>
      </w:r>
      <w:r>
        <w:rPr>
          <w:rFonts w:hint="eastAsia" w:ascii="宋体" w:hAnsi="宋体" w:eastAsia="宋体" w:cs="宋体"/>
          <w:color w:val="auto"/>
          <w:sz w:val="23"/>
          <w:szCs w:val="23"/>
          <w:highlight w:val="none"/>
        </w:rPr>
        <w:t>详细说明</w:t>
      </w:r>
    </w:p>
    <w:p w14:paraId="5F558090">
      <w:pPr>
        <w:spacing w:line="360" w:lineRule="auto"/>
        <w:ind w:right="-29" w:rightChars="-14" w:firstLine="453" w:firstLineChars="196"/>
        <w:rPr>
          <w:rFonts w:hint="eastAsia" w:ascii="宋体" w:hAnsi="宋体" w:eastAsia="宋体" w:cs="宋体"/>
          <w:color w:val="auto"/>
          <w:sz w:val="23"/>
          <w:szCs w:val="23"/>
          <w:highlight w:val="none"/>
        </w:rPr>
      </w:pPr>
      <w:r>
        <w:rPr>
          <w:rFonts w:hint="eastAsia" w:ascii="宋体" w:hAnsi="宋体" w:eastAsia="宋体" w:cs="宋体"/>
          <w:b/>
          <w:bCs/>
          <w:strike w:val="0"/>
          <w:dstrike w:val="0"/>
          <w:color w:val="auto"/>
          <w:sz w:val="23"/>
          <w:szCs w:val="23"/>
          <w:highlight w:val="none"/>
          <w:u w:val="single"/>
        </w:rPr>
        <w:t>医用中心吸引系统</w:t>
      </w:r>
      <w:r>
        <w:rPr>
          <w:rFonts w:hint="eastAsia" w:ascii="宋体" w:hAnsi="宋体" w:eastAsia="宋体" w:cs="宋体"/>
          <w:color w:val="auto"/>
          <w:sz w:val="23"/>
          <w:szCs w:val="23"/>
          <w:highlight w:val="none"/>
        </w:rPr>
        <w:t>的负压源是中心吸引站的真空</w:t>
      </w:r>
      <w:r>
        <w:rPr>
          <w:rFonts w:hint="eastAsia" w:ascii="宋体" w:hAnsi="宋体" w:eastAsia="宋体" w:cs="宋体"/>
          <w:color w:val="auto"/>
          <w:sz w:val="23"/>
          <w:szCs w:val="23"/>
          <w:highlight w:val="none"/>
          <w:lang w:val="en-US" w:eastAsia="zh-CN"/>
        </w:rPr>
        <w:t>负压机组</w:t>
      </w:r>
      <w:r>
        <w:rPr>
          <w:rFonts w:hint="eastAsia" w:ascii="宋体" w:hAnsi="宋体" w:eastAsia="宋体" w:cs="宋体"/>
          <w:color w:val="auto"/>
          <w:sz w:val="23"/>
          <w:szCs w:val="23"/>
          <w:highlight w:val="none"/>
        </w:rPr>
        <w:t>，通过</w:t>
      </w:r>
      <w:r>
        <w:rPr>
          <w:rFonts w:hint="eastAsia" w:ascii="宋体" w:hAnsi="宋体" w:eastAsia="宋体" w:cs="宋体"/>
          <w:color w:val="auto"/>
          <w:sz w:val="23"/>
          <w:szCs w:val="23"/>
          <w:highlight w:val="none"/>
          <w:lang w:val="en-US" w:eastAsia="zh-CN"/>
        </w:rPr>
        <w:t>负压</w:t>
      </w:r>
      <w:r>
        <w:rPr>
          <w:rFonts w:hint="eastAsia" w:ascii="宋体" w:hAnsi="宋体" w:eastAsia="宋体" w:cs="宋体"/>
          <w:color w:val="auto"/>
          <w:sz w:val="23"/>
          <w:szCs w:val="23"/>
          <w:highlight w:val="none"/>
        </w:rPr>
        <w:t>机组抽吸使吸引系统管路达到所需负压值，在手术室、抢救室和各个病房终端处产生吸力，提供医疗使用。</w:t>
      </w:r>
    </w:p>
    <w:p w14:paraId="52227DA7">
      <w:pPr>
        <w:spacing w:line="360" w:lineRule="auto"/>
        <w:ind w:right="420" w:right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hint="eastAsia" w:ascii="宋体" w:hAnsi="宋体" w:eastAsia="宋体" w:cs="宋体"/>
          <w:b/>
          <w:bCs/>
          <w:strike w:val="0"/>
          <w:dstrike w:val="0"/>
          <w:color w:val="auto"/>
          <w:sz w:val="23"/>
          <w:szCs w:val="23"/>
          <w:highlight w:val="none"/>
          <w:u w:val="single"/>
        </w:rPr>
        <w:t>医用中心吸引</w:t>
      </w:r>
      <w:r>
        <w:rPr>
          <w:rFonts w:hint="eastAsia" w:ascii="宋体" w:hAnsi="宋体" w:eastAsia="宋体" w:cs="宋体"/>
          <w:color w:val="auto"/>
          <w:sz w:val="23"/>
          <w:szCs w:val="23"/>
          <w:highlight w:val="none"/>
        </w:rPr>
        <w:t>站（位置设在地下一层，具体详见平面布置图）</w:t>
      </w:r>
    </w:p>
    <w:p w14:paraId="0980D148">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w:t>
      </w:r>
      <w:r>
        <w:rPr>
          <w:rFonts w:hint="eastAsia" w:ascii="宋体" w:hAnsi="宋体" w:eastAsia="宋体" w:cs="宋体"/>
          <w:b/>
          <w:bCs/>
          <w:strike w:val="0"/>
          <w:dstrike w:val="0"/>
          <w:color w:val="auto"/>
          <w:sz w:val="23"/>
          <w:szCs w:val="23"/>
          <w:highlight w:val="none"/>
          <w:u w:val="single"/>
        </w:rPr>
        <w:t>医用中心吸引</w:t>
      </w:r>
      <w:r>
        <w:rPr>
          <w:rFonts w:hint="eastAsia" w:ascii="宋体" w:hAnsi="宋体" w:eastAsia="宋体" w:cs="宋体"/>
          <w:color w:val="auto"/>
          <w:sz w:val="23"/>
          <w:szCs w:val="23"/>
          <w:highlight w:val="none"/>
        </w:rPr>
        <w:t>站，配置如下：</w:t>
      </w:r>
    </w:p>
    <w:tbl>
      <w:tblPr>
        <w:tblStyle w:val="31"/>
        <w:tblW w:w="4811" w:type="pct"/>
        <w:jc w:val="center"/>
        <w:tblLayout w:type="autofit"/>
        <w:tblCellMar>
          <w:top w:w="0" w:type="dxa"/>
          <w:left w:w="108" w:type="dxa"/>
          <w:bottom w:w="0" w:type="dxa"/>
          <w:right w:w="108" w:type="dxa"/>
        </w:tblCellMar>
      </w:tblPr>
      <w:tblGrid>
        <w:gridCol w:w="677"/>
        <w:gridCol w:w="1418"/>
        <w:gridCol w:w="5177"/>
        <w:gridCol w:w="704"/>
        <w:gridCol w:w="770"/>
      </w:tblGrid>
      <w:tr w14:paraId="6B807F74">
        <w:tblPrEx>
          <w:tblCellMar>
            <w:top w:w="0" w:type="dxa"/>
            <w:left w:w="108" w:type="dxa"/>
            <w:bottom w:w="0" w:type="dxa"/>
            <w:right w:w="108" w:type="dxa"/>
          </w:tblCellMar>
        </w:tblPrEx>
        <w:trPr>
          <w:trHeight w:val="489" w:hRule="atLeast"/>
          <w:jc w:val="center"/>
        </w:trPr>
        <w:tc>
          <w:tcPr>
            <w:tcW w:w="387" w:type="pct"/>
            <w:tcBorders>
              <w:top w:val="single" w:color="auto" w:sz="4" w:space="0"/>
              <w:left w:val="single" w:color="auto" w:sz="4" w:space="0"/>
              <w:bottom w:val="single" w:color="auto" w:sz="4" w:space="0"/>
              <w:right w:val="single" w:color="auto" w:sz="4" w:space="0"/>
            </w:tcBorders>
            <w:noWrap/>
            <w:vAlign w:val="center"/>
          </w:tcPr>
          <w:p w14:paraId="139DA0D5">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810" w:type="pct"/>
            <w:tcBorders>
              <w:top w:val="single" w:color="000000" w:sz="4" w:space="0"/>
              <w:left w:val="nil"/>
              <w:bottom w:val="single" w:color="000000" w:sz="4" w:space="0"/>
              <w:right w:val="single" w:color="000000" w:sz="4" w:space="0"/>
            </w:tcBorders>
            <w:noWrap w:val="0"/>
            <w:vAlign w:val="center"/>
          </w:tcPr>
          <w:p w14:paraId="5B991F4F">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设备名称</w:t>
            </w:r>
          </w:p>
        </w:tc>
        <w:tc>
          <w:tcPr>
            <w:tcW w:w="2958" w:type="pct"/>
            <w:tcBorders>
              <w:top w:val="single" w:color="auto" w:sz="4" w:space="0"/>
              <w:left w:val="nil"/>
              <w:bottom w:val="single" w:color="auto" w:sz="4" w:space="0"/>
              <w:right w:val="single" w:color="auto" w:sz="4" w:space="0"/>
            </w:tcBorders>
            <w:noWrap w:val="0"/>
            <w:vAlign w:val="center"/>
          </w:tcPr>
          <w:p w14:paraId="379EABFF">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型号规格</w:t>
            </w:r>
          </w:p>
        </w:tc>
        <w:tc>
          <w:tcPr>
            <w:tcW w:w="402" w:type="pct"/>
            <w:tcBorders>
              <w:top w:val="single" w:color="auto" w:sz="4" w:space="0"/>
              <w:left w:val="nil"/>
              <w:bottom w:val="single" w:color="auto" w:sz="4" w:space="0"/>
              <w:right w:val="single" w:color="auto" w:sz="4" w:space="0"/>
            </w:tcBorders>
            <w:noWrap w:val="0"/>
            <w:vAlign w:val="center"/>
          </w:tcPr>
          <w:p w14:paraId="6D0A617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w:t>
            </w:r>
          </w:p>
        </w:tc>
        <w:tc>
          <w:tcPr>
            <w:tcW w:w="440" w:type="pct"/>
            <w:tcBorders>
              <w:top w:val="single" w:color="auto" w:sz="4" w:space="0"/>
              <w:left w:val="nil"/>
              <w:bottom w:val="single" w:color="auto" w:sz="4" w:space="0"/>
              <w:right w:val="single" w:color="auto" w:sz="4" w:space="0"/>
            </w:tcBorders>
            <w:noWrap w:val="0"/>
            <w:vAlign w:val="center"/>
          </w:tcPr>
          <w:p w14:paraId="0A7BF44D">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数量</w:t>
            </w:r>
          </w:p>
        </w:tc>
      </w:tr>
      <w:tr w14:paraId="6DB0830D">
        <w:tblPrEx>
          <w:tblCellMar>
            <w:top w:w="0" w:type="dxa"/>
            <w:left w:w="108" w:type="dxa"/>
            <w:bottom w:w="0" w:type="dxa"/>
            <w:right w:w="108" w:type="dxa"/>
          </w:tblCellMar>
        </w:tblPrEx>
        <w:trPr>
          <w:trHeight w:val="958" w:hRule="atLeast"/>
          <w:jc w:val="center"/>
        </w:trPr>
        <w:tc>
          <w:tcPr>
            <w:tcW w:w="387" w:type="pct"/>
            <w:tcBorders>
              <w:top w:val="nil"/>
              <w:left w:val="single" w:color="auto" w:sz="4" w:space="0"/>
              <w:bottom w:val="single" w:color="auto" w:sz="4" w:space="0"/>
              <w:right w:val="single" w:color="auto" w:sz="4" w:space="0"/>
            </w:tcBorders>
            <w:noWrap/>
            <w:vAlign w:val="center"/>
          </w:tcPr>
          <w:p w14:paraId="14145BAC">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c>
          <w:tcPr>
            <w:tcW w:w="810" w:type="pct"/>
            <w:tcBorders>
              <w:top w:val="nil"/>
              <w:left w:val="nil"/>
              <w:bottom w:val="single" w:color="auto" w:sz="4" w:space="0"/>
              <w:right w:val="single" w:color="auto" w:sz="4" w:space="0"/>
            </w:tcBorders>
            <w:noWrap w:val="0"/>
            <w:vAlign w:val="center"/>
          </w:tcPr>
          <w:p w14:paraId="269B226C">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医用真空</w:t>
            </w:r>
            <w:r>
              <w:rPr>
                <w:rFonts w:hint="eastAsia" w:ascii="宋体" w:hAnsi="宋体" w:eastAsia="宋体" w:cs="宋体"/>
                <w:color w:val="auto"/>
                <w:sz w:val="23"/>
                <w:szCs w:val="23"/>
                <w:highlight w:val="none"/>
                <w:lang w:val="en-US" w:eastAsia="zh-CN"/>
              </w:rPr>
              <w:t>负压</w:t>
            </w:r>
            <w:r>
              <w:rPr>
                <w:rFonts w:hint="eastAsia" w:ascii="宋体" w:hAnsi="宋体" w:eastAsia="宋体" w:cs="宋体"/>
                <w:color w:val="auto"/>
                <w:sz w:val="23"/>
                <w:szCs w:val="23"/>
                <w:highlight w:val="none"/>
              </w:rPr>
              <w:t>机组</w:t>
            </w:r>
          </w:p>
        </w:tc>
        <w:tc>
          <w:tcPr>
            <w:tcW w:w="2958" w:type="pct"/>
            <w:tcBorders>
              <w:top w:val="nil"/>
              <w:left w:val="nil"/>
              <w:bottom w:val="single" w:color="auto" w:sz="4" w:space="0"/>
              <w:right w:val="single" w:color="auto" w:sz="4" w:space="0"/>
            </w:tcBorders>
            <w:noWrap w:val="0"/>
            <w:vAlign w:val="center"/>
          </w:tcPr>
          <w:p w14:paraId="784BD939">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一体式机组，包含但不限于：</w:t>
            </w:r>
            <w:r>
              <w:rPr>
                <w:rFonts w:hint="eastAsia" w:ascii="宋体" w:hAnsi="宋体" w:eastAsia="宋体" w:cs="宋体"/>
                <w:color w:val="auto"/>
                <w:sz w:val="23"/>
                <w:szCs w:val="23"/>
                <w:highlight w:val="none"/>
                <w:lang w:val="en-US" w:eastAsia="zh-CN"/>
              </w:rPr>
              <w:t>采用无油变频爪式真空泵，共 3 台（2 用 1 备）</w:t>
            </w:r>
            <w:r>
              <w:rPr>
                <w:rFonts w:hint="eastAsia" w:ascii="宋体" w:hAnsi="宋体" w:eastAsia="宋体" w:cs="宋体"/>
                <w:color w:val="auto"/>
                <w:sz w:val="23"/>
                <w:szCs w:val="23"/>
                <w:highlight w:val="none"/>
              </w:rPr>
              <w:t>，全自动中央电器控制柜1台，</w:t>
            </w:r>
            <w:r>
              <w:rPr>
                <w:rFonts w:hint="eastAsia" w:ascii="宋体" w:hAnsi="宋体" w:eastAsia="宋体" w:cs="宋体"/>
                <w:color w:val="auto"/>
                <w:kern w:val="0"/>
                <w:sz w:val="23"/>
                <w:szCs w:val="23"/>
                <w:highlight w:val="none"/>
              </w:rPr>
              <w:t>内置网络式报警系统1套，压力传感器及内部管道连接组件</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套，</w:t>
            </w:r>
            <w:r>
              <w:rPr>
                <w:rFonts w:hint="eastAsia" w:ascii="宋体" w:hAnsi="宋体" w:eastAsia="宋体" w:cs="宋体"/>
                <w:color w:val="auto"/>
                <w:kern w:val="0"/>
                <w:sz w:val="23"/>
                <w:szCs w:val="23"/>
                <w:highlight w:val="none"/>
              </w:rPr>
              <w:t>负压泵进气过滤器</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只</w:t>
            </w:r>
            <w:r>
              <w:rPr>
                <w:rFonts w:hint="eastAsia" w:ascii="宋体" w:hAnsi="宋体" w:eastAsia="宋体" w:cs="宋体"/>
                <w:color w:val="auto"/>
                <w:kern w:val="0"/>
                <w:sz w:val="23"/>
                <w:szCs w:val="23"/>
                <w:highlight w:val="none"/>
              </w:rPr>
              <w:t>，</w:t>
            </w:r>
            <w:r>
              <w:rPr>
                <w:rFonts w:hint="eastAsia" w:ascii="宋体" w:hAnsi="宋体" w:eastAsia="宋体" w:cs="宋体"/>
                <w:color w:val="auto"/>
                <w:sz w:val="23"/>
                <w:szCs w:val="23"/>
                <w:highlight w:val="none"/>
              </w:rPr>
              <w:t>内置真空罐1个，一体式抗振底座1套。</w:t>
            </w:r>
          </w:p>
        </w:tc>
        <w:tc>
          <w:tcPr>
            <w:tcW w:w="402" w:type="pct"/>
            <w:tcBorders>
              <w:top w:val="nil"/>
              <w:left w:val="nil"/>
              <w:bottom w:val="single" w:color="auto" w:sz="4" w:space="0"/>
              <w:right w:val="single" w:color="auto" w:sz="4" w:space="0"/>
            </w:tcBorders>
            <w:noWrap w:val="0"/>
            <w:vAlign w:val="center"/>
          </w:tcPr>
          <w:p w14:paraId="4FEAE5F3">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套</w:t>
            </w:r>
          </w:p>
        </w:tc>
        <w:tc>
          <w:tcPr>
            <w:tcW w:w="440" w:type="pct"/>
            <w:tcBorders>
              <w:top w:val="nil"/>
              <w:left w:val="nil"/>
              <w:bottom w:val="single" w:color="auto" w:sz="4" w:space="0"/>
              <w:right w:val="single" w:color="auto" w:sz="4" w:space="0"/>
            </w:tcBorders>
            <w:noWrap w:val="0"/>
            <w:vAlign w:val="center"/>
          </w:tcPr>
          <w:p w14:paraId="1FB5C94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r>
      <w:tr w14:paraId="3C7AF457">
        <w:tblPrEx>
          <w:tblCellMar>
            <w:top w:w="0" w:type="dxa"/>
            <w:left w:w="108" w:type="dxa"/>
            <w:bottom w:w="0" w:type="dxa"/>
            <w:right w:w="108" w:type="dxa"/>
          </w:tblCellMar>
        </w:tblPrEx>
        <w:trPr>
          <w:trHeight w:val="490" w:hRule="atLeast"/>
          <w:jc w:val="center"/>
        </w:trPr>
        <w:tc>
          <w:tcPr>
            <w:tcW w:w="387" w:type="pct"/>
            <w:tcBorders>
              <w:top w:val="nil"/>
              <w:left w:val="single" w:color="auto" w:sz="4" w:space="0"/>
              <w:bottom w:val="single" w:color="auto" w:sz="4" w:space="0"/>
              <w:right w:val="single" w:color="auto" w:sz="4" w:space="0"/>
            </w:tcBorders>
            <w:noWrap/>
            <w:vAlign w:val="center"/>
          </w:tcPr>
          <w:p w14:paraId="78FBE606">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p>
        </w:tc>
        <w:tc>
          <w:tcPr>
            <w:tcW w:w="810" w:type="pct"/>
            <w:tcBorders>
              <w:top w:val="nil"/>
              <w:left w:val="nil"/>
              <w:bottom w:val="single" w:color="auto" w:sz="4" w:space="0"/>
              <w:right w:val="single" w:color="auto" w:sz="4" w:space="0"/>
            </w:tcBorders>
            <w:noWrap w:val="0"/>
            <w:vAlign w:val="center"/>
          </w:tcPr>
          <w:p w14:paraId="487FCC2E">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外置真空罐</w:t>
            </w:r>
          </w:p>
        </w:tc>
        <w:tc>
          <w:tcPr>
            <w:tcW w:w="2958" w:type="pct"/>
            <w:tcBorders>
              <w:top w:val="nil"/>
              <w:left w:val="nil"/>
              <w:bottom w:val="single" w:color="auto" w:sz="4" w:space="0"/>
              <w:right w:val="single" w:color="auto" w:sz="4" w:space="0"/>
            </w:tcBorders>
            <w:noWrap w:val="0"/>
            <w:vAlign w:val="center"/>
          </w:tcPr>
          <w:p w14:paraId="1D4AC7ED">
            <w:pPr>
              <w:adjustRightInd w:val="0"/>
              <w:spacing w:line="360" w:lineRule="auto"/>
              <w:jc w:val="center"/>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规格:</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m³；材质:</w:t>
            </w:r>
            <w:r>
              <w:rPr>
                <w:rFonts w:hint="eastAsia" w:ascii="宋体" w:hAnsi="宋体" w:eastAsia="宋体" w:cs="宋体"/>
                <w:color w:val="auto"/>
                <w:sz w:val="23"/>
                <w:szCs w:val="23"/>
                <w:highlight w:val="none"/>
                <w:lang w:val="en-US" w:eastAsia="zh-CN"/>
              </w:rPr>
              <w:t>304不锈钢</w:t>
            </w:r>
          </w:p>
        </w:tc>
        <w:tc>
          <w:tcPr>
            <w:tcW w:w="402" w:type="pct"/>
            <w:tcBorders>
              <w:top w:val="nil"/>
              <w:left w:val="nil"/>
              <w:bottom w:val="single" w:color="auto" w:sz="4" w:space="0"/>
              <w:right w:val="single" w:color="auto" w:sz="4" w:space="0"/>
            </w:tcBorders>
            <w:noWrap w:val="0"/>
            <w:vAlign w:val="center"/>
          </w:tcPr>
          <w:p w14:paraId="2BDFA28E">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台</w:t>
            </w:r>
          </w:p>
        </w:tc>
        <w:tc>
          <w:tcPr>
            <w:tcW w:w="440" w:type="pct"/>
            <w:tcBorders>
              <w:top w:val="nil"/>
              <w:left w:val="nil"/>
              <w:bottom w:val="single" w:color="auto" w:sz="4" w:space="0"/>
              <w:right w:val="single" w:color="auto" w:sz="4" w:space="0"/>
            </w:tcBorders>
            <w:noWrap w:val="0"/>
            <w:vAlign w:val="center"/>
          </w:tcPr>
          <w:p w14:paraId="7E48EC50">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p>
        </w:tc>
      </w:tr>
      <w:tr w14:paraId="7FDFF38D">
        <w:tblPrEx>
          <w:tblCellMar>
            <w:top w:w="0" w:type="dxa"/>
            <w:left w:w="108" w:type="dxa"/>
            <w:bottom w:w="0" w:type="dxa"/>
            <w:right w:w="108" w:type="dxa"/>
          </w:tblCellMar>
        </w:tblPrEx>
        <w:trPr>
          <w:trHeight w:val="632" w:hRule="atLeast"/>
          <w:jc w:val="center"/>
        </w:trPr>
        <w:tc>
          <w:tcPr>
            <w:tcW w:w="387" w:type="pct"/>
            <w:tcBorders>
              <w:top w:val="nil"/>
              <w:left w:val="single" w:color="auto" w:sz="4" w:space="0"/>
              <w:bottom w:val="single" w:color="auto" w:sz="4" w:space="0"/>
              <w:right w:val="single" w:color="auto" w:sz="4" w:space="0"/>
            </w:tcBorders>
            <w:noWrap/>
            <w:vAlign w:val="center"/>
          </w:tcPr>
          <w:p w14:paraId="54C09DF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p>
        </w:tc>
        <w:tc>
          <w:tcPr>
            <w:tcW w:w="810" w:type="pct"/>
            <w:tcBorders>
              <w:top w:val="nil"/>
              <w:left w:val="nil"/>
              <w:bottom w:val="single" w:color="auto" w:sz="4" w:space="0"/>
              <w:right w:val="single" w:color="auto" w:sz="4" w:space="0"/>
            </w:tcBorders>
            <w:noWrap w:val="0"/>
            <w:vAlign w:val="center"/>
          </w:tcPr>
          <w:p w14:paraId="33B1B94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分气缸</w:t>
            </w:r>
          </w:p>
        </w:tc>
        <w:tc>
          <w:tcPr>
            <w:tcW w:w="2958" w:type="pct"/>
            <w:tcBorders>
              <w:top w:val="nil"/>
              <w:left w:val="nil"/>
              <w:bottom w:val="single" w:color="auto" w:sz="4" w:space="0"/>
              <w:right w:val="single" w:color="auto" w:sz="4" w:space="0"/>
            </w:tcBorders>
            <w:noWrap w:val="0"/>
            <w:vAlign w:val="center"/>
          </w:tcPr>
          <w:p w14:paraId="799BEDCD">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规格:1进</w:t>
            </w: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rPr>
              <w:t>出 ；材质: 304不锈钢</w:t>
            </w:r>
          </w:p>
        </w:tc>
        <w:tc>
          <w:tcPr>
            <w:tcW w:w="402" w:type="pct"/>
            <w:tcBorders>
              <w:top w:val="nil"/>
              <w:left w:val="nil"/>
              <w:bottom w:val="single" w:color="auto" w:sz="4" w:space="0"/>
              <w:right w:val="single" w:color="auto" w:sz="4" w:space="0"/>
            </w:tcBorders>
            <w:noWrap w:val="0"/>
            <w:vAlign w:val="center"/>
          </w:tcPr>
          <w:p w14:paraId="7D67D490">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台</w:t>
            </w:r>
          </w:p>
        </w:tc>
        <w:tc>
          <w:tcPr>
            <w:tcW w:w="440" w:type="pct"/>
            <w:tcBorders>
              <w:top w:val="nil"/>
              <w:left w:val="nil"/>
              <w:bottom w:val="single" w:color="auto" w:sz="4" w:space="0"/>
              <w:right w:val="single" w:color="auto" w:sz="4" w:space="0"/>
            </w:tcBorders>
            <w:noWrap w:val="0"/>
            <w:vAlign w:val="center"/>
          </w:tcPr>
          <w:p w14:paraId="2C0883CA">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r>
      <w:tr w14:paraId="015D87A6">
        <w:tblPrEx>
          <w:tblCellMar>
            <w:top w:w="0" w:type="dxa"/>
            <w:left w:w="108" w:type="dxa"/>
            <w:bottom w:w="0" w:type="dxa"/>
            <w:right w:w="108" w:type="dxa"/>
          </w:tblCellMar>
        </w:tblPrEx>
        <w:trPr>
          <w:trHeight w:val="667" w:hRule="atLeast"/>
          <w:jc w:val="center"/>
        </w:trPr>
        <w:tc>
          <w:tcPr>
            <w:tcW w:w="387" w:type="pct"/>
            <w:tcBorders>
              <w:top w:val="nil"/>
              <w:left w:val="single" w:color="auto" w:sz="4" w:space="0"/>
              <w:bottom w:val="single" w:color="auto" w:sz="4" w:space="0"/>
              <w:right w:val="single" w:color="auto" w:sz="4" w:space="0"/>
            </w:tcBorders>
            <w:noWrap/>
            <w:vAlign w:val="center"/>
          </w:tcPr>
          <w:p w14:paraId="77ACA35D">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p>
        </w:tc>
        <w:tc>
          <w:tcPr>
            <w:tcW w:w="810" w:type="pct"/>
            <w:tcBorders>
              <w:top w:val="nil"/>
              <w:left w:val="nil"/>
              <w:bottom w:val="single" w:color="auto" w:sz="4" w:space="0"/>
              <w:right w:val="single" w:color="auto" w:sz="4" w:space="0"/>
            </w:tcBorders>
            <w:noWrap w:val="0"/>
            <w:vAlign w:val="center"/>
          </w:tcPr>
          <w:p w14:paraId="0BEFB662">
            <w:pPr>
              <w:adjustRightInd w:val="0"/>
              <w:spacing w:line="360" w:lineRule="auto"/>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真空除菌过滤器</w:t>
            </w:r>
            <w:r>
              <w:rPr>
                <w:rFonts w:hint="eastAsia" w:ascii="宋体" w:hAnsi="宋体" w:eastAsia="宋体" w:cs="宋体"/>
                <w:color w:val="auto"/>
                <w:sz w:val="23"/>
                <w:szCs w:val="23"/>
                <w:highlight w:val="none"/>
                <w:lang w:val="en-US" w:eastAsia="zh-CN"/>
              </w:rPr>
              <w:t>加臭氧发生器</w:t>
            </w:r>
          </w:p>
        </w:tc>
        <w:tc>
          <w:tcPr>
            <w:tcW w:w="2958" w:type="pct"/>
            <w:tcBorders>
              <w:top w:val="nil"/>
              <w:left w:val="nil"/>
              <w:bottom w:val="single" w:color="auto" w:sz="4" w:space="0"/>
              <w:right w:val="single" w:color="auto" w:sz="4" w:space="0"/>
            </w:tcBorders>
            <w:noWrap w:val="0"/>
            <w:vAlign w:val="center"/>
          </w:tcPr>
          <w:p w14:paraId="21B77493">
            <w:pPr>
              <w:adjustRightInd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供气能力:≥</w:t>
            </w:r>
            <w:r>
              <w:rPr>
                <w:rFonts w:hint="eastAsia" w:ascii="宋体" w:hAnsi="宋体" w:eastAsia="宋体" w:cs="宋体"/>
                <w:strike w:val="0"/>
                <w:dstrike w:val="0"/>
                <w:color w:val="auto"/>
                <w:sz w:val="23"/>
                <w:szCs w:val="23"/>
                <w:highlight w:val="none"/>
                <w:lang w:val="en-US" w:eastAsia="zh-CN"/>
              </w:rPr>
              <w:t>900</w:t>
            </w:r>
            <w:r>
              <w:rPr>
                <w:rFonts w:hint="eastAsia" w:ascii="宋体" w:hAnsi="宋体" w:eastAsia="宋体" w:cs="宋体"/>
                <w:color w:val="auto"/>
                <w:sz w:val="23"/>
                <w:szCs w:val="23"/>
                <w:highlight w:val="none"/>
              </w:rPr>
              <w:t>m³/h，除菌效率≥99.99%；</w:t>
            </w:r>
          </w:p>
        </w:tc>
        <w:tc>
          <w:tcPr>
            <w:tcW w:w="402" w:type="pct"/>
            <w:tcBorders>
              <w:top w:val="nil"/>
              <w:left w:val="nil"/>
              <w:bottom w:val="single" w:color="auto" w:sz="4" w:space="0"/>
              <w:right w:val="single" w:color="auto" w:sz="4" w:space="0"/>
            </w:tcBorders>
            <w:noWrap w:val="0"/>
            <w:vAlign w:val="center"/>
          </w:tcPr>
          <w:p w14:paraId="76C6047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只</w:t>
            </w:r>
          </w:p>
        </w:tc>
        <w:tc>
          <w:tcPr>
            <w:tcW w:w="440" w:type="pct"/>
            <w:tcBorders>
              <w:top w:val="nil"/>
              <w:left w:val="nil"/>
              <w:bottom w:val="single" w:color="auto" w:sz="4" w:space="0"/>
              <w:right w:val="single" w:color="auto" w:sz="4" w:space="0"/>
            </w:tcBorders>
            <w:noWrap w:val="0"/>
            <w:vAlign w:val="center"/>
          </w:tcPr>
          <w:p w14:paraId="4BDEE0A2">
            <w:pPr>
              <w:adjustRightInd w:val="0"/>
              <w:spacing w:line="360" w:lineRule="auto"/>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w:t>
            </w:r>
          </w:p>
        </w:tc>
      </w:tr>
      <w:tr w14:paraId="1C868243">
        <w:tblPrEx>
          <w:tblCellMar>
            <w:top w:w="0" w:type="dxa"/>
            <w:left w:w="108" w:type="dxa"/>
            <w:bottom w:w="0" w:type="dxa"/>
            <w:right w:w="108" w:type="dxa"/>
          </w:tblCellMar>
        </w:tblPrEx>
        <w:trPr>
          <w:trHeight w:val="509" w:hRule="atLeast"/>
          <w:jc w:val="center"/>
        </w:trPr>
        <w:tc>
          <w:tcPr>
            <w:tcW w:w="387" w:type="pct"/>
            <w:tcBorders>
              <w:top w:val="nil"/>
              <w:left w:val="single" w:color="auto" w:sz="4" w:space="0"/>
              <w:bottom w:val="single" w:color="auto" w:sz="4" w:space="0"/>
              <w:right w:val="single" w:color="auto" w:sz="4" w:space="0"/>
            </w:tcBorders>
            <w:noWrap/>
            <w:vAlign w:val="center"/>
          </w:tcPr>
          <w:p w14:paraId="435FDEAB">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w:t>
            </w:r>
          </w:p>
        </w:tc>
        <w:tc>
          <w:tcPr>
            <w:tcW w:w="810" w:type="pct"/>
            <w:tcBorders>
              <w:top w:val="nil"/>
              <w:left w:val="nil"/>
              <w:bottom w:val="single" w:color="auto" w:sz="4" w:space="0"/>
              <w:right w:val="single" w:color="auto" w:sz="4" w:space="0"/>
            </w:tcBorders>
            <w:noWrap w:val="0"/>
            <w:vAlign w:val="center"/>
          </w:tcPr>
          <w:p w14:paraId="519F2190">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排气口灭菌器</w:t>
            </w:r>
          </w:p>
        </w:tc>
        <w:tc>
          <w:tcPr>
            <w:tcW w:w="2958" w:type="pct"/>
            <w:tcBorders>
              <w:top w:val="nil"/>
              <w:left w:val="nil"/>
              <w:bottom w:val="single" w:color="auto" w:sz="4" w:space="0"/>
              <w:right w:val="single" w:color="auto" w:sz="4" w:space="0"/>
            </w:tcBorders>
            <w:noWrap w:val="0"/>
            <w:vAlign w:val="center"/>
          </w:tcPr>
          <w:p w14:paraId="7356DDD7">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处理量:≥</w:t>
            </w:r>
            <w:r>
              <w:rPr>
                <w:rFonts w:hint="eastAsia" w:ascii="宋体" w:hAnsi="宋体" w:eastAsia="宋体" w:cs="宋体"/>
                <w:color w:val="auto"/>
                <w:sz w:val="23"/>
                <w:szCs w:val="23"/>
                <w:highlight w:val="none"/>
                <w:lang w:val="en-US" w:eastAsia="zh-CN"/>
              </w:rPr>
              <w:t>9</w:t>
            </w:r>
            <w:r>
              <w:rPr>
                <w:rFonts w:hint="eastAsia" w:ascii="宋体" w:hAnsi="宋体" w:eastAsia="宋体" w:cs="宋体"/>
                <w:color w:val="auto"/>
                <w:sz w:val="23"/>
                <w:szCs w:val="23"/>
                <w:highlight w:val="none"/>
              </w:rPr>
              <w:t xml:space="preserve">00m³/h </w:t>
            </w:r>
          </w:p>
        </w:tc>
        <w:tc>
          <w:tcPr>
            <w:tcW w:w="402" w:type="pct"/>
            <w:tcBorders>
              <w:top w:val="nil"/>
              <w:left w:val="nil"/>
              <w:bottom w:val="single" w:color="auto" w:sz="4" w:space="0"/>
              <w:right w:val="single" w:color="auto" w:sz="4" w:space="0"/>
            </w:tcBorders>
            <w:noWrap w:val="0"/>
            <w:vAlign w:val="center"/>
          </w:tcPr>
          <w:p w14:paraId="0010B802">
            <w:pPr>
              <w:adjustRightInd w:val="0"/>
              <w:spacing w:line="360" w:lineRule="auto"/>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台</w:t>
            </w:r>
          </w:p>
        </w:tc>
        <w:tc>
          <w:tcPr>
            <w:tcW w:w="440" w:type="pct"/>
            <w:tcBorders>
              <w:top w:val="nil"/>
              <w:left w:val="nil"/>
              <w:bottom w:val="single" w:color="auto" w:sz="4" w:space="0"/>
              <w:right w:val="single" w:color="auto" w:sz="4" w:space="0"/>
            </w:tcBorders>
            <w:noWrap w:val="0"/>
            <w:vAlign w:val="center"/>
          </w:tcPr>
          <w:p w14:paraId="1426DD58">
            <w:pPr>
              <w:adjustRightInd w:val="0"/>
              <w:spacing w:line="360" w:lineRule="auto"/>
              <w:jc w:val="center"/>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1</w:t>
            </w:r>
          </w:p>
        </w:tc>
      </w:tr>
    </w:tbl>
    <w:p w14:paraId="145D9EA6">
      <w:pPr>
        <w:tabs>
          <w:tab w:val="left" w:pos="-180"/>
          <w:tab w:val="left" w:pos="0"/>
        </w:tabs>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1.2吸引站技术参数</w:t>
      </w:r>
    </w:p>
    <w:tbl>
      <w:tblPr>
        <w:tblStyle w:val="31"/>
        <w:tblW w:w="51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30"/>
        <w:gridCol w:w="6820"/>
        <w:gridCol w:w="1552"/>
      </w:tblGrid>
      <w:tr w14:paraId="4DBD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046E110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73A0604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834" w:type="pct"/>
            <w:noWrap w:val="0"/>
            <w:tcMar>
              <w:top w:w="120" w:type="dxa"/>
              <w:left w:w="120" w:type="dxa"/>
              <w:bottom w:w="120" w:type="dxa"/>
              <w:right w:w="120" w:type="dxa"/>
            </w:tcMar>
            <w:vAlign w:val="center"/>
          </w:tcPr>
          <w:p w14:paraId="5559338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备注</w:t>
            </w:r>
          </w:p>
        </w:tc>
      </w:tr>
      <w:tr w14:paraId="2859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7831440">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0" w:type="auto"/>
            <w:noWrap w:val="0"/>
            <w:tcMar>
              <w:top w:w="120" w:type="dxa"/>
              <w:left w:w="120" w:type="dxa"/>
              <w:bottom w:w="120" w:type="dxa"/>
              <w:right w:w="120" w:type="dxa"/>
            </w:tcMar>
            <w:vAlign w:val="center"/>
          </w:tcPr>
          <w:p w14:paraId="2D6ED50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一体式机组</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kern w:val="0"/>
                <w:sz w:val="23"/>
                <w:szCs w:val="23"/>
                <w:highlight w:val="none"/>
                <w:lang w:val="en-US" w:eastAsia="zh-CN" w:bidi="ar"/>
              </w:rPr>
              <w:t>采用无油变频爪式真空泵，共3 台（2用 1 备），单台≥300m³/h，功率：≥6.2KW；真空压力调节范围：－0.04～－0.087MPa</w:t>
            </w:r>
          </w:p>
        </w:tc>
        <w:tc>
          <w:tcPr>
            <w:tcW w:w="834" w:type="pct"/>
            <w:noWrap w:val="0"/>
            <w:tcMar>
              <w:top w:w="120" w:type="dxa"/>
              <w:left w:w="120" w:type="dxa"/>
              <w:bottom w:w="120" w:type="dxa"/>
              <w:right w:w="120" w:type="dxa"/>
            </w:tcMar>
            <w:vAlign w:val="center"/>
          </w:tcPr>
          <w:p w14:paraId="0924740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4"/>
                <w:szCs w:val="24"/>
                <w:highlight w:val="none"/>
                <w:lang w:val="en-US" w:eastAsia="zh-CN" w:bidi="ar"/>
              </w:rPr>
              <w:t>—</w:t>
            </w:r>
          </w:p>
        </w:tc>
      </w:tr>
      <w:tr w14:paraId="7DFA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D3AC571">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w:t>
            </w:r>
          </w:p>
        </w:tc>
        <w:tc>
          <w:tcPr>
            <w:tcW w:w="0" w:type="auto"/>
            <w:noWrap w:val="0"/>
            <w:tcMar>
              <w:top w:w="120" w:type="dxa"/>
              <w:left w:w="120" w:type="dxa"/>
              <w:bottom w:w="120" w:type="dxa"/>
              <w:right w:w="120" w:type="dxa"/>
            </w:tcMar>
            <w:vAlign w:val="center"/>
          </w:tcPr>
          <w:p w14:paraId="292D8AE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完全冗余设计，单一零部件 / 电气故障维修时系统可连续工作，总电源不断电则不停气</w:t>
            </w:r>
          </w:p>
        </w:tc>
        <w:tc>
          <w:tcPr>
            <w:tcW w:w="834" w:type="pct"/>
            <w:noWrap w:val="0"/>
            <w:tcMar>
              <w:top w:w="120" w:type="dxa"/>
              <w:left w:w="120" w:type="dxa"/>
              <w:bottom w:w="120" w:type="dxa"/>
              <w:right w:w="120" w:type="dxa"/>
            </w:tcMar>
            <w:vAlign w:val="center"/>
          </w:tcPr>
          <w:p w14:paraId="68D67E7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52E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BCBDCC2">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w:t>
            </w:r>
          </w:p>
        </w:tc>
        <w:tc>
          <w:tcPr>
            <w:tcW w:w="0" w:type="auto"/>
            <w:noWrap w:val="0"/>
            <w:tcMar>
              <w:top w:w="120" w:type="dxa"/>
              <w:left w:w="120" w:type="dxa"/>
              <w:bottom w:w="120" w:type="dxa"/>
              <w:right w:w="120" w:type="dxa"/>
            </w:tcMar>
            <w:vAlign w:val="center"/>
          </w:tcPr>
          <w:p w14:paraId="438A4CA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配置立式离地中央控制柜，带触摸屏网络控制器；可显示压力、泵运行顺序、状态、维保提示、温度、历史记录，存储≥100 条历史事件</w:t>
            </w:r>
          </w:p>
        </w:tc>
        <w:tc>
          <w:tcPr>
            <w:tcW w:w="834" w:type="pct"/>
            <w:noWrap w:val="0"/>
            <w:tcMar>
              <w:top w:w="120" w:type="dxa"/>
              <w:left w:w="120" w:type="dxa"/>
              <w:bottom w:w="120" w:type="dxa"/>
              <w:right w:w="120" w:type="dxa"/>
            </w:tcMar>
            <w:vAlign w:val="center"/>
          </w:tcPr>
          <w:p w14:paraId="75C6567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5B4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9274430">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p>
        </w:tc>
        <w:tc>
          <w:tcPr>
            <w:tcW w:w="0" w:type="auto"/>
            <w:noWrap w:val="0"/>
            <w:tcMar>
              <w:top w:w="120" w:type="dxa"/>
              <w:left w:w="120" w:type="dxa"/>
              <w:bottom w:w="120" w:type="dxa"/>
              <w:right w:w="120" w:type="dxa"/>
            </w:tcMar>
            <w:vAlign w:val="center"/>
          </w:tcPr>
          <w:p w14:paraId="344EF60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具备排温过高、欠压、高温、过载、备用运行、电路板故障等声光报警；支持以太网远程监测，带远程信号输出端口</w:t>
            </w:r>
          </w:p>
        </w:tc>
        <w:tc>
          <w:tcPr>
            <w:tcW w:w="834" w:type="pct"/>
            <w:noWrap w:val="0"/>
            <w:tcMar>
              <w:top w:w="120" w:type="dxa"/>
              <w:left w:w="120" w:type="dxa"/>
              <w:bottom w:w="120" w:type="dxa"/>
              <w:right w:w="120" w:type="dxa"/>
            </w:tcMar>
            <w:vAlign w:val="center"/>
          </w:tcPr>
          <w:p w14:paraId="628DAB2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6F64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A9C08F4">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5</w:t>
            </w:r>
          </w:p>
        </w:tc>
        <w:tc>
          <w:tcPr>
            <w:tcW w:w="0" w:type="auto"/>
            <w:noWrap w:val="0"/>
            <w:tcMar>
              <w:top w:w="120" w:type="dxa"/>
              <w:left w:w="120" w:type="dxa"/>
              <w:bottom w:w="120" w:type="dxa"/>
              <w:right w:w="120" w:type="dxa"/>
            </w:tcMar>
            <w:vAlign w:val="center"/>
          </w:tcPr>
          <w:p w14:paraId="78B16B6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面板设总开关、各泵独立 “手动 / 停止 / 自动” 开关、蜂鸣报警器；1m 处声压级≥55dBA，可静音，屏显报警内容</w:t>
            </w:r>
          </w:p>
        </w:tc>
        <w:tc>
          <w:tcPr>
            <w:tcW w:w="834" w:type="pct"/>
            <w:noWrap w:val="0"/>
            <w:tcMar>
              <w:top w:w="120" w:type="dxa"/>
              <w:left w:w="120" w:type="dxa"/>
              <w:bottom w:w="120" w:type="dxa"/>
              <w:right w:w="120" w:type="dxa"/>
            </w:tcMar>
            <w:vAlign w:val="center"/>
          </w:tcPr>
          <w:p w14:paraId="6173161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2036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3859B9F">
            <w:pPr>
              <w:keepNext w:val="0"/>
              <w:keepLines w:val="0"/>
              <w:widowControl/>
              <w:suppressLineNumbers w:val="0"/>
              <w:jc w:val="left"/>
              <w:rPr>
                <w:rFonts w:hint="default" w:ascii="宋体" w:hAnsi="宋体" w:eastAsia="宋体" w:cs="宋体"/>
                <w:strike/>
                <w:dstrike w:val="0"/>
                <w:color w:val="auto"/>
                <w:sz w:val="23"/>
                <w:szCs w:val="23"/>
                <w:highlight w:val="none"/>
                <w:lang w:val="en-US" w:eastAsia="zh-CN"/>
              </w:rPr>
            </w:pPr>
            <w:r>
              <w:rPr>
                <w:rFonts w:hint="eastAsia" w:ascii="宋体" w:hAnsi="宋体" w:eastAsia="宋体" w:cs="宋体"/>
                <w:color w:val="auto"/>
                <w:sz w:val="23"/>
                <w:szCs w:val="23"/>
                <w:highlight w:val="none"/>
                <w:lang w:val="en-US" w:eastAsia="zh-CN"/>
              </w:rPr>
              <w:t>6</w:t>
            </w:r>
          </w:p>
        </w:tc>
        <w:tc>
          <w:tcPr>
            <w:tcW w:w="0" w:type="auto"/>
            <w:noWrap w:val="0"/>
            <w:tcMar>
              <w:top w:w="120" w:type="dxa"/>
              <w:left w:w="120" w:type="dxa"/>
              <w:bottom w:w="120" w:type="dxa"/>
              <w:right w:w="120" w:type="dxa"/>
            </w:tcMar>
            <w:vAlign w:val="center"/>
          </w:tcPr>
          <w:p w14:paraId="00C40649">
            <w:pPr>
              <w:keepNext w:val="0"/>
              <w:keepLines w:val="0"/>
              <w:widowControl/>
              <w:suppressLineNumbers w:val="0"/>
              <w:jc w:val="left"/>
              <w:rPr>
                <w:rFonts w:hint="eastAsia" w:ascii="宋体" w:hAnsi="宋体" w:eastAsia="宋体" w:cs="宋体"/>
                <w:strike/>
                <w:dstrike w:val="0"/>
                <w:color w:val="auto"/>
                <w:sz w:val="23"/>
                <w:szCs w:val="23"/>
                <w:highlight w:val="none"/>
              </w:rPr>
            </w:pPr>
            <w:r>
              <w:rPr>
                <w:rFonts w:hint="eastAsia" w:ascii="宋体" w:hAnsi="宋体" w:eastAsia="宋体" w:cs="宋体"/>
                <w:color w:val="auto"/>
                <w:kern w:val="0"/>
                <w:sz w:val="23"/>
                <w:szCs w:val="23"/>
                <w:highlight w:val="none"/>
                <w:lang w:val="en-US" w:eastAsia="zh-CN" w:bidi="ar"/>
              </w:rPr>
              <w:t>PLC 智能控制，单泵独立电路；控制器故障自动转压力开关控制；按先起先停自动轮换，负荷不足自动增启，故障时备用泵自动启动报警</w:t>
            </w:r>
          </w:p>
        </w:tc>
        <w:tc>
          <w:tcPr>
            <w:tcW w:w="834" w:type="pct"/>
            <w:noWrap w:val="0"/>
            <w:tcMar>
              <w:top w:w="120" w:type="dxa"/>
              <w:left w:w="120" w:type="dxa"/>
              <w:bottom w:w="120" w:type="dxa"/>
              <w:right w:w="120" w:type="dxa"/>
            </w:tcMar>
            <w:vAlign w:val="center"/>
          </w:tcPr>
          <w:p w14:paraId="041FB400">
            <w:pPr>
              <w:keepNext w:val="0"/>
              <w:keepLines w:val="0"/>
              <w:widowControl/>
              <w:suppressLineNumbers w:val="0"/>
              <w:jc w:val="left"/>
              <w:rPr>
                <w:rFonts w:hint="eastAsia" w:ascii="宋体" w:hAnsi="宋体" w:eastAsia="宋体" w:cs="宋体"/>
                <w:strike/>
                <w:dstrike w:val="0"/>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8E93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EC8D085">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w:t>
            </w:r>
          </w:p>
        </w:tc>
        <w:tc>
          <w:tcPr>
            <w:tcW w:w="0" w:type="auto"/>
            <w:noWrap w:val="0"/>
            <w:tcMar>
              <w:top w:w="120" w:type="dxa"/>
              <w:left w:w="120" w:type="dxa"/>
              <w:bottom w:w="120" w:type="dxa"/>
              <w:right w:w="120" w:type="dxa"/>
            </w:tcMar>
            <w:vAlign w:val="center"/>
          </w:tcPr>
          <w:p w14:paraId="0A453BC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总电源中断恢复后，自动恢复断电前运行状态</w:t>
            </w:r>
          </w:p>
        </w:tc>
        <w:tc>
          <w:tcPr>
            <w:tcW w:w="834" w:type="pct"/>
            <w:noWrap w:val="0"/>
            <w:tcMar>
              <w:top w:w="120" w:type="dxa"/>
              <w:left w:w="120" w:type="dxa"/>
              <w:bottom w:w="120" w:type="dxa"/>
              <w:right w:w="120" w:type="dxa"/>
            </w:tcMar>
            <w:vAlign w:val="center"/>
          </w:tcPr>
          <w:p w14:paraId="59A016C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6B1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B99DC36">
            <w:pPr>
              <w:keepNext w:val="0"/>
              <w:keepLines w:val="0"/>
              <w:widowControl/>
              <w:suppressLineNumbers w:val="0"/>
              <w:jc w:val="left"/>
              <w:rPr>
                <w:rFonts w:hint="eastAsia" w:ascii="宋体" w:hAnsi="宋体" w:eastAsia="宋体" w:cs="宋体"/>
                <w:color w:val="auto"/>
                <w:sz w:val="23"/>
                <w:szCs w:val="23"/>
                <w:highlight w:val="none"/>
                <w:lang w:val="en-US"/>
              </w:rPr>
            </w:pPr>
            <w:r>
              <w:rPr>
                <w:rFonts w:hint="eastAsia" w:ascii="宋体" w:hAnsi="宋体" w:eastAsia="宋体" w:cs="宋体"/>
                <w:color w:val="auto"/>
                <w:kern w:val="0"/>
                <w:sz w:val="23"/>
                <w:szCs w:val="23"/>
                <w:highlight w:val="none"/>
                <w:lang w:val="en-US" w:eastAsia="zh-CN" w:bidi="ar"/>
              </w:rPr>
              <w:t>8</w:t>
            </w:r>
          </w:p>
        </w:tc>
        <w:tc>
          <w:tcPr>
            <w:tcW w:w="0" w:type="auto"/>
            <w:noWrap w:val="0"/>
            <w:tcMar>
              <w:top w:w="120" w:type="dxa"/>
              <w:left w:w="120" w:type="dxa"/>
              <w:bottom w:w="120" w:type="dxa"/>
              <w:right w:w="120" w:type="dxa"/>
            </w:tcMar>
            <w:vAlign w:val="center"/>
          </w:tcPr>
          <w:p w14:paraId="6B7DFFA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外置真空罐 2 台，单台容积≥2m³，材质 304 不锈钢，工作压力 - 0.04～-0.087MPa</w:t>
            </w:r>
          </w:p>
        </w:tc>
        <w:tc>
          <w:tcPr>
            <w:tcW w:w="834" w:type="pct"/>
            <w:noWrap w:val="0"/>
            <w:tcMar>
              <w:top w:w="120" w:type="dxa"/>
              <w:left w:w="120" w:type="dxa"/>
              <w:bottom w:w="120" w:type="dxa"/>
              <w:right w:w="120" w:type="dxa"/>
            </w:tcMar>
            <w:vAlign w:val="center"/>
          </w:tcPr>
          <w:p w14:paraId="5A00DDD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9CA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3031EA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9</w:t>
            </w:r>
          </w:p>
        </w:tc>
        <w:tc>
          <w:tcPr>
            <w:tcW w:w="0" w:type="auto"/>
            <w:noWrap w:val="0"/>
            <w:tcMar>
              <w:top w:w="120" w:type="dxa"/>
              <w:left w:w="120" w:type="dxa"/>
              <w:bottom w:w="120" w:type="dxa"/>
              <w:right w:w="120" w:type="dxa"/>
            </w:tcMar>
            <w:vAlign w:val="center"/>
          </w:tcPr>
          <w:p w14:paraId="64C3F37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出口设负压集气缸 1 套，304 不锈钢，1 进 6 出，工作压力 - 0.04～-0.087MPa</w:t>
            </w:r>
          </w:p>
        </w:tc>
        <w:tc>
          <w:tcPr>
            <w:tcW w:w="834" w:type="pct"/>
            <w:noWrap w:val="0"/>
            <w:tcMar>
              <w:top w:w="120" w:type="dxa"/>
              <w:left w:w="120" w:type="dxa"/>
              <w:bottom w:w="120" w:type="dxa"/>
              <w:right w:w="120" w:type="dxa"/>
            </w:tcMar>
            <w:vAlign w:val="center"/>
          </w:tcPr>
          <w:p w14:paraId="4E76DC1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2FC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885AE10">
            <w:pPr>
              <w:keepNext w:val="0"/>
              <w:keepLines w:val="0"/>
              <w:widowControl/>
              <w:suppressLineNumbers w:val="0"/>
              <w:jc w:val="left"/>
              <w:rPr>
                <w:rFonts w:hint="default" w:ascii="宋体" w:hAnsi="宋体" w:eastAsia="宋体" w:cs="宋体"/>
                <w:color w:val="auto"/>
                <w:sz w:val="23"/>
                <w:szCs w:val="23"/>
                <w:highlight w:val="none"/>
                <w:lang w:val="en-US"/>
              </w:rPr>
            </w:pPr>
            <w:r>
              <w:rPr>
                <w:rFonts w:hint="eastAsia" w:ascii="宋体" w:hAnsi="宋体" w:eastAsia="宋体" w:cs="宋体"/>
                <w:color w:val="auto"/>
                <w:kern w:val="0"/>
                <w:sz w:val="23"/>
                <w:szCs w:val="23"/>
                <w:highlight w:val="none"/>
                <w:lang w:val="en-US" w:eastAsia="zh-CN" w:bidi="ar"/>
              </w:rPr>
              <w:t>10</w:t>
            </w:r>
          </w:p>
        </w:tc>
        <w:tc>
          <w:tcPr>
            <w:tcW w:w="0" w:type="auto"/>
            <w:noWrap w:val="0"/>
            <w:tcMar>
              <w:top w:w="120" w:type="dxa"/>
              <w:left w:w="120" w:type="dxa"/>
              <w:bottom w:w="120" w:type="dxa"/>
              <w:right w:w="120" w:type="dxa"/>
            </w:tcMar>
            <w:vAlign w:val="center"/>
          </w:tcPr>
          <w:p w14:paraId="5A048D8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排气口消毒装置≥1 台，与真空泵联动，处理量≥900m³/h，除菌率≥99.99%</w:t>
            </w:r>
          </w:p>
        </w:tc>
        <w:tc>
          <w:tcPr>
            <w:tcW w:w="834" w:type="pct"/>
            <w:noWrap w:val="0"/>
            <w:tcMar>
              <w:top w:w="120" w:type="dxa"/>
              <w:left w:w="120" w:type="dxa"/>
              <w:bottom w:w="120" w:type="dxa"/>
              <w:right w:w="120" w:type="dxa"/>
            </w:tcMar>
            <w:vAlign w:val="center"/>
          </w:tcPr>
          <w:p w14:paraId="4435B1A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65C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3AA3629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▲10.1</w:t>
            </w:r>
          </w:p>
        </w:tc>
        <w:tc>
          <w:tcPr>
            <w:tcW w:w="3665" w:type="pct"/>
            <w:noWrap w:val="0"/>
            <w:tcMar>
              <w:top w:w="120" w:type="dxa"/>
              <w:left w:w="120" w:type="dxa"/>
              <w:bottom w:w="120" w:type="dxa"/>
              <w:right w:w="120" w:type="dxa"/>
            </w:tcMar>
            <w:vAlign w:val="center"/>
          </w:tcPr>
          <w:p w14:paraId="73C4BC5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功率≥3.0kw，开启热力高温、臭氧装置、氢光离子（高强紫外线）、高压电离多重功能作用时间≤15S，病菌培养≥48小时；针对病菌及病毒杀灭率≥99.999%</w:t>
            </w:r>
          </w:p>
        </w:tc>
        <w:tc>
          <w:tcPr>
            <w:tcW w:w="834" w:type="pct"/>
            <w:noWrap w:val="0"/>
            <w:tcMar>
              <w:top w:w="120" w:type="dxa"/>
              <w:left w:w="120" w:type="dxa"/>
              <w:bottom w:w="120" w:type="dxa"/>
              <w:right w:w="120" w:type="dxa"/>
            </w:tcMar>
            <w:vAlign w:val="center"/>
          </w:tcPr>
          <w:p w14:paraId="0465C1B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2003F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789DC6C2">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10.2</w:t>
            </w:r>
          </w:p>
        </w:tc>
        <w:tc>
          <w:tcPr>
            <w:tcW w:w="3665" w:type="pct"/>
            <w:noWrap w:val="0"/>
            <w:tcMar>
              <w:top w:w="120" w:type="dxa"/>
              <w:left w:w="120" w:type="dxa"/>
              <w:bottom w:w="120" w:type="dxa"/>
              <w:right w:w="120" w:type="dxa"/>
            </w:tcMar>
            <w:vAlign w:val="center"/>
          </w:tcPr>
          <w:p w14:paraId="5F621C0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控制箱与灭菌箱进行有效间隙隔离，避免灭菌箱高温对控制箱内电器元件的产生过热损坏；</w:t>
            </w:r>
          </w:p>
        </w:tc>
        <w:tc>
          <w:tcPr>
            <w:tcW w:w="834" w:type="pct"/>
            <w:noWrap w:val="0"/>
            <w:tcMar>
              <w:top w:w="120" w:type="dxa"/>
              <w:left w:w="120" w:type="dxa"/>
              <w:bottom w:w="120" w:type="dxa"/>
              <w:right w:w="120" w:type="dxa"/>
            </w:tcMar>
            <w:vAlign w:val="center"/>
          </w:tcPr>
          <w:p w14:paraId="2FCCC81F">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43A54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3039BA64">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10.3</w:t>
            </w:r>
          </w:p>
        </w:tc>
        <w:tc>
          <w:tcPr>
            <w:tcW w:w="3665" w:type="pct"/>
            <w:noWrap w:val="0"/>
            <w:tcMar>
              <w:top w:w="120" w:type="dxa"/>
              <w:left w:w="120" w:type="dxa"/>
              <w:bottom w:w="120" w:type="dxa"/>
              <w:right w:w="120" w:type="dxa"/>
            </w:tcMar>
            <w:vAlign w:val="center"/>
          </w:tcPr>
          <w:p w14:paraId="7622CE00">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控制箱内设有超高温保护、加热时间过长保护；</w:t>
            </w:r>
          </w:p>
        </w:tc>
        <w:tc>
          <w:tcPr>
            <w:tcW w:w="834" w:type="pct"/>
            <w:noWrap w:val="0"/>
            <w:tcMar>
              <w:top w:w="120" w:type="dxa"/>
              <w:left w:w="120" w:type="dxa"/>
              <w:bottom w:w="120" w:type="dxa"/>
              <w:right w:w="120" w:type="dxa"/>
            </w:tcMar>
            <w:vAlign w:val="center"/>
          </w:tcPr>
          <w:p w14:paraId="50A566B8">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4996F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793E1B48">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▲10.4</w:t>
            </w:r>
          </w:p>
        </w:tc>
        <w:tc>
          <w:tcPr>
            <w:tcW w:w="3665" w:type="pct"/>
            <w:noWrap w:val="0"/>
            <w:tcMar>
              <w:top w:w="120" w:type="dxa"/>
              <w:left w:w="120" w:type="dxa"/>
              <w:bottom w:w="120" w:type="dxa"/>
              <w:right w:w="120" w:type="dxa"/>
            </w:tcMar>
            <w:vAlign w:val="center"/>
          </w:tcPr>
          <w:p w14:paraId="6B9F702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灭菌装置应符合《GB 9706.1-2020》医用电气设备第 1 部分：基本安全和基本性能的通用要求》标准的要求；</w:t>
            </w:r>
          </w:p>
        </w:tc>
        <w:tc>
          <w:tcPr>
            <w:tcW w:w="834" w:type="pct"/>
            <w:noWrap w:val="0"/>
            <w:tcMar>
              <w:top w:w="120" w:type="dxa"/>
              <w:left w:w="120" w:type="dxa"/>
              <w:bottom w:w="120" w:type="dxa"/>
              <w:right w:w="120" w:type="dxa"/>
            </w:tcMar>
            <w:vAlign w:val="center"/>
          </w:tcPr>
          <w:p w14:paraId="660097E5">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77B1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44706EFE">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▲10.5</w:t>
            </w:r>
          </w:p>
        </w:tc>
        <w:tc>
          <w:tcPr>
            <w:tcW w:w="3665" w:type="pct"/>
            <w:noWrap w:val="0"/>
            <w:tcMar>
              <w:top w:w="120" w:type="dxa"/>
              <w:left w:w="120" w:type="dxa"/>
              <w:bottom w:w="120" w:type="dxa"/>
              <w:right w:w="120" w:type="dxa"/>
            </w:tcMar>
            <w:vAlign w:val="center"/>
          </w:tcPr>
          <w:p w14:paraId="39F8E7F8">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灭菌装置-应符合YY 9706.102-2021《医用电气设备第 1-2 部分：基本安全和基本性能的通用要求并列标准电磁兼容要求和试验》的要求；</w:t>
            </w:r>
          </w:p>
        </w:tc>
        <w:tc>
          <w:tcPr>
            <w:tcW w:w="834" w:type="pct"/>
            <w:noWrap w:val="0"/>
            <w:tcMar>
              <w:top w:w="120" w:type="dxa"/>
              <w:left w:w="120" w:type="dxa"/>
              <w:bottom w:w="120" w:type="dxa"/>
              <w:right w:w="120" w:type="dxa"/>
            </w:tcMar>
            <w:vAlign w:val="center"/>
          </w:tcPr>
          <w:p w14:paraId="34B0D9F1">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53B2B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440A6E47">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10.6</w:t>
            </w:r>
          </w:p>
        </w:tc>
        <w:tc>
          <w:tcPr>
            <w:tcW w:w="3665" w:type="pct"/>
            <w:noWrap w:val="0"/>
            <w:tcMar>
              <w:top w:w="120" w:type="dxa"/>
              <w:left w:w="120" w:type="dxa"/>
              <w:bottom w:w="120" w:type="dxa"/>
              <w:right w:w="120" w:type="dxa"/>
            </w:tcMar>
            <w:vAlign w:val="center"/>
          </w:tcPr>
          <w:p w14:paraId="2D06161D">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仪器采用弯道式迷宫设计</w:t>
            </w:r>
          </w:p>
        </w:tc>
        <w:tc>
          <w:tcPr>
            <w:tcW w:w="834" w:type="pct"/>
            <w:noWrap w:val="0"/>
            <w:tcMar>
              <w:top w:w="120" w:type="dxa"/>
              <w:left w:w="120" w:type="dxa"/>
              <w:bottom w:w="120" w:type="dxa"/>
              <w:right w:w="120" w:type="dxa"/>
            </w:tcMar>
            <w:vAlign w:val="center"/>
          </w:tcPr>
          <w:p w14:paraId="2116446C">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1DE1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34B2E0F3">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10.7</w:t>
            </w:r>
          </w:p>
        </w:tc>
        <w:tc>
          <w:tcPr>
            <w:tcW w:w="3665" w:type="pct"/>
            <w:noWrap w:val="0"/>
            <w:tcMar>
              <w:top w:w="120" w:type="dxa"/>
              <w:left w:w="120" w:type="dxa"/>
              <w:bottom w:w="120" w:type="dxa"/>
              <w:right w:w="120" w:type="dxa"/>
            </w:tcMar>
            <w:vAlign w:val="center"/>
          </w:tcPr>
          <w:p w14:paraId="343A5985">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提供设备生产厂家售后服务承诺书</w:t>
            </w:r>
          </w:p>
        </w:tc>
        <w:tc>
          <w:tcPr>
            <w:tcW w:w="834" w:type="pct"/>
            <w:noWrap w:val="0"/>
            <w:tcMar>
              <w:top w:w="120" w:type="dxa"/>
              <w:left w:w="120" w:type="dxa"/>
              <w:bottom w:w="120" w:type="dxa"/>
              <w:right w:w="120" w:type="dxa"/>
            </w:tcMar>
            <w:vAlign w:val="center"/>
          </w:tcPr>
          <w:p w14:paraId="62E7CC6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p>
        </w:tc>
      </w:tr>
      <w:tr w14:paraId="39CA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19A87B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11</w:t>
            </w:r>
          </w:p>
        </w:tc>
        <w:tc>
          <w:tcPr>
            <w:tcW w:w="0" w:type="auto"/>
            <w:noWrap w:val="0"/>
            <w:tcMar>
              <w:top w:w="120" w:type="dxa"/>
              <w:left w:w="120" w:type="dxa"/>
              <w:bottom w:w="120" w:type="dxa"/>
              <w:right w:w="120" w:type="dxa"/>
            </w:tcMar>
            <w:vAlign w:val="center"/>
          </w:tcPr>
          <w:p w14:paraId="58A8614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外置真空罐前设负压细菌过滤器≥2 只</w:t>
            </w:r>
          </w:p>
        </w:tc>
        <w:tc>
          <w:tcPr>
            <w:tcW w:w="834" w:type="pct"/>
            <w:noWrap w:val="0"/>
            <w:tcMar>
              <w:top w:w="120" w:type="dxa"/>
              <w:left w:w="120" w:type="dxa"/>
              <w:bottom w:w="120" w:type="dxa"/>
              <w:right w:w="120" w:type="dxa"/>
            </w:tcMar>
            <w:vAlign w:val="center"/>
          </w:tcPr>
          <w:p w14:paraId="688BA46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05F1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1DADE54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11.1</w:t>
            </w:r>
          </w:p>
        </w:tc>
        <w:tc>
          <w:tcPr>
            <w:tcW w:w="3665" w:type="pct"/>
            <w:noWrap w:val="0"/>
            <w:tcMar>
              <w:top w:w="120" w:type="dxa"/>
              <w:left w:w="120" w:type="dxa"/>
              <w:bottom w:w="120" w:type="dxa"/>
              <w:right w:w="120" w:type="dxa"/>
            </w:tcMar>
            <w:vAlign w:val="center"/>
          </w:tcPr>
          <w:p w14:paraId="453ADF14">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default" w:ascii="宋体" w:hAnsi="宋体" w:eastAsia="宋体" w:cs="宋体"/>
                <w:color w:val="auto"/>
                <w:kern w:val="0"/>
                <w:sz w:val="23"/>
                <w:szCs w:val="23"/>
                <w:highlight w:val="none"/>
                <w:lang w:val="en-US" w:eastAsia="zh-CN" w:bidi="ar"/>
              </w:rPr>
              <w:t>细菌过滤</w:t>
            </w:r>
            <w:r>
              <w:rPr>
                <w:rFonts w:hint="eastAsia" w:ascii="宋体" w:hAnsi="宋体" w:eastAsia="宋体" w:cs="宋体"/>
                <w:color w:val="auto"/>
                <w:kern w:val="0"/>
                <w:sz w:val="23"/>
                <w:szCs w:val="23"/>
                <w:highlight w:val="none"/>
                <w:lang w:val="en-US" w:eastAsia="zh-CN" w:bidi="ar"/>
              </w:rPr>
              <w:t>器</w:t>
            </w:r>
            <w:r>
              <w:rPr>
                <w:rFonts w:hint="default" w:ascii="宋体" w:hAnsi="宋体" w:eastAsia="宋体" w:cs="宋体"/>
                <w:color w:val="auto"/>
                <w:kern w:val="0"/>
                <w:sz w:val="23"/>
                <w:szCs w:val="23"/>
                <w:highlight w:val="none"/>
                <w:lang w:val="en-US" w:eastAsia="zh-CN" w:bidi="ar"/>
              </w:rPr>
              <w:t>采用外壳不锈钢，下吸上抽方式，以减少液体滞留和细菌滋生，</w:t>
            </w:r>
          </w:p>
        </w:tc>
        <w:tc>
          <w:tcPr>
            <w:tcW w:w="834" w:type="pct"/>
            <w:noWrap w:val="0"/>
            <w:tcMar>
              <w:top w:w="120" w:type="dxa"/>
              <w:left w:w="120" w:type="dxa"/>
              <w:bottom w:w="120" w:type="dxa"/>
              <w:right w:w="120" w:type="dxa"/>
            </w:tcMar>
            <w:vAlign w:val="center"/>
          </w:tcPr>
          <w:p w14:paraId="669560BF">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w:t>
            </w:r>
          </w:p>
        </w:tc>
      </w:tr>
      <w:tr w14:paraId="4D49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3B913F6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▲11.2</w:t>
            </w:r>
          </w:p>
        </w:tc>
        <w:tc>
          <w:tcPr>
            <w:tcW w:w="3665" w:type="pct"/>
            <w:noWrap w:val="0"/>
            <w:tcMar>
              <w:top w:w="120" w:type="dxa"/>
              <w:left w:w="120" w:type="dxa"/>
              <w:bottom w:w="120" w:type="dxa"/>
              <w:right w:w="120" w:type="dxa"/>
            </w:tcMar>
            <w:vAlign w:val="center"/>
          </w:tcPr>
          <w:p w14:paraId="4CA6A2CB">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default" w:ascii="宋体" w:hAnsi="宋体" w:eastAsia="宋体" w:cs="宋体"/>
                <w:color w:val="auto"/>
                <w:kern w:val="0"/>
                <w:sz w:val="23"/>
                <w:szCs w:val="23"/>
                <w:highlight w:val="none"/>
                <w:lang w:val="en-US" w:eastAsia="zh-CN" w:bidi="ar"/>
              </w:rPr>
              <w:t>滤芯滤芯符合 ISO 8573.1 一级要求0.01μm 的过滤效率，0.01~0.2μm 过滤效率＞99.995%；</w:t>
            </w:r>
          </w:p>
        </w:tc>
        <w:tc>
          <w:tcPr>
            <w:tcW w:w="834" w:type="pct"/>
            <w:noWrap w:val="0"/>
            <w:tcMar>
              <w:top w:w="120" w:type="dxa"/>
              <w:left w:w="120" w:type="dxa"/>
              <w:bottom w:w="120" w:type="dxa"/>
              <w:right w:w="120" w:type="dxa"/>
            </w:tcMar>
            <w:vAlign w:val="center"/>
          </w:tcPr>
          <w:p w14:paraId="5D685D8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51CC5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2EE66503">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▲11.3</w:t>
            </w:r>
          </w:p>
        </w:tc>
        <w:tc>
          <w:tcPr>
            <w:tcW w:w="3665" w:type="pct"/>
            <w:noWrap w:val="0"/>
            <w:tcMar>
              <w:top w:w="120" w:type="dxa"/>
              <w:left w:w="120" w:type="dxa"/>
              <w:bottom w:w="120" w:type="dxa"/>
              <w:right w:w="120" w:type="dxa"/>
            </w:tcMar>
            <w:vAlign w:val="center"/>
          </w:tcPr>
          <w:p w14:paraId="71E2273F">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default" w:ascii="宋体" w:hAnsi="宋体" w:eastAsia="宋体" w:cs="宋体"/>
                <w:color w:val="auto"/>
                <w:kern w:val="0"/>
                <w:sz w:val="23"/>
                <w:szCs w:val="23"/>
                <w:highlight w:val="none"/>
                <w:lang w:val="en-US" w:eastAsia="zh-CN" w:bidi="ar"/>
              </w:rPr>
              <w:t>压力损失负压值在-85kpa的工作点，压差损失不超过1kpa，具有滤芯性能监视功能；</w:t>
            </w:r>
          </w:p>
        </w:tc>
        <w:tc>
          <w:tcPr>
            <w:tcW w:w="834" w:type="pct"/>
            <w:noWrap w:val="0"/>
            <w:tcMar>
              <w:top w:w="120" w:type="dxa"/>
              <w:left w:w="120" w:type="dxa"/>
              <w:bottom w:w="120" w:type="dxa"/>
              <w:right w:w="120" w:type="dxa"/>
            </w:tcMar>
            <w:vAlign w:val="center"/>
          </w:tcPr>
          <w:p w14:paraId="1C8FEBA5">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151F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115882E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11.4</w:t>
            </w:r>
          </w:p>
        </w:tc>
        <w:tc>
          <w:tcPr>
            <w:tcW w:w="3665" w:type="pct"/>
            <w:noWrap w:val="0"/>
            <w:tcMar>
              <w:top w:w="120" w:type="dxa"/>
              <w:left w:w="120" w:type="dxa"/>
              <w:bottom w:w="120" w:type="dxa"/>
              <w:right w:w="120" w:type="dxa"/>
            </w:tcMar>
            <w:vAlign w:val="center"/>
          </w:tcPr>
          <w:p w14:paraId="32076206">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提供设备生产厂家售后服务承诺书</w:t>
            </w:r>
          </w:p>
        </w:tc>
        <w:tc>
          <w:tcPr>
            <w:tcW w:w="834" w:type="pct"/>
            <w:noWrap w:val="0"/>
            <w:tcMar>
              <w:top w:w="120" w:type="dxa"/>
              <w:left w:w="120" w:type="dxa"/>
              <w:bottom w:w="120" w:type="dxa"/>
              <w:right w:w="120" w:type="dxa"/>
            </w:tcMar>
            <w:vAlign w:val="center"/>
          </w:tcPr>
          <w:p w14:paraId="76748FD6">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p>
        </w:tc>
      </w:tr>
    </w:tbl>
    <w:p w14:paraId="36502E4B">
      <w:pPr>
        <w:pStyle w:val="53"/>
        <w:widowControl/>
        <w:numPr>
          <w:ilvl w:val="0"/>
          <w:numId w:val="0"/>
        </w:numPr>
        <w:spacing w:line="360" w:lineRule="auto"/>
        <w:ind w:left="284" w:leftChars="0"/>
        <w:jc w:val="left"/>
        <w:rPr>
          <w:rFonts w:hint="eastAsia" w:ascii="宋体" w:hAnsi="宋体" w:eastAsia="宋体" w:cs="宋体"/>
          <w:color w:val="auto"/>
          <w:kern w:val="2"/>
          <w:sz w:val="23"/>
          <w:szCs w:val="23"/>
          <w:highlight w:val="none"/>
          <w:lang w:val="en-US" w:eastAsia="zh-CN" w:bidi="ar-SA"/>
        </w:rPr>
      </w:pPr>
    </w:p>
    <w:p w14:paraId="4C56B486">
      <w:pPr>
        <w:tabs>
          <w:tab w:val="left" w:pos="-180"/>
          <w:tab w:val="left" w:pos="0"/>
        </w:tabs>
        <w:spacing w:line="360" w:lineRule="auto"/>
        <w:rPr>
          <w:rFonts w:hint="eastAsia" w:ascii="宋体" w:hAnsi="宋体" w:eastAsia="宋体" w:cs="宋体"/>
          <w:b/>
          <w:color w:val="auto"/>
          <w:sz w:val="23"/>
          <w:szCs w:val="23"/>
          <w:highlight w:val="none"/>
        </w:rPr>
      </w:pPr>
      <w:r>
        <w:rPr>
          <w:rFonts w:hint="eastAsia" w:ascii="宋体" w:hAnsi="宋体" w:eastAsia="宋体" w:cs="宋体"/>
          <w:color w:val="auto"/>
          <w:sz w:val="23"/>
          <w:szCs w:val="23"/>
          <w:highlight w:val="none"/>
        </w:rPr>
        <w:t>2、吸引管道系统</w:t>
      </w:r>
    </w:p>
    <w:p w14:paraId="73846838">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2.1管道材质：参照图纸。</w:t>
      </w:r>
    </w:p>
    <w:p w14:paraId="718F8A10">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2.2管道规格：参照图纸。</w:t>
      </w:r>
    </w:p>
    <w:p w14:paraId="6BF5D437">
      <w:pPr>
        <w:spacing w:line="360" w:lineRule="auto"/>
        <w:ind w:right="-105" w:rightChars="-5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2.3管道连接方法技术要求</w:t>
      </w:r>
    </w:p>
    <w:p w14:paraId="5DFFBDB6">
      <w:pPr>
        <w:spacing w:line="360" w:lineRule="auto"/>
        <w:ind w:right="-105" w:rightChars="-50" w:firstLine="453" w:firstLineChars="197"/>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铜管道连接采用标准的铜管件连接后银基钎焊连焊接。整个系统连接均采用金属密封，可保证系统的气密性。不锈钢管连接采用标准的不锈钢球头、螺帽、焊咀连接后氩弧焊接连接。整个系统连接均采用金属密封，可保证系统的气密性。</w:t>
      </w:r>
    </w:p>
    <w:p w14:paraId="6D183DE0">
      <w:pPr>
        <w:spacing w:line="360" w:lineRule="auto"/>
        <w:ind w:right="-105" w:rightChars="-50" w:firstLine="453" w:firstLineChars="197"/>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医用气体管道采用符合《医用气体和真空用无缝铜管》YS/T 650 的无缝铜管；管材及附件在工厂完成脱脂，进场前已脱脂合格；铜管焊接采用硬钎焊，焊接时管内采用氮气等惰性气体保护。</w:t>
      </w:r>
    </w:p>
    <w:p w14:paraId="3AFE4642">
      <w:pPr>
        <w:spacing w:line="360" w:lineRule="auto"/>
        <w:ind w:right="-105" w:rightChars="-5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2.4管道布置</w:t>
      </w:r>
    </w:p>
    <w:p w14:paraId="311C3A70">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主管道沿走廊墙面架设至大楼管道井，病区走廊横管安装在吊顶内，病房内支管及终端均安装在铝合金设备带内，这样既整齐又美观（与氧气管道一起走管）。</w:t>
      </w:r>
    </w:p>
    <w:p w14:paraId="7D586B87">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3、系统压力试验、吹扫技术要求</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75"/>
        <w:gridCol w:w="1091"/>
        <w:gridCol w:w="1505"/>
        <w:gridCol w:w="2195"/>
        <w:gridCol w:w="3748"/>
      </w:tblGrid>
      <w:tr w14:paraId="6D78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523B723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20EF14C">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试验名称</w:t>
            </w:r>
          </w:p>
        </w:tc>
        <w:tc>
          <w:tcPr>
            <w:tcW w:w="0" w:type="auto"/>
            <w:noWrap w:val="0"/>
            <w:tcMar>
              <w:top w:w="120" w:type="dxa"/>
              <w:left w:w="120" w:type="dxa"/>
              <w:bottom w:w="120" w:type="dxa"/>
              <w:right w:w="120" w:type="dxa"/>
            </w:tcMar>
            <w:vAlign w:val="center"/>
          </w:tcPr>
          <w:p w14:paraId="5D3EBC40">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试验介质</w:t>
            </w:r>
          </w:p>
        </w:tc>
        <w:tc>
          <w:tcPr>
            <w:tcW w:w="0" w:type="auto"/>
            <w:noWrap w:val="0"/>
            <w:tcMar>
              <w:top w:w="120" w:type="dxa"/>
              <w:left w:w="120" w:type="dxa"/>
              <w:bottom w:w="120" w:type="dxa"/>
              <w:right w:w="120" w:type="dxa"/>
            </w:tcMar>
            <w:vAlign w:val="center"/>
          </w:tcPr>
          <w:p w14:paraId="68670209">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试验参数</w:t>
            </w:r>
          </w:p>
        </w:tc>
        <w:tc>
          <w:tcPr>
            <w:tcW w:w="0" w:type="auto"/>
            <w:noWrap w:val="0"/>
            <w:tcMar>
              <w:top w:w="120" w:type="dxa"/>
              <w:left w:w="120" w:type="dxa"/>
              <w:bottom w:w="120" w:type="dxa"/>
              <w:right w:w="120" w:type="dxa"/>
            </w:tcMar>
            <w:vAlign w:val="center"/>
          </w:tcPr>
          <w:p w14:paraId="182FDAB0">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合格标准</w:t>
            </w:r>
          </w:p>
        </w:tc>
      </w:tr>
      <w:tr w14:paraId="1B31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4DE4DA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5C5B82B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系统压力试验</w:t>
            </w:r>
          </w:p>
        </w:tc>
        <w:tc>
          <w:tcPr>
            <w:tcW w:w="0" w:type="auto"/>
            <w:noWrap w:val="0"/>
            <w:tcMar>
              <w:top w:w="120" w:type="dxa"/>
              <w:left w:w="120" w:type="dxa"/>
              <w:bottom w:w="120" w:type="dxa"/>
              <w:right w:w="120" w:type="dxa"/>
            </w:tcMar>
            <w:vAlign w:val="center"/>
          </w:tcPr>
          <w:p w14:paraId="7E851C8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2587549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0.2MPa，保压≥10min</w:t>
            </w:r>
          </w:p>
        </w:tc>
        <w:tc>
          <w:tcPr>
            <w:tcW w:w="0" w:type="auto"/>
            <w:noWrap w:val="0"/>
            <w:tcMar>
              <w:top w:w="120" w:type="dxa"/>
              <w:left w:w="120" w:type="dxa"/>
              <w:bottom w:w="120" w:type="dxa"/>
              <w:right w:w="120" w:type="dxa"/>
            </w:tcMar>
            <w:vAlign w:val="center"/>
          </w:tcPr>
          <w:p w14:paraId="5A98CA9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管道无泄漏、外观无变形</w:t>
            </w:r>
          </w:p>
        </w:tc>
      </w:tr>
      <w:tr w14:paraId="65435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B3F3CA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72BCA76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系统泄漏性试验</w:t>
            </w:r>
          </w:p>
        </w:tc>
        <w:tc>
          <w:tcPr>
            <w:tcW w:w="0" w:type="auto"/>
            <w:noWrap w:val="0"/>
            <w:tcMar>
              <w:top w:w="120" w:type="dxa"/>
              <w:left w:w="120" w:type="dxa"/>
              <w:bottom w:w="120" w:type="dxa"/>
              <w:right w:w="120" w:type="dxa"/>
            </w:tcMar>
            <w:vAlign w:val="center"/>
          </w:tcPr>
          <w:p w14:paraId="58A0D86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21D0B1C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70kPa，保压 24h</w:t>
            </w:r>
          </w:p>
        </w:tc>
        <w:tc>
          <w:tcPr>
            <w:tcW w:w="0" w:type="auto"/>
            <w:noWrap w:val="0"/>
            <w:tcMar>
              <w:top w:w="120" w:type="dxa"/>
              <w:left w:w="120" w:type="dxa"/>
              <w:bottom w:w="120" w:type="dxa"/>
              <w:right w:w="120" w:type="dxa"/>
            </w:tcMar>
            <w:vAlign w:val="center"/>
          </w:tcPr>
          <w:p w14:paraId="420849E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每小时泄漏率 0.5%～1.8%（符合 GB50751-2012 第 10.2.19 条）</w:t>
            </w:r>
          </w:p>
        </w:tc>
      </w:tr>
      <w:tr w14:paraId="4138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71F92B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106E4AB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系统吹扫</w:t>
            </w:r>
          </w:p>
        </w:tc>
        <w:tc>
          <w:tcPr>
            <w:tcW w:w="0" w:type="auto"/>
            <w:noWrap w:val="0"/>
            <w:tcMar>
              <w:top w:w="120" w:type="dxa"/>
              <w:left w:w="120" w:type="dxa"/>
              <w:bottom w:w="120" w:type="dxa"/>
              <w:right w:w="120" w:type="dxa"/>
            </w:tcMar>
            <w:vAlign w:val="center"/>
          </w:tcPr>
          <w:p w14:paraId="5A9C113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1C5DD31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吹扫至管道内无残留杂质</w:t>
            </w:r>
          </w:p>
        </w:tc>
        <w:tc>
          <w:tcPr>
            <w:tcW w:w="0" w:type="auto"/>
            <w:noWrap w:val="0"/>
            <w:tcMar>
              <w:top w:w="120" w:type="dxa"/>
              <w:left w:w="120" w:type="dxa"/>
              <w:bottom w:w="120" w:type="dxa"/>
              <w:right w:w="120" w:type="dxa"/>
            </w:tcMar>
            <w:vAlign w:val="center"/>
          </w:tcPr>
          <w:p w14:paraId="464A33D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出气口无杂质、洁净无油污</w:t>
            </w:r>
          </w:p>
        </w:tc>
      </w:tr>
    </w:tbl>
    <w:p w14:paraId="21F2C179">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4、管道接地：</w:t>
      </w:r>
    </w:p>
    <w:p w14:paraId="56C47790">
      <w:pPr>
        <w:tabs>
          <w:tab w:val="left" w:pos="-180"/>
          <w:tab w:val="left" w:pos="0"/>
        </w:tabs>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吸引管道应按相关标准要求进行接地，接地电阻为&lt;10欧姆。</w:t>
      </w:r>
    </w:p>
    <w:p w14:paraId="5F126815">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5、吸引系统技术参数：</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39"/>
        <w:gridCol w:w="1948"/>
        <w:gridCol w:w="6427"/>
      </w:tblGrid>
      <w:tr w14:paraId="71F1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1B5ACC85">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2F28CE71">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技术参数项目</w:t>
            </w:r>
          </w:p>
        </w:tc>
        <w:tc>
          <w:tcPr>
            <w:tcW w:w="0" w:type="auto"/>
            <w:noWrap w:val="0"/>
            <w:tcMar>
              <w:top w:w="120" w:type="dxa"/>
              <w:left w:w="120" w:type="dxa"/>
              <w:bottom w:w="120" w:type="dxa"/>
              <w:right w:w="120" w:type="dxa"/>
            </w:tcMar>
            <w:vAlign w:val="center"/>
          </w:tcPr>
          <w:p w14:paraId="6A9911B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要求详情</w:t>
            </w:r>
          </w:p>
        </w:tc>
      </w:tr>
      <w:tr w14:paraId="018E4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3B0EB6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246908A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系统压力要求</w:t>
            </w:r>
          </w:p>
        </w:tc>
        <w:tc>
          <w:tcPr>
            <w:tcW w:w="0" w:type="auto"/>
            <w:noWrap w:val="0"/>
            <w:tcMar>
              <w:top w:w="120" w:type="dxa"/>
              <w:left w:w="120" w:type="dxa"/>
              <w:bottom w:w="120" w:type="dxa"/>
              <w:right w:w="120" w:type="dxa"/>
            </w:tcMar>
            <w:vAlign w:val="center"/>
          </w:tcPr>
          <w:p w14:paraId="1D1BE28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管内压力任何情况下不得高于环境压力</w:t>
            </w:r>
          </w:p>
        </w:tc>
      </w:tr>
      <w:tr w14:paraId="0A0FC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C80859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36F62C3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工作压力</w:t>
            </w:r>
          </w:p>
        </w:tc>
        <w:tc>
          <w:tcPr>
            <w:tcW w:w="0" w:type="auto"/>
            <w:noWrap w:val="0"/>
            <w:tcMar>
              <w:top w:w="120" w:type="dxa"/>
              <w:left w:w="120" w:type="dxa"/>
              <w:bottom w:w="120" w:type="dxa"/>
              <w:right w:w="120" w:type="dxa"/>
            </w:tcMar>
            <w:vAlign w:val="center"/>
          </w:tcPr>
          <w:p w14:paraId="0364D6F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大气环境下：-0.07MPa ～ -0.045MPa（范围内可调）</w:t>
            </w:r>
          </w:p>
        </w:tc>
      </w:tr>
      <w:tr w14:paraId="31B97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C7E02B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6AEAB83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系统小时泄漏率</w:t>
            </w:r>
          </w:p>
        </w:tc>
        <w:tc>
          <w:tcPr>
            <w:tcW w:w="0" w:type="auto"/>
            <w:noWrap w:val="0"/>
            <w:tcMar>
              <w:top w:w="120" w:type="dxa"/>
              <w:left w:w="120" w:type="dxa"/>
              <w:bottom w:w="120" w:type="dxa"/>
              <w:right w:w="120" w:type="dxa"/>
            </w:tcMar>
            <w:vAlign w:val="center"/>
          </w:tcPr>
          <w:p w14:paraId="20F6F25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GB 50751-2012 第 10.2.19 条，泄漏率 0.5%～1.8%</w:t>
            </w:r>
          </w:p>
        </w:tc>
      </w:tr>
      <w:tr w14:paraId="17BE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70A4B9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62D5A2D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接地要求</w:t>
            </w:r>
          </w:p>
        </w:tc>
        <w:tc>
          <w:tcPr>
            <w:tcW w:w="0" w:type="auto"/>
            <w:noWrap w:val="0"/>
            <w:tcMar>
              <w:top w:w="120" w:type="dxa"/>
              <w:left w:w="120" w:type="dxa"/>
              <w:bottom w:w="120" w:type="dxa"/>
              <w:right w:w="120" w:type="dxa"/>
            </w:tcMar>
            <w:vAlign w:val="center"/>
          </w:tcPr>
          <w:p w14:paraId="4A7A506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系统可靠接地，接地电阻＜10Ω</w:t>
            </w:r>
          </w:p>
        </w:tc>
      </w:tr>
      <w:tr w14:paraId="10EC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F646D3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453C1BB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终端设计流量</w:t>
            </w:r>
          </w:p>
        </w:tc>
        <w:tc>
          <w:tcPr>
            <w:tcW w:w="0" w:type="auto"/>
            <w:noWrap w:val="0"/>
            <w:tcMar>
              <w:top w:w="120" w:type="dxa"/>
              <w:left w:w="120" w:type="dxa"/>
              <w:bottom w:w="120" w:type="dxa"/>
              <w:right w:w="120" w:type="dxa"/>
            </w:tcMar>
            <w:vAlign w:val="center"/>
          </w:tcPr>
          <w:p w14:paraId="4CA94A6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大手术室≥80L/min小手术室、所有病房床位≥40L/min</w:t>
            </w:r>
          </w:p>
        </w:tc>
      </w:tr>
      <w:tr w14:paraId="78AA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6A1030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w:t>
            </w:r>
          </w:p>
        </w:tc>
        <w:tc>
          <w:tcPr>
            <w:tcW w:w="0" w:type="auto"/>
            <w:noWrap w:val="0"/>
            <w:tcMar>
              <w:top w:w="120" w:type="dxa"/>
              <w:left w:w="120" w:type="dxa"/>
              <w:bottom w:w="120" w:type="dxa"/>
              <w:right w:w="120" w:type="dxa"/>
            </w:tcMar>
            <w:vAlign w:val="center"/>
          </w:tcPr>
          <w:p w14:paraId="0C3EC44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终端压力</w:t>
            </w:r>
          </w:p>
        </w:tc>
        <w:tc>
          <w:tcPr>
            <w:tcW w:w="0" w:type="auto"/>
            <w:noWrap w:val="0"/>
            <w:tcMar>
              <w:top w:w="120" w:type="dxa"/>
              <w:left w:w="120" w:type="dxa"/>
              <w:bottom w:w="120" w:type="dxa"/>
              <w:right w:w="120" w:type="dxa"/>
            </w:tcMar>
            <w:vAlign w:val="center"/>
          </w:tcPr>
          <w:p w14:paraId="1DE6F4B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-0.07～-0.045MPa（可调）</w:t>
            </w:r>
          </w:p>
        </w:tc>
      </w:tr>
    </w:tbl>
    <w:p w14:paraId="49FE12A6">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w:t>
      </w:r>
    </w:p>
    <w:p w14:paraId="1C7E1E0D">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四、医用压缩空气系统详细说明</w:t>
      </w:r>
    </w:p>
    <w:p w14:paraId="7C0C442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压缩空气系统的动力源是</w:t>
      </w:r>
      <w:r>
        <w:rPr>
          <w:rFonts w:hint="eastAsia" w:ascii="宋体" w:hAnsi="宋体" w:eastAsia="宋体" w:cs="宋体"/>
          <w:color w:val="auto"/>
          <w:sz w:val="23"/>
          <w:szCs w:val="23"/>
          <w:highlight w:val="none"/>
          <w:lang w:val="en-US" w:eastAsia="zh-CN"/>
        </w:rPr>
        <w:t>医用空气压缩机组</w:t>
      </w:r>
      <w:r>
        <w:rPr>
          <w:rFonts w:hint="eastAsia" w:ascii="宋体" w:hAnsi="宋体" w:eastAsia="宋体" w:cs="宋体"/>
          <w:color w:val="auto"/>
          <w:sz w:val="23"/>
          <w:szCs w:val="23"/>
          <w:highlight w:val="none"/>
        </w:rPr>
        <w:t>站的</w:t>
      </w:r>
      <w:r>
        <w:rPr>
          <w:rFonts w:hint="eastAsia" w:ascii="宋体" w:hAnsi="宋体" w:eastAsia="宋体" w:cs="宋体"/>
          <w:color w:val="auto"/>
          <w:sz w:val="23"/>
          <w:szCs w:val="23"/>
          <w:highlight w:val="none"/>
          <w:lang w:val="en-US" w:eastAsia="zh-CN"/>
        </w:rPr>
        <w:t>医用空气压缩</w:t>
      </w:r>
      <w:r>
        <w:rPr>
          <w:rFonts w:hint="eastAsia" w:ascii="宋体" w:hAnsi="宋体" w:eastAsia="宋体" w:cs="宋体"/>
          <w:color w:val="auto"/>
          <w:sz w:val="23"/>
          <w:szCs w:val="23"/>
          <w:highlight w:val="none"/>
        </w:rPr>
        <w:t>机组，通过</w:t>
      </w:r>
      <w:r>
        <w:rPr>
          <w:rFonts w:hint="eastAsia" w:ascii="宋体" w:hAnsi="宋体" w:eastAsia="宋体" w:cs="宋体"/>
          <w:color w:val="auto"/>
          <w:sz w:val="23"/>
          <w:szCs w:val="23"/>
          <w:highlight w:val="none"/>
          <w:lang w:val="en-US" w:eastAsia="zh-CN"/>
        </w:rPr>
        <w:t>空气压缩</w:t>
      </w:r>
      <w:r>
        <w:rPr>
          <w:rFonts w:hint="eastAsia" w:ascii="宋体" w:hAnsi="宋体" w:eastAsia="宋体" w:cs="宋体"/>
          <w:color w:val="auto"/>
          <w:sz w:val="23"/>
          <w:szCs w:val="23"/>
          <w:highlight w:val="none"/>
        </w:rPr>
        <w:t>机组供气使空气系统管路达到所需压力值和流量，在手术室、ICU室等重病室终端处产生压力，提供医疗设备使用。</w:t>
      </w:r>
    </w:p>
    <w:p w14:paraId="3FD330CB">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1、医用空气压缩</w:t>
      </w:r>
      <w:r>
        <w:rPr>
          <w:rFonts w:hint="eastAsia" w:ascii="宋体" w:hAnsi="宋体" w:eastAsia="宋体" w:cs="宋体"/>
          <w:color w:val="auto"/>
          <w:sz w:val="23"/>
          <w:szCs w:val="23"/>
          <w:highlight w:val="none"/>
          <w:lang w:val="en-US" w:eastAsia="zh-CN"/>
        </w:rPr>
        <w:t>机组</w:t>
      </w:r>
      <w:r>
        <w:rPr>
          <w:rFonts w:hint="eastAsia" w:ascii="宋体" w:hAnsi="宋体" w:eastAsia="宋体" w:cs="宋体"/>
          <w:color w:val="auto"/>
          <w:sz w:val="23"/>
          <w:szCs w:val="23"/>
          <w:highlight w:val="none"/>
        </w:rPr>
        <w:t>站</w:t>
      </w:r>
    </w:p>
    <w:p w14:paraId="597433F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1.1医用空气压缩</w:t>
      </w:r>
      <w:r>
        <w:rPr>
          <w:rFonts w:hint="eastAsia" w:ascii="宋体" w:hAnsi="宋体" w:eastAsia="宋体" w:cs="宋体"/>
          <w:color w:val="auto"/>
          <w:sz w:val="23"/>
          <w:szCs w:val="23"/>
          <w:highlight w:val="none"/>
          <w:lang w:val="en-US" w:eastAsia="zh-CN"/>
        </w:rPr>
        <w:t>机组</w:t>
      </w:r>
      <w:r>
        <w:rPr>
          <w:rFonts w:hint="eastAsia" w:ascii="宋体" w:hAnsi="宋体" w:eastAsia="宋体" w:cs="宋体"/>
          <w:color w:val="auto"/>
          <w:sz w:val="23"/>
          <w:szCs w:val="23"/>
          <w:highlight w:val="none"/>
        </w:rPr>
        <w:t>站（位置设在大楼地下一层，具体详见平面布置图），配置如下：</w:t>
      </w:r>
    </w:p>
    <w:tbl>
      <w:tblPr>
        <w:tblStyle w:val="32"/>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2467"/>
        <w:gridCol w:w="4508"/>
        <w:gridCol w:w="749"/>
      </w:tblGrid>
      <w:tr w14:paraId="1E43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109F822D">
            <w:pPr>
              <w:widowControl w:val="0"/>
              <w:spacing w:line="360" w:lineRule="auto"/>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序号</w:t>
            </w:r>
          </w:p>
        </w:tc>
        <w:tc>
          <w:tcPr>
            <w:tcW w:w="2467" w:type="dxa"/>
            <w:noWrap w:val="0"/>
            <w:vAlign w:val="center"/>
          </w:tcPr>
          <w:p w14:paraId="08C7D1DB">
            <w:pPr>
              <w:widowControl w:val="0"/>
              <w:spacing w:line="360" w:lineRule="auto"/>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主要设备材料名称</w:t>
            </w:r>
          </w:p>
        </w:tc>
        <w:tc>
          <w:tcPr>
            <w:tcW w:w="4508" w:type="dxa"/>
            <w:noWrap w:val="0"/>
            <w:vAlign w:val="center"/>
          </w:tcPr>
          <w:p w14:paraId="57B44907">
            <w:pPr>
              <w:widowControl w:val="0"/>
              <w:spacing w:line="360"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技术参数</w:t>
            </w:r>
          </w:p>
        </w:tc>
        <w:tc>
          <w:tcPr>
            <w:tcW w:w="749" w:type="dxa"/>
            <w:noWrap w:val="0"/>
            <w:vAlign w:val="center"/>
          </w:tcPr>
          <w:p w14:paraId="10B53664">
            <w:pPr>
              <w:widowControl w:val="0"/>
              <w:spacing w:line="360" w:lineRule="auto"/>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数量</w:t>
            </w:r>
          </w:p>
        </w:tc>
      </w:tr>
      <w:tr w14:paraId="2C166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36C82648">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2467" w:type="dxa"/>
            <w:noWrap w:val="0"/>
            <w:vAlign w:val="center"/>
          </w:tcPr>
          <w:p w14:paraId="42F08B31">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无油变频旋齿空压机</w:t>
            </w:r>
          </w:p>
        </w:tc>
        <w:tc>
          <w:tcPr>
            <w:tcW w:w="4508" w:type="dxa"/>
            <w:noWrap w:val="0"/>
            <w:vAlign w:val="center"/>
          </w:tcPr>
          <w:p w14:paraId="449A282F">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功率:30kW,排气量2.4～4.8m³/min</w:t>
            </w:r>
          </w:p>
        </w:tc>
        <w:tc>
          <w:tcPr>
            <w:tcW w:w="749" w:type="dxa"/>
            <w:noWrap w:val="0"/>
            <w:vAlign w:val="center"/>
          </w:tcPr>
          <w:p w14:paraId="0A3D21C4">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0454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41F6D726">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w:t>
            </w:r>
          </w:p>
        </w:tc>
        <w:tc>
          <w:tcPr>
            <w:tcW w:w="2467" w:type="dxa"/>
            <w:noWrap w:val="0"/>
            <w:vAlign w:val="center"/>
          </w:tcPr>
          <w:p w14:paraId="10128EB3">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不锈钢水气分离器</w:t>
            </w:r>
          </w:p>
        </w:tc>
        <w:tc>
          <w:tcPr>
            <w:tcW w:w="4508" w:type="dxa"/>
            <w:noWrap w:val="0"/>
            <w:vAlign w:val="center"/>
          </w:tcPr>
          <w:p w14:paraId="4D19BFAB">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处理量：7.4m3/min,除水率：60%，除尘：3μm</w:t>
            </w:r>
          </w:p>
        </w:tc>
        <w:tc>
          <w:tcPr>
            <w:tcW w:w="749" w:type="dxa"/>
            <w:noWrap w:val="0"/>
            <w:vAlign w:val="center"/>
          </w:tcPr>
          <w:p w14:paraId="4CD5C466">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54A3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58417FD0">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w:t>
            </w:r>
          </w:p>
        </w:tc>
        <w:tc>
          <w:tcPr>
            <w:tcW w:w="2467" w:type="dxa"/>
            <w:noWrap w:val="0"/>
            <w:vAlign w:val="center"/>
          </w:tcPr>
          <w:p w14:paraId="11526933">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微热吸附式干燥机</w:t>
            </w:r>
          </w:p>
        </w:tc>
        <w:tc>
          <w:tcPr>
            <w:tcW w:w="4508" w:type="dxa"/>
            <w:noWrap w:val="0"/>
            <w:vAlign w:val="center"/>
          </w:tcPr>
          <w:p w14:paraId="7E213A1D">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处理量:6.6m³/min,压力露点:-40°C,具有露点控制</w:t>
            </w:r>
          </w:p>
        </w:tc>
        <w:tc>
          <w:tcPr>
            <w:tcW w:w="749" w:type="dxa"/>
            <w:noWrap w:val="0"/>
            <w:vAlign w:val="center"/>
          </w:tcPr>
          <w:p w14:paraId="451DDDA9">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7795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13E88018">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p>
        </w:tc>
        <w:tc>
          <w:tcPr>
            <w:tcW w:w="2467" w:type="dxa"/>
            <w:noWrap w:val="0"/>
            <w:vAlign w:val="center"/>
          </w:tcPr>
          <w:p w14:paraId="6ECF0D6B">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初级过滤器</w:t>
            </w:r>
          </w:p>
        </w:tc>
        <w:tc>
          <w:tcPr>
            <w:tcW w:w="4508" w:type="dxa"/>
            <w:noWrap w:val="0"/>
            <w:vAlign w:val="center"/>
          </w:tcPr>
          <w:p w14:paraId="44413E02">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处理量:6.6m³/min,精度:1μm</w:t>
            </w:r>
          </w:p>
        </w:tc>
        <w:tc>
          <w:tcPr>
            <w:tcW w:w="749" w:type="dxa"/>
            <w:noWrap w:val="0"/>
            <w:vAlign w:val="center"/>
          </w:tcPr>
          <w:p w14:paraId="0FBFD95F">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2AA8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23CF5606">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5</w:t>
            </w:r>
          </w:p>
        </w:tc>
        <w:tc>
          <w:tcPr>
            <w:tcW w:w="2467" w:type="dxa"/>
            <w:noWrap w:val="0"/>
            <w:vAlign w:val="center"/>
          </w:tcPr>
          <w:p w14:paraId="0DA765F4">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高效过滤器</w:t>
            </w:r>
          </w:p>
        </w:tc>
        <w:tc>
          <w:tcPr>
            <w:tcW w:w="4508" w:type="dxa"/>
            <w:noWrap w:val="0"/>
            <w:vAlign w:val="center"/>
          </w:tcPr>
          <w:p w14:paraId="22BB2DCB">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处理量:6.6m³/min,精度:0.1μm</w:t>
            </w:r>
          </w:p>
        </w:tc>
        <w:tc>
          <w:tcPr>
            <w:tcW w:w="749" w:type="dxa"/>
            <w:noWrap w:val="0"/>
            <w:vAlign w:val="center"/>
          </w:tcPr>
          <w:p w14:paraId="5F00DE93">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4068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4F4951D3">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w:t>
            </w:r>
          </w:p>
        </w:tc>
        <w:tc>
          <w:tcPr>
            <w:tcW w:w="2467" w:type="dxa"/>
            <w:noWrap w:val="0"/>
            <w:vAlign w:val="center"/>
          </w:tcPr>
          <w:p w14:paraId="3A3B9B5E">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精密过滤器</w:t>
            </w:r>
          </w:p>
        </w:tc>
        <w:tc>
          <w:tcPr>
            <w:tcW w:w="4508" w:type="dxa"/>
            <w:noWrap w:val="0"/>
            <w:vAlign w:val="center"/>
          </w:tcPr>
          <w:p w14:paraId="106C7540">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处理量:6.6m³/min,精度:0.01μm</w:t>
            </w:r>
          </w:p>
        </w:tc>
        <w:tc>
          <w:tcPr>
            <w:tcW w:w="749" w:type="dxa"/>
            <w:noWrap w:val="0"/>
            <w:vAlign w:val="center"/>
          </w:tcPr>
          <w:p w14:paraId="18783BC0">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693D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347B7B54">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w:t>
            </w:r>
          </w:p>
        </w:tc>
        <w:tc>
          <w:tcPr>
            <w:tcW w:w="2467" w:type="dxa"/>
            <w:noWrap w:val="0"/>
            <w:vAlign w:val="center"/>
          </w:tcPr>
          <w:p w14:paraId="3474695B">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除菌过滤器</w:t>
            </w:r>
          </w:p>
        </w:tc>
        <w:tc>
          <w:tcPr>
            <w:tcW w:w="4508" w:type="dxa"/>
            <w:noWrap w:val="0"/>
            <w:vAlign w:val="center"/>
          </w:tcPr>
          <w:p w14:paraId="0615CA9F">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处理量:6.6m³/min,精度:0.01μm</w:t>
            </w:r>
          </w:p>
        </w:tc>
        <w:tc>
          <w:tcPr>
            <w:tcW w:w="749" w:type="dxa"/>
            <w:noWrap w:val="0"/>
            <w:vAlign w:val="center"/>
          </w:tcPr>
          <w:p w14:paraId="58F097A5">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5D3C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55BBFAED">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8</w:t>
            </w:r>
          </w:p>
        </w:tc>
        <w:tc>
          <w:tcPr>
            <w:tcW w:w="2467" w:type="dxa"/>
            <w:noWrap w:val="0"/>
            <w:vAlign w:val="center"/>
          </w:tcPr>
          <w:p w14:paraId="04BA6984">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空气品质监测报警器</w:t>
            </w:r>
          </w:p>
        </w:tc>
        <w:tc>
          <w:tcPr>
            <w:tcW w:w="4508" w:type="dxa"/>
            <w:noWrap w:val="0"/>
            <w:vAlign w:val="center"/>
          </w:tcPr>
          <w:p w14:paraId="067D84D1">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不少于4个品质监测、压力报警、信号传输至集中报警</w:t>
            </w:r>
          </w:p>
        </w:tc>
        <w:tc>
          <w:tcPr>
            <w:tcW w:w="749" w:type="dxa"/>
            <w:noWrap w:val="0"/>
            <w:vAlign w:val="center"/>
          </w:tcPr>
          <w:p w14:paraId="35065F54">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1台</w:t>
            </w:r>
          </w:p>
        </w:tc>
      </w:tr>
      <w:tr w14:paraId="759B0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2A35F0B2">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9</w:t>
            </w:r>
          </w:p>
        </w:tc>
        <w:tc>
          <w:tcPr>
            <w:tcW w:w="2467" w:type="dxa"/>
            <w:noWrap w:val="0"/>
            <w:vAlign w:val="center"/>
          </w:tcPr>
          <w:p w14:paraId="6D618BA5">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不锈钢贮罐（湿罐）</w:t>
            </w:r>
          </w:p>
        </w:tc>
        <w:tc>
          <w:tcPr>
            <w:tcW w:w="4508" w:type="dxa"/>
            <w:noWrap w:val="0"/>
            <w:vAlign w:val="center"/>
          </w:tcPr>
          <w:p w14:paraId="342050F4">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V=2.0m³/min/1.0MPa</w:t>
            </w:r>
          </w:p>
        </w:tc>
        <w:tc>
          <w:tcPr>
            <w:tcW w:w="749" w:type="dxa"/>
            <w:noWrap w:val="0"/>
            <w:vAlign w:val="center"/>
          </w:tcPr>
          <w:p w14:paraId="6AA21AD3">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1只</w:t>
            </w:r>
          </w:p>
        </w:tc>
      </w:tr>
      <w:tr w14:paraId="434C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28F5EF02">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10</w:t>
            </w:r>
          </w:p>
        </w:tc>
        <w:tc>
          <w:tcPr>
            <w:tcW w:w="2467" w:type="dxa"/>
            <w:noWrap w:val="0"/>
            <w:vAlign w:val="center"/>
          </w:tcPr>
          <w:p w14:paraId="0423424F">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不锈钢贮罐（干罐）</w:t>
            </w:r>
          </w:p>
        </w:tc>
        <w:tc>
          <w:tcPr>
            <w:tcW w:w="4508" w:type="dxa"/>
            <w:noWrap w:val="0"/>
            <w:vAlign w:val="center"/>
          </w:tcPr>
          <w:p w14:paraId="5E4B2DB1">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V=2.0m³/min/1.0MPa</w:t>
            </w:r>
          </w:p>
        </w:tc>
        <w:tc>
          <w:tcPr>
            <w:tcW w:w="749" w:type="dxa"/>
            <w:noWrap w:val="0"/>
            <w:vAlign w:val="center"/>
          </w:tcPr>
          <w:p w14:paraId="1B8FC42E">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1只</w:t>
            </w:r>
          </w:p>
        </w:tc>
      </w:tr>
      <w:tr w14:paraId="4BFC7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80" w:type="dxa"/>
            <w:noWrap w:val="0"/>
            <w:vAlign w:val="center"/>
          </w:tcPr>
          <w:p w14:paraId="7070AEB8">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11</w:t>
            </w:r>
          </w:p>
        </w:tc>
        <w:tc>
          <w:tcPr>
            <w:tcW w:w="2467" w:type="dxa"/>
            <w:noWrap w:val="0"/>
            <w:vAlign w:val="center"/>
          </w:tcPr>
          <w:p w14:paraId="37BB0574">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大流量双路调压器组</w:t>
            </w:r>
          </w:p>
        </w:tc>
        <w:tc>
          <w:tcPr>
            <w:tcW w:w="4508" w:type="dxa"/>
            <w:noWrap w:val="0"/>
            <w:vAlign w:val="center"/>
          </w:tcPr>
          <w:p w14:paraId="4646DEED">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流量:600m³/h,压力控制:0.4-0.6MPa,材质:不锈钢</w:t>
            </w:r>
          </w:p>
        </w:tc>
        <w:tc>
          <w:tcPr>
            <w:tcW w:w="749" w:type="dxa"/>
            <w:noWrap w:val="0"/>
            <w:vAlign w:val="center"/>
          </w:tcPr>
          <w:p w14:paraId="7E6534D8">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台</w:t>
            </w:r>
          </w:p>
        </w:tc>
      </w:tr>
    </w:tbl>
    <w:p w14:paraId="5AD6F8E0">
      <w:pPr>
        <w:spacing w:line="360" w:lineRule="auto"/>
        <w:rPr>
          <w:rFonts w:hint="eastAsia" w:ascii="宋体" w:hAnsi="宋体" w:eastAsia="宋体" w:cs="宋体"/>
          <w:color w:val="auto"/>
          <w:sz w:val="23"/>
          <w:szCs w:val="23"/>
          <w:highlight w:val="none"/>
        </w:rPr>
      </w:pPr>
    </w:p>
    <w:p w14:paraId="15056B85">
      <w:pPr>
        <w:spacing w:line="360" w:lineRule="auto"/>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1.2医用空气压缩机组站技术要求</w:t>
      </w:r>
    </w:p>
    <w:p w14:paraId="381CED9A">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压缩空气站出口工作压力：0.5MPa（可调）。</w:t>
      </w:r>
    </w:p>
    <w:p w14:paraId="587B7B30">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压缩空气总体每小时泄漏率：＜0.2%。</w:t>
      </w:r>
    </w:p>
    <w:p w14:paraId="0B23B9CD">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压缩空气站内设置一用一备空气压缩机。当工作压缩机故障时，备用压缩机能自动启动，以保证系统正常工作。</w:t>
      </w:r>
    </w:p>
    <w:p w14:paraId="79426DA4">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压缩空气管道可靠接地，接地电阻＜10Ω。</w:t>
      </w:r>
    </w:p>
    <w:p w14:paraId="1C5BEE77">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空气终端气压不低于0.4MPa，每个终端流量不低于60L/min。</w:t>
      </w:r>
    </w:p>
    <w:tbl>
      <w:tblPr>
        <w:tblStyle w:val="3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78"/>
        <w:gridCol w:w="5478"/>
        <w:gridCol w:w="2656"/>
      </w:tblGrid>
      <w:tr w14:paraId="3779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537" w:type="pct"/>
            <w:noWrap w:val="0"/>
            <w:tcMar>
              <w:top w:w="120" w:type="dxa"/>
              <w:left w:w="120" w:type="dxa"/>
              <w:bottom w:w="120" w:type="dxa"/>
              <w:right w:w="120" w:type="dxa"/>
            </w:tcMar>
            <w:vAlign w:val="center"/>
          </w:tcPr>
          <w:p w14:paraId="625B27F6">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序号</w:t>
            </w:r>
          </w:p>
        </w:tc>
        <w:tc>
          <w:tcPr>
            <w:tcW w:w="3005" w:type="pct"/>
            <w:noWrap w:val="0"/>
            <w:tcMar>
              <w:top w:w="120" w:type="dxa"/>
              <w:left w:w="120" w:type="dxa"/>
              <w:bottom w:w="120" w:type="dxa"/>
              <w:right w:w="120" w:type="dxa"/>
            </w:tcMar>
            <w:vAlign w:val="center"/>
          </w:tcPr>
          <w:p w14:paraId="17554688">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压缩空气过滤器技术要求内容</w:t>
            </w:r>
          </w:p>
        </w:tc>
        <w:tc>
          <w:tcPr>
            <w:tcW w:w="1457" w:type="pct"/>
            <w:noWrap w:val="0"/>
            <w:tcMar>
              <w:top w:w="120" w:type="dxa"/>
              <w:left w:w="120" w:type="dxa"/>
              <w:bottom w:w="120" w:type="dxa"/>
              <w:right w:w="120" w:type="dxa"/>
            </w:tcMar>
            <w:vAlign w:val="center"/>
          </w:tcPr>
          <w:p w14:paraId="76B27D30">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备注</w:t>
            </w:r>
          </w:p>
        </w:tc>
      </w:tr>
      <w:tr w14:paraId="461C8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7" w:hRule="atLeast"/>
        </w:trPr>
        <w:tc>
          <w:tcPr>
            <w:tcW w:w="537" w:type="pct"/>
            <w:noWrap w:val="0"/>
            <w:tcMar>
              <w:top w:w="120" w:type="dxa"/>
              <w:left w:w="120" w:type="dxa"/>
              <w:bottom w:w="120" w:type="dxa"/>
              <w:right w:w="120" w:type="dxa"/>
            </w:tcMar>
            <w:vAlign w:val="center"/>
          </w:tcPr>
          <w:p w14:paraId="3FFA9AC8">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3005" w:type="pct"/>
            <w:noWrap w:val="0"/>
            <w:tcMar>
              <w:top w:w="120" w:type="dxa"/>
              <w:left w:w="120" w:type="dxa"/>
              <w:bottom w:w="120" w:type="dxa"/>
              <w:right w:w="120" w:type="dxa"/>
            </w:tcMar>
            <w:vAlign w:val="center"/>
          </w:tcPr>
          <w:p w14:paraId="4967E104">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除油效率≥99.99%符合 ISO 8573-1：2010(过滤前溶度及过滤后溶度），含油＜0.1mg/m3</w:t>
            </w:r>
          </w:p>
        </w:tc>
        <w:tc>
          <w:tcPr>
            <w:tcW w:w="1457" w:type="pct"/>
            <w:noWrap w:val="0"/>
            <w:tcMar>
              <w:top w:w="120" w:type="dxa"/>
              <w:left w:w="120" w:type="dxa"/>
              <w:bottom w:w="120" w:type="dxa"/>
              <w:right w:w="120" w:type="dxa"/>
            </w:tcMar>
            <w:vAlign w:val="center"/>
          </w:tcPr>
          <w:p w14:paraId="29DB1A20">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承诺中标后提供检测报告（承诺函格式自拟）</w:t>
            </w:r>
          </w:p>
        </w:tc>
      </w:tr>
      <w:tr w14:paraId="4A169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47" w:hRule="atLeast"/>
        </w:trPr>
        <w:tc>
          <w:tcPr>
            <w:tcW w:w="537" w:type="pct"/>
            <w:noWrap w:val="0"/>
            <w:tcMar>
              <w:top w:w="120" w:type="dxa"/>
              <w:left w:w="120" w:type="dxa"/>
              <w:bottom w:w="120" w:type="dxa"/>
              <w:right w:w="120" w:type="dxa"/>
            </w:tcMar>
            <w:vAlign w:val="center"/>
          </w:tcPr>
          <w:p w14:paraId="078919ED">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▲2</w:t>
            </w:r>
          </w:p>
        </w:tc>
        <w:tc>
          <w:tcPr>
            <w:tcW w:w="3005" w:type="pct"/>
            <w:noWrap w:val="0"/>
            <w:tcMar>
              <w:top w:w="120" w:type="dxa"/>
              <w:left w:w="120" w:type="dxa"/>
              <w:bottom w:w="120" w:type="dxa"/>
              <w:right w:w="120" w:type="dxa"/>
            </w:tcMar>
            <w:vAlign w:val="center"/>
          </w:tcPr>
          <w:p w14:paraId="7F52D5B7">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除尘效率：精度:0.01~0.2μm，符合 ISO 8573-1：2010 一级要求0.01μm的过滤效率＞99.99%，(过滤前溶度及过滤后溶度）</w:t>
            </w:r>
          </w:p>
        </w:tc>
        <w:tc>
          <w:tcPr>
            <w:tcW w:w="1457" w:type="pct"/>
            <w:noWrap w:val="0"/>
            <w:tcMar>
              <w:top w:w="120" w:type="dxa"/>
              <w:left w:w="120" w:type="dxa"/>
              <w:bottom w:w="120" w:type="dxa"/>
              <w:right w:w="120" w:type="dxa"/>
            </w:tcMar>
            <w:vAlign w:val="center"/>
          </w:tcPr>
          <w:p w14:paraId="7302D800">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承诺中标后提供检测报告（承诺函格式自拟）</w:t>
            </w:r>
          </w:p>
        </w:tc>
      </w:tr>
      <w:tr w14:paraId="0D8EA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99" w:hRule="atLeast"/>
        </w:trPr>
        <w:tc>
          <w:tcPr>
            <w:tcW w:w="537" w:type="pct"/>
            <w:noWrap w:val="0"/>
            <w:tcMar>
              <w:top w:w="120" w:type="dxa"/>
              <w:left w:w="120" w:type="dxa"/>
              <w:bottom w:w="120" w:type="dxa"/>
              <w:right w:w="120" w:type="dxa"/>
            </w:tcMar>
            <w:vAlign w:val="center"/>
          </w:tcPr>
          <w:p w14:paraId="6866E113">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▲3</w:t>
            </w:r>
          </w:p>
        </w:tc>
        <w:tc>
          <w:tcPr>
            <w:tcW w:w="3005" w:type="pct"/>
            <w:noWrap w:val="0"/>
            <w:tcMar>
              <w:top w:w="120" w:type="dxa"/>
              <w:left w:w="120" w:type="dxa"/>
              <w:bottom w:w="120" w:type="dxa"/>
              <w:right w:w="120" w:type="dxa"/>
            </w:tcMar>
            <w:vAlign w:val="center"/>
          </w:tcPr>
          <w:p w14:paraId="43D8BD2D">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细菌过滤器精度：按照GB 50751-2012 规范的标准，精度≤0.01μm，过滤效率＞99.995%</w:t>
            </w:r>
          </w:p>
        </w:tc>
        <w:tc>
          <w:tcPr>
            <w:tcW w:w="1457" w:type="pct"/>
            <w:noWrap w:val="0"/>
            <w:tcMar>
              <w:top w:w="120" w:type="dxa"/>
              <w:left w:w="120" w:type="dxa"/>
              <w:bottom w:w="120" w:type="dxa"/>
              <w:right w:w="120" w:type="dxa"/>
            </w:tcMar>
            <w:vAlign w:val="center"/>
          </w:tcPr>
          <w:p w14:paraId="4B23AB21">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承诺中标后提供检测报告（承诺函格式自拟）</w:t>
            </w:r>
          </w:p>
        </w:tc>
      </w:tr>
      <w:tr w14:paraId="4F6A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5" w:hRule="atLeast"/>
        </w:trPr>
        <w:tc>
          <w:tcPr>
            <w:tcW w:w="537" w:type="pct"/>
            <w:noWrap w:val="0"/>
            <w:tcMar>
              <w:top w:w="120" w:type="dxa"/>
              <w:left w:w="120" w:type="dxa"/>
              <w:bottom w:w="120" w:type="dxa"/>
              <w:right w:w="120" w:type="dxa"/>
            </w:tcMar>
            <w:vAlign w:val="center"/>
          </w:tcPr>
          <w:p w14:paraId="0E7B8101">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4</w:t>
            </w:r>
          </w:p>
        </w:tc>
        <w:tc>
          <w:tcPr>
            <w:tcW w:w="3005" w:type="pct"/>
            <w:noWrap w:val="0"/>
            <w:tcMar>
              <w:top w:w="120" w:type="dxa"/>
              <w:left w:w="120" w:type="dxa"/>
              <w:bottom w:w="120" w:type="dxa"/>
              <w:right w:w="120" w:type="dxa"/>
            </w:tcMar>
            <w:vAlign w:val="center"/>
          </w:tcPr>
          <w:p w14:paraId="08739249">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过滤器监视功能：按照GB50751-2012规范的标准，过滤器滤芯带有监视功能</w:t>
            </w:r>
          </w:p>
        </w:tc>
        <w:tc>
          <w:tcPr>
            <w:tcW w:w="1457" w:type="pct"/>
            <w:noWrap w:val="0"/>
            <w:tcMar>
              <w:top w:w="120" w:type="dxa"/>
              <w:left w:w="120" w:type="dxa"/>
              <w:bottom w:w="120" w:type="dxa"/>
              <w:right w:w="120" w:type="dxa"/>
            </w:tcMar>
            <w:vAlign w:val="center"/>
          </w:tcPr>
          <w:p w14:paraId="5CA7B021">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承诺中标后提供检测报告（承诺函格式自拟）</w:t>
            </w:r>
          </w:p>
        </w:tc>
      </w:tr>
      <w:tr w14:paraId="2C1CB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2" w:hRule="atLeast"/>
        </w:trPr>
        <w:tc>
          <w:tcPr>
            <w:tcW w:w="537" w:type="pct"/>
            <w:noWrap w:val="0"/>
            <w:tcMar>
              <w:top w:w="120" w:type="dxa"/>
              <w:left w:w="120" w:type="dxa"/>
              <w:bottom w:w="120" w:type="dxa"/>
              <w:right w:w="120" w:type="dxa"/>
            </w:tcMar>
            <w:vAlign w:val="center"/>
          </w:tcPr>
          <w:p w14:paraId="4A852361">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5</w:t>
            </w:r>
          </w:p>
        </w:tc>
        <w:tc>
          <w:tcPr>
            <w:tcW w:w="3005" w:type="pct"/>
            <w:noWrap w:val="0"/>
            <w:tcMar>
              <w:top w:w="120" w:type="dxa"/>
              <w:left w:w="120" w:type="dxa"/>
              <w:bottom w:w="120" w:type="dxa"/>
              <w:right w:w="120" w:type="dxa"/>
            </w:tcMar>
            <w:vAlign w:val="center"/>
          </w:tcPr>
          <w:p w14:paraId="217E127B">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提供设备生产厂家售后服务承诺书</w:t>
            </w:r>
          </w:p>
        </w:tc>
        <w:tc>
          <w:tcPr>
            <w:tcW w:w="1457" w:type="pct"/>
            <w:noWrap w:val="0"/>
            <w:tcMar>
              <w:top w:w="120" w:type="dxa"/>
              <w:left w:w="120" w:type="dxa"/>
              <w:bottom w:w="120" w:type="dxa"/>
              <w:right w:w="120" w:type="dxa"/>
            </w:tcMar>
            <w:vAlign w:val="center"/>
          </w:tcPr>
          <w:p w14:paraId="7655EC7F">
            <w:pPr>
              <w:spacing w:line="360" w:lineRule="auto"/>
              <w:rPr>
                <w:rFonts w:hint="eastAsia" w:ascii="宋体" w:hAnsi="宋体" w:eastAsia="宋体" w:cs="宋体"/>
                <w:b w:val="0"/>
                <w:bCs w:val="0"/>
                <w:color w:val="auto"/>
                <w:sz w:val="23"/>
                <w:szCs w:val="23"/>
                <w:highlight w:val="none"/>
                <w:lang w:val="en-US" w:eastAsia="zh-CN"/>
              </w:rPr>
            </w:pPr>
          </w:p>
        </w:tc>
      </w:tr>
    </w:tbl>
    <w:p w14:paraId="117E6AC2">
      <w:pPr>
        <w:spacing w:line="360" w:lineRule="auto"/>
        <w:rPr>
          <w:rFonts w:hint="eastAsia" w:ascii="宋体" w:hAnsi="宋体" w:eastAsia="宋体" w:cs="宋体"/>
          <w:b w:val="0"/>
          <w:bCs w:val="0"/>
          <w:color w:val="auto"/>
          <w:sz w:val="23"/>
          <w:szCs w:val="23"/>
          <w:highlight w:val="none"/>
          <w:lang w:val="en-US" w:eastAsia="zh-CN"/>
        </w:rPr>
      </w:pPr>
    </w:p>
    <w:p w14:paraId="5A6AFECC">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2、医用压缩空气管道</w:t>
      </w:r>
    </w:p>
    <w:p w14:paraId="1722E3AD">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2.1管道材质：参照图纸。</w:t>
      </w:r>
    </w:p>
    <w:p w14:paraId="11847608">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2.2管道规格：参照图纸。</w:t>
      </w:r>
    </w:p>
    <w:p w14:paraId="10E1D3DD">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2.3管道连接方法技术要求</w:t>
      </w:r>
    </w:p>
    <w:p w14:paraId="77C2CFD1">
      <w:pPr>
        <w:spacing w:line="360" w:lineRule="auto"/>
        <w:ind w:right="-105" w:rightChars="-50"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紫铜管连接采用标准的紫铜管件连接后银基钎焊焊接。整个系统连接均采用金属密封，可保证系统的气密性。</w:t>
      </w:r>
    </w:p>
    <w:p w14:paraId="5BB82F57">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2.4管道布置</w:t>
      </w:r>
    </w:p>
    <w:p w14:paraId="2B1A952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主管道沿走廊墙面架设至大楼管道井，病区走廊横管安装在吊顶内，病房内支管及终端、截止阀均安装在铝合金设备带内，这样既整齐又美观（与氧气管道一起走管）。</w:t>
      </w:r>
    </w:p>
    <w:p w14:paraId="7A3A16FC">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3、系统压力试验、吹扫技术要求</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65"/>
        <w:gridCol w:w="1032"/>
        <w:gridCol w:w="1406"/>
        <w:gridCol w:w="2613"/>
        <w:gridCol w:w="3498"/>
      </w:tblGrid>
      <w:tr w14:paraId="23A2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2626FD4C">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42C211F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试验名称</w:t>
            </w:r>
          </w:p>
        </w:tc>
        <w:tc>
          <w:tcPr>
            <w:tcW w:w="0" w:type="auto"/>
            <w:noWrap w:val="0"/>
            <w:tcMar>
              <w:top w:w="120" w:type="dxa"/>
              <w:left w:w="120" w:type="dxa"/>
              <w:bottom w:w="120" w:type="dxa"/>
              <w:right w:w="120" w:type="dxa"/>
            </w:tcMar>
            <w:vAlign w:val="center"/>
          </w:tcPr>
          <w:p w14:paraId="0F409F3C">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试验介质</w:t>
            </w:r>
          </w:p>
        </w:tc>
        <w:tc>
          <w:tcPr>
            <w:tcW w:w="0" w:type="auto"/>
            <w:noWrap w:val="0"/>
            <w:tcMar>
              <w:top w:w="120" w:type="dxa"/>
              <w:left w:w="120" w:type="dxa"/>
              <w:bottom w:w="120" w:type="dxa"/>
              <w:right w:w="120" w:type="dxa"/>
            </w:tcMar>
            <w:vAlign w:val="center"/>
          </w:tcPr>
          <w:p w14:paraId="17D6C330">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试验参数</w:t>
            </w:r>
          </w:p>
        </w:tc>
        <w:tc>
          <w:tcPr>
            <w:tcW w:w="0" w:type="auto"/>
            <w:noWrap w:val="0"/>
            <w:tcMar>
              <w:top w:w="120" w:type="dxa"/>
              <w:left w:w="120" w:type="dxa"/>
              <w:bottom w:w="120" w:type="dxa"/>
              <w:right w:w="120" w:type="dxa"/>
            </w:tcMar>
            <w:vAlign w:val="center"/>
          </w:tcPr>
          <w:p w14:paraId="3A11C01F">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合格标准</w:t>
            </w:r>
          </w:p>
        </w:tc>
      </w:tr>
      <w:tr w14:paraId="39FD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4D5F7E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5BF76F2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系统压力试验</w:t>
            </w:r>
          </w:p>
        </w:tc>
        <w:tc>
          <w:tcPr>
            <w:tcW w:w="0" w:type="auto"/>
            <w:noWrap w:val="0"/>
            <w:tcMar>
              <w:top w:w="120" w:type="dxa"/>
              <w:left w:w="120" w:type="dxa"/>
              <w:bottom w:w="120" w:type="dxa"/>
              <w:right w:w="120" w:type="dxa"/>
            </w:tcMar>
            <w:vAlign w:val="center"/>
          </w:tcPr>
          <w:p w14:paraId="1FC39E4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1659291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 设计压力 ×1.15 倍，保压≥10min</w:t>
            </w:r>
          </w:p>
        </w:tc>
        <w:tc>
          <w:tcPr>
            <w:tcW w:w="0" w:type="auto"/>
            <w:noWrap w:val="0"/>
            <w:tcMar>
              <w:top w:w="120" w:type="dxa"/>
              <w:left w:w="120" w:type="dxa"/>
              <w:bottom w:w="120" w:type="dxa"/>
              <w:right w:w="120" w:type="dxa"/>
            </w:tcMar>
            <w:vAlign w:val="center"/>
          </w:tcPr>
          <w:p w14:paraId="16982E2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管道无泄漏、外观无变形</w:t>
            </w:r>
          </w:p>
        </w:tc>
      </w:tr>
      <w:tr w14:paraId="45D5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5EEF5C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7C46CC8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系统泄漏性试验</w:t>
            </w:r>
          </w:p>
        </w:tc>
        <w:tc>
          <w:tcPr>
            <w:tcW w:w="0" w:type="auto"/>
            <w:noWrap w:val="0"/>
            <w:tcMar>
              <w:top w:w="120" w:type="dxa"/>
              <w:left w:w="120" w:type="dxa"/>
              <w:bottom w:w="120" w:type="dxa"/>
              <w:right w:w="120" w:type="dxa"/>
            </w:tcMar>
            <w:vAlign w:val="center"/>
          </w:tcPr>
          <w:p w14:paraId="2C072CA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3778C53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 设计压力，保压 24h</w:t>
            </w:r>
          </w:p>
        </w:tc>
        <w:tc>
          <w:tcPr>
            <w:tcW w:w="0" w:type="auto"/>
            <w:noWrap w:val="0"/>
            <w:tcMar>
              <w:top w:w="120" w:type="dxa"/>
              <w:left w:w="120" w:type="dxa"/>
              <w:bottom w:w="120" w:type="dxa"/>
              <w:right w:w="120" w:type="dxa"/>
            </w:tcMar>
            <w:vAlign w:val="center"/>
          </w:tcPr>
          <w:p w14:paraId="7E20E7C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每小时泄漏率 0.2%～0.5%（符合 GB50751-2012 第 10.2.19 条）</w:t>
            </w:r>
          </w:p>
        </w:tc>
      </w:tr>
      <w:tr w14:paraId="07732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2AAA23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675C213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系统吹扫</w:t>
            </w:r>
          </w:p>
        </w:tc>
        <w:tc>
          <w:tcPr>
            <w:tcW w:w="0" w:type="auto"/>
            <w:noWrap w:val="0"/>
            <w:tcMar>
              <w:top w:w="120" w:type="dxa"/>
              <w:left w:w="120" w:type="dxa"/>
              <w:bottom w:w="120" w:type="dxa"/>
              <w:right w:w="120" w:type="dxa"/>
            </w:tcMar>
            <w:vAlign w:val="center"/>
          </w:tcPr>
          <w:p w14:paraId="4AB73F8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412D639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吹扫至管道内无残留杂质</w:t>
            </w:r>
          </w:p>
        </w:tc>
        <w:tc>
          <w:tcPr>
            <w:tcW w:w="0" w:type="auto"/>
            <w:noWrap w:val="0"/>
            <w:tcMar>
              <w:top w:w="120" w:type="dxa"/>
              <w:left w:w="120" w:type="dxa"/>
              <w:bottom w:w="120" w:type="dxa"/>
              <w:right w:w="120" w:type="dxa"/>
            </w:tcMar>
            <w:vAlign w:val="center"/>
          </w:tcPr>
          <w:p w14:paraId="72E71C4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出气口无杂质、洁净无油污</w:t>
            </w:r>
          </w:p>
        </w:tc>
      </w:tr>
    </w:tbl>
    <w:p w14:paraId="296A7F92">
      <w:pPr>
        <w:spacing w:line="360" w:lineRule="auto"/>
        <w:rPr>
          <w:rFonts w:hint="eastAsia" w:ascii="宋体" w:hAnsi="宋体" w:eastAsia="宋体" w:cs="宋体"/>
          <w:color w:val="auto"/>
          <w:sz w:val="23"/>
          <w:szCs w:val="23"/>
          <w:highlight w:val="none"/>
        </w:rPr>
      </w:pPr>
    </w:p>
    <w:p w14:paraId="379B2B87">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4、医用压缩空气系统技术参数</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74"/>
        <w:gridCol w:w="1810"/>
        <w:gridCol w:w="6630"/>
      </w:tblGrid>
      <w:tr w14:paraId="6FE8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31EECCBB">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993" w:type="pct"/>
            <w:noWrap w:val="0"/>
            <w:tcMar>
              <w:top w:w="120" w:type="dxa"/>
              <w:left w:w="120" w:type="dxa"/>
              <w:bottom w:w="120" w:type="dxa"/>
              <w:right w:w="120" w:type="dxa"/>
            </w:tcMar>
            <w:vAlign w:val="center"/>
          </w:tcPr>
          <w:p w14:paraId="5D0CFB9F">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技术参数项目</w:t>
            </w:r>
          </w:p>
        </w:tc>
        <w:tc>
          <w:tcPr>
            <w:tcW w:w="3637" w:type="pct"/>
            <w:noWrap w:val="0"/>
            <w:tcMar>
              <w:top w:w="120" w:type="dxa"/>
              <w:left w:w="120" w:type="dxa"/>
              <w:bottom w:w="120" w:type="dxa"/>
              <w:right w:w="120" w:type="dxa"/>
            </w:tcMar>
            <w:vAlign w:val="center"/>
          </w:tcPr>
          <w:p w14:paraId="4CB59536">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要求详情</w:t>
            </w:r>
          </w:p>
        </w:tc>
      </w:tr>
      <w:tr w14:paraId="00A8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B52ADD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993" w:type="pct"/>
            <w:noWrap w:val="0"/>
            <w:tcMar>
              <w:top w:w="120" w:type="dxa"/>
              <w:left w:w="120" w:type="dxa"/>
              <w:bottom w:w="120" w:type="dxa"/>
              <w:right w:w="120" w:type="dxa"/>
            </w:tcMar>
            <w:vAlign w:val="center"/>
          </w:tcPr>
          <w:p w14:paraId="617E1E7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管道气体流速</w:t>
            </w:r>
          </w:p>
        </w:tc>
        <w:tc>
          <w:tcPr>
            <w:tcW w:w="3637" w:type="pct"/>
            <w:noWrap w:val="0"/>
            <w:tcMar>
              <w:top w:w="120" w:type="dxa"/>
              <w:left w:w="120" w:type="dxa"/>
              <w:bottom w:w="120" w:type="dxa"/>
              <w:right w:w="120" w:type="dxa"/>
            </w:tcMar>
            <w:vAlign w:val="center"/>
          </w:tcPr>
          <w:p w14:paraId="0AB082A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≤10m/s</w:t>
            </w:r>
          </w:p>
        </w:tc>
      </w:tr>
      <w:tr w14:paraId="7E2E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1AE170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993" w:type="pct"/>
            <w:noWrap w:val="0"/>
            <w:tcMar>
              <w:top w:w="120" w:type="dxa"/>
              <w:left w:w="120" w:type="dxa"/>
              <w:bottom w:w="120" w:type="dxa"/>
              <w:right w:w="120" w:type="dxa"/>
            </w:tcMar>
            <w:vAlign w:val="center"/>
          </w:tcPr>
          <w:p w14:paraId="0E7EB28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终端保证气压</w:t>
            </w:r>
          </w:p>
        </w:tc>
        <w:tc>
          <w:tcPr>
            <w:tcW w:w="3637" w:type="pct"/>
            <w:noWrap w:val="0"/>
            <w:tcMar>
              <w:top w:w="120" w:type="dxa"/>
              <w:left w:w="120" w:type="dxa"/>
              <w:bottom w:w="120" w:type="dxa"/>
              <w:right w:w="120" w:type="dxa"/>
            </w:tcMar>
            <w:vAlign w:val="center"/>
          </w:tcPr>
          <w:p w14:paraId="6AE416E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0.4～0.5MPa（可调）</w:t>
            </w:r>
          </w:p>
        </w:tc>
      </w:tr>
      <w:tr w14:paraId="227A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E8A075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993" w:type="pct"/>
            <w:noWrap w:val="0"/>
            <w:tcMar>
              <w:top w:w="120" w:type="dxa"/>
              <w:left w:w="120" w:type="dxa"/>
              <w:bottom w:w="120" w:type="dxa"/>
              <w:right w:w="120" w:type="dxa"/>
            </w:tcMar>
            <w:vAlign w:val="center"/>
          </w:tcPr>
          <w:p w14:paraId="25943E0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系统小时泄漏率</w:t>
            </w:r>
          </w:p>
        </w:tc>
        <w:tc>
          <w:tcPr>
            <w:tcW w:w="3637" w:type="pct"/>
            <w:noWrap w:val="0"/>
            <w:tcMar>
              <w:top w:w="120" w:type="dxa"/>
              <w:left w:w="120" w:type="dxa"/>
              <w:bottom w:w="120" w:type="dxa"/>
              <w:right w:w="120" w:type="dxa"/>
            </w:tcMar>
            <w:vAlign w:val="center"/>
          </w:tcPr>
          <w:p w14:paraId="10744EF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GB 50751-2012 第 10.2.19 条，泄漏率 0.2%～0.5%</w:t>
            </w:r>
          </w:p>
        </w:tc>
      </w:tr>
      <w:tr w14:paraId="6FDB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019DAE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993" w:type="pct"/>
            <w:noWrap w:val="0"/>
            <w:tcMar>
              <w:top w:w="120" w:type="dxa"/>
              <w:left w:w="120" w:type="dxa"/>
              <w:bottom w:w="120" w:type="dxa"/>
              <w:right w:w="120" w:type="dxa"/>
            </w:tcMar>
            <w:vAlign w:val="center"/>
          </w:tcPr>
          <w:p w14:paraId="2B80359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终端设计流量</w:t>
            </w:r>
          </w:p>
        </w:tc>
        <w:tc>
          <w:tcPr>
            <w:tcW w:w="3637" w:type="pct"/>
            <w:noWrap w:val="0"/>
            <w:tcMar>
              <w:top w:w="120" w:type="dxa"/>
              <w:left w:w="120" w:type="dxa"/>
              <w:bottom w:w="120" w:type="dxa"/>
              <w:right w:w="120" w:type="dxa"/>
            </w:tcMar>
            <w:vAlign w:val="center"/>
          </w:tcPr>
          <w:p w14:paraId="7724F7A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手术室≥40L/min重症、新生儿、高护病房≥80L/min其他病房床位≥20L/min</w:t>
            </w:r>
          </w:p>
        </w:tc>
      </w:tr>
      <w:tr w14:paraId="4ECF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B589B4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993" w:type="pct"/>
            <w:noWrap w:val="0"/>
            <w:tcMar>
              <w:top w:w="120" w:type="dxa"/>
              <w:left w:w="120" w:type="dxa"/>
              <w:bottom w:w="120" w:type="dxa"/>
              <w:right w:w="120" w:type="dxa"/>
            </w:tcMar>
            <w:vAlign w:val="center"/>
          </w:tcPr>
          <w:p w14:paraId="7FCF2A5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管道接地要求</w:t>
            </w:r>
          </w:p>
        </w:tc>
        <w:tc>
          <w:tcPr>
            <w:tcW w:w="3637" w:type="pct"/>
            <w:noWrap w:val="0"/>
            <w:tcMar>
              <w:top w:w="120" w:type="dxa"/>
              <w:left w:w="120" w:type="dxa"/>
              <w:bottom w:w="120" w:type="dxa"/>
              <w:right w:w="120" w:type="dxa"/>
            </w:tcMar>
            <w:vAlign w:val="center"/>
          </w:tcPr>
          <w:p w14:paraId="60B1D2A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可靠接地，接地电阻＜10Ω</w:t>
            </w:r>
          </w:p>
        </w:tc>
      </w:tr>
    </w:tbl>
    <w:p w14:paraId="7039552C">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w:t>
      </w:r>
    </w:p>
    <w:p w14:paraId="6A7377B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rPr>
        <w:t>五、病房设备带、终端配置详细说明</w:t>
      </w:r>
    </w:p>
    <w:tbl>
      <w:tblPr>
        <w:tblStyle w:val="3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79"/>
        <w:gridCol w:w="6768"/>
        <w:gridCol w:w="1765"/>
      </w:tblGrid>
      <w:tr w14:paraId="42AD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318" w:type="pct"/>
            <w:noWrap w:val="0"/>
            <w:tcMar>
              <w:top w:w="120" w:type="dxa"/>
              <w:left w:w="120" w:type="dxa"/>
              <w:bottom w:w="120" w:type="dxa"/>
              <w:right w:w="120" w:type="dxa"/>
            </w:tcMar>
            <w:vAlign w:val="center"/>
          </w:tcPr>
          <w:p w14:paraId="251D5FE9">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序号</w:t>
            </w:r>
          </w:p>
        </w:tc>
        <w:tc>
          <w:tcPr>
            <w:tcW w:w="3712" w:type="pct"/>
            <w:noWrap w:val="0"/>
            <w:tcMar>
              <w:top w:w="120" w:type="dxa"/>
              <w:left w:w="120" w:type="dxa"/>
              <w:bottom w:w="120" w:type="dxa"/>
              <w:right w:w="120" w:type="dxa"/>
            </w:tcMar>
            <w:vAlign w:val="center"/>
          </w:tcPr>
          <w:p w14:paraId="467C4608">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技术要求内容</w:t>
            </w:r>
          </w:p>
        </w:tc>
        <w:tc>
          <w:tcPr>
            <w:tcW w:w="968" w:type="pct"/>
            <w:noWrap w:val="0"/>
            <w:tcMar>
              <w:top w:w="120" w:type="dxa"/>
              <w:left w:w="120" w:type="dxa"/>
              <w:bottom w:w="120" w:type="dxa"/>
              <w:right w:w="120" w:type="dxa"/>
            </w:tcMar>
            <w:vAlign w:val="center"/>
          </w:tcPr>
          <w:p w14:paraId="7D3D9C05">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检测 / 资质要求</w:t>
            </w:r>
          </w:p>
        </w:tc>
      </w:tr>
      <w:tr w14:paraId="73D2A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11516DCD">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1</w:t>
            </w:r>
          </w:p>
        </w:tc>
        <w:tc>
          <w:tcPr>
            <w:tcW w:w="3712" w:type="pct"/>
            <w:noWrap w:val="0"/>
            <w:tcMar>
              <w:top w:w="120" w:type="dxa"/>
              <w:left w:w="120" w:type="dxa"/>
              <w:bottom w:w="120" w:type="dxa"/>
              <w:right w:w="120" w:type="dxa"/>
            </w:tcMar>
            <w:vAlign w:val="center"/>
          </w:tcPr>
          <w:p w14:paraId="02575BA6">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材质为铝合金</w:t>
            </w:r>
            <w:r>
              <w:rPr>
                <w:rFonts w:hint="eastAsia" w:ascii="宋体" w:hAnsi="宋体" w:eastAsia="宋体" w:cs="宋体"/>
                <w:bCs/>
                <w:color w:val="auto"/>
                <w:kern w:val="20"/>
                <w:sz w:val="23"/>
                <w:szCs w:val="23"/>
                <w:highlight w:val="none"/>
                <w:lang w:val="en-US" w:eastAsia="zh-CN"/>
              </w:rPr>
              <w:t>（采用全新铝材，严禁添加废铝、再生杂铝、回收铝料）</w:t>
            </w:r>
            <w:r>
              <w:rPr>
                <w:rFonts w:hint="eastAsia" w:ascii="宋体" w:hAnsi="宋体" w:eastAsia="宋体" w:cs="宋体"/>
                <w:bCs/>
                <w:color w:val="auto"/>
                <w:kern w:val="20"/>
                <w:sz w:val="23"/>
                <w:szCs w:val="23"/>
                <w:highlight w:val="none"/>
                <w:lang w:val="en-US" w:eastAsia="zh-CN"/>
              </w:rPr>
              <w:t>，宽度≥220mm，高度≥65mm；内部强电、弱电、气体管道分槽安装</w:t>
            </w:r>
          </w:p>
        </w:tc>
        <w:tc>
          <w:tcPr>
            <w:tcW w:w="968" w:type="pct"/>
            <w:noWrap w:val="0"/>
            <w:tcMar>
              <w:top w:w="120" w:type="dxa"/>
              <w:left w:w="120" w:type="dxa"/>
              <w:bottom w:w="120" w:type="dxa"/>
              <w:right w:w="120" w:type="dxa"/>
            </w:tcMar>
            <w:vAlign w:val="center"/>
          </w:tcPr>
          <w:p w14:paraId="54C83E2F">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0E06B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14FDD5DE">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2</w:t>
            </w:r>
          </w:p>
        </w:tc>
        <w:tc>
          <w:tcPr>
            <w:tcW w:w="3712" w:type="pct"/>
            <w:noWrap w:val="0"/>
            <w:tcMar>
              <w:top w:w="120" w:type="dxa"/>
              <w:left w:w="120" w:type="dxa"/>
              <w:bottom w:w="120" w:type="dxa"/>
              <w:right w:w="120" w:type="dxa"/>
            </w:tcMar>
            <w:vAlign w:val="center"/>
          </w:tcPr>
          <w:p w14:paraId="1AE9A9C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表面喷塑，上面板模块化设计，便于安装维修，防腐易保洁</w:t>
            </w:r>
          </w:p>
        </w:tc>
        <w:tc>
          <w:tcPr>
            <w:tcW w:w="968" w:type="pct"/>
            <w:noWrap w:val="0"/>
            <w:tcMar>
              <w:top w:w="120" w:type="dxa"/>
              <w:left w:w="120" w:type="dxa"/>
              <w:bottom w:w="120" w:type="dxa"/>
              <w:right w:w="120" w:type="dxa"/>
            </w:tcMar>
            <w:vAlign w:val="center"/>
          </w:tcPr>
          <w:p w14:paraId="6B4DCF7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1305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7060C00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3</w:t>
            </w:r>
          </w:p>
        </w:tc>
        <w:tc>
          <w:tcPr>
            <w:tcW w:w="3712" w:type="pct"/>
            <w:noWrap w:val="0"/>
            <w:tcMar>
              <w:top w:w="120" w:type="dxa"/>
              <w:left w:w="120" w:type="dxa"/>
              <w:bottom w:w="120" w:type="dxa"/>
              <w:right w:w="120" w:type="dxa"/>
            </w:tcMar>
            <w:vAlign w:val="center"/>
          </w:tcPr>
          <w:p w14:paraId="6380877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气体终端、电器等采用嵌入式安装，外观整洁美观</w:t>
            </w:r>
          </w:p>
        </w:tc>
        <w:tc>
          <w:tcPr>
            <w:tcW w:w="968" w:type="pct"/>
            <w:noWrap w:val="0"/>
            <w:tcMar>
              <w:top w:w="120" w:type="dxa"/>
              <w:left w:w="120" w:type="dxa"/>
              <w:bottom w:w="120" w:type="dxa"/>
              <w:right w:w="120" w:type="dxa"/>
            </w:tcMar>
            <w:vAlign w:val="center"/>
          </w:tcPr>
          <w:p w14:paraId="5B05E9FF">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7B14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9" w:hRule="atLeast"/>
        </w:trPr>
        <w:tc>
          <w:tcPr>
            <w:tcW w:w="318" w:type="pct"/>
            <w:noWrap w:val="0"/>
            <w:tcMar>
              <w:top w:w="120" w:type="dxa"/>
              <w:left w:w="120" w:type="dxa"/>
              <w:bottom w:w="120" w:type="dxa"/>
              <w:right w:w="120" w:type="dxa"/>
            </w:tcMar>
            <w:vAlign w:val="center"/>
          </w:tcPr>
          <w:p w14:paraId="45FA904D">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4</w:t>
            </w:r>
          </w:p>
        </w:tc>
        <w:tc>
          <w:tcPr>
            <w:tcW w:w="3712" w:type="pct"/>
            <w:noWrap w:val="0"/>
            <w:tcMar>
              <w:top w:w="120" w:type="dxa"/>
              <w:left w:w="120" w:type="dxa"/>
              <w:bottom w:w="120" w:type="dxa"/>
              <w:right w:w="120" w:type="dxa"/>
            </w:tcMar>
            <w:vAlign w:val="center"/>
          </w:tcPr>
          <w:p w14:paraId="2C430BF3">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设备带房间通长布置，中心距地面 1.4m，设备带上供氧、空气支管设置维修阀</w:t>
            </w:r>
          </w:p>
        </w:tc>
        <w:tc>
          <w:tcPr>
            <w:tcW w:w="968" w:type="pct"/>
            <w:noWrap w:val="0"/>
            <w:tcMar>
              <w:top w:w="120" w:type="dxa"/>
              <w:left w:w="120" w:type="dxa"/>
              <w:bottom w:w="120" w:type="dxa"/>
              <w:right w:w="120" w:type="dxa"/>
            </w:tcMar>
            <w:vAlign w:val="center"/>
          </w:tcPr>
          <w:p w14:paraId="2BE3D2A2">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57AD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87" w:hRule="atLeast"/>
        </w:trPr>
        <w:tc>
          <w:tcPr>
            <w:tcW w:w="318" w:type="pct"/>
            <w:noWrap w:val="0"/>
            <w:tcMar>
              <w:top w:w="120" w:type="dxa"/>
              <w:left w:w="120" w:type="dxa"/>
              <w:bottom w:w="120" w:type="dxa"/>
              <w:right w:w="120" w:type="dxa"/>
            </w:tcMar>
            <w:vAlign w:val="center"/>
          </w:tcPr>
          <w:p w14:paraId="7AF8CE45">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5</w:t>
            </w:r>
          </w:p>
        </w:tc>
        <w:tc>
          <w:tcPr>
            <w:tcW w:w="3712" w:type="pct"/>
            <w:noWrap w:val="0"/>
            <w:tcMar>
              <w:top w:w="120" w:type="dxa"/>
              <w:left w:w="120" w:type="dxa"/>
              <w:bottom w:w="120" w:type="dxa"/>
              <w:right w:w="120" w:type="dxa"/>
            </w:tcMar>
            <w:vAlign w:val="center"/>
          </w:tcPr>
          <w:p w14:paraId="1D07E34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气体终端采用德标终端，可不停气维修，插拔方便，密封可靠，无插头时自动密封</w:t>
            </w:r>
          </w:p>
        </w:tc>
        <w:tc>
          <w:tcPr>
            <w:tcW w:w="968" w:type="pct"/>
            <w:noWrap w:val="0"/>
            <w:tcMar>
              <w:top w:w="120" w:type="dxa"/>
              <w:left w:w="120" w:type="dxa"/>
              <w:bottom w:w="120" w:type="dxa"/>
              <w:right w:w="120" w:type="dxa"/>
            </w:tcMar>
            <w:vAlign w:val="center"/>
          </w:tcPr>
          <w:p w14:paraId="4C848FFB">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4D4D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30930D6B">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6</w:t>
            </w:r>
          </w:p>
        </w:tc>
        <w:tc>
          <w:tcPr>
            <w:tcW w:w="3712" w:type="pct"/>
            <w:noWrap w:val="0"/>
            <w:tcMar>
              <w:top w:w="120" w:type="dxa"/>
              <w:left w:w="120" w:type="dxa"/>
              <w:bottom w:w="120" w:type="dxa"/>
              <w:right w:w="120" w:type="dxa"/>
            </w:tcMar>
            <w:vAlign w:val="center"/>
          </w:tcPr>
          <w:p w14:paraId="7E18BD3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r>
              <w:rPr>
                <w:rFonts w:hint="eastAsia" w:ascii="宋体" w:hAnsi="宋体" w:eastAsia="宋体" w:cs="宋体"/>
                <w:bCs/>
                <w:color w:val="auto"/>
                <w:kern w:val="20"/>
                <w:sz w:val="23"/>
                <w:szCs w:val="23"/>
                <w:highlight w:val="none"/>
              </w:rPr>
              <w:t>医用设备带的生物相容性皮肤刺激、致敏性应符合GB/T16886标准要求。</w:t>
            </w:r>
          </w:p>
        </w:tc>
        <w:tc>
          <w:tcPr>
            <w:tcW w:w="968" w:type="pct"/>
            <w:noWrap w:val="0"/>
            <w:tcMar>
              <w:top w:w="120" w:type="dxa"/>
              <w:left w:w="120" w:type="dxa"/>
              <w:bottom w:w="120" w:type="dxa"/>
              <w:right w:w="120" w:type="dxa"/>
            </w:tcMar>
            <w:vAlign w:val="center"/>
          </w:tcPr>
          <w:p w14:paraId="26A5902A">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承诺中标后提供检测报告（承诺函格式自拟）</w:t>
            </w:r>
          </w:p>
        </w:tc>
      </w:tr>
      <w:tr w14:paraId="7FF3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32E0C65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7</w:t>
            </w:r>
          </w:p>
        </w:tc>
        <w:tc>
          <w:tcPr>
            <w:tcW w:w="3712" w:type="pct"/>
            <w:noWrap w:val="0"/>
            <w:tcMar>
              <w:top w:w="120" w:type="dxa"/>
              <w:left w:w="120" w:type="dxa"/>
              <w:bottom w:w="120" w:type="dxa"/>
              <w:right w:w="120" w:type="dxa"/>
            </w:tcMar>
            <w:vAlign w:val="center"/>
          </w:tcPr>
          <w:p w14:paraId="1265D63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六项重金属（铅、汞、镉、六价铬、多溴联苯、多溴二苯醚）符合 GB/T26572-2011</w:t>
            </w:r>
          </w:p>
        </w:tc>
        <w:tc>
          <w:tcPr>
            <w:tcW w:w="968" w:type="pct"/>
            <w:noWrap w:val="0"/>
            <w:tcMar>
              <w:top w:w="120" w:type="dxa"/>
              <w:left w:w="120" w:type="dxa"/>
              <w:bottom w:w="120" w:type="dxa"/>
              <w:right w:w="120" w:type="dxa"/>
            </w:tcMar>
            <w:vAlign w:val="center"/>
          </w:tcPr>
          <w:p w14:paraId="5B7FE2A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承诺中标后提供检测报告（承诺函格式自拟）</w:t>
            </w:r>
          </w:p>
        </w:tc>
      </w:tr>
      <w:tr w14:paraId="4D90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610821C5">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8</w:t>
            </w:r>
          </w:p>
        </w:tc>
        <w:tc>
          <w:tcPr>
            <w:tcW w:w="3712" w:type="pct"/>
            <w:noWrap w:val="0"/>
            <w:tcMar>
              <w:top w:w="120" w:type="dxa"/>
              <w:left w:w="120" w:type="dxa"/>
              <w:bottom w:w="120" w:type="dxa"/>
              <w:right w:w="120" w:type="dxa"/>
            </w:tcMar>
            <w:vAlign w:val="center"/>
          </w:tcPr>
          <w:p w14:paraId="060EE698">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▲医用设备带抗菌率(包括大肠埃希氏菌、金黄色葡萄球菌)、抗病毒率（甲型流感病毒H3N2、肠道病毒EV71）符合GB/T 21866-2025标准要求。</w:t>
            </w:r>
          </w:p>
        </w:tc>
        <w:tc>
          <w:tcPr>
            <w:tcW w:w="968" w:type="pct"/>
            <w:noWrap w:val="0"/>
            <w:tcMar>
              <w:top w:w="120" w:type="dxa"/>
              <w:left w:w="120" w:type="dxa"/>
              <w:bottom w:w="120" w:type="dxa"/>
              <w:right w:w="120" w:type="dxa"/>
            </w:tcMar>
            <w:vAlign w:val="center"/>
          </w:tcPr>
          <w:p w14:paraId="62001FFC">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承诺中标后提供检测报告（承诺函格式自拟）</w:t>
            </w:r>
          </w:p>
        </w:tc>
      </w:tr>
      <w:tr w14:paraId="009E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3310E368">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9</w:t>
            </w:r>
          </w:p>
        </w:tc>
        <w:tc>
          <w:tcPr>
            <w:tcW w:w="3712" w:type="pct"/>
            <w:noWrap w:val="0"/>
            <w:tcMar>
              <w:top w:w="120" w:type="dxa"/>
              <w:left w:w="120" w:type="dxa"/>
              <w:bottom w:w="120" w:type="dxa"/>
              <w:right w:w="120" w:type="dxa"/>
            </w:tcMar>
            <w:vAlign w:val="center"/>
          </w:tcPr>
          <w:p w14:paraId="44A8CEF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燃烧性能符合 GB8624-2012 A 级</w:t>
            </w:r>
          </w:p>
        </w:tc>
        <w:tc>
          <w:tcPr>
            <w:tcW w:w="968" w:type="pct"/>
            <w:noWrap w:val="0"/>
            <w:tcMar>
              <w:top w:w="120" w:type="dxa"/>
              <w:left w:w="120" w:type="dxa"/>
              <w:bottom w:w="120" w:type="dxa"/>
              <w:right w:w="120" w:type="dxa"/>
            </w:tcMar>
            <w:vAlign w:val="center"/>
          </w:tcPr>
          <w:p w14:paraId="49969EC1">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承诺中标后提供检测报告（承诺函格式自拟）</w:t>
            </w:r>
          </w:p>
        </w:tc>
      </w:tr>
      <w:tr w14:paraId="69825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24D7AD78">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10</w:t>
            </w:r>
          </w:p>
        </w:tc>
        <w:tc>
          <w:tcPr>
            <w:tcW w:w="3712" w:type="pct"/>
            <w:noWrap w:val="0"/>
            <w:tcMar>
              <w:top w:w="120" w:type="dxa"/>
              <w:left w:w="120" w:type="dxa"/>
              <w:bottom w:w="120" w:type="dxa"/>
              <w:right w:w="120" w:type="dxa"/>
            </w:tcMar>
            <w:vAlign w:val="center"/>
          </w:tcPr>
          <w:p w14:paraId="06894728">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▲医用设备带通过符合GB 50303-2015、GB 50217-2018、GB 50053-2013标准的低压用电设备、室内低压配电线路、接地等地位检测的建筑电气安全防火检测。</w:t>
            </w:r>
          </w:p>
        </w:tc>
        <w:tc>
          <w:tcPr>
            <w:tcW w:w="968" w:type="pct"/>
            <w:noWrap w:val="0"/>
            <w:tcMar>
              <w:top w:w="120" w:type="dxa"/>
              <w:left w:w="120" w:type="dxa"/>
              <w:bottom w:w="120" w:type="dxa"/>
              <w:right w:w="120" w:type="dxa"/>
            </w:tcMar>
            <w:vAlign w:val="center"/>
          </w:tcPr>
          <w:p w14:paraId="70B55DBC">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承诺中标后提供检测报告（承诺函格式自拟）</w:t>
            </w:r>
          </w:p>
        </w:tc>
      </w:tr>
      <w:tr w14:paraId="2D3F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45DA6E0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11</w:t>
            </w:r>
          </w:p>
        </w:tc>
        <w:tc>
          <w:tcPr>
            <w:tcW w:w="3712" w:type="pct"/>
            <w:noWrap w:val="0"/>
            <w:tcMar>
              <w:top w:w="120" w:type="dxa"/>
              <w:left w:w="120" w:type="dxa"/>
              <w:bottom w:w="120" w:type="dxa"/>
              <w:right w:w="120" w:type="dxa"/>
            </w:tcMar>
            <w:vAlign w:val="center"/>
          </w:tcPr>
          <w:p w14:paraId="23907692">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表面喷涂防锈防腐，盐雾性能符合 GB/T10125-2021</w:t>
            </w:r>
          </w:p>
        </w:tc>
        <w:tc>
          <w:tcPr>
            <w:tcW w:w="968" w:type="pct"/>
            <w:noWrap w:val="0"/>
            <w:tcMar>
              <w:top w:w="120" w:type="dxa"/>
              <w:left w:w="120" w:type="dxa"/>
              <w:bottom w:w="120" w:type="dxa"/>
              <w:right w:w="120" w:type="dxa"/>
            </w:tcMar>
            <w:vAlign w:val="center"/>
          </w:tcPr>
          <w:p w14:paraId="756F1B9F">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承诺中标后提供检测报告（承诺函格式自拟）</w:t>
            </w:r>
          </w:p>
        </w:tc>
      </w:tr>
    </w:tbl>
    <w:p w14:paraId="556FAEB8">
      <w:pPr>
        <w:spacing w:line="360" w:lineRule="auto"/>
        <w:ind w:right="206" w:rightChars="98"/>
        <w:rPr>
          <w:rFonts w:hint="eastAsia" w:ascii="宋体" w:hAnsi="宋体" w:eastAsia="宋体" w:cs="宋体"/>
          <w:bCs/>
          <w:color w:val="auto"/>
          <w:kern w:val="0"/>
          <w:sz w:val="23"/>
          <w:szCs w:val="23"/>
          <w:highlight w:val="none"/>
        </w:rPr>
      </w:pPr>
    </w:p>
    <w:p w14:paraId="45643E22">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7、气体终端配置</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46"/>
        <w:gridCol w:w="5626"/>
        <w:gridCol w:w="2842"/>
      </w:tblGrid>
      <w:tr w14:paraId="5400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5F31718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5F61EFE">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0" w:type="auto"/>
            <w:noWrap w:val="0"/>
            <w:tcMar>
              <w:top w:w="120" w:type="dxa"/>
              <w:left w:w="120" w:type="dxa"/>
              <w:bottom w:w="120" w:type="dxa"/>
              <w:right w:w="120" w:type="dxa"/>
            </w:tcMar>
            <w:vAlign w:val="center"/>
          </w:tcPr>
          <w:p w14:paraId="317A8D0D">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佐证</w:t>
            </w:r>
          </w:p>
        </w:tc>
      </w:tr>
      <w:tr w14:paraId="744C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E56636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4634FAF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同种气体终端必须同一品牌，保证一致性、安全性、稳定性和互换性</w:t>
            </w:r>
          </w:p>
        </w:tc>
        <w:tc>
          <w:tcPr>
            <w:tcW w:w="0" w:type="auto"/>
            <w:noWrap w:val="0"/>
            <w:tcMar>
              <w:top w:w="120" w:type="dxa"/>
              <w:left w:w="120" w:type="dxa"/>
              <w:bottom w:w="120" w:type="dxa"/>
              <w:right w:w="120" w:type="dxa"/>
            </w:tcMar>
            <w:vAlign w:val="center"/>
          </w:tcPr>
          <w:p w14:paraId="09A42DA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AEA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CE8BFE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531FC8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不同气体终端不可互换，专用气体识别口不可互换；每种气体独立系统，无交叉连接</w:t>
            </w:r>
          </w:p>
        </w:tc>
        <w:tc>
          <w:tcPr>
            <w:tcW w:w="0" w:type="auto"/>
            <w:noWrap w:val="0"/>
            <w:tcMar>
              <w:top w:w="120" w:type="dxa"/>
              <w:left w:w="120" w:type="dxa"/>
              <w:bottom w:w="120" w:type="dxa"/>
              <w:right w:w="120" w:type="dxa"/>
            </w:tcMar>
            <w:vAlign w:val="center"/>
          </w:tcPr>
          <w:p w14:paraId="4B0A39B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758B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5A5952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495E5FB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配备专用接口与识别口，仅插入对应插头阀门开启，拔出自动关闭断气</w:t>
            </w:r>
          </w:p>
        </w:tc>
        <w:tc>
          <w:tcPr>
            <w:tcW w:w="0" w:type="auto"/>
            <w:noWrap w:val="0"/>
            <w:tcMar>
              <w:top w:w="120" w:type="dxa"/>
              <w:left w:w="120" w:type="dxa"/>
              <w:bottom w:w="120" w:type="dxa"/>
              <w:right w:w="120" w:type="dxa"/>
            </w:tcMar>
            <w:vAlign w:val="center"/>
          </w:tcPr>
          <w:p w14:paraId="33EED6D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5D92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94F8D8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547F805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终端插座与后座为组合式结构；同种气体后座通用，不同气体不可互换</w:t>
            </w:r>
          </w:p>
        </w:tc>
        <w:tc>
          <w:tcPr>
            <w:tcW w:w="0" w:type="auto"/>
            <w:noWrap w:val="0"/>
            <w:tcMar>
              <w:top w:w="120" w:type="dxa"/>
              <w:left w:w="120" w:type="dxa"/>
              <w:bottom w:w="120" w:type="dxa"/>
              <w:right w:w="120" w:type="dxa"/>
            </w:tcMar>
            <w:vAlign w:val="center"/>
          </w:tcPr>
          <w:p w14:paraId="49003E5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3CB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004C45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2A1557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终端可在不切断区域供气的情况下进行维护</w:t>
            </w:r>
          </w:p>
        </w:tc>
        <w:tc>
          <w:tcPr>
            <w:tcW w:w="0" w:type="auto"/>
            <w:noWrap w:val="0"/>
            <w:tcMar>
              <w:top w:w="120" w:type="dxa"/>
              <w:left w:w="120" w:type="dxa"/>
              <w:bottom w:w="120" w:type="dxa"/>
              <w:right w:w="120" w:type="dxa"/>
            </w:tcMar>
            <w:vAlign w:val="center"/>
          </w:tcPr>
          <w:p w14:paraId="39F0A2E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086A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AAA29B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6a</w:t>
            </w:r>
          </w:p>
        </w:tc>
        <w:tc>
          <w:tcPr>
            <w:tcW w:w="0" w:type="auto"/>
            <w:noWrap w:val="0"/>
            <w:tcMar>
              <w:top w:w="120" w:type="dxa"/>
              <w:left w:w="120" w:type="dxa"/>
              <w:bottom w:w="120" w:type="dxa"/>
              <w:right w:w="120" w:type="dxa"/>
            </w:tcMar>
            <w:vAlign w:val="center"/>
          </w:tcPr>
          <w:p w14:paraId="30CAE76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前级配置独立终端检验阀，与后级维护阀为分开部件</w:t>
            </w:r>
          </w:p>
        </w:tc>
        <w:tc>
          <w:tcPr>
            <w:tcW w:w="0" w:type="auto"/>
            <w:noWrap w:val="0"/>
            <w:tcMar>
              <w:top w:w="120" w:type="dxa"/>
              <w:left w:w="120" w:type="dxa"/>
              <w:bottom w:w="120" w:type="dxa"/>
              <w:right w:w="120" w:type="dxa"/>
            </w:tcMar>
            <w:vAlign w:val="center"/>
          </w:tcPr>
          <w:p w14:paraId="0AC1FD0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242D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7960EF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6b</w:t>
            </w:r>
          </w:p>
        </w:tc>
        <w:tc>
          <w:tcPr>
            <w:tcW w:w="0" w:type="auto"/>
            <w:noWrap w:val="0"/>
            <w:tcMar>
              <w:top w:w="120" w:type="dxa"/>
              <w:left w:w="120" w:type="dxa"/>
              <w:bottom w:w="120" w:type="dxa"/>
              <w:right w:w="120" w:type="dxa"/>
            </w:tcMar>
            <w:vAlign w:val="center"/>
          </w:tcPr>
          <w:p w14:paraId="111FF85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配置可拆卸金属压盖，色标符合 GB50751 及 YY0801 要求</w:t>
            </w:r>
          </w:p>
        </w:tc>
        <w:tc>
          <w:tcPr>
            <w:tcW w:w="0" w:type="auto"/>
            <w:noWrap w:val="0"/>
            <w:tcMar>
              <w:top w:w="120" w:type="dxa"/>
              <w:left w:w="120" w:type="dxa"/>
              <w:bottom w:w="120" w:type="dxa"/>
              <w:right w:w="120" w:type="dxa"/>
            </w:tcMar>
            <w:vAlign w:val="center"/>
          </w:tcPr>
          <w:p w14:paraId="0AAB72D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78D4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ACADB7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6c</w:t>
            </w:r>
          </w:p>
        </w:tc>
        <w:tc>
          <w:tcPr>
            <w:tcW w:w="0" w:type="auto"/>
            <w:noWrap w:val="0"/>
            <w:tcMar>
              <w:top w:w="120" w:type="dxa"/>
              <w:left w:w="120" w:type="dxa"/>
              <w:bottom w:w="120" w:type="dxa"/>
              <w:right w:w="120" w:type="dxa"/>
            </w:tcMar>
            <w:vAlign w:val="center"/>
          </w:tcPr>
          <w:p w14:paraId="68CF59B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采用金属滚珠或滚式设计</w:t>
            </w:r>
          </w:p>
        </w:tc>
        <w:tc>
          <w:tcPr>
            <w:tcW w:w="0" w:type="auto"/>
            <w:noWrap w:val="0"/>
            <w:tcMar>
              <w:top w:w="120" w:type="dxa"/>
              <w:left w:w="120" w:type="dxa"/>
              <w:bottom w:w="120" w:type="dxa"/>
              <w:right w:w="120" w:type="dxa"/>
            </w:tcMar>
            <w:vAlign w:val="center"/>
          </w:tcPr>
          <w:p w14:paraId="06B4257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245FA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71195E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7a</w:t>
            </w:r>
          </w:p>
        </w:tc>
        <w:tc>
          <w:tcPr>
            <w:tcW w:w="0" w:type="auto"/>
            <w:noWrap w:val="0"/>
            <w:tcMar>
              <w:top w:w="120" w:type="dxa"/>
              <w:left w:w="120" w:type="dxa"/>
              <w:bottom w:w="120" w:type="dxa"/>
              <w:right w:w="120" w:type="dxa"/>
            </w:tcMar>
            <w:vAlign w:val="center"/>
          </w:tcPr>
          <w:p w14:paraId="4E7BB88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后级配置独立终端维护阀，可带气维护，与前级检验阀为分开部件</w:t>
            </w:r>
          </w:p>
        </w:tc>
        <w:tc>
          <w:tcPr>
            <w:tcW w:w="0" w:type="auto"/>
            <w:noWrap w:val="0"/>
            <w:tcMar>
              <w:top w:w="120" w:type="dxa"/>
              <w:left w:w="120" w:type="dxa"/>
              <w:bottom w:w="120" w:type="dxa"/>
              <w:right w:w="120" w:type="dxa"/>
            </w:tcMar>
            <w:vAlign w:val="center"/>
          </w:tcPr>
          <w:p w14:paraId="5A3E8DA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4D12C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0F7264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7b</w:t>
            </w:r>
          </w:p>
        </w:tc>
        <w:tc>
          <w:tcPr>
            <w:tcW w:w="0" w:type="auto"/>
            <w:noWrap w:val="0"/>
            <w:tcMar>
              <w:top w:w="120" w:type="dxa"/>
              <w:left w:w="120" w:type="dxa"/>
              <w:bottom w:w="120" w:type="dxa"/>
              <w:right w:w="120" w:type="dxa"/>
            </w:tcMar>
            <w:vAlign w:val="center"/>
          </w:tcPr>
          <w:p w14:paraId="07FAEE6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优质铜制底座，可适配墙式、设备带式、吊塔式等多种接口</w:t>
            </w:r>
          </w:p>
        </w:tc>
        <w:tc>
          <w:tcPr>
            <w:tcW w:w="0" w:type="auto"/>
            <w:noWrap w:val="0"/>
            <w:tcMar>
              <w:top w:w="120" w:type="dxa"/>
              <w:left w:w="120" w:type="dxa"/>
              <w:bottom w:w="120" w:type="dxa"/>
              <w:right w:w="120" w:type="dxa"/>
            </w:tcMar>
            <w:vAlign w:val="center"/>
          </w:tcPr>
          <w:p w14:paraId="44976B1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5E2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40A2A6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w:t>
            </w:r>
          </w:p>
        </w:tc>
        <w:tc>
          <w:tcPr>
            <w:tcW w:w="0" w:type="auto"/>
            <w:noWrap w:val="0"/>
            <w:tcMar>
              <w:top w:w="120" w:type="dxa"/>
              <w:left w:w="120" w:type="dxa"/>
              <w:bottom w:w="120" w:type="dxa"/>
              <w:right w:w="120" w:type="dxa"/>
            </w:tcMar>
            <w:vAlign w:val="center"/>
          </w:tcPr>
          <w:p w14:paraId="240744C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终端经 50000 次插拔后，仍保持气体专用性，压降、连接力、断开力、机械强度等符合 YY0801</w:t>
            </w:r>
          </w:p>
        </w:tc>
        <w:tc>
          <w:tcPr>
            <w:tcW w:w="0" w:type="auto"/>
            <w:noWrap w:val="0"/>
            <w:tcMar>
              <w:top w:w="120" w:type="dxa"/>
              <w:left w:w="120" w:type="dxa"/>
              <w:bottom w:w="120" w:type="dxa"/>
              <w:right w:w="120" w:type="dxa"/>
            </w:tcMar>
            <w:vAlign w:val="center"/>
          </w:tcPr>
          <w:p w14:paraId="36E7A7F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51F2B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66D6FF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9</w:t>
            </w:r>
          </w:p>
        </w:tc>
        <w:tc>
          <w:tcPr>
            <w:tcW w:w="0" w:type="auto"/>
            <w:noWrap w:val="0"/>
            <w:tcMar>
              <w:top w:w="120" w:type="dxa"/>
              <w:left w:w="120" w:type="dxa"/>
              <w:bottom w:w="120" w:type="dxa"/>
              <w:right w:w="120" w:type="dxa"/>
            </w:tcMar>
            <w:vAlign w:val="center"/>
          </w:tcPr>
          <w:p w14:paraId="7132018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提供设备生产厂家售后服务承诺书</w:t>
            </w:r>
          </w:p>
        </w:tc>
        <w:tc>
          <w:tcPr>
            <w:tcW w:w="0" w:type="auto"/>
            <w:noWrap w:val="0"/>
            <w:tcMar>
              <w:top w:w="120" w:type="dxa"/>
              <w:left w:w="120" w:type="dxa"/>
              <w:bottom w:w="120" w:type="dxa"/>
              <w:right w:w="120" w:type="dxa"/>
            </w:tcMar>
            <w:vAlign w:val="center"/>
          </w:tcPr>
          <w:p w14:paraId="23BB9A9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需加盖投标单位公章</w:t>
            </w:r>
          </w:p>
        </w:tc>
      </w:tr>
    </w:tbl>
    <w:p w14:paraId="345D3725">
      <w:pPr>
        <w:spacing w:line="360" w:lineRule="auto"/>
        <w:ind w:right="206" w:rightChars="98"/>
        <w:rPr>
          <w:rFonts w:hint="eastAsia" w:ascii="宋体" w:hAnsi="宋体" w:eastAsia="宋体" w:cs="宋体"/>
          <w:bCs/>
          <w:color w:val="auto"/>
          <w:sz w:val="23"/>
          <w:szCs w:val="23"/>
          <w:highlight w:val="none"/>
        </w:rPr>
      </w:pPr>
      <w:r>
        <w:rPr>
          <w:rFonts w:hint="eastAsia" w:ascii="宋体" w:hAnsi="宋体" w:eastAsia="宋体" w:cs="宋体"/>
          <w:bCs/>
          <w:color w:val="auto"/>
          <w:kern w:val="0"/>
          <w:sz w:val="23"/>
          <w:szCs w:val="23"/>
          <w:highlight w:val="none"/>
        </w:rPr>
        <w:t>六、医用气体监测报警系统详细</w:t>
      </w:r>
      <w:r>
        <w:rPr>
          <w:rFonts w:hint="eastAsia" w:ascii="宋体" w:hAnsi="宋体" w:eastAsia="宋体" w:cs="宋体"/>
          <w:bCs/>
          <w:color w:val="auto"/>
          <w:sz w:val="23"/>
          <w:szCs w:val="23"/>
          <w:highlight w:val="none"/>
        </w:rPr>
        <w:t>说明</w:t>
      </w:r>
    </w:p>
    <w:p w14:paraId="6B268E54">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用气体监测报警系统基于物联网、云计算的智慧服务云平台，通过对气源站、气体管道系统、气体终端等各类气体现场场景加装智能数据采集通讯网关，将现场各类气体通过智能气体监控及运维服务云平台实时在线监控诊断，实现各类供气设备运行状态、气体流量、管道压力等的在线监控报警、记录、结算及分析。同时可支持接入云平台，通过设备共享，实现数据的手机APP端（安卓）同步。</w:t>
      </w:r>
    </w:p>
    <w:tbl>
      <w:tblPr>
        <w:tblStyle w:val="3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02"/>
        <w:gridCol w:w="5670"/>
      </w:tblGrid>
      <w:tr w14:paraId="4783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top"/>
          </w:tcPr>
          <w:p w14:paraId="5C16DA6B">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4F1DDC89">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设备名称</w:t>
            </w:r>
          </w:p>
        </w:tc>
        <w:tc>
          <w:tcPr>
            <w:tcW w:w="5670" w:type="dxa"/>
            <w:tcBorders>
              <w:top w:val="single" w:color="auto" w:sz="4" w:space="0"/>
              <w:left w:val="single" w:color="auto" w:sz="4" w:space="0"/>
              <w:bottom w:val="single" w:color="auto" w:sz="4" w:space="0"/>
              <w:right w:val="single" w:color="auto" w:sz="4" w:space="0"/>
            </w:tcBorders>
            <w:noWrap w:val="0"/>
            <w:vAlign w:val="top"/>
          </w:tcPr>
          <w:p w14:paraId="1EC6799D">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说明</w:t>
            </w:r>
          </w:p>
        </w:tc>
      </w:tr>
      <w:tr w14:paraId="228D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3119765B">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6FA84980">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气源报警器</w:t>
            </w:r>
          </w:p>
        </w:tc>
        <w:tc>
          <w:tcPr>
            <w:tcW w:w="5670" w:type="dxa"/>
            <w:tcBorders>
              <w:top w:val="single" w:color="auto" w:sz="4" w:space="0"/>
              <w:left w:val="single" w:color="auto" w:sz="4" w:space="0"/>
              <w:bottom w:val="single" w:color="auto" w:sz="4" w:space="0"/>
              <w:right w:val="single" w:color="auto" w:sz="4" w:space="0"/>
            </w:tcBorders>
            <w:noWrap w:val="0"/>
            <w:vAlign w:val="top"/>
          </w:tcPr>
          <w:p w14:paraId="61311BD9">
            <w:pPr>
              <w:spacing w:line="360" w:lineRule="auto"/>
              <w:ind w:right="113" w:rightChars="54"/>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各站房</w:t>
            </w:r>
          </w:p>
        </w:tc>
      </w:tr>
      <w:tr w14:paraId="38AE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786DE6C1">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EE7874C">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二气压力报警器</w:t>
            </w:r>
          </w:p>
        </w:tc>
        <w:tc>
          <w:tcPr>
            <w:tcW w:w="5670" w:type="dxa"/>
            <w:tcBorders>
              <w:top w:val="single" w:color="auto" w:sz="4" w:space="0"/>
              <w:left w:val="single" w:color="auto" w:sz="4" w:space="0"/>
              <w:bottom w:val="single" w:color="auto" w:sz="4" w:space="0"/>
              <w:right w:val="single" w:color="auto" w:sz="4" w:space="0"/>
            </w:tcBorders>
            <w:noWrap w:val="0"/>
            <w:vAlign w:val="center"/>
          </w:tcPr>
          <w:p w14:paraId="376BF494">
            <w:pPr>
              <w:spacing w:line="360" w:lineRule="auto"/>
              <w:ind w:right="113" w:rightChars="54"/>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氧气、吸引二气共用，声光报警</w:t>
            </w:r>
          </w:p>
        </w:tc>
      </w:tr>
      <w:tr w14:paraId="0614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72F1F561">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0A39A5A">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三气压力报警器</w:t>
            </w:r>
          </w:p>
        </w:tc>
        <w:tc>
          <w:tcPr>
            <w:tcW w:w="5670" w:type="dxa"/>
            <w:tcBorders>
              <w:top w:val="single" w:color="auto" w:sz="4" w:space="0"/>
              <w:left w:val="single" w:color="auto" w:sz="4" w:space="0"/>
              <w:bottom w:val="single" w:color="auto" w:sz="4" w:space="0"/>
              <w:right w:val="single" w:color="auto" w:sz="4" w:space="0"/>
            </w:tcBorders>
            <w:noWrap w:val="0"/>
            <w:vAlign w:val="center"/>
          </w:tcPr>
          <w:p w14:paraId="1ABED22B">
            <w:pPr>
              <w:spacing w:line="360" w:lineRule="auto"/>
              <w:ind w:right="113" w:rightChars="54"/>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氧气、吸引、压缩空气三气共用，声光报警</w:t>
            </w:r>
          </w:p>
        </w:tc>
      </w:tr>
      <w:tr w14:paraId="79139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5FFE7481">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0DA1BF69">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中央监控系统</w:t>
            </w:r>
          </w:p>
        </w:tc>
        <w:tc>
          <w:tcPr>
            <w:tcW w:w="5670" w:type="dxa"/>
            <w:tcBorders>
              <w:top w:val="single" w:color="auto" w:sz="4" w:space="0"/>
              <w:left w:val="single" w:color="auto" w:sz="4" w:space="0"/>
              <w:bottom w:val="single" w:color="auto" w:sz="4" w:space="0"/>
              <w:right w:val="single" w:color="auto" w:sz="4" w:space="0"/>
            </w:tcBorders>
            <w:noWrap w:val="0"/>
            <w:vAlign w:val="center"/>
          </w:tcPr>
          <w:p w14:paraId="395442A4">
            <w:pPr>
              <w:spacing w:line="360" w:lineRule="auto"/>
              <w:ind w:right="113" w:rightChars="54"/>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机房、楼层集成管理系统</w:t>
            </w:r>
          </w:p>
        </w:tc>
      </w:tr>
    </w:tbl>
    <w:p w14:paraId="15AD9AB7">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2、区域阀门流量报警箱：区域阀门流量报警箱由氧气流量计、气体压力报警器、区域阀门组合而成。</w:t>
      </w:r>
    </w:p>
    <w:tbl>
      <w:tblPr>
        <w:tblStyle w:val="31"/>
        <w:tblW w:w="52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56"/>
        <w:gridCol w:w="767"/>
        <w:gridCol w:w="5632"/>
        <w:gridCol w:w="2655"/>
      </w:tblGrid>
      <w:tr w14:paraId="1F6A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289" w:type="pct"/>
            <w:noWrap w:val="0"/>
            <w:tcMar>
              <w:top w:w="120" w:type="dxa"/>
              <w:left w:w="120" w:type="dxa"/>
              <w:bottom w:w="120" w:type="dxa"/>
              <w:right w:w="120" w:type="dxa"/>
            </w:tcMar>
            <w:vAlign w:val="center"/>
          </w:tcPr>
          <w:p w14:paraId="7CA2D6B8">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序号</w:t>
            </w:r>
          </w:p>
        </w:tc>
        <w:tc>
          <w:tcPr>
            <w:tcW w:w="399" w:type="pct"/>
            <w:noWrap w:val="0"/>
            <w:tcMar>
              <w:top w:w="120" w:type="dxa"/>
              <w:left w:w="120" w:type="dxa"/>
              <w:bottom w:w="120" w:type="dxa"/>
              <w:right w:w="120" w:type="dxa"/>
            </w:tcMar>
            <w:vAlign w:val="center"/>
          </w:tcPr>
          <w:p w14:paraId="4EB1D5DD">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项目</w:t>
            </w:r>
          </w:p>
        </w:tc>
        <w:tc>
          <w:tcPr>
            <w:tcW w:w="2929" w:type="pct"/>
            <w:noWrap w:val="0"/>
            <w:tcMar>
              <w:top w:w="120" w:type="dxa"/>
              <w:left w:w="120" w:type="dxa"/>
              <w:bottom w:w="120" w:type="dxa"/>
              <w:right w:w="120" w:type="dxa"/>
            </w:tcMar>
            <w:vAlign w:val="center"/>
          </w:tcPr>
          <w:p w14:paraId="5FA06F22">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技术要求内容</w:t>
            </w:r>
          </w:p>
        </w:tc>
        <w:tc>
          <w:tcPr>
            <w:tcW w:w="1381" w:type="pct"/>
            <w:noWrap w:val="0"/>
            <w:tcMar>
              <w:top w:w="120" w:type="dxa"/>
              <w:left w:w="120" w:type="dxa"/>
              <w:bottom w:w="120" w:type="dxa"/>
              <w:right w:w="120" w:type="dxa"/>
            </w:tcMar>
            <w:vAlign w:val="center"/>
          </w:tcPr>
          <w:p w14:paraId="17F49B35">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 xml:space="preserve">佐证 </w:t>
            </w:r>
          </w:p>
        </w:tc>
      </w:tr>
      <w:tr w14:paraId="425CA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noWrap w:val="0"/>
            <w:tcMar>
              <w:top w:w="120" w:type="dxa"/>
              <w:left w:w="120" w:type="dxa"/>
              <w:bottom w:w="120" w:type="dxa"/>
              <w:right w:w="120" w:type="dxa"/>
            </w:tcMar>
            <w:vAlign w:val="center"/>
          </w:tcPr>
          <w:p w14:paraId="15AC238B">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1</w:t>
            </w:r>
          </w:p>
        </w:tc>
        <w:tc>
          <w:tcPr>
            <w:tcW w:w="399" w:type="pct"/>
            <w:noWrap w:val="0"/>
            <w:tcMar>
              <w:top w:w="120" w:type="dxa"/>
              <w:left w:w="120" w:type="dxa"/>
              <w:bottom w:w="120" w:type="dxa"/>
              <w:right w:w="120" w:type="dxa"/>
            </w:tcMar>
            <w:vAlign w:val="center"/>
          </w:tcPr>
          <w:p w14:paraId="4EA5E002">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氧气流量计</w:t>
            </w:r>
          </w:p>
        </w:tc>
        <w:tc>
          <w:tcPr>
            <w:tcW w:w="2929" w:type="pct"/>
            <w:noWrap w:val="0"/>
            <w:tcMar>
              <w:top w:w="120" w:type="dxa"/>
              <w:left w:w="120" w:type="dxa"/>
              <w:bottom w:w="120" w:type="dxa"/>
              <w:right w:w="120" w:type="dxa"/>
            </w:tcMar>
            <w:vAlign w:val="center"/>
          </w:tcPr>
          <w:p w14:paraId="02814F09">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每层配置 1 台，自动存储数据，断电不丢失；显示本次流量、累计流量、瞬时流量；具备二位报警・最小测量：0.25m³/h・精度：±3%・压力：0～0.6MPa（恒压）・显示：LED 7 位（99999.99m），8 位发光管动态指示・分辨率：0.01m・流速范围：2～200L/min</w:t>
            </w:r>
          </w:p>
        </w:tc>
        <w:tc>
          <w:tcPr>
            <w:tcW w:w="1381" w:type="pct"/>
            <w:noWrap w:val="0"/>
            <w:tcMar>
              <w:top w:w="120" w:type="dxa"/>
              <w:left w:w="120" w:type="dxa"/>
              <w:bottom w:w="120" w:type="dxa"/>
              <w:right w:w="120" w:type="dxa"/>
            </w:tcMar>
            <w:vAlign w:val="center"/>
          </w:tcPr>
          <w:p w14:paraId="2CDFE8B1">
            <w:pPr>
              <w:spacing w:line="360" w:lineRule="auto"/>
              <w:ind w:right="-105" w:righ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w:t>
            </w:r>
          </w:p>
        </w:tc>
      </w:tr>
      <w:tr w14:paraId="4079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noWrap w:val="0"/>
            <w:tcMar>
              <w:top w:w="120" w:type="dxa"/>
              <w:left w:w="120" w:type="dxa"/>
              <w:bottom w:w="120" w:type="dxa"/>
              <w:right w:w="120" w:type="dxa"/>
            </w:tcMar>
            <w:vAlign w:val="center"/>
          </w:tcPr>
          <w:p w14:paraId="34290799">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2</w:t>
            </w:r>
          </w:p>
        </w:tc>
        <w:tc>
          <w:tcPr>
            <w:tcW w:w="399" w:type="pct"/>
            <w:noWrap w:val="0"/>
            <w:tcMar>
              <w:top w:w="120" w:type="dxa"/>
              <w:left w:w="120" w:type="dxa"/>
              <w:bottom w:w="120" w:type="dxa"/>
              <w:right w:w="120" w:type="dxa"/>
            </w:tcMar>
            <w:vAlign w:val="center"/>
          </w:tcPr>
          <w:p w14:paraId="4DAA51CF">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医用气体报警系统（中央监控系统）</w:t>
            </w:r>
          </w:p>
        </w:tc>
        <w:tc>
          <w:tcPr>
            <w:tcW w:w="2929" w:type="pct"/>
            <w:noWrap w:val="0"/>
            <w:tcMar>
              <w:top w:w="120" w:type="dxa"/>
              <w:left w:w="120" w:type="dxa"/>
              <w:bottom w:w="120" w:type="dxa"/>
              <w:right w:w="120" w:type="dxa"/>
            </w:tcMar>
            <w:vAlign w:val="center"/>
          </w:tcPr>
          <w:p w14:paraId="51FB43BA">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每层配置 1 台，设置</w:t>
            </w:r>
            <w:r>
              <w:rPr>
                <w:rFonts w:hint="eastAsia" w:ascii="宋体" w:hAnsi="宋体" w:eastAsia="宋体" w:cs="宋体"/>
                <w:color w:val="auto"/>
                <w:sz w:val="23"/>
                <w:szCs w:val="23"/>
                <w:highlight w:val="none"/>
              </w:rPr>
              <w:t xml:space="preserve">本地配备压力监测装置,并能远程报警，当压力超出预设范围时报警； </w:t>
            </w:r>
          </w:p>
          <w:p w14:paraId="0720EC7F">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医用气体区域报警系统控制面板设在各层护士站或走廊明显位置，方便观察使用</w:t>
            </w:r>
            <w:r>
              <w:rPr>
                <w:rFonts w:hint="eastAsia" w:ascii="宋体" w:hAnsi="宋体" w:eastAsia="宋体" w:cs="宋体"/>
                <w:color w:val="auto"/>
                <w:sz w:val="23"/>
                <w:szCs w:val="23"/>
                <w:highlight w:val="none"/>
                <w:lang w:eastAsia="zh-CN"/>
              </w:rPr>
              <w:t>；</w:t>
            </w:r>
          </w:p>
          <w:p w14:paraId="0A22C86A">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内置网络远程传输模块，能够将实时压力信息通过</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sz w:val="23"/>
                <w:szCs w:val="23"/>
                <w:highlight w:val="none"/>
              </w:rPr>
              <w:t>485</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sz w:val="23"/>
                <w:szCs w:val="23"/>
                <w:highlight w:val="none"/>
              </w:rPr>
              <w:t>数据传输到医用气体云端控制器；</w:t>
            </w:r>
          </w:p>
          <w:p w14:paraId="3DDDFF30">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rPr>
              <w:t>医用气体云端控制器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由云端显示器，BDC 控制器,打印机组成</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 xml:space="preserve">能接受来自各种气体汇流排、空气压缩机组、真空机组、液氧站系统的报警信号，并能在值班室报警并文字显示出故障内容全中文显示监测气体种类及数字显示压力值； </w:t>
            </w:r>
          </w:p>
          <w:p w14:paraId="48C0C9C2">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rPr>
              <w:t>可通过内网收集所有气源设备、各区域报警器的实时数据，并记录保存</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 xml:space="preserve"> </w:t>
            </w:r>
          </w:p>
          <w:p w14:paraId="096CBE06">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rPr>
              <w:t>医用气体云端控制器同时采集楼层区域控制器、医用气体设备监控系统的设备详情、保养记录、操作流程，并可支持手机在线查阅</w:t>
            </w:r>
            <w:r>
              <w:rPr>
                <w:rFonts w:hint="eastAsia" w:ascii="宋体" w:hAnsi="宋体" w:eastAsia="宋体" w:cs="宋体"/>
                <w:color w:val="auto"/>
                <w:sz w:val="23"/>
                <w:szCs w:val="23"/>
                <w:highlight w:val="none"/>
                <w:lang w:eastAsia="zh-CN"/>
              </w:rPr>
              <w:t>。</w:t>
            </w:r>
          </w:p>
        </w:tc>
        <w:tc>
          <w:tcPr>
            <w:tcW w:w="1381" w:type="pct"/>
            <w:noWrap w:val="0"/>
            <w:tcMar>
              <w:top w:w="120" w:type="dxa"/>
              <w:left w:w="120" w:type="dxa"/>
              <w:bottom w:w="120" w:type="dxa"/>
              <w:right w:w="120" w:type="dxa"/>
            </w:tcMar>
            <w:vAlign w:val="center"/>
          </w:tcPr>
          <w:p w14:paraId="453F97DE">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提供生产厂家售后服务承诺书（加盖投标单位公章）</w:t>
            </w:r>
          </w:p>
        </w:tc>
      </w:tr>
      <w:tr w14:paraId="2F3AA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vMerge w:val="restart"/>
            <w:noWrap w:val="0"/>
            <w:tcMar>
              <w:top w:w="120" w:type="dxa"/>
              <w:left w:w="120" w:type="dxa"/>
              <w:bottom w:w="120" w:type="dxa"/>
              <w:right w:w="120" w:type="dxa"/>
            </w:tcMar>
            <w:vAlign w:val="center"/>
          </w:tcPr>
          <w:p w14:paraId="1D71A9E2">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w:t>
            </w:r>
          </w:p>
        </w:tc>
        <w:tc>
          <w:tcPr>
            <w:tcW w:w="399" w:type="pct"/>
            <w:vMerge w:val="restart"/>
            <w:noWrap w:val="0"/>
            <w:tcMar>
              <w:top w:w="120" w:type="dxa"/>
              <w:left w:w="120" w:type="dxa"/>
              <w:bottom w:w="120" w:type="dxa"/>
              <w:right w:w="120" w:type="dxa"/>
            </w:tcMar>
            <w:vAlign w:val="center"/>
          </w:tcPr>
          <w:p w14:paraId="289533E2">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区域阀门箱</w:t>
            </w:r>
          </w:p>
        </w:tc>
        <w:tc>
          <w:tcPr>
            <w:tcW w:w="2929" w:type="pct"/>
            <w:noWrap w:val="0"/>
            <w:tcMar>
              <w:top w:w="120" w:type="dxa"/>
              <w:left w:w="120" w:type="dxa"/>
              <w:bottom w:w="120" w:type="dxa"/>
              <w:right w:w="120" w:type="dxa"/>
            </w:tcMar>
            <w:vAlign w:val="center"/>
          </w:tcPr>
          <w:p w14:paraId="7D7ADBD0">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▲管路经100%气密性测试，气密性(正压):在初始进气压力≥800KPa，24h后进气压力每小时压降检测结果≤0%;气密性(负压):在压力P=-40KPa，保压时间24h后，压力检测结果为-40KPa。</w:t>
            </w:r>
          </w:p>
          <w:p w14:paraId="45087651">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1381" w:type="pct"/>
            <w:noWrap w:val="0"/>
            <w:tcMar>
              <w:top w:w="120" w:type="dxa"/>
              <w:left w:w="120" w:type="dxa"/>
              <w:bottom w:w="120" w:type="dxa"/>
              <w:right w:w="120" w:type="dxa"/>
            </w:tcMar>
            <w:vAlign w:val="center"/>
          </w:tcPr>
          <w:p w14:paraId="7305D628">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承诺中标后提供检测报告（承诺函格式自拟）</w:t>
            </w:r>
          </w:p>
        </w:tc>
      </w:tr>
      <w:tr w14:paraId="6E873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vMerge w:val="continue"/>
            <w:noWrap w:val="0"/>
            <w:tcMar>
              <w:top w:w="120" w:type="dxa"/>
              <w:left w:w="120" w:type="dxa"/>
              <w:bottom w:w="120" w:type="dxa"/>
              <w:right w:w="120" w:type="dxa"/>
            </w:tcMar>
            <w:vAlign w:val="center"/>
          </w:tcPr>
          <w:p w14:paraId="22C1AADD">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399" w:type="pct"/>
            <w:vMerge w:val="continue"/>
            <w:noWrap w:val="0"/>
            <w:tcMar>
              <w:top w:w="120" w:type="dxa"/>
              <w:left w:w="120" w:type="dxa"/>
              <w:bottom w:w="120" w:type="dxa"/>
              <w:right w:w="120" w:type="dxa"/>
            </w:tcMar>
            <w:vAlign w:val="center"/>
          </w:tcPr>
          <w:p w14:paraId="3765EF7A">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2929" w:type="pct"/>
            <w:noWrap w:val="0"/>
            <w:tcMar>
              <w:top w:w="120" w:type="dxa"/>
              <w:left w:w="120" w:type="dxa"/>
              <w:bottom w:w="120" w:type="dxa"/>
              <w:right w:w="120" w:type="dxa"/>
            </w:tcMar>
            <w:vAlign w:val="center"/>
          </w:tcPr>
          <w:p w14:paraId="722CF36A">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▲区域阀门箱设置有紧急情况下的送气装置，在系统无法正常供气的情况下，可以在区域临时应急供气。</w:t>
            </w:r>
          </w:p>
          <w:p w14:paraId="3A040DEE">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1381" w:type="pct"/>
            <w:noWrap w:val="0"/>
            <w:tcMar>
              <w:top w:w="120" w:type="dxa"/>
              <w:left w:w="120" w:type="dxa"/>
              <w:bottom w:w="120" w:type="dxa"/>
              <w:right w:w="120" w:type="dxa"/>
            </w:tcMar>
            <w:vAlign w:val="center"/>
          </w:tcPr>
          <w:p w14:paraId="20652B29">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承诺中标后提供检测报告（承诺函格式自拟）</w:t>
            </w:r>
          </w:p>
        </w:tc>
      </w:tr>
      <w:tr w14:paraId="5A6A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vMerge w:val="continue"/>
            <w:noWrap w:val="0"/>
            <w:tcMar>
              <w:top w:w="120" w:type="dxa"/>
              <w:left w:w="120" w:type="dxa"/>
              <w:bottom w:w="120" w:type="dxa"/>
              <w:right w:w="120" w:type="dxa"/>
            </w:tcMar>
            <w:vAlign w:val="center"/>
          </w:tcPr>
          <w:p w14:paraId="18105461">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399" w:type="pct"/>
            <w:vMerge w:val="continue"/>
            <w:noWrap w:val="0"/>
            <w:tcMar>
              <w:top w:w="120" w:type="dxa"/>
              <w:left w:w="120" w:type="dxa"/>
              <w:bottom w:w="120" w:type="dxa"/>
              <w:right w:w="120" w:type="dxa"/>
            </w:tcMar>
            <w:vAlign w:val="center"/>
          </w:tcPr>
          <w:p w14:paraId="629743FF">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2929" w:type="pct"/>
            <w:noWrap w:val="0"/>
            <w:tcMar>
              <w:top w:w="120" w:type="dxa"/>
              <w:left w:w="120" w:type="dxa"/>
              <w:bottom w:w="120" w:type="dxa"/>
              <w:right w:w="120" w:type="dxa"/>
            </w:tcMar>
            <w:vAlign w:val="center"/>
          </w:tcPr>
          <w:p w14:paraId="13DC8C4D">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▲区域阀门箱面板观察窗采用钢化玻璃或有机玻璃等制作。当出现紧急情况时，可直接击破进行操作。</w:t>
            </w:r>
          </w:p>
        </w:tc>
        <w:tc>
          <w:tcPr>
            <w:tcW w:w="1381" w:type="pct"/>
            <w:noWrap w:val="0"/>
            <w:tcMar>
              <w:top w:w="120" w:type="dxa"/>
              <w:left w:w="120" w:type="dxa"/>
              <w:bottom w:w="120" w:type="dxa"/>
              <w:right w:w="120" w:type="dxa"/>
            </w:tcMar>
            <w:vAlign w:val="center"/>
          </w:tcPr>
          <w:p w14:paraId="75292BF8">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承诺中标后提供检测报告（承诺函格式自拟）</w:t>
            </w:r>
          </w:p>
        </w:tc>
      </w:tr>
    </w:tbl>
    <w:p w14:paraId="7A67FE54">
      <w:pPr>
        <w:spacing w:line="360" w:lineRule="auto"/>
        <w:jc w:val="left"/>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七、医用传呼系统详细说明</w:t>
      </w:r>
    </w:p>
    <w:p w14:paraId="72A1B08B">
      <w:pPr>
        <w:spacing w:line="360" w:lineRule="auto"/>
        <w:ind w:firstLine="230" w:firstLineChars="1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医用呼叫系统：</w:t>
      </w:r>
      <w:r>
        <w:rPr>
          <w:rFonts w:hint="eastAsia" w:ascii="宋体" w:hAnsi="宋体" w:eastAsia="宋体" w:cs="宋体"/>
          <w:bCs/>
          <w:color w:val="auto"/>
          <w:sz w:val="23"/>
          <w:szCs w:val="23"/>
          <w:highlight w:val="none"/>
        </w:rPr>
        <w:t>包括传呼主机、走廊显示屏、床头分机、卫生间紧急呼叫按钮等组成。</w:t>
      </w:r>
    </w:p>
    <w:p w14:paraId="37B1394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（一）、智能护理通讯主机</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01"/>
        <w:gridCol w:w="7389"/>
        <w:gridCol w:w="1124"/>
      </w:tblGrid>
      <w:tr w14:paraId="4B9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6B7EBD8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893EBAF">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0" w:type="auto"/>
            <w:noWrap w:val="0"/>
            <w:tcMar>
              <w:top w:w="120" w:type="dxa"/>
              <w:left w:w="120" w:type="dxa"/>
              <w:bottom w:w="120" w:type="dxa"/>
              <w:right w:w="120" w:type="dxa"/>
            </w:tcMar>
            <w:vAlign w:val="center"/>
          </w:tcPr>
          <w:p w14:paraId="4D8C64D4">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佐证材料要求</w:t>
            </w:r>
          </w:p>
        </w:tc>
      </w:tr>
      <w:tr w14:paraId="4F7C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FC0BB1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1B60BA3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主机面板为 PMMA 材料一体雕刻成型，不褪色，按键精美，亮光柔和，手感好；支持 16 级振铃音量、12 首和弦乐曲可调</w:t>
            </w:r>
          </w:p>
        </w:tc>
        <w:tc>
          <w:tcPr>
            <w:tcW w:w="0" w:type="auto"/>
            <w:noWrap w:val="0"/>
            <w:tcMar>
              <w:top w:w="120" w:type="dxa"/>
              <w:left w:w="120" w:type="dxa"/>
              <w:bottom w:w="120" w:type="dxa"/>
              <w:right w:w="120" w:type="dxa"/>
            </w:tcMar>
            <w:vAlign w:val="center"/>
          </w:tcPr>
          <w:p w14:paraId="3251529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BF38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FECA09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51089E6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采用铝质边框及面板装饰条，含喷砂、拉丝两种工艺，提升耐用性与品质</w:t>
            </w:r>
          </w:p>
        </w:tc>
        <w:tc>
          <w:tcPr>
            <w:tcW w:w="0" w:type="auto"/>
            <w:noWrap w:val="0"/>
            <w:tcMar>
              <w:top w:w="120" w:type="dxa"/>
              <w:left w:w="120" w:type="dxa"/>
              <w:bottom w:w="120" w:type="dxa"/>
              <w:right w:w="120" w:type="dxa"/>
            </w:tcMar>
            <w:vAlign w:val="center"/>
          </w:tcPr>
          <w:p w14:paraId="69BB86B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350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98CBC8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6FB8EB4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系统采用两线制组网，分机号、广播机可在线任意编码，安装调试便捷</w:t>
            </w:r>
          </w:p>
        </w:tc>
        <w:tc>
          <w:tcPr>
            <w:tcW w:w="0" w:type="auto"/>
            <w:noWrap w:val="0"/>
            <w:tcMar>
              <w:top w:w="120" w:type="dxa"/>
              <w:left w:w="120" w:type="dxa"/>
              <w:bottom w:w="120" w:type="dxa"/>
              <w:right w:w="120" w:type="dxa"/>
            </w:tcMar>
            <w:vAlign w:val="center"/>
          </w:tcPr>
          <w:p w14:paraId="0139B7A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234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07C970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16F0267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可灵活设置各床位护理级别颜色，支持三色标识灯指示及高级优先</w:t>
            </w:r>
          </w:p>
        </w:tc>
        <w:tc>
          <w:tcPr>
            <w:tcW w:w="0" w:type="auto"/>
            <w:noWrap w:val="0"/>
            <w:tcMar>
              <w:top w:w="120" w:type="dxa"/>
              <w:left w:w="120" w:type="dxa"/>
              <w:bottom w:w="120" w:type="dxa"/>
              <w:right w:w="120" w:type="dxa"/>
            </w:tcMar>
            <w:vAlign w:val="center"/>
          </w:tcPr>
          <w:p w14:paraId="024499F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24F5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A51524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0CD10C9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支持呼叫对讲、呼叫显示、未处理提醒及清除功能</w:t>
            </w:r>
          </w:p>
        </w:tc>
        <w:tc>
          <w:tcPr>
            <w:tcW w:w="0" w:type="auto"/>
            <w:noWrap w:val="0"/>
            <w:tcMar>
              <w:top w:w="120" w:type="dxa"/>
              <w:left w:w="120" w:type="dxa"/>
              <w:bottom w:w="120" w:type="dxa"/>
              <w:right w:w="120" w:type="dxa"/>
            </w:tcMar>
            <w:vAlign w:val="center"/>
          </w:tcPr>
          <w:p w14:paraId="1BA9B27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A74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A4D5D6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w:t>
            </w:r>
          </w:p>
        </w:tc>
        <w:tc>
          <w:tcPr>
            <w:tcW w:w="0" w:type="auto"/>
            <w:noWrap w:val="0"/>
            <w:tcMar>
              <w:top w:w="120" w:type="dxa"/>
              <w:left w:w="120" w:type="dxa"/>
              <w:bottom w:w="120" w:type="dxa"/>
              <w:right w:w="120" w:type="dxa"/>
            </w:tcMar>
            <w:vAlign w:val="center"/>
          </w:tcPr>
          <w:p w14:paraId="240CF62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具备话筒广播、音频宣教广播，支持外接音频输入设备</w:t>
            </w:r>
          </w:p>
        </w:tc>
        <w:tc>
          <w:tcPr>
            <w:tcW w:w="0" w:type="auto"/>
            <w:noWrap w:val="0"/>
            <w:tcMar>
              <w:top w:w="120" w:type="dxa"/>
              <w:left w:w="120" w:type="dxa"/>
              <w:bottom w:w="120" w:type="dxa"/>
              <w:right w:w="120" w:type="dxa"/>
            </w:tcMar>
            <w:vAlign w:val="center"/>
          </w:tcPr>
          <w:p w14:paraId="23F3DFD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E61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7662B1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w:t>
            </w:r>
          </w:p>
        </w:tc>
        <w:tc>
          <w:tcPr>
            <w:tcW w:w="0" w:type="auto"/>
            <w:noWrap w:val="0"/>
            <w:tcMar>
              <w:top w:w="120" w:type="dxa"/>
              <w:left w:w="120" w:type="dxa"/>
              <w:bottom w:w="120" w:type="dxa"/>
              <w:right w:w="120" w:type="dxa"/>
            </w:tcMar>
            <w:vAlign w:val="center"/>
          </w:tcPr>
          <w:p w14:paraId="592FD19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具备语音报号、音乐振铃功能，主机音量可分时段调节</w:t>
            </w:r>
          </w:p>
        </w:tc>
        <w:tc>
          <w:tcPr>
            <w:tcW w:w="0" w:type="auto"/>
            <w:noWrap w:val="0"/>
            <w:tcMar>
              <w:top w:w="120" w:type="dxa"/>
              <w:left w:w="120" w:type="dxa"/>
              <w:bottom w:w="120" w:type="dxa"/>
              <w:right w:w="120" w:type="dxa"/>
            </w:tcMar>
            <w:vAlign w:val="center"/>
          </w:tcPr>
          <w:p w14:paraId="3AEAE75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48E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C50DC3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w:t>
            </w:r>
          </w:p>
        </w:tc>
        <w:tc>
          <w:tcPr>
            <w:tcW w:w="0" w:type="auto"/>
            <w:noWrap w:val="0"/>
            <w:tcMar>
              <w:top w:w="120" w:type="dxa"/>
              <w:left w:w="120" w:type="dxa"/>
              <w:bottom w:w="120" w:type="dxa"/>
              <w:right w:w="120" w:type="dxa"/>
            </w:tcMar>
            <w:vAlign w:val="center"/>
          </w:tcPr>
          <w:p w14:paraId="4F5E404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支持扩展副话机，具备对讲及来电显示功能</w:t>
            </w:r>
          </w:p>
        </w:tc>
        <w:tc>
          <w:tcPr>
            <w:tcW w:w="0" w:type="auto"/>
            <w:noWrap w:val="0"/>
            <w:tcMar>
              <w:top w:w="120" w:type="dxa"/>
              <w:left w:w="120" w:type="dxa"/>
              <w:bottom w:w="120" w:type="dxa"/>
              <w:right w:w="120" w:type="dxa"/>
            </w:tcMar>
            <w:vAlign w:val="center"/>
          </w:tcPr>
          <w:p w14:paraId="0F3DE50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0A4C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1F989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9</w:t>
            </w:r>
          </w:p>
        </w:tc>
        <w:tc>
          <w:tcPr>
            <w:tcW w:w="0" w:type="auto"/>
            <w:noWrap w:val="0"/>
            <w:tcMar>
              <w:top w:w="120" w:type="dxa"/>
              <w:left w:w="120" w:type="dxa"/>
              <w:bottom w:w="120" w:type="dxa"/>
              <w:right w:w="120" w:type="dxa"/>
            </w:tcMar>
            <w:vAlign w:val="center"/>
          </w:tcPr>
          <w:p w14:paraId="7808A95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支持扩展移动医护分机，具备消息显示功能</w:t>
            </w:r>
          </w:p>
        </w:tc>
        <w:tc>
          <w:tcPr>
            <w:tcW w:w="0" w:type="auto"/>
            <w:noWrap w:val="0"/>
            <w:tcMar>
              <w:top w:w="120" w:type="dxa"/>
              <w:left w:w="120" w:type="dxa"/>
              <w:bottom w:w="120" w:type="dxa"/>
              <w:right w:w="120" w:type="dxa"/>
            </w:tcMar>
            <w:vAlign w:val="center"/>
          </w:tcPr>
          <w:p w14:paraId="7EF9E37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9B7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ED005B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10</w:t>
            </w:r>
          </w:p>
        </w:tc>
        <w:tc>
          <w:tcPr>
            <w:tcW w:w="0" w:type="auto"/>
            <w:noWrap w:val="0"/>
            <w:tcMar>
              <w:top w:w="120" w:type="dxa"/>
              <w:left w:w="120" w:type="dxa"/>
              <w:bottom w:w="120" w:type="dxa"/>
              <w:right w:w="120" w:type="dxa"/>
            </w:tcMar>
            <w:vAlign w:val="center"/>
          </w:tcPr>
          <w:p w14:paraId="10F5AC2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具备故障报警、故障巡检功能，可实时屏幕显示</w:t>
            </w:r>
          </w:p>
        </w:tc>
        <w:tc>
          <w:tcPr>
            <w:tcW w:w="0" w:type="auto"/>
            <w:noWrap w:val="0"/>
            <w:tcMar>
              <w:top w:w="120" w:type="dxa"/>
              <w:left w:w="120" w:type="dxa"/>
              <w:bottom w:w="120" w:type="dxa"/>
              <w:right w:w="120" w:type="dxa"/>
            </w:tcMar>
            <w:vAlign w:val="center"/>
          </w:tcPr>
          <w:p w14:paraId="451A404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819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1B342B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11</w:t>
            </w:r>
          </w:p>
        </w:tc>
        <w:tc>
          <w:tcPr>
            <w:tcW w:w="0" w:type="auto"/>
            <w:noWrap w:val="0"/>
            <w:tcMar>
              <w:top w:w="120" w:type="dxa"/>
              <w:left w:w="120" w:type="dxa"/>
              <w:bottom w:w="120" w:type="dxa"/>
              <w:right w:w="120" w:type="dxa"/>
            </w:tcMar>
            <w:vAlign w:val="center"/>
          </w:tcPr>
          <w:p w14:paraId="7A799A3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标准床头分机容量：40 门、50 门、50 门、60 门，支持定制</w:t>
            </w:r>
          </w:p>
        </w:tc>
        <w:tc>
          <w:tcPr>
            <w:tcW w:w="0" w:type="auto"/>
            <w:noWrap w:val="0"/>
            <w:tcMar>
              <w:top w:w="120" w:type="dxa"/>
              <w:left w:w="120" w:type="dxa"/>
              <w:bottom w:w="120" w:type="dxa"/>
              <w:right w:w="120" w:type="dxa"/>
            </w:tcMar>
            <w:vAlign w:val="center"/>
          </w:tcPr>
          <w:p w14:paraId="3C84C68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bl>
    <w:p w14:paraId="7E7850D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bCs/>
          <w:color w:val="auto"/>
          <w:sz w:val="23"/>
          <w:szCs w:val="23"/>
          <w:highlight w:val="none"/>
        </w:rPr>
        <w:t>（二）、床头分机</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259"/>
        <w:gridCol w:w="7855"/>
      </w:tblGrid>
      <w:tr w14:paraId="6619A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2451DC3C">
            <w:pPr>
              <w:keepNext w:val="0"/>
              <w:keepLines w:val="0"/>
              <w:widowControl/>
              <w:suppressLineNumbers w:val="0"/>
              <w:jc w:val="left"/>
              <w:rPr>
                <w:rFonts w:hint="eastAsia" w:ascii="宋体" w:hAnsi="宋体" w:eastAsia="宋体" w:cs="宋体"/>
                <w:b/>
                <w:bCs/>
                <w:color w:val="auto"/>
                <w:sz w:val="23"/>
                <w:szCs w:val="23"/>
                <w:highlight w:val="none"/>
              </w:rPr>
            </w:pPr>
            <w:bookmarkStart w:id="62" w:name="OLE_LINK4"/>
            <w:bookmarkStart w:id="63" w:name="OLE_LINK2"/>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65E1755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r>
      <w:tr w14:paraId="662E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6CA5A0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465605A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面板采用氧化铝拉丝工艺，永不褪色</w:t>
            </w:r>
          </w:p>
        </w:tc>
      </w:tr>
      <w:tr w14:paraId="63BE3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FD28AE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2B22BB6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超薄平装造型设计</w:t>
            </w:r>
          </w:p>
        </w:tc>
      </w:tr>
      <w:tr w14:paraId="3905C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F43579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3CB073A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具备呼叫通话、叫通指示、呼叫清除功能</w:t>
            </w:r>
          </w:p>
        </w:tc>
      </w:tr>
      <w:tr w14:paraId="43B7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EDF0D4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2948D7C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可作为广播机使用</w:t>
            </w:r>
          </w:p>
        </w:tc>
      </w:tr>
      <w:tr w14:paraId="6C8F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29AD1F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263C325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采用拔插式呼叫开关</w:t>
            </w:r>
          </w:p>
        </w:tc>
      </w:tr>
    </w:tbl>
    <w:p w14:paraId="35254FB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w:t>
      </w:r>
      <w:bookmarkEnd w:id="62"/>
      <w:bookmarkEnd w:id="63"/>
      <w:r>
        <w:rPr>
          <w:rFonts w:hint="eastAsia" w:ascii="宋体" w:hAnsi="宋体" w:eastAsia="宋体" w:cs="宋体"/>
          <w:bCs/>
          <w:color w:val="auto"/>
          <w:sz w:val="23"/>
          <w:szCs w:val="23"/>
          <w:highlight w:val="none"/>
        </w:rPr>
        <w:t>、走廊显示屏</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86"/>
        <w:gridCol w:w="5758"/>
        <w:gridCol w:w="2770"/>
      </w:tblGrid>
      <w:tr w14:paraId="2E5F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7519D453">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1BC4047">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0" w:type="auto"/>
            <w:noWrap w:val="0"/>
            <w:tcMar>
              <w:top w:w="120" w:type="dxa"/>
              <w:left w:w="120" w:type="dxa"/>
              <w:bottom w:w="120" w:type="dxa"/>
              <w:right w:w="120" w:type="dxa"/>
            </w:tcMar>
            <w:vAlign w:val="center"/>
          </w:tcPr>
          <w:p w14:paraId="744C0B12">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佐证材料要求</w:t>
            </w:r>
          </w:p>
        </w:tc>
      </w:tr>
      <w:tr w14:paraId="66771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EE781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14B2A3A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走廊用双面多功能显示屏</w:t>
            </w:r>
          </w:p>
        </w:tc>
        <w:tc>
          <w:tcPr>
            <w:tcW w:w="0" w:type="auto"/>
            <w:noWrap w:val="0"/>
            <w:tcMar>
              <w:top w:w="120" w:type="dxa"/>
              <w:left w:w="120" w:type="dxa"/>
              <w:bottom w:w="120" w:type="dxa"/>
              <w:right w:w="120" w:type="dxa"/>
            </w:tcMar>
            <w:vAlign w:val="center"/>
          </w:tcPr>
          <w:p w14:paraId="59FB9AB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672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95291A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7D24F70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可显示呼叫患者房间号、床位号、时间等信息</w:t>
            </w:r>
          </w:p>
        </w:tc>
        <w:tc>
          <w:tcPr>
            <w:tcW w:w="0" w:type="auto"/>
            <w:noWrap w:val="0"/>
            <w:tcMar>
              <w:top w:w="120" w:type="dxa"/>
              <w:left w:w="120" w:type="dxa"/>
              <w:bottom w:w="120" w:type="dxa"/>
              <w:right w:w="120" w:type="dxa"/>
            </w:tcMar>
            <w:vAlign w:val="center"/>
          </w:tcPr>
          <w:p w14:paraId="7F3F683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DA4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CFA6CD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7FD5D37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采用双绞线接入系统总线，电源、数据、语音共用一条两芯线，无需外接模块，可独立与主机组网</w:t>
            </w:r>
          </w:p>
        </w:tc>
        <w:tc>
          <w:tcPr>
            <w:tcW w:w="0" w:type="auto"/>
            <w:noWrap w:val="0"/>
            <w:tcMar>
              <w:top w:w="120" w:type="dxa"/>
              <w:left w:w="120" w:type="dxa"/>
              <w:bottom w:w="120" w:type="dxa"/>
              <w:right w:w="120" w:type="dxa"/>
            </w:tcMar>
            <w:vAlign w:val="center"/>
          </w:tcPr>
          <w:p w14:paraId="73BD0E0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ABBD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D6E15D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3601383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静电防护等级：±15kV</w:t>
            </w:r>
          </w:p>
        </w:tc>
        <w:tc>
          <w:tcPr>
            <w:tcW w:w="0" w:type="auto"/>
            <w:noWrap w:val="0"/>
            <w:tcMar>
              <w:top w:w="120" w:type="dxa"/>
              <w:left w:w="120" w:type="dxa"/>
              <w:bottom w:w="120" w:type="dxa"/>
              <w:right w:w="120" w:type="dxa"/>
            </w:tcMar>
            <w:vAlign w:val="center"/>
          </w:tcPr>
          <w:p w14:paraId="407C833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r w14:paraId="3E599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C5C391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145E9DC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群脉冲等级：1.2kV@5kHz</w:t>
            </w:r>
          </w:p>
        </w:tc>
        <w:tc>
          <w:tcPr>
            <w:tcW w:w="0" w:type="auto"/>
            <w:noWrap w:val="0"/>
            <w:tcMar>
              <w:top w:w="120" w:type="dxa"/>
              <w:left w:w="120" w:type="dxa"/>
              <w:bottom w:w="120" w:type="dxa"/>
              <w:right w:w="120" w:type="dxa"/>
            </w:tcMar>
            <w:vAlign w:val="center"/>
          </w:tcPr>
          <w:p w14:paraId="5289FC5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承诺中标后提供检测报告（承诺函格式自拟）</w:t>
            </w:r>
          </w:p>
        </w:tc>
      </w:tr>
    </w:tbl>
    <w:p w14:paraId="720BCBB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（四）、卫生间分机</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12"/>
        <w:gridCol w:w="8402"/>
      </w:tblGrid>
      <w:tr w14:paraId="63FE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0D014821">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428B64A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r>
      <w:tr w14:paraId="0098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6DB7EE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6D3600F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满足紧急呼叫功能，呼叫优先级最高</w:t>
            </w:r>
          </w:p>
        </w:tc>
      </w:tr>
      <w:tr w14:paraId="7C7E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4CF8FD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1FEDD86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呼叫时具备明显指示灯提示</w:t>
            </w:r>
          </w:p>
        </w:tc>
      </w:tr>
      <w:tr w14:paraId="39A5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5D4345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3A3D00E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呼入状态下，再次按键可清除呼叫</w:t>
            </w:r>
          </w:p>
        </w:tc>
      </w:tr>
      <w:tr w14:paraId="0A3F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B614E3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5C8BA7A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紧急呼叫按钮防水等级：≥IP65，防尘设计，适用于卫生间、淋浴间等潮湿环境</w:t>
            </w:r>
          </w:p>
        </w:tc>
      </w:tr>
    </w:tbl>
    <w:p w14:paraId="4230422B">
      <w:pPr>
        <w:spacing w:line="360" w:lineRule="auto"/>
        <w:ind w:firstLine="460" w:firstLineChars="200"/>
        <w:rPr>
          <w:rFonts w:hint="eastAsia" w:ascii="宋体" w:hAnsi="宋体" w:eastAsia="宋体" w:cs="宋体"/>
          <w:color w:val="auto"/>
          <w:sz w:val="23"/>
          <w:szCs w:val="23"/>
          <w:highlight w:val="none"/>
          <w:lang w:val="en-US" w:eastAsia="zh-CN"/>
        </w:rPr>
      </w:pPr>
    </w:p>
    <w:p w14:paraId="12CFB46B">
      <w:pPr>
        <w:spacing w:line="360" w:lineRule="auto"/>
        <w:ind w:firstLine="462" w:firstLineChars="200"/>
        <w:rPr>
          <w:rFonts w:hint="eastAsia"/>
          <w:color w:val="auto"/>
          <w:highlight w:val="none"/>
        </w:rPr>
      </w:pPr>
      <w:r>
        <w:rPr>
          <w:rFonts w:hint="eastAsia" w:ascii="宋体" w:hAnsi="宋体" w:eastAsia="宋体" w:cs="宋体"/>
          <w:b/>
          <w:bCs/>
          <w:color w:val="auto"/>
          <w:sz w:val="23"/>
          <w:szCs w:val="23"/>
          <w:highlight w:val="none"/>
          <w:lang w:val="en-US" w:eastAsia="zh-CN"/>
        </w:rPr>
        <w:t>注：</w:t>
      </w:r>
      <w:r>
        <w:rPr>
          <w:rFonts w:hint="eastAsia" w:ascii="宋体" w:hAnsi="宋体" w:eastAsia="宋体" w:cs="宋体"/>
          <w:b/>
          <w:bCs/>
          <w:snapToGrid w:val="0"/>
          <w:color w:val="auto"/>
          <w:kern w:val="0"/>
          <w:sz w:val="23"/>
          <w:szCs w:val="23"/>
          <w:highlight w:val="none"/>
          <w:lang w:val="en-US" w:eastAsia="zh-CN" w:bidi="ar"/>
        </w:rPr>
        <w:t>招标文件技术参数中涉及到的▲项重要参数</w:t>
      </w:r>
      <w:r>
        <w:rPr>
          <w:rFonts w:hint="eastAsia" w:ascii="宋体" w:hAnsi="宋体" w:eastAsia="宋体" w:cs="宋体"/>
          <w:color w:val="auto"/>
          <w:sz w:val="23"/>
          <w:szCs w:val="23"/>
          <w:highlight w:val="none"/>
          <w:lang w:val="en-US" w:eastAsia="zh-CN"/>
        </w:rPr>
        <w:t>或需要提供第三方证明材料、检测报告的</w:t>
      </w:r>
      <w:r>
        <w:rPr>
          <w:rFonts w:hint="eastAsia" w:ascii="宋体" w:hAnsi="宋体" w:eastAsia="宋体" w:cs="宋体"/>
          <w:b/>
          <w:bCs/>
          <w:snapToGrid w:val="0"/>
          <w:color w:val="auto"/>
          <w:kern w:val="0"/>
          <w:sz w:val="23"/>
          <w:szCs w:val="23"/>
          <w:highlight w:val="none"/>
          <w:lang w:val="en-US" w:eastAsia="zh-CN" w:bidi="ar"/>
        </w:rPr>
        <w:t>需在“技术响应表（格式自拟）”中逐条列出并汇总，并提供相关参数佐证材料（如官网截图、产品彩页、原厂技术说明、检测报告等）扫描件并加盖投标单位公章，表内响应内容为空头或仅拷贝粘贴响应均不得分。</w:t>
      </w:r>
    </w:p>
    <w:p w14:paraId="266111EB">
      <w:pPr>
        <w:spacing w:line="360" w:lineRule="auto"/>
        <w:ind w:firstLine="462" w:firstLineChars="200"/>
        <w:rPr>
          <w:rFonts w:hint="eastAsia" w:ascii="宋体" w:hAnsi="宋体" w:eastAsia="宋体" w:cs="宋体"/>
          <w:b/>
          <w:bCs/>
          <w:snapToGrid w:val="0"/>
          <w:color w:val="000000"/>
          <w:kern w:val="0"/>
          <w:sz w:val="23"/>
          <w:szCs w:val="23"/>
          <w:highlight w:val="none"/>
          <w:lang w:val="en-US" w:eastAsia="zh-CN" w:bidi="ar"/>
        </w:rPr>
      </w:pPr>
      <w:r>
        <w:rPr>
          <w:rFonts w:hint="eastAsia" w:ascii="宋体" w:hAnsi="宋体" w:eastAsia="宋体" w:cs="宋体"/>
          <w:b/>
          <w:bCs/>
          <w:snapToGrid w:val="0"/>
          <w:color w:val="auto"/>
          <w:kern w:val="0"/>
          <w:sz w:val="23"/>
          <w:szCs w:val="23"/>
          <w:highlight w:val="none"/>
          <w:lang w:val="en-US" w:eastAsia="zh-CN" w:bidi="ar"/>
        </w:rPr>
        <w:t>中标人须在中标后，提供由取得计量认证合格证书（CMA）的产品质量检</w:t>
      </w:r>
      <w:r>
        <w:rPr>
          <w:rFonts w:hint="eastAsia" w:ascii="宋体" w:hAnsi="宋体" w:eastAsia="宋体" w:cs="宋体"/>
          <w:b/>
          <w:bCs/>
          <w:snapToGrid w:val="0"/>
          <w:color w:val="000000"/>
          <w:kern w:val="0"/>
          <w:sz w:val="23"/>
          <w:szCs w:val="23"/>
          <w:highlight w:val="none"/>
          <w:lang w:val="en-US" w:eastAsia="zh-CN" w:bidi="ar"/>
        </w:rPr>
        <w:t>验机构，或由国家认证认可监督管理委员会批准设立并授权的国家认可机构（CNAS）认证的检测机构出具的、具有法律效力的正规检测报告，检测内容及指标须满足招标文件和图纸中相应参数及国家现行相关规范要求。</w:t>
      </w:r>
    </w:p>
    <w:p w14:paraId="10DF7EC9">
      <w:pPr>
        <w:rPr>
          <w:rFonts w:hint="eastAsia" w:ascii="宋体" w:hAnsi="宋体" w:eastAsia="宋体" w:cs="宋体"/>
          <w:b/>
          <w:bCs/>
          <w:color w:val="auto"/>
          <w:sz w:val="23"/>
          <w:szCs w:val="23"/>
          <w:highlight w:val="none"/>
        </w:rPr>
      </w:pPr>
      <w:r>
        <w:rPr>
          <w:rFonts w:hint="eastAsia" w:ascii="宋体" w:hAnsi="宋体" w:eastAsia="宋体" w:cs="宋体"/>
          <w:color w:val="auto"/>
          <w:sz w:val="23"/>
          <w:szCs w:val="23"/>
          <w:highlight w:val="none"/>
        </w:rPr>
        <w:br w:type="page"/>
      </w:r>
    </w:p>
    <w:p w14:paraId="2E3F971E">
      <w:pPr>
        <w:widowControl/>
        <w:kinsoku w:val="0"/>
        <w:autoSpaceDE w:val="0"/>
        <w:autoSpaceDN w:val="0"/>
        <w:adjustRightInd w:val="0"/>
        <w:snapToGrid w:val="0"/>
        <w:spacing w:line="420" w:lineRule="exact"/>
        <w:ind w:firstLine="466" w:firstLineChars="200"/>
        <w:jc w:val="left"/>
        <w:textAlignment w:val="baseline"/>
        <w:rPr>
          <w:rFonts w:hint="eastAsia" w:ascii="宋体" w:hAnsi="宋体" w:eastAsia="宋体" w:cs="宋体"/>
          <w:b/>
          <w:bCs/>
          <w:snapToGrid w:val="0"/>
          <w:color w:val="auto"/>
          <w:spacing w:val="1"/>
          <w:kern w:val="0"/>
          <w:sz w:val="23"/>
          <w:szCs w:val="23"/>
          <w:highlight w:val="none"/>
          <w:lang w:val="en-US" w:eastAsia="zh-CN"/>
        </w:rPr>
      </w:pPr>
      <w:r>
        <w:rPr>
          <w:rFonts w:hint="eastAsia" w:ascii="宋体" w:hAnsi="宋体" w:eastAsia="宋体" w:cs="宋体"/>
          <w:b/>
          <w:bCs/>
          <w:snapToGrid w:val="0"/>
          <w:color w:val="auto"/>
          <w:spacing w:val="1"/>
          <w:kern w:val="0"/>
          <w:sz w:val="23"/>
          <w:szCs w:val="23"/>
          <w:highlight w:val="none"/>
          <w:lang w:val="en-US" w:eastAsia="zh-CN"/>
        </w:rPr>
        <w:t>参考品牌</w:t>
      </w:r>
    </w:p>
    <w:tbl>
      <w:tblPr>
        <w:tblStyle w:val="31"/>
        <w:tblW w:w="4822"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485"/>
        <w:gridCol w:w="1792"/>
        <w:gridCol w:w="2792"/>
        <w:gridCol w:w="3697"/>
      </w:tblGrid>
      <w:tr w14:paraId="20CC53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47" w:hRule="atLeast"/>
          <w:tblHeader/>
        </w:trPr>
        <w:tc>
          <w:tcPr>
            <w:tcW w:w="277" w:type="pct"/>
            <w:noWrap w:val="0"/>
            <w:vAlign w:val="top"/>
          </w:tcPr>
          <w:p w14:paraId="45B7207F">
            <w:pPr>
              <w:widowControl/>
              <w:spacing w:line="360" w:lineRule="auto"/>
              <w:jc w:val="center"/>
              <w:rPr>
                <w:rFonts w:ascii="宋体" w:hAnsi="宋体" w:eastAsia="宋体" w:cs="宋体"/>
                <w:bCs/>
                <w:color w:val="auto"/>
                <w:kern w:val="0"/>
                <w:sz w:val="23"/>
                <w:szCs w:val="23"/>
                <w:highlight w:val="none"/>
              </w:rPr>
            </w:pPr>
            <w:r>
              <w:rPr>
                <w:rFonts w:hint="eastAsia" w:ascii="宋体" w:hAnsi="宋体" w:eastAsia="宋体" w:cs="宋体"/>
                <w:bCs/>
                <w:color w:val="auto"/>
                <w:kern w:val="0"/>
                <w:sz w:val="23"/>
                <w:szCs w:val="23"/>
                <w:highlight w:val="none"/>
              </w:rPr>
              <w:t>序号</w:t>
            </w:r>
          </w:p>
        </w:tc>
        <w:tc>
          <w:tcPr>
            <w:tcW w:w="1022" w:type="pct"/>
            <w:noWrap w:val="0"/>
            <w:vAlign w:val="center"/>
          </w:tcPr>
          <w:p w14:paraId="21249A3E">
            <w:pPr>
              <w:widowControl/>
              <w:spacing w:line="360" w:lineRule="auto"/>
              <w:jc w:val="center"/>
              <w:rPr>
                <w:rFonts w:hint="eastAsia" w:ascii="宋体" w:hAnsi="宋体" w:eastAsia="宋体" w:cs="宋体"/>
                <w:bCs/>
                <w:color w:val="auto"/>
                <w:kern w:val="0"/>
                <w:sz w:val="23"/>
                <w:szCs w:val="23"/>
                <w:highlight w:val="none"/>
              </w:rPr>
            </w:pPr>
          </w:p>
        </w:tc>
        <w:tc>
          <w:tcPr>
            <w:tcW w:w="1592" w:type="pct"/>
            <w:noWrap w:val="0"/>
            <w:vAlign w:val="center"/>
          </w:tcPr>
          <w:p w14:paraId="5E787CC8">
            <w:pPr>
              <w:widowControl/>
              <w:spacing w:line="360" w:lineRule="auto"/>
              <w:jc w:val="center"/>
              <w:rPr>
                <w:rFonts w:ascii="宋体" w:hAnsi="宋体" w:eastAsia="宋体" w:cs="宋体"/>
                <w:bCs/>
                <w:color w:val="auto"/>
                <w:kern w:val="0"/>
                <w:sz w:val="23"/>
                <w:szCs w:val="23"/>
                <w:highlight w:val="none"/>
              </w:rPr>
            </w:pPr>
            <w:r>
              <w:rPr>
                <w:rFonts w:hint="eastAsia" w:ascii="宋体" w:hAnsi="宋体" w:eastAsia="宋体" w:cs="宋体"/>
                <w:bCs/>
                <w:color w:val="auto"/>
                <w:kern w:val="0"/>
                <w:sz w:val="23"/>
                <w:szCs w:val="23"/>
                <w:highlight w:val="none"/>
              </w:rPr>
              <w:t>设备材料名称</w:t>
            </w:r>
          </w:p>
        </w:tc>
        <w:tc>
          <w:tcPr>
            <w:tcW w:w="2108" w:type="pct"/>
            <w:noWrap w:val="0"/>
            <w:vAlign w:val="center"/>
          </w:tcPr>
          <w:p w14:paraId="5549DB44">
            <w:pPr>
              <w:widowControl/>
              <w:spacing w:line="360" w:lineRule="auto"/>
              <w:jc w:val="center"/>
              <w:rPr>
                <w:rFonts w:ascii="宋体" w:hAnsi="宋体" w:eastAsia="宋体" w:cs="宋体"/>
                <w:bCs/>
                <w:color w:val="auto"/>
                <w:kern w:val="0"/>
                <w:sz w:val="23"/>
                <w:szCs w:val="23"/>
                <w:highlight w:val="none"/>
              </w:rPr>
            </w:pPr>
            <w:r>
              <w:rPr>
                <w:rFonts w:hint="eastAsia" w:ascii="宋体" w:hAnsi="宋体" w:cs="宋体"/>
                <w:color w:val="auto"/>
                <w:kern w:val="0"/>
                <w:sz w:val="23"/>
                <w:szCs w:val="23"/>
                <w:highlight w:val="none"/>
                <w:lang w:val="en-US" w:eastAsia="zh-CN"/>
              </w:rPr>
              <w:t>参考</w:t>
            </w:r>
            <w:r>
              <w:rPr>
                <w:rFonts w:hint="eastAsia" w:ascii="宋体" w:hAnsi="宋体" w:cs="宋体"/>
                <w:color w:val="auto"/>
                <w:kern w:val="0"/>
                <w:sz w:val="23"/>
                <w:szCs w:val="23"/>
                <w:highlight w:val="none"/>
              </w:rPr>
              <w:t>品牌</w:t>
            </w:r>
          </w:p>
        </w:tc>
      </w:tr>
      <w:tr w14:paraId="1E73CC9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 w:type="pct"/>
            <w:noWrap w:val="0"/>
            <w:vAlign w:val="top"/>
          </w:tcPr>
          <w:p w14:paraId="1FF487E7">
            <w:pPr>
              <w:widowControl/>
              <w:spacing w:line="360" w:lineRule="auto"/>
              <w:jc w:val="center"/>
              <w:rPr>
                <w:rFonts w:hint="eastAsia" w:ascii="宋体" w:hAnsi="宋体" w:eastAsia="宋体"/>
                <w:color w:val="auto"/>
                <w:sz w:val="23"/>
                <w:szCs w:val="23"/>
                <w:highlight w:val="none"/>
                <w:lang w:eastAsia="zh-CN"/>
              </w:rPr>
            </w:pPr>
            <w:r>
              <w:rPr>
                <w:rFonts w:hint="eastAsia" w:ascii="宋体" w:hAnsi="宋体" w:eastAsia="宋体"/>
                <w:color w:val="auto"/>
                <w:sz w:val="23"/>
                <w:szCs w:val="23"/>
                <w:highlight w:val="none"/>
                <w:lang w:val="en-US" w:eastAsia="zh-CN"/>
              </w:rPr>
              <w:t>1</w:t>
            </w:r>
          </w:p>
        </w:tc>
        <w:tc>
          <w:tcPr>
            <w:tcW w:w="1022" w:type="pct"/>
            <w:vMerge w:val="restart"/>
            <w:noWrap w:val="0"/>
            <w:vAlign w:val="center"/>
          </w:tcPr>
          <w:p w14:paraId="37B79CA7">
            <w:pPr>
              <w:widowControl/>
              <w:spacing w:line="360" w:lineRule="auto"/>
              <w:jc w:val="center"/>
              <w:rPr>
                <w:rFonts w:hint="eastAsia" w:ascii="宋体" w:hAnsi="宋体" w:eastAsia="宋体"/>
                <w:color w:val="auto"/>
                <w:sz w:val="23"/>
                <w:szCs w:val="23"/>
                <w:highlight w:val="none"/>
              </w:rPr>
            </w:pPr>
            <w:r>
              <w:rPr>
                <w:rFonts w:hint="eastAsia" w:ascii="宋体" w:hAnsi="宋体"/>
                <w:color w:val="auto"/>
                <w:sz w:val="23"/>
                <w:szCs w:val="23"/>
                <w:highlight w:val="none"/>
                <w:lang w:val="en-US" w:eastAsia="zh-CN"/>
              </w:rPr>
              <w:t>医用</w:t>
            </w:r>
            <w:r>
              <w:rPr>
                <w:rFonts w:hint="eastAsia" w:ascii="宋体" w:hAnsi="宋体" w:eastAsia="宋体" w:cs="宋体"/>
                <w:color w:val="auto"/>
                <w:kern w:val="0"/>
                <w:sz w:val="23"/>
                <w:szCs w:val="23"/>
                <w:highlight w:val="none"/>
              </w:rPr>
              <w:t>中心供氧系统</w:t>
            </w:r>
          </w:p>
        </w:tc>
        <w:tc>
          <w:tcPr>
            <w:tcW w:w="1592" w:type="pct"/>
            <w:noWrap w:val="0"/>
            <w:vAlign w:val="center"/>
          </w:tcPr>
          <w:p w14:paraId="33B99F01">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olor w:val="auto"/>
                <w:sz w:val="23"/>
                <w:szCs w:val="23"/>
                <w:highlight w:val="none"/>
              </w:rPr>
              <w:t>液氧罐</w:t>
            </w:r>
          </w:p>
        </w:tc>
        <w:tc>
          <w:tcPr>
            <w:tcW w:w="2108" w:type="pct"/>
            <w:noWrap w:val="0"/>
            <w:vAlign w:val="center"/>
          </w:tcPr>
          <w:p w14:paraId="660F89D2">
            <w:pPr>
              <w:widowControl/>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宁波明欣、圣达因、四川空分</w:t>
            </w:r>
          </w:p>
        </w:tc>
      </w:tr>
      <w:tr w14:paraId="1CAB167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 w:type="pct"/>
            <w:noWrap w:val="0"/>
            <w:vAlign w:val="top"/>
          </w:tcPr>
          <w:p w14:paraId="627DB9C8">
            <w:pPr>
              <w:widowControl/>
              <w:spacing w:line="360" w:lineRule="auto"/>
              <w:jc w:val="center"/>
              <w:rPr>
                <w:rFonts w:ascii="宋体" w:hAnsi="宋体" w:eastAsia="宋体"/>
                <w:color w:val="auto"/>
                <w:sz w:val="23"/>
                <w:szCs w:val="23"/>
                <w:highlight w:val="none"/>
              </w:rPr>
            </w:pPr>
            <w:r>
              <w:rPr>
                <w:rFonts w:hint="eastAsia" w:ascii="宋体" w:hAnsi="宋体" w:eastAsia="宋体"/>
                <w:color w:val="auto"/>
                <w:sz w:val="23"/>
                <w:szCs w:val="23"/>
                <w:highlight w:val="none"/>
              </w:rPr>
              <w:t>2</w:t>
            </w:r>
          </w:p>
        </w:tc>
        <w:tc>
          <w:tcPr>
            <w:tcW w:w="1022" w:type="pct"/>
            <w:vMerge w:val="continue"/>
            <w:noWrap w:val="0"/>
            <w:vAlign w:val="center"/>
          </w:tcPr>
          <w:p w14:paraId="6DA06DD1">
            <w:pPr>
              <w:widowControl/>
              <w:spacing w:line="360" w:lineRule="auto"/>
              <w:jc w:val="center"/>
              <w:rPr>
                <w:rFonts w:hint="eastAsia" w:ascii="宋体" w:hAnsi="宋体" w:eastAsia="宋体"/>
                <w:color w:val="auto"/>
                <w:sz w:val="23"/>
                <w:szCs w:val="23"/>
                <w:highlight w:val="none"/>
              </w:rPr>
            </w:pPr>
          </w:p>
        </w:tc>
        <w:tc>
          <w:tcPr>
            <w:tcW w:w="1592" w:type="pct"/>
            <w:noWrap w:val="0"/>
            <w:vAlign w:val="center"/>
          </w:tcPr>
          <w:p w14:paraId="7316900B">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olor w:val="auto"/>
                <w:sz w:val="23"/>
                <w:szCs w:val="23"/>
                <w:highlight w:val="none"/>
              </w:rPr>
              <w:t>汽化器</w:t>
            </w:r>
          </w:p>
        </w:tc>
        <w:tc>
          <w:tcPr>
            <w:tcW w:w="2108" w:type="pct"/>
            <w:noWrap w:val="0"/>
            <w:vAlign w:val="center"/>
          </w:tcPr>
          <w:p w14:paraId="036BDB1E">
            <w:pPr>
              <w:widowControl/>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宁波明欣、圣达因、四川空分</w:t>
            </w:r>
          </w:p>
        </w:tc>
      </w:tr>
      <w:tr w14:paraId="772267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9" w:hRule="atLeast"/>
        </w:trPr>
        <w:tc>
          <w:tcPr>
            <w:tcW w:w="277" w:type="pct"/>
            <w:noWrap w:val="0"/>
            <w:vAlign w:val="top"/>
          </w:tcPr>
          <w:p w14:paraId="2C6E73AE">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olor w:val="auto"/>
                <w:sz w:val="23"/>
                <w:szCs w:val="23"/>
                <w:highlight w:val="none"/>
              </w:rPr>
              <w:t>3</w:t>
            </w:r>
          </w:p>
        </w:tc>
        <w:tc>
          <w:tcPr>
            <w:tcW w:w="1022" w:type="pct"/>
            <w:vMerge w:val="continue"/>
            <w:noWrap w:val="0"/>
            <w:vAlign w:val="center"/>
          </w:tcPr>
          <w:p w14:paraId="6DB7DBA6">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100A4FBA">
            <w:pPr>
              <w:widowControl/>
              <w:jc w:val="center"/>
              <w:rPr>
                <w:rFonts w:hint="eastAsia" w:ascii="宋体" w:hAnsi="宋体" w:eastAsia="宋体" w:cs="宋体"/>
                <w:color w:val="auto"/>
                <w:kern w:val="0"/>
                <w:sz w:val="23"/>
                <w:szCs w:val="23"/>
                <w:highlight w:val="none"/>
              </w:rPr>
            </w:pPr>
            <w:r>
              <w:rPr>
                <w:rFonts w:hint="eastAsia" w:ascii="宋体" w:hAnsi="宋体" w:eastAsia="宋体" w:cs="Times New Roman"/>
                <w:color w:val="auto"/>
                <w:sz w:val="23"/>
                <w:szCs w:val="23"/>
                <w:highlight w:val="none"/>
                <w:lang w:val="en-US" w:eastAsia="zh-CN"/>
              </w:rPr>
              <w:t>氧气</w:t>
            </w:r>
            <w:r>
              <w:rPr>
                <w:rFonts w:hint="eastAsia" w:ascii="宋体" w:hAnsi="宋体" w:eastAsia="宋体" w:cs="Times New Roman"/>
                <w:color w:val="auto"/>
                <w:sz w:val="23"/>
                <w:szCs w:val="23"/>
                <w:highlight w:val="none"/>
              </w:rPr>
              <w:t>汇流排</w:t>
            </w:r>
          </w:p>
        </w:tc>
        <w:tc>
          <w:tcPr>
            <w:tcW w:w="2108" w:type="pct"/>
            <w:noWrap w:val="0"/>
            <w:vAlign w:val="center"/>
          </w:tcPr>
          <w:p w14:paraId="26D07057">
            <w:pPr>
              <w:widowControl/>
              <w:jc w:val="center"/>
              <w:rPr>
                <w:rFonts w:hint="default" w:ascii="宋体" w:hAnsi="宋体" w:eastAsia="宋体" w:cs="宋体"/>
                <w:color w:val="auto"/>
                <w:kern w:val="0"/>
                <w:sz w:val="23"/>
                <w:szCs w:val="23"/>
                <w:highlight w:val="none"/>
                <w:lang w:val="en-US"/>
              </w:rPr>
            </w:pPr>
            <w:r>
              <w:rPr>
                <w:rFonts w:hint="eastAsia" w:ascii="宋体" w:hAnsi="宋体" w:eastAsia="宋体" w:cs="宋体"/>
                <w:color w:val="auto"/>
                <w:kern w:val="0"/>
                <w:sz w:val="23"/>
                <w:szCs w:val="23"/>
                <w:highlight w:val="none"/>
                <w:lang w:val="en-US" w:eastAsia="zh-CN"/>
              </w:rPr>
              <w:t>阿特拉斯</w:t>
            </w:r>
            <w:r>
              <w:rPr>
                <w:rFonts w:hint="eastAsia" w:ascii="宋体" w:hAnsi="宋体" w:eastAsia="宋体" w:cs="宋体"/>
                <w:color w:val="auto"/>
                <w:kern w:val="0"/>
                <w:sz w:val="23"/>
                <w:szCs w:val="23"/>
                <w:highlight w:val="none"/>
              </w:rPr>
              <w:t>、</w:t>
            </w:r>
            <w:r>
              <w:rPr>
                <w:rFonts w:hint="eastAsia" w:ascii="宋体" w:hAnsi="宋体" w:eastAsia="宋体" w:cs="宋体"/>
                <w:color w:val="auto"/>
                <w:kern w:val="0"/>
                <w:sz w:val="23"/>
                <w:szCs w:val="23"/>
                <w:highlight w:val="none"/>
                <w:lang w:val="en-US" w:eastAsia="zh-CN"/>
              </w:rPr>
              <w:t>捷工、捷锐</w:t>
            </w:r>
          </w:p>
        </w:tc>
      </w:tr>
      <w:tr w14:paraId="624287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 w:type="pct"/>
            <w:noWrap w:val="0"/>
            <w:vAlign w:val="top"/>
          </w:tcPr>
          <w:p w14:paraId="154F0C06">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4</w:t>
            </w:r>
          </w:p>
        </w:tc>
        <w:tc>
          <w:tcPr>
            <w:tcW w:w="1022" w:type="pct"/>
            <w:vMerge w:val="continue"/>
            <w:noWrap w:val="0"/>
            <w:vAlign w:val="center"/>
          </w:tcPr>
          <w:p w14:paraId="09E1F5A1">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4838ACDB">
            <w:pPr>
              <w:widowControl/>
              <w:spacing w:line="360" w:lineRule="auto"/>
              <w:jc w:val="center"/>
              <w:rPr>
                <w:rFonts w:hint="eastAsia" w:ascii="宋体" w:hAnsi="宋体" w:eastAsia="宋体" w:cs="宋体"/>
                <w:color w:val="auto"/>
                <w:kern w:val="0"/>
                <w:sz w:val="23"/>
                <w:szCs w:val="23"/>
                <w:highlight w:val="none"/>
                <w:lang w:eastAsia="zh-CN"/>
              </w:rPr>
            </w:pPr>
            <w:r>
              <w:rPr>
                <w:rFonts w:hint="eastAsia" w:ascii="宋体" w:hAnsi="宋体" w:eastAsia="宋体" w:cs="宋体"/>
                <w:color w:val="auto"/>
                <w:kern w:val="0"/>
                <w:sz w:val="23"/>
                <w:szCs w:val="23"/>
                <w:highlight w:val="none"/>
                <w:u w:val="none"/>
              </w:rPr>
              <w:t>大流量调压装置</w:t>
            </w:r>
          </w:p>
        </w:tc>
        <w:tc>
          <w:tcPr>
            <w:tcW w:w="2108" w:type="pct"/>
            <w:noWrap w:val="0"/>
            <w:vAlign w:val="center"/>
          </w:tcPr>
          <w:p w14:paraId="05AB1DA8">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永盛、斯派尔、海沃</w:t>
            </w:r>
          </w:p>
        </w:tc>
      </w:tr>
      <w:tr w14:paraId="5BB39C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 w:type="pct"/>
            <w:noWrap w:val="0"/>
            <w:vAlign w:val="top"/>
          </w:tcPr>
          <w:p w14:paraId="792D446E">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5</w:t>
            </w:r>
          </w:p>
        </w:tc>
        <w:tc>
          <w:tcPr>
            <w:tcW w:w="1022" w:type="pct"/>
            <w:vMerge w:val="continue"/>
            <w:noWrap w:val="0"/>
            <w:vAlign w:val="center"/>
          </w:tcPr>
          <w:p w14:paraId="485BA6E2">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379C11A3">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氧气流量计</w:t>
            </w:r>
          </w:p>
        </w:tc>
        <w:tc>
          <w:tcPr>
            <w:tcW w:w="2108" w:type="pct"/>
            <w:noWrap w:val="0"/>
            <w:vAlign w:val="center"/>
          </w:tcPr>
          <w:p w14:paraId="5BD33DCB">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利华、矽翔、维克特</w:t>
            </w:r>
          </w:p>
        </w:tc>
      </w:tr>
      <w:tr w14:paraId="7D8BDB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6829BEB0">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6</w:t>
            </w:r>
          </w:p>
        </w:tc>
        <w:tc>
          <w:tcPr>
            <w:tcW w:w="1022" w:type="pct"/>
            <w:vMerge w:val="continue"/>
            <w:noWrap w:val="0"/>
            <w:vAlign w:val="center"/>
          </w:tcPr>
          <w:p w14:paraId="4E7150C8">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4AD378C3">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区域阀门箱</w:t>
            </w:r>
          </w:p>
        </w:tc>
        <w:tc>
          <w:tcPr>
            <w:tcW w:w="2108" w:type="pct"/>
            <w:noWrap w:val="0"/>
            <w:vAlign w:val="center"/>
          </w:tcPr>
          <w:p w14:paraId="18CF7CCD">
            <w:pPr>
              <w:widowControl/>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捷工、捷锐、捷飞</w:t>
            </w:r>
          </w:p>
        </w:tc>
      </w:tr>
      <w:tr w14:paraId="71C666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44" w:hRule="atLeast"/>
        </w:trPr>
        <w:tc>
          <w:tcPr>
            <w:tcW w:w="277" w:type="pct"/>
            <w:noWrap w:val="0"/>
            <w:vAlign w:val="top"/>
          </w:tcPr>
          <w:p w14:paraId="649E7BFC">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7</w:t>
            </w:r>
          </w:p>
        </w:tc>
        <w:tc>
          <w:tcPr>
            <w:tcW w:w="1022" w:type="pct"/>
            <w:vMerge w:val="continue"/>
            <w:noWrap w:val="0"/>
            <w:vAlign w:val="center"/>
          </w:tcPr>
          <w:p w14:paraId="7AAAD8AE">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1C26D2D8">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压力报警器</w:t>
            </w:r>
          </w:p>
        </w:tc>
        <w:tc>
          <w:tcPr>
            <w:tcW w:w="2108" w:type="pct"/>
            <w:noWrap w:val="0"/>
            <w:vAlign w:val="center"/>
          </w:tcPr>
          <w:p w14:paraId="2BC4FAE2">
            <w:pPr>
              <w:widowControl/>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捷工、阿特拉斯</w:t>
            </w:r>
            <w:r>
              <w:rPr>
                <w:rFonts w:hint="eastAsia" w:ascii="宋体" w:hAnsi="宋体" w:eastAsia="宋体" w:cs="宋体"/>
                <w:color w:val="auto"/>
                <w:kern w:val="0"/>
                <w:sz w:val="23"/>
                <w:szCs w:val="23"/>
                <w:highlight w:val="none"/>
              </w:rPr>
              <w:t>、</w:t>
            </w:r>
            <w:r>
              <w:rPr>
                <w:rFonts w:hint="eastAsia" w:ascii="宋体" w:hAnsi="宋体" w:eastAsia="宋体" w:cs="宋体"/>
                <w:color w:val="auto"/>
                <w:kern w:val="0"/>
                <w:sz w:val="23"/>
                <w:szCs w:val="23"/>
                <w:highlight w:val="none"/>
                <w:lang w:val="en-US" w:eastAsia="zh-CN"/>
              </w:rPr>
              <w:t>捷锐</w:t>
            </w:r>
          </w:p>
        </w:tc>
      </w:tr>
      <w:tr w14:paraId="333B1B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6" w:hRule="atLeast"/>
        </w:trPr>
        <w:tc>
          <w:tcPr>
            <w:tcW w:w="277" w:type="pct"/>
            <w:noWrap w:val="0"/>
            <w:vAlign w:val="top"/>
          </w:tcPr>
          <w:p w14:paraId="49EFAA69">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8</w:t>
            </w:r>
          </w:p>
        </w:tc>
        <w:tc>
          <w:tcPr>
            <w:tcW w:w="1022" w:type="pct"/>
            <w:vMerge w:val="restart"/>
            <w:noWrap w:val="0"/>
            <w:vAlign w:val="center"/>
          </w:tcPr>
          <w:p w14:paraId="38BD225C">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cs="宋体"/>
                <w:color w:val="auto"/>
                <w:kern w:val="0"/>
                <w:sz w:val="23"/>
                <w:szCs w:val="23"/>
                <w:highlight w:val="none"/>
                <w:lang w:val="en-US" w:eastAsia="zh-CN"/>
              </w:rPr>
              <w:t>医用</w:t>
            </w:r>
            <w:r>
              <w:rPr>
                <w:rFonts w:hint="eastAsia" w:ascii="宋体" w:hAnsi="宋体" w:eastAsia="宋体" w:cs="宋体"/>
                <w:color w:val="auto"/>
                <w:kern w:val="0"/>
                <w:sz w:val="23"/>
                <w:szCs w:val="23"/>
                <w:highlight w:val="none"/>
              </w:rPr>
              <w:t>中心吸引系统</w:t>
            </w:r>
          </w:p>
        </w:tc>
        <w:tc>
          <w:tcPr>
            <w:tcW w:w="1592" w:type="pct"/>
            <w:noWrap w:val="0"/>
            <w:vAlign w:val="center"/>
          </w:tcPr>
          <w:p w14:paraId="09B1C1E4">
            <w:pPr>
              <w:widowControl/>
              <w:spacing w:line="360" w:lineRule="auto"/>
              <w:jc w:val="center"/>
              <w:rPr>
                <w:rFonts w:hint="default"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rPr>
              <w:t>医用真空负压机</w:t>
            </w:r>
            <w:r>
              <w:rPr>
                <w:rFonts w:hint="eastAsia" w:ascii="宋体" w:hAnsi="宋体" w:eastAsia="宋体" w:cs="宋体"/>
                <w:color w:val="auto"/>
                <w:kern w:val="0"/>
                <w:sz w:val="23"/>
                <w:szCs w:val="23"/>
                <w:highlight w:val="none"/>
                <w:lang w:val="en-US" w:eastAsia="zh-CN"/>
              </w:rPr>
              <w:t>(</w:t>
            </w:r>
            <w:r>
              <w:rPr>
                <w:rFonts w:hint="eastAsia" w:ascii="宋体" w:hAnsi="宋体" w:eastAsia="宋体" w:cs="宋体"/>
                <w:color w:val="auto"/>
                <w:kern w:val="0"/>
                <w:sz w:val="23"/>
                <w:szCs w:val="23"/>
                <w:highlight w:val="none"/>
              </w:rPr>
              <w:t>机</w:t>
            </w:r>
            <w:r>
              <w:rPr>
                <w:rFonts w:hint="eastAsia" w:ascii="宋体" w:hAnsi="宋体" w:eastAsia="宋体" w:cs="宋体"/>
                <w:color w:val="auto"/>
                <w:kern w:val="0"/>
                <w:sz w:val="23"/>
                <w:szCs w:val="23"/>
                <w:highlight w:val="none"/>
                <w:lang w:val="en-US" w:eastAsia="zh-CN"/>
              </w:rPr>
              <w:t>组)</w:t>
            </w:r>
          </w:p>
        </w:tc>
        <w:tc>
          <w:tcPr>
            <w:tcW w:w="2108" w:type="pct"/>
            <w:noWrap w:val="0"/>
            <w:vAlign w:val="center"/>
          </w:tcPr>
          <w:p w14:paraId="3ECD654C">
            <w:pPr>
              <w:pStyle w:val="11"/>
              <w:ind w:firstLine="460" w:firstLineChars="200"/>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阿特拉斯、捷工、雅森</w:t>
            </w:r>
          </w:p>
        </w:tc>
      </w:tr>
      <w:tr w14:paraId="08AD14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2E89E6BB">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9</w:t>
            </w:r>
          </w:p>
        </w:tc>
        <w:tc>
          <w:tcPr>
            <w:tcW w:w="1022" w:type="pct"/>
            <w:vMerge w:val="continue"/>
            <w:noWrap w:val="0"/>
            <w:vAlign w:val="center"/>
          </w:tcPr>
          <w:p w14:paraId="51DF6BD3">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6DEEBEC7">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真空罐</w:t>
            </w:r>
            <w:r>
              <w:rPr>
                <w:rFonts w:hint="eastAsia" w:ascii="宋体" w:hAnsi="宋体" w:cs="宋体"/>
                <w:color w:val="auto"/>
                <w:kern w:val="0"/>
                <w:sz w:val="23"/>
                <w:szCs w:val="23"/>
                <w:highlight w:val="none"/>
                <w:lang w:eastAsia="zh-CN"/>
              </w:rPr>
              <w:t>（</w:t>
            </w:r>
            <w:r>
              <w:rPr>
                <w:rFonts w:hint="eastAsia" w:ascii="宋体" w:hAnsi="宋体" w:cs="宋体"/>
                <w:color w:val="auto"/>
                <w:kern w:val="0"/>
                <w:sz w:val="23"/>
                <w:szCs w:val="23"/>
                <w:highlight w:val="none"/>
                <w:lang w:val="en-US" w:eastAsia="zh-CN"/>
              </w:rPr>
              <w:t>不锈钢</w:t>
            </w:r>
            <w:r>
              <w:rPr>
                <w:rFonts w:hint="eastAsia" w:ascii="宋体" w:hAnsi="宋体" w:cs="宋体"/>
                <w:color w:val="auto"/>
                <w:kern w:val="0"/>
                <w:sz w:val="23"/>
                <w:szCs w:val="23"/>
                <w:highlight w:val="none"/>
                <w:lang w:eastAsia="zh-CN"/>
              </w:rPr>
              <w:t>）</w:t>
            </w:r>
          </w:p>
        </w:tc>
        <w:tc>
          <w:tcPr>
            <w:tcW w:w="2108" w:type="pct"/>
            <w:noWrap w:val="0"/>
            <w:vAlign w:val="center"/>
          </w:tcPr>
          <w:p w14:paraId="57DCE861">
            <w:pPr>
              <w:widowControl/>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富海华、申江、丹阳</w:t>
            </w:r>
          </w:p>
        </w:tc>
      </w:tr>
      <w:tr w14:paraId="357E45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42D83F2">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11</w:t>
            </w:r>
          </w:p>
        </w:tc>
        <w:tc>
          <w:tcPr>
            <w:tcW w:w="1022" w:type="pct"/>
            <w:vMerge w:val="continue"/>
            <w:noWrap w:val="0"/>
            <w:vAlign w:val="center"/>
          </w:tcPr>
          <w:p w14:paraId="0BDCB128">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0734D9D6">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lang w:val="en-US" w:eastAsia="zh-CN"/>
              </w:rPr>
              <w:t>排气口</w:t>
            </w:r>
            <w:r>
              <w:rPr>
                <w:rFonts w:hint="eastAsia" w:ascii="宋体" w:hAnsi="宋体" w:eastAsia="宋体" w:cs="宋体"/>
                <w:color w:val="auto"/>
                <w:kern w:val="0"/>
                <w:sz w:val="23"/>
                <w:szCs w:val="23"/>
                <w:highlight w:val="none"/>
              </w:rPr>
              <w:t>高温灭菌器</w:t>
            </w:r>
          </w:p>
        </w:tc>
        <w:tc>
          <w:tcPr>
            <w:tcW w:w="2108" w:type="pct"/>
            <w:noWrap w:val="0"/>
            <w:vAlign w:val="center"/>
          </w:tcPr>
          <w:p w14:paraId="636EA275">
            <w:pPr>
              <w:pStyle w:val="11"/>
              <w:ind w:firstLine="460" w:firstLineChars="200"/>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汉起、捷飞、博雅康</w:t>
            </w:r>
          </w:p>
        </w:tc>
      </w:tr>
      <w:tr w14:paraId="04785F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2179B4D8">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12</w:t>
            </w:r>
          </w:p>
        </w:tc>
        <w:tc>
          <w:tcPr>
            <w:tcW w:w="1022" w:type="pct"/>
            <w:vMerge w:val="continue"/>
            <w:noWrap w:val="0"/>
            <w:vAlign w:val="center"/>
          </w:tcPr>
          <w:p w14:paraId="6AF46652">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2B5B45E8">
            <w:pPr>
              <w:widowControl/>
              <w:spacing w:line="360" w:lineRule="auto"/>
              <w:jc w:val="center"/>
              <w:rPr>
                <w:rFonts w:hint="default"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过滤器</w:t>
            </w:r>
          </w:p>
        </w:tc>
        <w:tc>
          <w:tcPr>
            <w:tcW w:w="2108" w:type="pct"/>
            <w:noWrap w:val="0"/>
            <w:vAlign w:val="center"/>
          </w:tcPr>
          <w:p w14:paraId="56534100">
            <w:pPr>
              <w:pStyle w:val="11"/>
              <w:ind w:firstLine="460" w:firstLineChars="200"/>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汉起、博雅康、银河谷</w:t>
            </w:r>
          </w:p>
        </w:tc>
      </w:tr>
      <w:tr w14:paraId="6B7DBD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7788ECFB">
            <w:pPr>
              <w:widowControl/>
              <w:spacing w:line="360" w:lineRule="auto"/>
              <w:jc w:val="center"/>
              <w:rPr>
                <w:rFonts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13</w:t>
            </w:r>
          </w:p>
        </w:tc>
        <w:tc>
          <w:tcPr>
            <w:tcW w:w="1022" w:type="pct"/>
            <w:vMerge w:val="restart"/>
            <w:noWrap w:val="0"/>
            <w:vAlign w:val="center"/>
          </w:tcPr>
          <w:p w14:paraId="159AC8B8">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医用压缩空气系统</w:t>
            </w:r>
          </w:p>
        </w:tc>
        <w:tc>
          <w:tcPr>
            <w:tcW w:w="1592" w:type="pct"/>
            <w:noWrap w:val="0"/>
            <w:vAlign w:val="center"/>
          </w:tcPr>
          <w:p w14:paraId="2D995A14">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rPr>
              <w:t>医用空气压缩机</w:t>
            </w:r>
            <w:r>
              <w:rPr>
                <w:rFonts w:hint="eastAsia" w:ascii="宋体" w:hAnsi="宋体" w:eastAsia="宋体" w:cs="宋体"/>
                <w:color w:val="auto"/>
                <w:kern w:val="0"/>
                <w:sz w:val="23"/>
                <w:szCs w:val="23"/>
                <w:highlight w:val="none"/>
                <w:lang w:val="en-US" w:eastAsia="zh-CN"/>
              </w:rPr>
              <w:t>(</w:t>
            </w:r>
            <w:r>
              <w:rPr>
                <w:rFonts w:hint="eastAsia" w:ascii="宋体" w:hAnsi="宋体" w:eastAsia="宋体" w:cs="宋体"/>
                <w:color w:val="auto"/>
                <w:kern w:val="0"/>
                <w:sz w:val="23"/>
                <w:szCs w:val="23"/>
                <w:highlight w:val="none"/>
              </w:rPr>
              <w:t>机</w:t>
            </w:r>
            <w:r>
              <w:rPr>
                <w:rFonts w:hint="eastAsia" w:ascii="宋体" w:hAnsi="宋体" w:eastAsia="宋体" w:cs="宋体"/>
                <w:color w:val="auto"/>
                <w:kern w:val="0"/>
                <w:sz w:val="23"/>
                <w:szCs w:val="23"/>
                <w:highlight w:val="none"/>
                <w:lang w:val="en-US" w:eastAsia="zh-CN"/>
              </w:rPr>
              <w:t>组)</w:t>
            </w:r>
          </w:p>
        </w:tc>
        <w:tc>
          <w:tcPr>
            <w:tcW w:w="2108" w:type="pct"/>
            <w:noWrap w:val="0"/>
            <w:vAlign w:val="center"/>
          </w:tcPr>
          <w:p w14:paraId="1C89675C">
            <w:pPr>
              <w:widowControl/>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阿特拉斯、捷工、雅森</w:t>
            </w:r>
          </w:p>
        </w:tc>
      </w:tr>
      <w:tr w14:paraId="6472DE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266A28C1">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1</w:t>
            </w:r>
            <w:r>
              <w:rPr>
                <w:rFonts w:hint="eastAsia" w:ascii="宋体" w:hAnsi="宋体" w:eastAsia="宋体" w:cs="宋体"/>
                <w:color w:val="auto"/>
                <w:kern w:val="0"/>
                <w:sz w:val="23"/>
                <w:szCs w:val="23"/>
                <w:highlight w:val="none"/>
                <w:lang w:val="en-US" w:eastAsia="zh-CN"/>
              </w:rPr>
              <w:t>4</w:t>
            </w:r>
          </w:p>
        </w:tc>
        <w:tc>
          <w:tcPr>
            <w:tcW w:w="1022" w:type="pct"/>
            <w:vMerge w:val="continue"/>
            <w:noWrap w:val="0"/>
            <w:vAlign w:val="center"/>
          </w:tcPr>
          <w:p w14:paraId="5E6579C1">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4EB73595">
            <w:pPr>
              <w:widowControl/>
              <w:spacing w:line="360" w:lineRule="auto"/>
              <w:jc w:val="center"/>
              <w:rPr>
                <w:rFonts w:hint="eastAsia" w:ascii="宋体" w:hAnsi="宋体" w:eastAsia="宋体" w:cs="宋体"/>
                <w:color w:val="auto"/>
                <w:kern w:val="0"/>
                <w:sz w:val="23"/>
                <w:szCs w:val="23"/>
                <w:highlight w:val="none"/>
                <w:lang w:eastAsia="zh-CN"/>
              </w:rPr>
            </w:pPr>
            <w:r>
              <w:rPr>
                <w:rFonts w:hint="eastAsia" w:ascii="宋体" w:hAnsi="宋体" w:eastAsia="宋体" w:cs="宋体"/>
                <w:color w:val="auto"/>
                <w:kern w:val="0"/>
                <w:sz w:val="23"/>
                <w:szCs w:val="23"/>
                <w:highlight w:val="none"/>
              </w:rPr>
              <w:t>储气罐</w:t>
            </w:r>
            <w:r>
              <w:rPr>
                <w:rFonts w:hint="eastAsia" w:ascii="宋体" w:hAnsi="宋体" w:cs="宋体"/>
                <w:color w:val="auto"/>
                <w:kern w:val="0"/>
                <w:sz w:val="23"/>
                <w:szCs w:val="23"/>
                <w:highlight w:val="none"/>
                <w:lang w:eastAsia="zh-CN"/>
              </w:rPr>
              <w:t>（</w:t>
            </w:r>
            <w:r>
              <w:rPr>
                <w:rFonts w:hint="eastAsia" w:ascii="宋体" w:hAnsi="宋体" w:cs="宋体"/>
                <w:color w:val="auto"/>
                <w:kern w:val="0"/>
                <w:sz w:val="23"/>
                <w:szCs w:val="23"/>
                <w:highlight w:val="none"/>
                <w:lang w:val="en-US" w:eastAsia="zh-CN"/>
              </w:rPr>
              <w:t>不锈钢</w:t>
            </w:r>
            <w:r>
              <w:rPr>
                <w:rFonts w:hint="eastAsia" w:ascii="宋体" w:hAnsi="宋体" w:cs="宋体"/>
                <w:color w:val="auto"/>
                <w:kern w:val="0"/>
                <w:sz w:val="23"/>
                <w:szCs w:val="23"/>
                <w:highlight w:val="none"/>
                <w:lang w:eastAsia="zh-CN"/>
              </w:rPr>
              <w:t>）</w:t>
            </w:r>
          </w:p>
        </w:tc>
        <w:tc>
          <w:tcPr>
            <w:tcW w:w="2108" w:type="pct"/>
            <w:noWrap w:val="0"/>
            <w:vAlign w:val="center"/>
          </w:tcPr>
          <w:p w14:paraId="6DB32F9A">
            <w:pPr>
              <w:widowControl/>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富海华、申江、丹阳</w:t>
            </w:r>
          </w:p>
        </w:tc>
      </w:tr>
      <w:tr w14:paraId="6B9680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14625F1">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1</w:t>
            </w:r>
            <w:r>
              <w:rPr>
                <w:rFonts w:hint="eastAsia" w:ascii="宋体" w:hAnsi="宋体" w:eastAsia="宋体" w:cs="宋体"/>
                <w:color w:val="auto"/>
                <w:kern w:val="0"/>
                <w:sz w:val="23"/>
                <w:szCs w:val="23"/>
                <w:highlight w:val="none"/>
                <w:lang w:val="en-US" w:eastAsia="zh-CN"/>
              </w:rPr>
              <w:t>5</w:t>
            </w:r>
          </w:p>
        </w:tc>
        <w:tc>
          <w:tcPr>
            <w:tcW w:w="1022" w:type="pct"/>
            <w:vMerge w:val="continue"/>
            <w:noWrap w:val="0"/>
            <w:vAlign w:val="center"/>
          </w:tcPr>
          <w:p w14:paraId="0418A170">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66745C3A">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分气缸</w:t>
            </w:r>
          </w:p>
        </w:tc>
        <w:tc>
          <w:tcPr>
            <w:tcW w:w="2108" w:type="pct"/>
            <w:noWrap w:val="0"/>
            <w:vAlign w:val="center"/>
          </w:tcPr>
          <w:p w14:paraId="4313C1D0">
            <w:pPr>
              <w:widowControl/>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国产优质或厂家自制</w:t>
            </w:r>
          </w:p>
        </w:tc>
      </w:tr>
      <w:tr w14:paraId="01641B5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17AF4D07">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rPr>
              <w:t>16</w:t>
            </w:r>
          </w:p>
        </w:tc>
        <w:tc>
          <w:tcPr>
            <w:tcW w:w="1022" w:type="pct"/>
            <w:vMerge w:val="continue"/>
            <w:noWrap w:val="0"/>
            <w:vAlign w:val="center"/>
          </w:tcPr>
          <w:p w14:paraId="3C054A51">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73A749DA">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lang w:val="en-US" w:eastAsia="zh-CN"/>
              </w:rPr>
              <w:t>过滤器</w:t>
            </w:r>
          </w:p>
        </w:tc>
        <w:tc>
          <w:tcPr>
            <w:tcW w:w="2108" w:type="pct"/>
            <w:noWrap w:val="0"/>
            <w:vAlign w:val="center"/>
          </w:tcPr>
          <w:p w14:paraId="645B11ED">
            <w:pPr>
              <w:pStyle w:val="11"/>
              <w:ind w:firstLine="690" w:firstLineChars="300"/>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汉起、博雅康、银河谷</w:t>
            </w:r>
          </w:p>
        </w:tc>
      </w:tr>
      <w:tr w14:paraId="6F60EE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10A7289D">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rPr>
              <w:t>17</w:t>
            </w:r>
          </w:p>
        </w:tc>
        <w:tc>
          <w:tcPr>
            <w:tcW w:w="1022" w:type="pct"/>
            <w:vMerge w:val="restart"/>
            <w:noWrap w:val="0"/>
            <w:vAlign w:val="center"/>
          </w:tcPr>
          <w:p w14:paraId="32E4D6CB">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rPr>
              <w:t>病房设备带及终端电器系统</w:t>
            </w:r>
          </w:p>
        </w:tc>
        <w:tc>
          <w:tcPr>
            <w:tcW w:w="1592" w:type="pct"/>
            <w:noWrap w:val="0"/>
            <w:vAlign w:val="center"/>
          </w:tcPr>
          <w:p w14:paraId="46E5179E">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铝合金设备带</w:t>
            </w:r>
          </w:p>
        </w:tc>
        <w:tc>
          <w:tcPr>
            <w:tcW w:w="2108" w:type="pct"/>
            <w:noWrap w:val="0"/>
            <w:vAlign w:val="center"/>
          </w:tcPr>
          <w:p w14:paraId="46412A83">
            <w:pPr>
              <w:widowControl/>
              <w:spacing w:line="360" w:lineRule="auto"/>
              <w:jc w:val="center"/>
              <w:rPr>
                <w:rFonts w:hint="default" w:ascii="宋体" w:hAnsi="宋体" w:cs="宋体"/>
                <w:color w:val="auto"/>
                <w:kern w:val="0"/>
                <w:sz w:val="23"/>
                <w:szCs w:val="23"/>
                <w:highlight w:val="none"/>
                <w:lang w:val="en-US"/>
              </w:rPr>
            </w:pPr>
            <w:r>
              <w:rPr>
                <w:rFonts w:hint="eastAsia" w:ascii="宋体" w:hAnsi="宋体" w:eastAsia="宋体" w:cs="宋体"/>
                <w:color w:val="auto"/>
                <w:kern w:val="0"/>
                <w:sz w:val="23"/>
                <w:szCs w:val="23"/>
                <w:highlight w:val="none"/>
                <w:lang w:val="en-US" w:eastAsia="zh-CN" w:bidi="ar-SA"/>
              </w:rPr>
              <w:t>东方铝业、宁波亨润、上海友升</w:t>
            </w:r>
          </w:p>
        </w:tc>
      </w:tr>
      <w:tr w14:paraId="44A65B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1C546DBD">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rPr>
              <w:t>18</w:t>
            </w:r>
          </w:p>
        </w:tc>
        <w:tc>
          <w:tcPr>
            <w:tcW w:w="1022" w:type="pct"/>
            <w:vMerge w:val="continue"/>
            <w:noWrap w:val="0"/>
            <w:vAlign w:val="center"/>
          </w:tcPr>
          <w:p w14:paraId="5AC972DC">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3395D265">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气体终端</w:t>
            </w:r>
          </w:p>
        </w:tc>
        <w:tc>
          <w:tcPr>
            <w:tcW w:w="2108" w:type="pct"/>
            <w:noWrap w:val="0"/>
            <w:vAlign w:val="center"/>
          </w:tcPr>
          <w:p w14:paraId="253E96AE">
            <w:pPr>
              <w:widowControl/>
              <w:spacing w:line="360" w:lineRule="auto"/>
              <w:jc w:val="center"/>
              <w:rPr>
                <w:rFonts w:ascii="宋体" w:hAnsi="宋体" w:eastAsia="宋体" w:cs="宋体"/>
                <w:color w:val="auto"/>
                <w:kern w:val="0"/>
                <w:sz w:val="23"/>
                <w:szCs w:val="23"/>
                <w:highlight w:val="none"/>
              </w:rPr>
            </w:pPr>
            <w:r>
              <w:rPr>
                <w:rFonts w:hint="eastAsia" w:ascii="宋体" w:hAnsi="宋体" w:cs="宋体"/>
                <w:color w:val="auto"/>
                <w:kern w:val="0"/>
                <w:sz w:val="23"/>
                <w:szCs w:val="23"/>
                <w:highlight w:val="none"/>
              </w:rPr>
              <w:t>必康美德、</w:t>
            </w:r>
            <w:r>
              <w:rPr>
                <w:rFonts w:hint="eastAsia" w:ascii="宋体" w:hAnsi="宋体" w:cs="宋体"/>
                <w:color w:val="auto"/>
                <w:kern w:val="0"/>
                <w:sz w:val="23"/>
                <w:szCs w:val="23"/>
                <w:highlight w:val="none"/>
                <w:lang w:val="en-US" w:eastAsia="zh-CN"/>
              </w:rPr>
              <w:t>德尔格</w:t>
            </w:r>
            <w:r>
              <w:rPr>
                <w:rFonts w:hint="eastAsia" w:ascii="宋体" w:hAnsi="宋体" w:cs="宋体"/>
                <w:color w:val="auto"/>
                <w:kern w:val="0"/>
                <w:sz w:val="23"/>
                <w:szCs w:val="23"/>
                <w:highlight w:val="none"/>
              </w:rPr>
              <w:t>、</w:t>
            </w:r>
            <w:r>
              <w:rPr>
                <w:rFonts w:hint="eastAsia" w:ascii="宋体" w:hAnsi="宋体" w:cs="宋体"/>
                <w:color w:val="auto"/>
                <w:kern w:val="0"/>
                <w:sz w:val="23"/>
                <w:szCs w:val="23"/>
                <w:highlight w:val="none"/>
                <w:lang w:val="en-US" w:eastAsia="zh-CN"/>
              </w:rPr>
              <w:t>德格尔森</w:t>
            </w:r>
          </w:p>
        </w:tc>
      </w:tr>
      <w:tr w14:paraId="668C5C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8C7FA82">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rPr>
              <w:t>19</w:t>
            </w:r>
          </w:p>
        </w:tc>
        <w:tc>
          <w:tcPr>
            <w:tcW w:w="1022" w:type="pct"/>
            <w:vMerge w:val="continue"/>
            <w:noWrap w:val="0"/>
            <w:vAlign w:val="center"/>
          </w:tcPr>
          <w:p w14:paraId="78207EDD">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32829741">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电源插座/电源开关</w:t>
            </w:r>
          </w:p>
        </w:tc>
        <w:tc>
          <w:tcPr>
            <w:tcW w:w="2108" w:type="pct"/>
            <w:noWrap w:val="0"/>
            <w:vAlign w:val="center"/>
          </w:tcPr>
          <w:p w14:paraId="42C87B41">
            <w:pPr>
              <w:widowControl/>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西门子、ABB、施耐德</w:t>
            </w:r>
          </w:p>
        </w:tc>
      </w:tr>
      <w:tr w14:paraId="590D03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8EA05E2">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2</w:t>
            </w:r>
            <w:r>
              <w:rPr>
                <w:rFonts w:hint="eastAsia" w:ascii="宋体" w:hAnsi="宋体" w:eastAsia="宋体" w:cs="宋体"/>
                <w:color w:val="auto"/>
                <w:kern w:val="0"/>
                <w:sz w:val="23"/>
                <w:szCs w:val="23"/>
                <w:highlight w:val="none"/>
                <w:lang w:val="en-US" w:eastAsia="zh-CN"/>
              </w:rPr>
              <w:t>0</w:t>
            </w:r>
          </w:p>
        </w:tc>
        <w:tc>
          <w:tcPr>
            <w:tcW w:w="1022" w:type="pct"/>
            <w:vMerge w:val="continue"/>
            <w:noWrap w:val="0"/>
            <w:vAlign w:val="center"/>
          </w:tcPr>
          <w:p w14:paraId="1B4A1E8C">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7004A2D5">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床头LED灯</w:t>
            </w:r>
          </w:p>
        </w:tc>
        <w:tc>
          <w:tcPr>
            <w:tcW w:w="2108" w:type="pct"/>
            <w:noWrap w:val="0"/>
            <w:vAlign w:val="center"/>
          </w:tcPr>
          <w:p w14:paraId="614BE08A">
            <w:pPr>
              <w:widowControl/>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雷士、欧普、三雄极光</w:t>
            </w:r>
          </w:p>
        </w:tc>
      </w:tr>
      <w:tr w14:paraId="58E46F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560216C">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2</w:t>
            </w:r>
            <w:r>
              <w:rPr>
                <w:rFonts w:hint="eastAsia" w:ascii="宋体" w:hAnsi="宋体" w:eastAsia="宋体" w:cs="宋体"/>
                <w:color w:val="auto"/>
                <w:kern w:val="0"/>
                <w:sz w:val="23"/>
                <w:szCs w:val="23"/>
                <w:highlight w:val="none"/>
                <w:lang w:val="en-US" w:eastAsia="zh-CN"/>
              </w:rPr>
              <w:t>1</w:t>
            </w:r>
          </w:p>
        </w:tc>
        <w:tc>
          <w:tcPr>
            <w:tcW w:w="1022" w:type="pct"/>
            <w:vMerge w:val="continue"/>
            <w:noWrap w:val="0"/>
            <w:vAlign w:val="center"/>
          </w:tcPr>
          <w:p w14:paraId="5E2CDE59">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698FE577">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电源线</w:t>
            </w:r>
          </w:p>
        </w:tc>
        <w:tc>
          <w:tcPr>
            <w:tcW w:w="2108" w:type="pct"/>
            <w:noWrap w:val="0"/>
            <w:vAlign w:val="center"/>
          </w:tcPr>
          <w:p w14:paraId="1C00043D">
            <w:pPr>
              <w:widowControl/>
              <w:jc w:val="center"/>
              <w:rPr>
                <w:rFonts w:hint="default" w:ascii="宋体" w:hAnsi="宋体" w:eastAsia="宋体" w:cs="宋体"/>
                <w:color w:val="auto"/>
                <w:kern w:val="0"/>
                <w:sz w:val="23"/>
                <w:szCs w:val="23"/>
                <w:highlight w:val="none"/>
                <w:lang w:val="en-US" w:eastAsia="zh-CN"/>
              </w:rPr>
            </w:pPr>
            <w:r>
              <w:rPr>
                <w:rFonts w:hint="eastAsia" w:ascii="宋体" w:hAnsi="宋体" w:cs="宋体"/>
                <w:color w:val="auto"/>
                <w:kern w:val="0"/>
                <w:sz w:val="23"/>
                <w:szCs w:val="23"/>
                <w:highlight w:val="none"/>
              </w:rPr>
              <w:t>中策</w:t>
            </w:r>
            <w:r>
              <w:rPr>
                <w:rFonts w:hint="eastAsia" w:ascii="宋体" w:hAnsi="宋体" w:cs="宋体"/>
                <w:color w:val="auto"/>
                <w:kern w:val="0"/>
                <w:sz w:val="23"/>
                <w:szCs w:val="23"/>
                <w:highlight w:val="none"/>
                <w:lang w:val="en-US" w:eastAsia="zh-CN"/>
              </w:rPr>
              <w:t>(永通)、</w:t>
            </w:r>
            <w:r>
              <w:rPr>
                <w:rFonts w:hint="eastAsia" w:ascii="宋体" w:hAnsi="宋体" w:cs="宋体"/>
                <w:color w:val="auto"/>
                <w:kern w:val="0"/>
                <w:sz w:val="23"/>
                <w:szCs w:val="23"/>
                <w:highlight w:val="none"/>
              </w:rPr>
              <w:t>上上、远东、</w:t>
            </w:r>
          </w:p>
        </w:tc>
      </w:tr>
      <w:tr w14:paraId="1B4C9A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7" w:type="pct"/>
            <w:noWrap w:val="0"/>
            <w:vAlign w:val="top"/>
          </w:tcPr>
          <w:p w14:paraId="3740BF8C">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2</w:t>
            </w:r>
            <w:r>
              <w:rPr>
                <w:rFonts w:hint="eastAsia" w:ascii="宋体" w:hAnsi="宋体" w:eastAsia="宋体" w:cs="宋体"/>
                <w:color w:val="auto"/>
                <w:kern w:val="0"/>
                <w:sz w:val="23"/>
                <w:szCs w:val="23"/>
                <w:highlight w:val="none"/>
                <w:lang w:val="en-US" w:eastAsia="zh-CN"/>
              </w:rPr>
              <w:t>2</w:t>
            </w:r>
          </w:p>
        </w:tc>
        <w:tc>
          <w:tcPr>
            <w:tcW w:w="1022" w:type="pct"/>
            <w:vMerge w:val="restart"/>
            <w:noWrap w:val="0"/>
            <w:vAlign w:val="center"/>
          </w:tcPr>
          <w:p w14:paraId="4329CD0C">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cs="宋体"/>
                <w:bCs/>
                <w:color w:val="auto"/>
                <w:kern w:val="0"/>
                <w:sz w:val="23"/>
                <w:szCs w:val="23"/>
                <w:highlight w:val="none"/>
              </w:rPr>
              <w:t>管道及管材</w:t>
            </w:r>
          </w:p>
        </w:tc>
        <w:tc>
          <w:tcPr>
            <w:tcW w:w="1592" w:type="pct"/>
            <w:noWrap w:val="0"/>
            <w:vAlign w:val="center"/>
          </w:tcPr>
          <w:p w14:paraId="6BA00E35">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不锈钢管</w:t>
            </w:r>
          </w:p>
        </w:tc>
        <w:tc>
          <w:tcPr>
            <w:tcW w:w="2108" w:type="pct"/>
            <w:noWrap w:val="0"/>
            <w:vAlign w:val="center"/>
          </w:tcPr>
          <w:p w14:paraId="79742A68">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浙江永上</w:t>
            </w:r>
            <w:r>
              <w:rPr>
                <w:rFonts w:hint="eastAsia" w:ascii="宋体" w:hAnsi="宋体" w:cs="宋体"/>
                <w:color w:val="auto"/>
                <w:kern w:val="0"/>
                <w:sz w:val="23"/>
                <w:szCs w:val="23"/>
                <w:highlight w:val="none"/>
                <w:lang w:eastAsia="zh-CN"/>
              </w:rPr>
              <w:t>、</w:t>
            </w:r>
            <w:r>
              <w:rPr>
                <w:rFonts w:hint="eastAsia" w:ascii="宋体" w:hAnsi="宋体" w:cs="宋体"/>
                <w:color w:val="auto"/>
                <w:kern w:val="0"/>
                <w:sz w:val="23"/>
                <w:szCs w:val="23"/>
                <w:highlight w:val="none"/>
              </w:rPr>
              <w:t>义乌永生、泰利、</w:t>
            </w:r>
          </w:p>
        </w:tc>
      </w:tr>
      <w:tr w14:paraId="70C771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7" w:type="pct"/>
            <w:noWrap w:val="0"/>
            <w:vAlign w:val="top"/>
          </w:tcPr>
          <w:p w14:paraId="4BA5ED92">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23</w:t>
            </w:r>
          </w:p>
        </w:tc>
        <w:tc>
          <w:tcPr>
            <w:tcW w:w="1022" w:type="pct"/>
            <w:vMerge w:val="continue"/>
            <w:noWrap w:val="0"/>
            <w:vAlign w:val="center"/>
          </w:tcPr>
          <w:p w14:paraId="59DE6930">
            <w:pPr>
              <w:widowControl/>
              <w:spacing w:line="360" w:lineRule="auto"/>
              <w:jc w:val="center"/>
              <w:rPr>
                <w:rFonts w:hint="eastAsia" w:ascii="宋体" w:hAnsi="宋体" w:cs="宋体"/>
                <w:color w:val="auto"/>
                <w:kern w:val="0"/>
                <w:sz w:val="23"/>
                <w:szCs w:val="23"/>
                <w:highlight w:val="none"/>
                <w:lang w:val="en-US" w:eastAsia="zh-CN"/>
              </w:rPr>
            </w:pPr>
          </w:p>
        </w:tc>
        <w:tc>
          <w:tcPr>
            <w:tcW w:w="1592" w:type="pct"/>
            <w:noWrap w:val="0"/>
            <w:vAlign w:val="center"/>
          </w:tcPr>
          <w:p w14:paraId="7E7967C2">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脱脂铜管</w:t>
            </w:r>
          </w:p>
        </w:tc>
        <w:tc>
          <w:tcPr>
            <w:tcW w:w="2108" w:type="pct"/>
            <w:noWrap w:val="0"/>
            <w:vAlign w:val="center"/>
          </w:tcPr>
          <w:p w14:paraId="147A3A97">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浙江海亮、宁波永享、青岛宏泰</w:t>
            </w:r>
          </w:p>
        </w:tc>
      </w:tr>
      <w:tr w14:paraId="25A932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7" w:type="pct"/>
            <w:noWrap w:val="0"/>
            <w:vAlign w:val="top"/>
          </w:tcPr>
          <w:p w14:paraId="23CB5B4B">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24</w:t>
            </w:r>
          </w:p>
        </w:tc>
        <w:tc>
          <w:tcPr>
            <w:tcW w:w="1022" w:type="pct"/>
            <w:vMerge w:val="continue"/>
            <w:noWrap w:val="0"/>
            <w:vAlign w:val="center"/>
          </w:tcPr>
          <w:p w14:paraId="5538382F">
            <w:pPr>
              <w:widowControl/>
              <w:spacing w:line="360" w:lineRule="auto"/>
              <w:jc w:val="center"/>
              <w:rPr>
                <w:rFonts w:hint="eastAsia" w:ascii="宋体" w:hAnsi="宋体" w:cs="宋体"/>
                <w:color w:val="auto"/>
                <w:kern w:val="0"/>
                <w:sz w:val="23"/>
                <w:szCs w:val="23"/>
                <w:highlight w:val="none"/>
                <w:lang w:val="en-US" w:eastAsia="zh-CN"/>
              </w:rPr>
            </w:pPr>
          </w:p>
        </w:tc>
        <w:tc>
          <w:tcPr>
            <w:tcW w:w="1592" w:type="pct"/>
            <w:noWrap w:val="0"/>
            <w:vAlign w:val="center"/>
          </w:tcPr>
          <w:p w14:paraId="31D2CC07">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cs="宋体"/>
                <w:color w:val="auto"/>
                <w:kern w:val="0"/>
                <w:sz w:val="23"/>
                <w:szCs w:val="23"/>
                <w:highlight w:val="none"/>
                <w:lang w:val="en-US" w:eastAsia="zh-CN"/>
              </w:rPr>
              <w:t>阀门</w:t>
            </w:r>
          </w:p>
        </w:tc>
        <w:tc>
          <w:tcPr>
            <w:tcW w:w="2108" w:type="pct"/>
            <w:noWrap w:val="0"/>
            <w:vAlign w:val="center"/>
          </w:tcPr>
          <w:p w14:paraId="5B742927">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宁波埃美柯、宁波永享、华生</w:t>
            </w:r>
          </w:p>
        </w:tc>
      </w:tr>
    </w:tbl>
    <w:p w14:paraId="367CE132">
      <w:pPr>
        <w:spacing w:line="300" w:lineRule="exact"/>
        <w:ind w:firstLine="420"/>
        <w:jc w:val="left"/>
        <w:rPr>
          <w:rFonts w:ascii="宋体" w:hAnsi="宋体" w:cs="宋体"/>
          <w:b/>
          <w:bCs/>
          <w:color w:val="auto"/>
          <w:sz w:val="23"/>
          <w:szCs w:val="23"/>
          <w:highlight w:val="none"/>
        </w:rPr>
      </w:pPr>
    </w:p>
    <w:p w14:paraId="1EE4EACA">
      <w:pPr>
        <w:rPr>
          <w:rFonts w:hint="eastAsia" w:ascii="宋体" w:hAnsi="宋体" w:eastAsia="宋体" w:cs="宋体"/>
          <w:color w:val="auto"/>
          <w:sz w:val="23"/>
          <w:szCs w:val="23"/>
          <w:highlight w:val="none"/>
          <w:lang w:val="en-US" w:eastAsia="zh-CN"/>
        </w:rPr>
      </w:pPr>
    </w:p>
    <w:p w14:paraId="6C9A4CB2">
      <w:pPr>
        <w:spacing w:before="318" w:line="225" w:lineRule="auto"/>
        <w:jc w:val="both"/>
        <w:outlineLvl w:val="0"/>
        <w:rPr>
          <w:rStyle w:val="37"/>
          <w:rFonts w:hint="eastAsia" w:ascii="宋体" w:hAnsi="宋体" w:eastAsia="宋体" w:cs="宋体"/>
          <w:b w:val="0"/>
          <w:bCs w:val="0"/>
          <w:color w:val="auto"/>
          <w:sz w:val="23"/>
          <w:szCs w:val="23"/>
          <w:highlight w:val="none"/>
          <w:lang w:val="en-US" w:eastAsia="zh-CN"/>
        </w:rPr>
      </w:pPr>
      <w:r>
        <w:rPr>
          <w:rStyle w:val="37"/>
          <w:rFonts w:hint="eastAsia" w:ascii="宋体" w:hAnsi="宋体" w:eastAsia="宋体" w:cs="宋体"/>
          <w:b w:val="0"/>
          <w:bCs w:val="0"/>
          <w:color w:val="auto"/>
          <w:sz w:val="23"/>
          <w:szCs w:val="23"/>
          <w:highlight w:val="none"/>
          <w:lang w:val="en-US" w:eastAsia="zh-CN"/>
        </w:rPr>
        <w:t>注：投标产品品牌可以选择任意参考品牌之一或同等档次及以上的产品，正式供货前需招标人确认。</w:t>
      </w:r>
    </w:p>
    <w:p w14:paraId="3631FBAD">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56CC11FC">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第六章 投标文件格式</w:t>
      </w:r>
    </w:p>
    <w:p w14:paraId="4064BB49">
      <w:pPr>
        <w:spacing w:line="343" w:lineRule="auto"/>
        <w:jc w:val="both"/>
        <w:rPr>
          <w:rFonts w:hint="eastAsia" w:ascii="宋体" w:hAnsi="宋体" w:eastAsia="宋体" w:cs="宋体"/>
          <w:color w:val="auto"/>
          <w:highlight w:val="none"/>
        </w:rPr>
      </w:pPr>
    </w:p>
    <w:p w14:paraId="140B8FBB">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369DC096">
      <w:pPr>
        <w:pStyle w:val="20"/>
        <w:rPr>
          <w:rFonts w:hint="eastAsia" w:ascii="宋体" w:hAnsi="宋体" w:cs="宋体"/>
          <w:color w:val="auto"/>
          <w:highlight w:val="none"/>
        </w:rPr>
      </w:pPr>
    </w:p>
    <w:p w14:paraId="21132F2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65FB3B9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1ECBE03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2A7F940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68BC96B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0E83CF04">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03427FBD">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7A6E3F99">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437EE41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7A107B6">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color w:val="auto"/>
          <w:sz w:val="24"/>
          <w:szCs w:val="24"/>
          <w:highlight w:val="none"/>
        </w:rPr>
        <w:t>十、投标承诺书（见格式九）</w:t>
      </w:r>
    </w:p>
    <w:p w14:paraId="1E676441">
      <w:pPr>
        <w:spacing w:line="360" w:lineRule="auto"/>
        <w:ind w:left="-2" w:leftChars="-1" w:firstLine="247"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highlight w:val="none"/>
        </w:rPr>
        <w:t>十</w:t>
      </w:r>
      <w:r>
        <w:rPr>
          <w:rFonts w:hint="eastAsia" w:ascii="宋体" w:hAnsi="宋体" w:eastAsia="宋体" w:cs="宋体"/>
          <w:color w:val="auto"/>
          <w:sz w:val="24"/>
          <w:szCs w:val="24"/>
          <w:highlight w:val="none"/>
        </w:rPr>
        <w:t>一、投标人须知前附表规定的构成投标文件的其他材料</w:t>
      </w:r>
    </w:p>
    <w:p w14:paraId="52284830">
      <w:pPr>
        <w:pStyle w:val="20"/>
        <w:rPr>
          <w:rFonts w:hint="eastAsia" w:ascii="宋体" w:hAnsi="宋体" w:cs="宋体"/>
          <w:color w:val="auto"/>
          <w:highlight w:val="none"/>
        </w:rPr>
      </w:pPr>
    </w:p>
    <w:p w14:paraId="14B33BCA">
      <w:pPr>
        <w:spacing w:line="360" w:lineRule="auto"/>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0722CE5E">
      <w:pPr>
        <w:spacing w:before="310" w:line="221" w:lineRule="auto"/>
        <w:ind w:left="281"/>
        <w:jc w:val="both"/>
        <w:rPr>
          <w:rFonts w:hint="eastAsia" w:ascii="宋体" w:hAnsi="宋体" w:eastAsia="宋体" w:cs="宋体"/>
          <w:color w:val="auto"/>
          <w:sz w:val="28"/>
          <w:szCs w:val="28"/>
          <w:highlight w:val="none"/>
        </w:rPr>
      </w:pPr>
      <w:bookmarkStart w:id="64" w:name="_bookmark15"/>
      <w:bookmarkEnd w:id="64"/>
      <w:r>
        <w:rPr>
          <w:rFonts w:hint="eastAsia" w:ascii="宋体" w:hAnsi="宋体" w:eastAsia="宋体" w:cs="宋体"/>
          <w:color w:val="auto"/>
          <w:sz w:val="28"/>
          <w:szCs w:val="28"/>
          <w:highlight w:val="none"/>
        </w:rPr>
        <w:t>格式一：投标函</w:t>
      </w:r>
    </w:p>
    <w:p w14:paraId="4F8C5A8E">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704585F4">
      <w:pPr>
        <w:spacing w:line="372" w:lineRule="auto"/>
        <w:jc w:val="both"/>
        <w:rPr>
          <w:rFonts w:hint="eastAsia" w:ascii="宋体" w:hAnsi="宋体" w:eastAsia="宋体" w:cs="宋体"/>
          <w:color w:val="auto"/>
          <w:highlight w:val="none"/>
        </w:rPr>
      </w:pPr>
    </w:p>
    <w:p w14:paraId="493503B0">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2544FB82">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72940AEB">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w:t>
      </w:r>
      <w:r>
        <w:rPr>
          <w:rFonts w:hint="eastAsia" w:ascii="宋体" w:hAnsi="宋体" w:eastAsia="宋体" w:cs="宋体"/>
          <w:color w:val="auto"/>
          <w:sz w:val="23"/>
          <w:szCs w:val="23"/>
          <w:highlight w:val="none"/>
          <w:lang w:eastAsia="zh-CN"/>
        </w:rPr>
        <w:t>七天</w:t>
      </w:r>
      <w:r>
        <w:rPr>
          <w:rFonts w:hint="eastAsia" w:ascii="宋体" w:hAnsi="宋体" w:eastAsia="宋体" w:cs="宋体"/>
          <w:color w:val="auto"/>
          <w:sz w:val="23"/>
          <w:szCs w:val="23"/>
          <w:highlight w:val="none"/>
        </w:rPr>
        <w:t>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5D5767CA">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4E818FB3">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5219DC32">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5900AA5">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w:t>
      </w:r>
      <w:r>
        <w:rPr>
          <w:rFonts w:hint="eastAsia" w:ascii="宋体" w:hAnsi="宋体" w:eastAsia="宋体" w:cs="宋体"/>
          <w:color w:val="auto"/>
          <w:sz w:val="23"/>
          <w:szCs w:val="23"/>
          <w:highlight w:val="none"/>
          <w:lang w:eastAsia="zh-CN"/>
        </w:rPr>
        <w:t>人</w:t>
      </w:r>
      <w:r>
        <w:rPr>
          <w:rFonts w:hint="eastAsia" w:ascii="宋体" w:hAnsi="宋体" w:eastAsia="宋体" w:cs="宋体"/>
          <w:color w:val="auto"/>
          <w:sz w:val="23"/>
          <w:szCs w:val="23"/>
          <w:highlight w:val="none"/>
        </w:rPr>
        <w:t>或委托代理人：(签字或盖章)</w:t>
      </w:r>
    </w:p>
    <w:p w14:paraId="4856D4E6">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7EAFDBC4">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3AB06574">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49C79521">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29354A85">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C7F5D97">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60FA1748">
      <w:pPr>
        <w:spacing w:before="310" w:line="221" w:lineRule="auto"/>
        <w:ind w:left="92"/>
        <w:jc w:val="both"/>
        <w:outlineLvl w:val="1"/>
        <w:rPr>
          <w:rFonts w:hint="eastAsia" w:ascii="宋体" w:hAnsi="宋体" w:eastAsia="宋体" w:cs="宋体"/>
          <w:color w:val="auto"/>
          <w:sz w:val="28"/>
          <w:szCs w:val="28"/>
          <w:highlight w:val="none"/>
        </w:rPr>
      </w:pPr>
      <w:bookmarkStart w:id="65" w:name="_bookmark16"/>
      <w:bookmarkEnd w:id="65"/>
      <w:r>
        <w:rPr>
          <w:rFonts w:hint="eastAsia" w:ascii="宋体" w:hAnsi="宋体" w:eastAsia="宋体" w:cs="宋体"/>
          <w:color w:val="auto"/>
          <w:sz w:val="28"/>
          <w:szCs w:val="28"/>
          <w:highlight w:val="none"/>
        </w:rPr>
        <w:t>格式二：法定代表人身份证明</w:t>
      </w:r>
    </w:p>
    <w:p w14:paraId="1155CF46">
      <w:pPr>
        <w:spacing w:line="337" w:lineRule="auto"/>
        <w:jc w:val="both"/>
        <w:rPr>
          <w:rFonts w:hint="eastAsia" w:ascii="宋体" w:hAnsi="宋体" w:eastAsia="宋体" w:cs="宋体"/>
          <w:color w:val="auto"/>
          <w:highlight w:val="none"/>
        </w:rPr>
      </w:pPr>
    </w:p>
    <w:p w14:paraId="076B2A0D">
      <w:pPr>
        <w:spacing w:line="338" w:lineRule="auto"/>
        <w:jc w:val="both"/>
        <w:rPr>
          <w:rFonts w:hint="eastAsia" w:ascii="宋体" w:hAnsi="宋体" w:eastAsia="宋体" w:cs="宋体"/>
          <w:color w:val="auto"/>
          <w:highlight w:val="none"/>
        </w:rPr>
      </w:pPr>
    </w:p>
    <w:p w14:paraId="715DCD4D">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110AA068">
      <w:pPr>
        <w:spacing w:line="290" w:lineRule="auto"/>
        <w:jc w:val="both"/>
        <w:rPr>
          <w:rFonts w:hint="eastAsia" w:ascii="宋体" w:hAnsi="宋体" w:eastAsia="宋体" w:cs="宋体"/>
          <w:color w:val="auto"/>
          <w:highlight w:val="none"/>
        </w:rPr>
      </w:pPr>
    </w:p>
    <w:p w14:paraId="11A8E3E5">
      <w:pPr>
        <w:spacing w:line="290" w:lineRule="auto"/>
        <w:jc w:val="both"/>
        <w:rPr>
          <w:rFonts w:hint="eastAsia" w:ascii="宋体" w:hAnsi="宋体" w:eastAsia="宋体" w:cs="宋体"/>
          <w:color w:val="auto"/>
          <w:highlight w:val="none"/>
        </w:rPr>
      </w:pPr>
    </w:p>
    <w:p w14:paraId="00BE372E">
      <w:pPr>
        <w:spacing w:line="291" w:lineRule="auto"/>
        <w:jc w:val="both"/>
        <w:rPr>
          <w:rFonts w:hint="eastAsia" w:ascii="宋体" w:hAnsi="宋体" w:eastAsia="宋体" w:cs="宋体"/>
          <w:color w:val="auto"/>
          <w:highlight w:val="none"/>
        </w:rPr>
      </w:pPr>
    </w:p>
    <w:p w14:paraId="59526ECB">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077CA22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4AEB34CA">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4E9EEDF3">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B769961">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4DF404F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7BDBCEC3">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699A51EE">
      <w:pPr>
        <w:spacing w:line="259" w:lineRule="auto"/>
        <w:jc w:val="both"/>
        <w:rPr>
          <w:rFonts w:hint="eastAsia" w:ascii="宋体" w:hAnsi="宋体" w:eastAsia="宋体" w:cs="宋体"/>
          <w:color w:val="auto"/>
          <w:highlight w:val="none"/>
        </w:rPr>
      </w:pPr>
    </w:p>
    <w:p w14:paraId="007C2223">
      <w:pPr>
        <w:spacing w:line="259" w:lineRule="auto"/>
        <w:jc w:val="both"/>
        <w:rPr>
          <w:rFonts w:hint="eastAsia" w:ascii="宋体" w:hAnsi="宋体" w:eastAsia="宋体" w:cs="宋体"/>
          <w:color w:val="auto"/>
          <w:highlight w:val="none"/>
        </w:rPr>
      </w:pPr>
    </w:p>
    <w:p w14:paraId="43505B54">
      <w:pPr>
        <w:spacing w:line="260" w:lineRule="auto"/>
        <w:jc w:val="both"/>
        <w:rPr>
          <w:rFonts w:hint="eastAsia" w:ascii="宋体" w:hAnsi="宋体" w:eastAsia="宋体" w:cs="宋体"/>
          <w:color w:val="auto"/>
          <w:highlight w:val="none"/>
        </w:rPr>
      </w:pPr>
    </w:p>
    <w:p w14:paraId="7F44CFA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4659B3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075BB60">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52528F2D">
      <w:pPr>
        <w:jc w:val="both"/>
        <w:rPr>
          <w:rFonts w:hint="eastAsia" w:ascii="宋体" w:hAnsi="宋体" w:eastAsia="宋体" w:cs="宋体"/>
          <w:color w:val="auto"/>
          <w:highlight w:val="none"/>
        </w:rPr>
      </w:pPr>
    </w:p>
    <w:p w14:paraId="5DB7858C">
      <w:pPr>
        <w:spacing w:line="140" w:lineRule="exact"/>
        <w:jc w:val="both"/>
        <w:rPr>
          <w:rFonts w:hint="eastAsia" w:ascii="宋体" w:hAnsi="宋体" w:eastAsia="宋体" w:cs="宋体"/>
          <w:color w:val="auto"/>
          <w:highlight w:val="none"/>
        </w:rPr>
      </w:pPr>
    </w:p>
    <w:tbl>
      <w:tblPr>
        <w:tblStyle w:val="49"/>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0FE2088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Pr>
          <w:p w14:paraId="6973EF8D">
            <w:pPr>
              <w:spacing w:line="257" w:lineRule="auto"/>
              <w:jc w:val="both"/>
              <w:rPr>
                <w:rFonts w:hint="eastAsia" w:ascii="宋体" w:hAnsi="宋体" w:eastAsia="宋体" w:cs="宋体"/>
                <w:color w:val="auto"/>
                <w:highlight w:val="none"/>
              </w:rPr>
            </w:pPr>
          </w:p>
          <w:p w14:paraId="31BB31E6">
            <w:pPr>
              <w:spacing w:line="258" w:lineRule="auto"/>
              <w:jc w:val="both"/>
              <w:rPr>
                <w:rFonts w:hint="eastAsia" w:ascii="宋体" w:hAnsi="宋体" w:eastAsia="宋体" w:cs="宋体"/>
                <w:color w:val="auto"/>
                <w:highlight w:val="none"/>
              </w:rPr>
            </w:pPr>
          </w:p>
          <w:p w14:paraId="4F3B27F0">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w:t>
            </w:r>
            <w:r>
              <w:rPr>
                <w:rFonts w:hint="eastAsia" w:ascii="宋体" w:hAnsi="宋体" w:eastAsia="宋体" w:cs="宋体"/>
                <w:color w:val="auto"/>
                <w:sz w:val="23"/>
                <w:szCs w:val="23"/>
                <w:highlight w:val="none"/>
                <w:lang w:eastAsia="zh-CN"/>
              </w:rPr>
              <w:t>复印件</w:t>
            </w:r>
          </w:p>
        </w:tc>
      </w:tr>
    </w:tbl>
    <w:p w14:paraId="195FF711">
      <w:pPr>
        <w:jc w:val="both"/>
        <w:rPr>
          <w:rFonts w:hint="eastAsia" w:ascii="宋体" w:hAnsi="宋体" w:eastAsia="宋体" w:cs="宋体"/>
          <w:color w:val="auto"/>
          <w:highlight w:val="none"/>
        </w:rPr>
      </w:pPr>
    </w:p>
    <w:p w14:paraId="16E96A7E">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2C61730B">
      <w:pPr>
        <w:spacing w:before="310" w:line="221" w:lineRule="auto"/>
        <w:ind w:left="388"/>
        <w:jc w:val="both"/>
        <w:rPr>
          <w:rFonts w:hint="eastAsia" w:ascii="宋体" w:hAnsi="宋体" w:eastAsia="宋体" w:cs="宋体"/>
          <w:color w:val="auto"/>
          <w:sz w:val="28"/>
          <w:szCs w:val="28"/>
          <w:highlight w:val="none"/>
        </w:rPr>
      </w:pPr>
      <w:bookmarkStart w:id="66" w:name="_bookmark17"/>
      <w:bookmarkEnd w:id="66"/>
      <w:r>
        <w:rPr>
          <w:rFonts w:hint="eastAsia" w:ascii="宋体" w:hAnsi="宋体" w:eastAsia="宋体" w:cs="宋体"/>
          <w:color w:val="auto"/>
          <w:sz w:val="28"/>
          <w:szCs w:val="28"/>
          <w:highlight w:val="none"/>
        </w:rPr>
        <w:t>格式三：法定代表人授权委托书</w:t>
      </w:r>
    </w:p>
    <w:p w14:paraId="6E499820">
      <w:pPr>
        <w:spacing w:line="328" w:lineRule="auto"/>
        <w:jc w:val="both"/>
        <w:rPr>
          <w:rFonts w:hint="eastAsia" w:ascii="宋体" w:hAnsi="宋体" w:eastAsia="宋体" w:cs="宋体"/>
          <w:color w:val="auto"/>
          <w:highlight w:val="none"/>
        </w:rPr>
      </w:pPr>
    </w:p>
    <w:p w14:paraId="601E9F84">
      <w:pPr>
        <w:spacing w:line="328" w:lineRule="auto"/>
        <w:jc w:val="both"/>
        <w:rPr>
          <w:rFonts w:hint="eastAsia" w:ascii="宋体" w:hAnsi="宋体" w:eastAsia="宋体" w:cs="宋体"/>
          <w:color w:val="auto"/>
          <w:highlight w:val="none"/>
        </w:rPr>
      </w:pPr>
    </w:p>
    <w:p w14:paraId="73ECE8CC">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78FA46B">
      <w:pPr>
        <w:spacing w:line="386" w:lineRule="auto"/>
        <w:jc w:val="both"/>
        <w:rPr>
          <w:rFonts w:hint="eastAsia" w:ascii="宋体" w:hAnsi="宋体" w:eastAsia="宋体" w:cs="宋体"/>
          <w:color w:val="auto"/>
          <w:highlight w:val="none"/>
        </w:rPr>
      </w:pPr>
    </w:p>
    <w:p w14:paraId="54A0B19A">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5535527A">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750BC9EA">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0584364B">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3B07628A">
      <w:pPr>
        <w:spacing w:line="285" w:lineRule="auto"/>
        <w:jc w:val="both"/>
        <w:rPr>
          <w:rFonts w:hint="eastAsia" w:ascii="宋体" w:hAnsi="宋体" w:eastAsia="宋体" w:cs="宋体"/>
          <w:color w:val="auto"/>
          <w:highlight w:val="none"/>
        </w:rPr>
      </w:pPr>
    </w:p>
    <w:p w14:paraId="39CE1E38">
      <w:pPr>
        <w:spacing w:line="286" w:lineRule="auto"/>
        <w:jc w:val="both"/>
        <w:rPr>
          <w:rFonts w:hint="eastAsia" w:ascii="宋体" w:hAnsi="宋体" w:eastAsia="宋体" w:cs="宋体"/>
          <w:color w:val="auto"/>
          <w:highlight w:val="none"/>
        </w:rPr>
      </w:pPr>
    </w:p>
    <w:p w14:paraId="5BC4D78C">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3992DE39">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2615F5F3">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92C7978">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4E2AA6C2">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4A0AFED4">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200A9AE2">
      <w:pPr>
        <w:spacing w:line="285" w:lineRule="auto"/>
        <w:jc w:val="both"/>
        <w:rPr>
          <w:rFonts w:hint="eastAsia" w:ascii="宋体" w:hAnsi="宋体" w:eastAsia="宋体" w:cs="宋体"/>
          <w:color w:val="auto"/>
          <w:highlight w:val="none"/>
        </w:rPr>
      </w:pPr>
    </w:p>
    <w:p w14:paraId="754E87EF">
      <w:pPr>
        <w:spacing w:line="286" w:lineRule="auto"/>
        <w:jc w:val="both"/>
        <w:rPr>
          <w:rFonts w:hint="eastAsia" w:ascii="宋体" w:hAnsi="宋体" w:eastAsia="宋体" w:cs="宋体"/>
          <w:color w:val="auto"/>
          <w:highlight w:val="none"/>
        </w:rPr>
      </w:pPr>
    </w:p>
    <w:p w14:paraId="7B8FB70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E428711">
      <w:pPr>
        <w:jc w:val="both"/>
        <w:rPr>
          <w:rFonts w:hint="eastAsia" w:ascii="宋体" w:hAnsi="宋体" w:eastAsia="宋体" w:cs="宋体"/>
          <w:color w:val="auto"/>
          <w:highlight w:val="none"/>
        </w:rPr>
      </w:pPr>
    </w:p>
    <w:p w14:paraId="27110558">
      <w:pPr>
        <w:jc w:val="both"/>
        <w:rPr>
          <w:rFonts w:hint="eastAsia" w:ascii="宋体" w:hAnsi="宋体" w:eastAsia="宋体" w:cs="宋体"/>
          <w:color w:val="auto"/>
          <w:highlight w:val="none"/>
        </w:rPr>
      </w:pPr>
    </w:p>
    <w:p w14:paraId="587BF8D8">
      <w:pPr>
        <w:spacing w:line="105" w:lineRule="exact"/>
        <w:jc w:val="both"/>
        <w:rPr>
          <w:rFonts w:hint="eastAsia" w:ascii="宋体" w:hAnsi="宋体" w:eastAsia="宋体" w:cs="宋体"/>
          <w:color w:val="auto"/>
          <w:highlight w:val="none"/>
        </w:rPr>
      </w:pPr>
    </w:p>
    <w:tbl>
      <w:tblPr>
        <w:tblStyle w:val="49"/>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2698811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Pr>
          <w:p w14:paraId="181AD5E6">
            <w:pPr>
              <w:spacing w:line="256" w:lineRule="auto"/>
              <w:jc w:val="both"/>
              <w:rPr>
                <w:rFonts w:hint="eastAsia" w:ascii="宋体" w:hAnsi="宋体" w:eastAsia="宋体" w:cs="宋体"/>
                <w:color w:val="auto"/>
                <w:highlight w:val="none"/>
              </w:rPr>
            </w:pPr>
          </w:p>
          <w:p w14:paraId="410633DE">
            <w:pPr>
              <w:spacing w:line="257" w:lineRule="auto"/>
              <w:jc w:val="both"/>
              <w:rPr>
                <w:rFonts w:hint="eastAsia" w:ascii="宋体" w:hAnsi="宋体" w:eastAsia="宋体" w:cs="宋体"/>
                <w:color w:val="auto"/>
                <w:highlight w:val="none"/>
              </w:rPr>
            </w:pPr>
          </w:p>
          <w:p w14:paraId="693C93B1">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w:t>
            </w:r>
            <w:r>
              <w:rPr>
                <w:rFonts w:hint="eastAsia" w:ascii="宋体" w:hAnsi="宋体" w:eastAsia="宋体" w:cs="宋体"/>
                <w:color w:val="auto"/>
                <w:sz w:val="23"/>
                <w:szCs w:val="23"/>
                <w:highlight w:val="none"/>
                <w:lang w:eastAsia="zh-CN"/>
              </w:rPr>
              <w:t>复印件</w:t>
            </w:r>
          </w:p>
        </w:tc>
      </w:tr>
    </w:tbl>
    <w:p w14:paraId="4C4FB5E7">
      <w:pPr>
        <w:spacing w:line="480" w:lineRule="auto"/>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投标保证金缴纳证明资料</w:t>
      </w:r>
    </w:p>
    <w:p w14:paraId="5847064A">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5D449D79">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66D102F8">
      <w:pPr>
        <w:rPr>
          <w:rFonts w:hint="eastAsia" w:ascii="宋体" w:hAnsi="宋体" w:eastAsia="宋体" w:cs="宋体"/>
          <w:color w:val="auto"/>
          <w:highlight w:val="none"/>
        </w:rPr>
      </w:pPr>
    </w:p>
    <w:p w14:paraId="557A8D37">
      <w:pPr>
        <w:jc w:val="both"/>
        <w:rPr>
          <w:rFonts w:hint="eastAsia" w:ascii="宋体" w:hAnsi="宋体" w:eastAsia="宋体" w:cs="宋体"/>
          <w:color w:val="auto"/>
          <w:highlight w:val="none"/>
        </w:rPr>
      </w:pPr>
    </w:p>
    <w:p w14:paraId="0CC4190E">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14:paraId="30DC8CF9">
      <w:pPr>
        <w:spacing w:before="163" w:line="221" w:lineRule="auto"/>
        <w:ind w:left="617"/>
        <w:jc w:val="both"/>
        <w:outlineLvl w:val="1"/>
        <w:rPr>
          <w:rFonts w:hint="eastAsia" w:ascii="宋体" w:hAnsi="宋体" w:eastAsia="宋体" w:cs="宋体"/>
          <w:color w:val="auto"/>
          <w:sz w:val="28"/>
          <w:szCs w:val="28"/>
          <w:highlight w:val="none"/>
        </w:rPr>
      </w:pPr>
      <w:bookmarkStart w:id="67" w:name="_bookmark18"/>
      <w:bookmarkEnd w:id="67"/>
      <w:r>
        <w:rPr>
          <w:rFonts w:hint="eastAsia" w:ascii="宋体" w:hAnsi="宋体" w:eastAsia="宋体" w:cs="宋体"/>
          <w:color w:val="auto"/>
          <w:sz w:val="28"/>
          <w:szCs w:val="28"/>
          <w:highlight w:val="none"/>
        </w:rPr>
        <w:t>格式四：投标报价表</w:t>
      </w:r>
    </w:p>
    <w:p w14:paraId="0568B422">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07D2E000">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0E1791BD">
      <w:pPr>
        <w:spacing w:line="98" w:lineRule="auto"/>
        <w:jc w:val="both"/>
        <w:rPr>
          <w:rFonts w:hint="eastAsia" w:ascii="宋体" w:hAnsi="宋体" w:eastAsia="宋体" w:cs="宋体"/>
          <w:color w:val="auto"/>
          <w:sz w:val="2"/>
          <w:highlight w:val="none"/>
        </w:rPr>
      </w:pPr>
    </w:p>
    <w:tbl>
      <w:tblPr>
        <w:tblStyle w:val="49"/>
        <w:tblW w:w="484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28"/>
        <w:gridCol w:w="2263"/>
        <w:gridCol w:w="1995"/>
        <w:gridCol w:w="1098"/>
        <w:gridCol w:w="1926"/>
        <w:gridCol w:w="2118"/>
        <w:gridCol w:w="2860"/>
      </w:tblGrid>
      <w:tr w14:paraId="22FA6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421" w:type="pct"/>
            <w:vAlign w:val="center"/>
          </w:tcPr>
          <w:p w14:paraId="09176A13">
            <w:pPr>
              <w:spacing w:before="176" w:line="193" w:lineRule="auto"/>
              <w:ind w:left="39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45" w:type="pct"/>
            <w:vAlign w:val="center"/>
          </w:tcPr>
          <w:p w14:paraId="0D10A640">
            <w:pPr>
              <w:spacing w:before="177" w:line="192" w:lineRule="auto"/>
              <w:ind w:left="89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45" w:type="pct"/>
            <w:vAlign w:val="center"/>
          </w:tcPr>
          <w:p w14:paraId="568FC39A">
            <w:pPr>
              <w:spacing w:before="178" w:line="190" w:lineRule="auto"/>
              <w:ind w:left="39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410" w:type="pct"/>
            <w:vAlign w:val="center"/>
          </w:tcPr>
          <w:p w14:paraId="0F6D0305">
            <w:pPr>
              <w:spacing w:before="177" w:line="192" w:lineRule="auto"/>
              <w:ind w:left="45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719" w:type="pct"/>
            <w:vAlign w:val="center"/>
          </w:tcPr>
          <w:p w14:paraId="5C7E44FF">
            <w:pPr>
              <w:spacing w:before="178" w:line="190" w:lineRule="auto"/>
              <w:ind w:left="715"/>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791" w:type="pct"/>
            <w:vAlign w:val="center"/>
          </w:tcPr>
          <w:p w14:paraId="027F8ABC">
            <w:pPr>
              <w:spacing w:before="178" w:line="190" w:lineRule="auto"/>
              <w:ind w:left="404"/>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6</w:t>
            </w:r>
          </w:p>
        </w:tc>
        <w:tc>
          <w:tcPr>
            <w:tcW w:w="1067" w:type="pct"/>
            <w:vAlign w:val="center"/>
          </w:tcPr>
          <w:p w14:paraId="0248D6BD">
            <w:pPr>
              <w:spacing w:before="176" w:line="191" w:lineRule="auto"/>
              <w:ind w:left="551"/>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7</w:t>
            </w:r>
          </w:p>
        </w:tc>
      </w:tr>
      <w:tr w14:paraId="5D6CD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421" w:type="pct"/>
            <w:vAlign w:val="center"/>
          </w:tcPr>
          <w:p w14:paraId="71C1F245">
            <w:pPr>
              <w:spacing w:before="65" w:line="229"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845" w:type="pct"/>
            <w:vAlign w:val="center"/>
          </w:tcPr>
          <w:p w14:paraId="751CF507">
            <w:pPr>
              <w:spacing w:before="65" w:line="401" w:lineRule="exact"/>
              <w:jc w:val="center"/>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302DE194">
            <w:pPr>
              <w:spacing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745" w:type="pct"/>
            <w:vAlign w:val="center"/>
          </w:tcPr>
          <w:p w14:paraId="668607AD">
            <w:pPr>
              <w:spacing w:before="65" w:line="379" w:lineRule="auto"/>
              <w:ind w:right="59"/>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410" w:type="pct"/>
            <w:vAlign w:val="center"/>
          </w:tcPr>
          <w:p w14:paraId="30663391">
            <w:pPr>
              <w:spacing w:before="66"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719" w:type="pct"/>
            <w:shd w:val="clear" w:color="auto" w:fill="auto"/>
            <w:vAlign w:val="center"/>
          </w:tcPr>
          <w:p w14:paraId="355EFB99">
            <w:pPr>
              <w:spacing w:before="65" w:line="379" w:lineRule="auto"/>
              <w:ind w:right="109" w:rightChars="0"/>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综合单价(含税)</w:t>
            </w:r>
          </w:p>
        </w:tc>
        <w:tc>
          <w:tcPr>
            <w:tcW w:w="791" w:type="pct"/>
            <w:shd w:val="clear" w:color="auto" w:fill="auto"/>
            <w:vAlign w:val="center"/>
          </w:tcPr>
          <w:p w14:paraId="1139794F">
            <w:pPr>
              <w:spacing w:before="65" w:line="227"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总价</w:t>
            </w:r>
          </w:p>
        </w:tc>
        <w:tc>
          <w:tcPr>
            <w:tcW w:w="1067" w:type="pct"/>
            <w:shd w:val="clear" w:color="auto" w:fill="auto"/>
            <w:vAlign w:val="center"/>
          </w:tcPr>
          <w:p w14:paraId="06EF3E68">
            <w:pPr>
              <w:spacing w:before="65" w:line="230"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备注</w:t>
            </w:r>
          </w:p>
        </w:tc>
      </w:tr>
      <w:tr w14:paraId="79951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45914BCF">
            <w:pPr>
              <w:jc w:val="both"/>
              <w:rPr>
                <w:rFonts w:hint="eastAsia" w:ascii="宋体" w:hAnsi="宋体" w:eastAsia="宋体" w:cs="宋体"/>
                <w:color w:val="auto"/>
                <w:highlight w:val="none"/>
              </w:rPr>
            </w:pPr>
          </w:p>
        </w:tc>
        <w:tc>
          <w:tcPr>
            <w:tcW w:w="845" w:type="pct"/>
          </w:tcPr>
          <w:p w14:paraId="3D1B1680">
            <w:pPr>
              <w:jc w:val="both"/>
              <w:rPr>
                <w:rFonts w:hint="eastAsia" w:ascii="宋体" w:hAnsi="宋体" w:eastAsia="宋体" w:cs="宋体"/>
                <w:color w:val="auto"/>
                <w:highlight w:val="none"/>
              </w:rPr>
            </w:pPr>
          </w:p>
        </w:tc>
        <w:tc>
          <w:tcPr>
            <w:tcW w:w="745" w:type="pct"/>
          </w:tcPr>
          <w:p w14:paraId="3762F6AF">
            <w:pPr>
              <w:jc w:val="both"/>
              <w:rPr>
                <w:rFonts w:hint="eastAsia" w:ascii="宋体" w:hAnsi="宋体" w:eastAsia="宋体" w:cs="宋体"/>
                <w:color w:val="auto"/>
                <w:highlight w:val="none"/>
              </w:rPr>
            </w:pPr>
          </w:p>
        </w:tc>
        <w:tc>
          <w:tcPr>
            <w:tcW w:w="410" w:type="pct"/>
          </w:tcPr>
          <w:p w14:paraId="5EA4A8BC">
            <w:pPr>
              <w:jc w:val="both"/>
              <w:rPr>
                <w:rFonts w:hint="eastAsia" w:ascii="宋体" w:hAnsi="宋体" w:eastAsia="宋体" w:cs="宋体"/>
                <w:color w:val="auto"/>
                <w:highlight w:val="none"/>
              </w:rPr>
            </w:pPr>
          </w:p>
        </w:tc>
        <w:tc>
          <w:tcPr>
            <w:tcW w:w="719" w:type="pct"/>
          </w:tcPr>
          <w:p w14:paraId="6D6519C6">
            <w:pPr>
              <w:jc w:val="both"/>
              <w:rPr>
                <w:rFonts w:hint="eastAsia" w:ascii="宋体" w:hAnsi="宋体" w:eastAsia="宋体" w:cs="宋体"/>
                <w:color w:val="auto"/>
                <w:highlight w:val="none"/>
              </w:rPr>
            </w:pPr>
          </w:p>
        </w:tc>
        <w:tc>
          <w:tcPr>
            <w:tcW w:w="791" w:type="pct"/>
          </w:tcPr>
          <w:p w14:paraId="0933C955">
            <w:pPr>
              <w:jc w:val="both"/>
              <w:rPr>
                <w:rFonts w:hint="eastAsia" w:ascii="宋体" w:hAnsi="宋体" w:eastAsia="宋体" w:cs="宋体"/>
                <w:color w:val="auto"/>
                <w:highlight w:val="none"/>
              </w:rPr>
            </w:pPr>
          </w:p>
        </w:tc>
        <w:tc>
          <w:tcPr>
            <w:tcW w:w="1067" w:type="pct"/>
          </w:tcPr>
          <w:p w14:paraId="04E7B8D9">
            <w:pPr>
              <w:jc w:val="both"/>
              <w:rPr>
                <w:rFonts w:hint="eastAsia" w:ascii="宋体" w:hAnsi="宋体" w:eastAsia="宋体" w:cs="宋体"/>
                <w:color w:val="auto"/>
                <w:highlight w:val="none"/>
              </w:rPr>
            </w:pPr>
          </w:p>
        </w:tc>
      </w:tr>
      <w:tr w14:paraId="71111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3DCE9FAC">
            <w:pPr>
              <w:jc w:val="both"/>
              <w:rPr>
                <w:rFonts w:hint="eastAsia" w:ascii="宋体" w:hAnsi="宋体" w:eastAsia="宋体" w:cs="宋体"/>
                <w:color w:val="auto"/>
                <w:highlight w:val="none"/>
              </w:rPr>
            </w:pPr>
          </w:p>
        </w:tc>
        <w:tc>
          <w:tcPr>
            <w:tcW w:w="845" w:type="pct"/>
          </w:tcPr>
          <w:p w14:paraId="5ADF5D8A">
            <w:pPr>
              <w:jc w:val="both"/>
              <w:rPr>
                <w:rFonts w:hint="eastAsia" w:ascii="宋体" w:hAnsi="宋体" w:eastAsia="宋体" w:cs="宋体"/>
                <w:color w:val="auto"/>
                <w:highlight w:val="none"/>
              </w:rPr>
            </w:pPr>
          </w:p>
        </w:tc>
        <w:tc>
          <w:tcPr>
            <w:tcW w:w="745" w:type="pct"/>
          </w:tcPr>
          <w:p w14:paraId="4731BD5F">
            <w:pPr>
              <w:jc w:val="both"/>
              <w:rPr>
                <w:rFonts w:hint="eastAsia" w:ascii="宋体" w:hAnsi="宋体" w:eastAsia="宋体" w:cs="宋体"/>
                <w:color w:val="auto"/>
                <w:highlight w:val="none"/>
              </w:rPr>
            </w:pPr>
          </w:p>
        </w:tc>
        <w:tc>
          <w:tcPr>
            <w:tcW w:w="410" w:type="pct"/>
          </w:tcPr>
          <w:p w14:paraId="4B530E72">
            <w:pPr>
              <w:jc w:val="both"/>
              <w:rPr>
                <w:rFonts w:hint="eastAsia" w:ascii="宋体" w:hAnsi="宋体" w:eastAsia="宋体" w:cs="宋体"/>
                <w:color w:val="auto"/>
                <w:highlight w:val="none"/>
              </w:rPr>
            </w:pPr>
          </w:p>
        </w:tc>
        <w:tc>
          <w:tcPr>
            <w:tcW w:w="719" w:type="pct"/>
          </w:tcPr>
          <w:p w14:paraId="0D68A359">
            <w:pPr>
              <w:jc w:val="both"/>
              <w:rPr>
                <w:rFonts w:hint="eastAsia" w:ascii="宋体" w:hAnsi="宋体" w:eastAsia="宋体" w:cs="宋体"/>
                <w:color w:val="auto"/>
                <w:highlight w:val="none"/>
              </w:rPr>
            </w:pPr>
          </w:p>
        </w:tc>
        <w:tc>
          <w:tcPr>
            <w:tcW w:w="791" w:type="pct"/>
          </w:tcPr>
          <w:p w14:paraId="3949943D">
            <w:pPr>
              <w:jc w:val="both"/>
              <w:rPr>
                <w:rFonts w:hint="eastAsia" w:ascii="宋体" w:hAnsi="宋体" w:eastAsia="宋体" w:cs="宋体"/>
                <w:color w:val="auto"/>
                <w:highlight w:val="none"/>
              </w:rPr>
            </w:pPr>
          </w:p>
        </w:tc>
        <w:tc>
          <w:tcPr>
            <w:tcW w:w="1067" w:type="pct"/>
          </w:tcPr>
          <w:p w14:paraId="15526941">
            <w:pPr>
              <w:jc w:val="both"/>
              <w:rPr>
                <w:rFonts w:hint="eastAsia" w:ascii="宋体" w:hAnsi="宋体" w:eastAsia="宋体" w:cs="宋体"/>
                <w:color w:val="auto"/>
                <w:highlight w:val="none"/>
              </w:rPr>
            </w:pPr>
          </w:p>
        </w:tc>
      </w:tr>
      <w:tr w14:paraId="0766E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421" w:type="pct"/>
          </w:tcPr>
          <w:p w14:paraId="73E0627C">
            <w:pPr>
              <w:jc w:val="both"/>
              <w:rPr>
                <w:rFonts w:hint="eastAsia" w:ascii="宋体" w:hAnsi="宋体" w:eastAsia="宋体" w:cs="宋体"/>
                <w:color w:val="auto"/>
                <w:highlight w:val="none"/>
              </w:rPr>
            </w:pPr>
          </w:p>
        </w:tc>
        <w:tc>
          <w:tcPr>
            <w:tcW w:w="845" w:type="pct"/>
          </w:tcPr>
          <w:p w14:paraId="35C6411D">
            <w:pPr>
              <w:jc w:val="both"/>
              <w:rPr>
                <w:rFonts w:hint="eastAsia" w:ascii="宋体" w:hAnsi="宋体" w:eastAsia="宋体" w:cs="宋体"/>
                <w:color w:val="auto"/>
                <w:highlight w:val="none"/>
              </w:rPr>
            </w:pPr>
          </w:p>
        </w:tc>
        <w:tc>
          <w:tcPr>
            <w:tcW w:w="745" w:type="pct"/>
          </w:tcPr>
          <w:p w14:paraId="22701548">
            <w:pPr>
              <w:jc w:val="both"/>
              <w:rPr>
                <w:rFonts w:hint="eastAsia" w:ascii="宋体" w:hAnsi="宋体" w:eastAsia="宋体" w:cs="宋体"/>
                <w:color w:val="auto"/>
                <w:highlight w:val="none"/>
              </w:rPr>
            </w:pPr>
          </w:p>
        </w:tc>
        <w:tc>
          <w:tcPr>
            <w:tcW w:w="410" w:type="pct"/>
          </w:tcPr>
          <w:p w14:paraId="5F2AB10E">
            <w:pPr>
              <w:jc w:val="both"/>
              <w:rPr>
                <w:rFonts w:hint="eastAsia" w:ascii="宋体" w:hAnsi="宋体" w:eastAsia="宋体" w:cs="宋体"/>
                <w:color w:val="auto"/>
                <w:highlight w:val="none"/>
              </w:rPr>
            </w:pPr>
          </w:p>
        </w:tc>
        <w:tc>
          <w:tcPr>
            <w:tcW w:w="719" w:type="pct"/>
          </w:tcPr>
          <w:p w14:paraId="6A03E3A0">
            <w:pPr>
              <w:jc w:val="both"/>
              <w:rPr>
                <w:rFonts w:hint="eastAsia" w:ascii="宋体" w:hAnsi="宋体" w:eastAsia="宋体" w:cs="宋体"/>
                <w:color w:val="auto"/>
                <w:highlight w:val="none"/>
              </w:rPr>
            </w:pPr>
          </w:p>
        </w:tc>
        <w:tc>
          <w:tcPr>
            <w:tcW w:w="791" w:type="pct"/>
          </w:tcPr>
          <w:p w14:paraId="79826958">
            <w:pPr>
              <w:jc w:val="both"/>
              <w:rPr>
                <w:rFonts w:hint="eastAsia" w:ascii="宋体" w:hAnsi="宋体" w:eastAsia="宋体" w:cs="宋体"/>
                <w:color w:val="auto"/>
                <w:highlight w:val="none"/>
              </w:rPr>
            </w:pPr>
          </w:p>
        </w:tc>
        <w:tc>
          <w:tcPr>
            <w:tcW w:w="1067" w:type="pct"/>
          </w:tcPr>
          <w:p w14:paraId="40E2D3EC">
            <w:pPr>
              <w:jc w:val="both"/>
              <w:rPr>
                <w:rFonts w:hint="eastAsia" w:ascii="宋体" w:hAnsi="宋体" w:eastAsia="宋体" w:cs="宋体"/>
                <w:color w:val="auto"/>
                <w:highlight w:val="none"/>
              </w:rPr>
            </w:pPr>
          </w:p>
        </w:tc>
      </w:tr>
      <w:tr w14:paraId="158E8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266" w:type="pct"/>
            <w:gridSpan w:val="2"/>
          </w:tcPr>
          <w:p w14:paraId="4993804D">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3733" w:type="pct"/>
            <w:gridSpan w:val="5"/>
          </w:tcPr>
          <w:p w14:paraId="754C524A">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bl>
    <w:p w14:paraId="5C67ECB3">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w:t>
      </w:r>
    </w:p>
    <w:p w14:paraId="1A3015DA">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lang w:val="en-US" w:eastAsia="zh-CN"/>
        </w:rPr>
        <w:t>1</w:t>
      </w:r>
      <w:r>
        <w:rPr>
          <w:rFonts w:hint="eastAsia" w:ascii="宋体" w:hAnsi="宋体" w:eastAsia="宋体" w:cs="宋体"/>
          <w:color w:val="auto"/>
          <w:position w:val="1"/>
          <w:sz w:val="20"/>
          <w:szCs w:val="20"/>
          <w:highlight w:val="none"/>
        </w:rPr>
        <w:t>、投标总价合计为总价的合计，应与投标函的投标总价一致。</w:t>
      </w:r>
    </w:p>
    <w:p w14:paraId="0BFDAD4F">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2</w:t>
      </w:r>
      <w:r>
        <w:rPr>
          <w:rFonts w:hint="eastAsia" w:ascii="宋体" w:hAnsi="宋体" w:eastAsia="宋体" w:cs="宋体"/>
          <w:color w:val="auto"/>
          <w:position w:val="1"/>
          <w:sz w:val="20"/>
          <w:szCs w:val="20"/>
          <w:highlight w:val="none"/>
        </w:rPr>
        <w:t>、投标报价表中含价栏目，若无报价的须填“含”、“无”等字样，若出现空白，招标人视为已含在投标报价中。</w:t>
      </w:r>
    </w:p>
    <w:p w14:paraId="1A920B37">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3</w:t>
      </w:r>
      <w:r>
        <w:rPr>
          <w:rFonts w:hint="eastAsia" w:ascii="宋体" w:hAnsi="宋体" w:eastAsia="宋体" w:cs="宋体"/>
          <w:color w:val="auto"/>
          <w:position w:val="1"/>
          <w:sz w:val="20"/>
          <w:szCs w:val="20"/>
          <w:highlight w:val="none"/>
        </w:rPr>
        <w:t>、如交货货物数量调整时，综合单价不作调整。</w:t>
      </w:r>
    </w:p>
    <w:p w14:paraId="59FE3284">
      <w:pPr>
        <w:spacing w:before="35" w:line="269" w:lineRule="exact"/>
        <w:ind w:left="1216"/>
        <w:jc w:val="both"/>
        <w:rPr>
          <w:rFonts w:hint="default" w:ascii="宋体" w:hAnsi="宋体" w:eastAsia="宋体" w:cs="宋体"/>
          <w:color w:val="auto"/>
          <w:position w:val="1"/>
          <w:sz w:val="20"/>
          <w:szCs w:val="20"/>
          <w:highlight w:val="none"/>
          <w:lang w:val="en-US" w:eastAsia="zh-CN"/>
        </w:rPr>
        <w:sectPr>
          <w:footerReference r:id="rId20" w:type="default"/>
          <w:pgSz w:w="16840" w:h="11907"/>
          <w:pgMar w:top="1418" w:right="1559" w:bottom="1418" w:left="1474" w:header="0" w:footer="722" w:gutter="0"/>
          <w:cols w:space="720" w:num="1"/>
        </w:sectPr>
      </w:pPr>
      <w:r>
        <w:rPr>
          <w:rFonts w:hint="eastAsia" w:ascii="宋体" w:hAnsi="宋体" w:eastAsia="宋体" w:cs="宋体"/>
          <w:color w:val="auto"/>
          <w:position w:val="1"/>
          <w:sz w:val="20"/>
          <w:szCs w:val="20"/>
          <w:highlight w:val="none"/>
          <w:lang w:val="en-US" w:eastAsia="zh-CN"/>
        </w:rPr>
        <w:t>4、根据招标清单进行报价。</w:t>
      </w:r>
    </w:p>
    <w:p w14:paraId="4665CCB0">
      <w:pPr>
        <w:spacing w:before="310" w:line="221" w:lineRule="auto"/>
        <w:ind w:left="720"/>
        <w:jc w:val="both"/>
        <w:outlineLvl w:val="1"/>
        <w:rPr>
          <w:rFonts w:hint="eastAsia" w:ascii="宋体" w:hAnsi="宋体" w:eastAsia="宋体" w:cs="宋体"/>
          <w:color w:val="auto"/>
          <w:sz w:val="28"/>
          <w:szCs w:val="28"/>
          <w:highlight w:val="none"/>
        </w:rPr>
      </w:pPr>
      <w:bookmarkStart w:id="68" w:name="_bookmark19"/>
      <w:bookmarkEnd w:id="68"/>
      <w:r>
        <w:rPr>
          <w:rFonts w:hint="eastAsia" w:ascii="宋体" w:hAnsi="宋体" w:eastAsia="宋体" w:cs="宋体"/>
          <w:color w:val="auto"/>
          <w:sz w:val="28"/>
          <w:szCs w:val="28"/>
          <w:highlight w:val="none"/>
        </w:rPr>
        <w:t>格式五：资料一览表</w:t>
      </w:r>
    </w:p>
    <w:p w14:paraId="74314CE7">
      <w:pPr>
        <w:spacing w:line="337" w:lineRule="auto"/>
        <w:jc w:val="both"/>
        <w:rPr>
          <w:rFonts w:hint="eastAsia" w:ascii="宋体" w:hAnsi="宋体" w:eastAsia="宋体" w:cs="宋体"/>
          <w:color w:val="auto"/>
          <w:highlight w:val="none"/>
        </w:rPr>
      </w:pPr>
    </w:p>
    <w:p w14:paraId="401AC7DF">
      <w:pPr>
        <w:spacing w:line="338" w:lineRule="auto"/>
        <w:jc w:val="both"/>
        <w:rPr>
          <w:rFonts w:hint="eastAsia" w:ascii="宋体" w:hAnsi="宋体" w:eastAsia="宋体" w:cs="宋体"/>
          <w:color w:val="auto"/>
          <w:highlight w:val="none"/>
        </w:rPr>
      </w:pPr>
    </w:p>
    <w:p w14:paraId="28B844DF">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3DF29538">
      <w:pPr>
        <w:jc w:val="both"/>
        <w:rPr>
          <w:rFonts w:hint="eastAsia" w:ascii="宋体" w:hAnsi="宋体" w:eastAsia="宋体" w:cs="宋体"/>
          <w:color w:val="auto"/>
          <w:highlight w:val="none"/>
        </w:rPr>
      </w:pPr>
    </w:p>
    <w:p w14:paraId="25BB9CD7">
      <w:pPr>
        <w:spacing w:line="210" w:lineRule="exact"/>
        <w:jc w:val="both"/>
        <w:rPr>
          <w:rFonts w:hint="eastAsia" w:ascii="宋体" w:hAnsi="宋体" w:eastAsia="宋体" w:cs="宋体"/>
          <w:color w:val="auto"/>
          <w:highlight w:val="none"/>
        </w:rPr>
      </w:pPr>
    </w:p>
    <w:tbl>
      <w:tblPr>
        <w:tblStyle w:val="49"/>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334EE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7860E221">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tcPr>
          <w:p w14:paraId="599290B9">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tcPr>
          <w:p w14:paraId="0306667A">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在投标文件第x页</w:t>
            </w:r>
          </w:p>
        </w:tc>
        <w:tc>
          <w:tcPr>
            <w:tcW w:w="2130" w:type="dxa"/>
          </w:tcPr>
          <w:p w14:paraId="014320E0">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3030B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59B7A22">
            <w:pPr>
              <w:jc w:val="both"/>
              <w:rPr>
                <w:rFonts w:hint="eastAsia" w:ascii="宋体" w:hAnsi="宋体" w:eastAsia="宋体" w:cs="宋体"/>
                <w:color w:val="auto"/>
                <w:highlight w:val="none"/>
              </w:rPr>
            </w:pPr>
          </w:p>
        </w:tc>
        <w:tc>
          <w:tcPr>
            <w:tcW w:w="3826" w:type="dxa"/>
          </w:tcPr>
          <w:p w14:paraId="5DBD7808">
            <w:pPr>
              <w:jc w:val="both"/>
              <w:rPr>
                <w:rFonts w:hint="eastAsia" w:ascii="宋体" w:hAnsi="宋体" w:eastAsia="宋体" w:cs="宋体"/>
                <w:color w:val="auto"/>
                <w:highlight w:val="none"/>
              </w:rPr>
            </w:pPr>
          </w:p>
        </w:tc>
        <w:tc>
          <w:tcPr>
            <w:tcW w:w="2408" w:type="dxa"/>
          </w:tcPr>
          <w:p w14:paraId="0CFB26F4">
            <w:pPr>
              <w:jc w:val="both"/>
              <w:rPr>
                <w:rFonts w:hint="eastAsia" w:ascii="宋体" w:hAnsi="宋体" w:eastAsia="宋体" w:cs="宋体"/>
                <w:color w:val="auto"/>
                <w:highlight w:val="none"/>
              </w:rPr>
            </w:pPr>
          </w:p>
        </w:tc>
        <w:tc>
          <w:tcPr>
            <w:tcW w:w="2130" w:type="dxa"/>
          </w:tcPr>
          <w:p w14:paraId="6B1ABCC4">
            <w:pPr>
              <w:jc w:val="both"/>
              <w:rPr>
                <w:rFonts w:hint="eastAsia" w:ascii="宋体" w:hAnsi="宋体" w:eastAsia="宋体" w:cs="宋体"/>
                <w:color w:val="auto"/>
                <w:highlight w:val="none"/>
              </w:rPr>
            </w:pPr>
          </w:p>
        </w:tc>
      </w:tr>
      <w:tr w14:paraId="29F5A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6639D9AE">
            <w:pPr>
              <w:jc w:val="both"/>
              <w:rPr>
                <w:rFonts w:hint="eastAsia" w:ascii="宋体" w:hAnsi="宋体" w:eastAsia="宋体" w:cs="宋体"/>
                <w:color w:val="auto"/>
                <w:highlight w:val="none"/>
              </w:rPr>
            </w:pPr>
          </w:p>
        </w:tc>
        <w:tc>
          <w:tcPr>
            <w:tcW w:w="3826" w:type="dxa"/>
          </w:tcPr>
          <w:p w14:paraId="502520C9">
            <w:pPr>
              <w:jc w:val="both"/>
              <w:rPr>
                <w:rFonts w:hint="eastAsia" w:ascii="宋体" w:hAnsi="宋体" w:eastAsia="宋体" w:cs="宋体"/>
                <w:color w:val="auto"/>
                <w:highlight w:val="none"/>
              </w:rPr>
            </w:pPr>
          </w:p>
        </w:tc>
        <w:tc>
          <w:tcPr>
            <w:tcW w:w="2408" w:type="dxa"/>
          </w:tcPr>
          <w:p w14:paraId="259A0795">
            <w:pPr>
              <w:jc w:val="both"/>
              <w:rPr>
                <w:rFonts w:hint="eastAsia" w:ascii="宋体" w:hAnsi="宋体" w:eastAsia="宋体" w:cs="宋体"/>
                <w:color w:val="auto"/>
                <w:highlight w:val="none"/>
              </w:rPr>
            </w:pPr>
          </w:p>
        </w:tc>
        <w:tc>
          <w:tcPr>
            <w:tcW w:w="2130" w:type="dxa"/>
          </w:tcPr>
          <w:p w14:paraId="06C285F4">
            <w:pPr>
              <w:jc w:val="both"/>
              <w:rPr>
                <w:rFonts w:hint="eastAsia" w:ascii="宋体" w:hAnsi="宋体" w:eastAsia="宋体" w:cs="宋体"/>
                <w:color w:val="auto"/>
                <w:highlight w:val="none"/>
              </w:rPr>
            </w:pPr>
          </w:p>
        </w:tc>
      </w:tr>
      <w:tr w14:paraId="323F7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81E0A9E">
            <w:pPr>
              <w:jc w:val="both"/>
              <w:rPr>
                <w:rFonts w:hint="eastAsia" w:ascii="宋体" w:hAnsi="宋体" w:eastAsia="宋体" w:cs="宋体"/>
                <w:color w:val="auto"/>
                <w:highlight w:val="none"/>
              </w:rPr>
            </w:pPr>
          </w:p>
        </w:tc>
        <w:tc>
          <w:tcPr>
            <w:tcW w:w="3826" w:type="dxa"/>
          </w:tcPr>
          <w:p w14:paraId="0D480579">
            <w:pPr>
              <w:jc w:val="both"/>
              <w:rPr>
                <w:rFonts w:hint="eastAsia" w:ascii="宋体" w:hAnsi="宋体" w:eastAsia="宋体" w:cs="宋体"/>
                <w:color w:val="auto"/>
                <w:highlight w:val="none"/>
              </w:rPr>
            </w:pPr>
          </w:p>
        </w:tc>
        <w:tc>
          <w:tcPr>
            <w:tcW w:w="2408" w:type="dxa"/>
          </w:tcPr>
          <w:p w14:paraId="28FE4E46">
            <w:pPr>
              <w:jc w:val="both"/>
              <w:rPr>
                <w:rFonts w:hint="eastAsia" w:ascii="宋体" w:hAnsi="宋体" w:eastAsia="宋体" w:cs="宋体"/>
                <w:color w:val="auto"/>
                <w:highlight w:val="none"/>
              </w:rPr>
            </w:pPr>
          </w:p>
        </w:tc>
        <w:tc>
          <w:tcPr>
            <w:tcW w:w="2130" w:type="dxa"/>
          </w:tcPr>
          <w:p w14:paraId="20F82329">
            <w:pPr>
              <w:jc w:val="both"/>
              <w:rPr>
                <w:rFonts w:hint="eastAsia" w:ascii="宋体" w:hAnsi="宋体" w:eastAsia="宋体" w:cs="宋体"/>
                <w:color w:val="auto"/>
                <w:highlight w:val="none"/>
              </w:rPr>
            </w:pPr>
          </w:p>
        </w:tc>
      </w:tr>
      <w:tr w14:paraId="22F97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1F59EF3F">
            <w:pPr>
              <w:jc w:val="both"/>
              <w:rPr>
                <w:rFonts w:hint="eastAsia" w:ascii="宋体" w:hAnsi="宋体" w:eastAsia="宋体" w:cs="宋体"/>
                <w:color w:val="auto"/>
                <w:highlight w:val="none"/>
              </w:rPr>
            </w:pPr>
          </w:p>
        </w:tc>
        <w:tc>
          <w:tcPr>
            <w:tcW w:w="3826" w:type="dxa"/>
          </w:tcPr>
          <w:p w14:paraId="2C6A6650">
            <w:pPr>
              <w:jc w:val="both"/>
              <w:rPr>
                <w:rFonts w:hint="eastAsia" w:ascii="宋体" w:hAnsi="宋体" w:eastAsia="宋体" w:cs="宋体"/>
                <w:color w:val="auto"/>
                <w:highlight w:val="none"/>
              </w:rPr>
            </w:pPr>
          </w:p>
        </w:tc>
        <w:tc>
          <w:tcPr>
            <w:tcW w:w="2408" w:type="dxa"/>
          </w:tcPr>
          <w:p w14:paraId="579BEA52">
            <w:pPr>
              <w:jc w:val="both"/>
              <w:rPr>
                <w:rFonts w:hint="eastAsia" w:ascii="宋体" w:hAnsi="宋体" w:eastAsia="宋体" w:cs="宋体"/>
                <w:color w:val="auto"/>
                <w:highlight w:val="none"/>
              </w:rPr>
            </w:pPr>
          </w:p>
        </w:tc>
        <w:tc>
          <w:tcPr>
            <w:tcW w:w="2130" w:type="dxa"/>
          </w:tcPr>
          <w:p w14:paraId="0578DDEE">
            <w:pPr>
              <w:jc w:val="both"/>
              <w:rPr>
                <w:rFonts w:hint="eastAsia" w:ascii="宋体" w:hAnsi="宋体" w:eastAsia="宋体" w:cs="宋体"/>
                <w:color w:val="auto"/>
                <w:highlight w:val="none"/>
              </w:rPr>
            </w:pPr>
          </w:p>
        </w:tc>
      </w:tr>
      <w:tr w14:paraId="2FAD9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93FDC50">
            <w:pPr>
              <w:jc w:val="both"/>
              <w:rPr>
                <w:rFonts w:hint="eastAsia" w:ascii="宋体" w:hAnsi="宋体" w:eastAsia="宋体" w:cs="宋体"/>
                <w:color w:val="auto"/>
                <w:highlight w:val="none"/>
              </w:rPr>
            </w:pPr>
          </w:p>
        </w:tc>
        <w:tc>
          <w:tcPr>
            <w:tcW w:w="3826" w:type="dxa"/>
          </w:tcPr>
          <w:p w14:paraId="492A3967">
            <w:pPr>
              <w:jc w:val="both"/>
              <w:rPr>
                <w:rFonts w:hint="eastAsia" w:ascii="宋体" w:hAnsi="宋体" w:eastAsia="宋体" w:cs="宋体"/>
                <w:color w:val="auto"/>
                <w:highlight w:val="none"/>
              </w:rPr>
            </w:pPr>
          </w:p>
        </w:tc>
        <w:tc>
          <w:tcPr>
            <w:tcW w:w="2408" w:type="dxa"/>
          </w:tcPr>
          <w:p w14:paraId="3E296597">
            <w:pPr>
              <w:jc w:val="both"/>
              <w:rPr>
                <w:rFonts w:hint="eastAsia" w:ascii="宋体" w:hAnsi="宋体" w:eastAsia="宋体" w:cs="宋体"/>
                <w:color w:val="auto"/>
                <w:highlight w:val="none"/>
              </w:rPr>
            </w:pPr>
          </w:p>
        </w:tc>
        <w:tc>
          <w:tcPr>
            <w:tcW w:w="2130" w:type="dxa"/>
          </w:tcPr>
          <w:p w14:paraId="55EB5673">
            <w:pPr>
              <w:jc w:val="both"/>
              <w:rPr>
                <w:rFonts w:hint="eastAsia" w:ascii="宋体" w:hAnsi="宋体" w:eastAsia="宋体" w:cs="宋体"/>
                <w:color w:val="auto"/>
                <w:highlight w:val="none"/>
              </w:rPr>
            </w:pPr>
          </w:p>
        </w:tc>
      </w:tr>
      <w:tr w14:paraId="3ABC8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4D5665F">
            <w:pPr>
              <w:jc w:val="both"/>
              <w:rPr>
                <w:rFonts w:hint="eastAsia" w:ascii="宋体" w:hAnsi="宋体" w:eastAsia="宋体" w:cs="宋体"/>
                <w:color w:val="auto"/>
                <w:highlight w:val="none"/>
              </w:rPr>
            </w:pPr>
          </w:p>
        </w:tc>
        <w:tc>
          <w:tcPr>
            <w:tcW w:w="3826" w:type="dxa"/>
          </w:tcPr>
          <w:p w14:paraId="50F17395">
            <w:pPr>
              <w:jc w:val="both"/>
              <w:rPr>
                <w:rFonts w:hint="eastAsia" w:ascii="宋体" w:hAnsi="宋体" w:eastAsia="宋体" w:cs="宋体"/>
                <w:color w:val="auto"/>
                <w:highlight w:val="none"/>
              </w:rPr>
            </w:pPr>
          </w:p>
        </w:tc>
        <w:tc>
          <w:tcPr>
            <w:tcW w:w="2408" w:type="dxa"/>
          </w:tcPr>
          <w:p w14:paraId="31D84C46">
            <w:pPr>
              <w:jc w:val="both"/>
              <w:rPr>
                <w:rFonts w:hint="eastAsia" w:ascii="宋体" w:hAnsi="宋体" w:eastAsia="宋体" w:cs="宋体"/>
                <w:color w:val="auto"/>
                <w:highlight w:val="none"/>
              </w:rPr>
            </w:pPr>
          </w:p>
        </w:tc>
        <w:tc>
          <w:tcPr>
            <w:tcW w:w="2130" w:type="dxa"/>
          </w:tcPr>
          <w:p w14:paraId="35D04C6D">
            <w:pPr>
              <w:jc w:val="both"/>
              <w:rPr>
                <w:rFonts w:hint="eastAsia" w:ascii="宋体" w:hAnsi="宋体" w:eastAsia="宋体" w:cs="宋体"/>
                <w:color w:val="auto"/>
                <w:highlight w:val="none"/>
              </w:rPr>
            </w:pPr>
          </w:p>
        </w:tc>
      </w:tr>
      <w:tr w14:paraId="78D53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075F2EC7">
            <w:pPr>
              <w:jc w:val="both"/>
              <w:rPr>
                <w:rFonts w:hint="eastAsia" w:ascii="宋体" w:hAnsi="宋体" w:eastAsia="宋体" w:cs="宋体"/>
                <w:color w:val="auto"/>
                <w:highlight w:val="none"/>
              </w:rPr>
            </w:pPr>
          </w:p>
        </w:tc>
        <w:tc>
          <w:tcPr>
            <w:tcW w:w="3826" w:type="dxa"/>
          </w:tcPr>
          <w:p w14:paraId="0346002A">
            <w:pPr>
              <w:jc w:val="both"/>
              <w:rPr>
                <w:rFonts w:hint="eastAsia" w:ascii="宋体" w:hAnsi="宋体" w:eastAsia="宋体" w:cs="宋体"/>
                <w:color w:val="auto"/>
                <w:highlight w:val="none"/>
              </w:rPr>
            </w:pPr>
          </w:p>
        </w:tc>
        <w:tc>
          <w:tcPr>
            <w:tcW w:w="2408" w:type="dxa"/>
          </w:tcPr>
          <w:p w14:paraId="3FE6045B">
            <w:pPr>
              <w:jc w:val="both"/>
              <w:rPr>
                <w:rFonts w:hint="eastAsia" w:ascii="宋体" w:hAnsi="宋体" w:eastAsia="宋体" w:cs="宋体"/>
                <w:color w:val="auto"/>
                <w:highlight w:val="none"/>
              </w:rPr>
            </w:pPr>
          </w:p>
        </w:tc>
        <w:tc>
          <w:tcPr>
            <w:tcW w:w="2130" w:type="dxa"/>
          </w:tcPr>
          <w:p w14:paraId="3DA7BF39">
            <w:pPr>
              <w:jc w:val="both"/>
              <w:rPr>
                <w:rFonts w:hint="eastAsia" w:ascii="宋体" w:hAnsi="宋体" w:eastAsia="宋体" w:cs="宋体"/>
                <w:color w:val="auto"/>
                <w:highlight w:val="none"/>
              </w:rPr>
            </w:pPr>
          </w:p>
        </w:tc>
      </w:tr>
      <w:tr w14:paraId="60CAB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39D280C9">
            <w:pPr>
              <w:jc w:val="both"/>
              <w:rPr>
                <w:rFonts w:hint="eastAsia" w:ascii="宋体" w:hAnsi="宋体" w:eastAsia="宋体" w:cs="宋体"/>
                <w:color w:val="auto"/>
                <w:highlight w:val="none"/>
              </w:rPr>
            </w:pPr>
          </w:p>
        </w:tc>
        <w:tc>
          <w:tcPr>
            <w:tcW w:w="3826" w:type="dxa"/>
          </w:tcPr>
          <w:p w14:paraId="1BADB7FE">
            <w:pPr>
              <w:jc w:val="both"/>
              <w:rPr>
                <w:rFonts w:hint="eastAsia" w:ascii="宋体" w:hAnsi="宋体" w:eastAsia="宋体" w:cs="宋体"/>
                <w:color w:val="auto"/>
                <w:highlight w:val="none"/>
              </w:rPr>
            </w:pPr>
          </w:p>
        </w:tc>
        <w:tc>
          <w:tcPr>
            <w:tcW w:w="2408" w:type="dxa"/>
          </w:tcPr>
          <w:p w14:paraId="17E2F69B">
            <w:pPr>
              <w:jc w:val="both"/>
              <w:rPr>
                <w:rFonts w:hint="eastAsia" w:ascii="宋体" w:hAnsi="宋体" w:eastAsia="宋体" w:cs="宋体"/>
                <w:color w:val="auto"/>
                <w:highlight w:val="none"/>
              </w:rPr>
            </w:pPr>
          </w:p>
        </w:tc>
        <w:tc>
          <w:tcPr>
            <w:tcW w:w="2130" w:type="dxa"/>
          </w:tcPr>
          <w:p w14:paraId="792FC33B">
            <w:pPr>
              <w:jc w:val="both"/>
              <w:rPr>
                <w:rFonts w:hint="eastAsia" w:ascii="宋体" w:hAnsi="宋体" w:eastAsia="宋体" w:cs="宋体"/>
                <w:color w:val="auto"/>
                <w:highlight w:val="none"/>
              </w:rPr>
            </w:pPr>
          </w:p>
        </w:tc>
      </w:tr>
      <w:tr w14:paraId="04751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7DDD8A7">
            <w:pPr>
              <w:jc w:val="both"/>
              <w:rPr>
                <w:rFonts w:hint="eastAsia" w:ascii="宋体" w:hAnsi="宋体" w:eastAsia="宋体" w:cs="宋体"/>
                <w:color w:val="auto"/>
                <w:highlight w:val="none"/>
              </w:rPr>
            </w:pPr>
          </w:p>
        </w:tc>
        <w:tc>
          <w:tcPr>
            <w:tcW w:w="3826" w:type="dxa"/>
          </w:tcPr>
          <w:p w14:paraId="7101B6D9">
            <w:pPr>
              <w:jc w:val="both"/>
              <w:rPr>
                <w:rFonts w:hint="eastAsia" w:ascii="宋体" w:hAnsi="宋体" w:eastAsia="宋体" w:cs="宋体"/>
                <w:color w:val="auto"/>
                <w:highlight w:val="none"/>
              </w:rPr>
            </w:pPr>
          </w:p>
        </w:tc>
        <w:tc>
          <w:tcPr>
            <w:tcW w:w="2408" w:type="dxa"/>
          </w:tcPr>
          <w:p w14:paraId="14FB41FB">
            <w:pPr>
              <w:jc w:val="both"/>
              <w:rPr>
                <w:rFonts w:hint="eastAsia" w:ascii="宋体" w:hAnsi="宋体" w:eastAsia="宋体" w:cs="宋体"/>
                <w:color w:val="auto"/>
                <w:highlight w:val="none"/>
              </w:rPr>
            </w:pPr>
          </w:p>
        </w:tc>
        <w:tc>
          <w:tcPr>
            <w:tcW w:w="2130" w:type="dxa"/>
          </w:tcPr>
          <w:p w14:paraId="3BBA425A">
            <w:pPr>
              <w:jc w:val="both"/>
              <w:rPr>
                <w:rFonts w:hint="eastAsia" w:ascii="宋体" w:hAnsi="宋体" w:eastAsia="宋体" w:cs="宋体"/>
                <w:color w:val="auto"/>
                <w:highlight w:val="none"/>
              </w:rPr>
            </w:pPr>
          </w:p>
        </w:tc>
      </w:tr>
      <w:tr w14:paraId="20BD9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28BBB59">
            <w:pPr>
              <w:jc w:val="both"/>
              <w:rPr>
                <w:rFonts w:hint="eastAsia" w:ascii="宋体" w:hAnsi="宋体" w:eastAsia="宋体" w:cs="宋体"/>
                <w:color w:val="auto"/>
                <w:highlight w:val="none"/>
              </w:rPr>
            </w:pPr>
          </w:p>
        </w:tc>
        <w:tc>
          <w:tcPr>
            <w:tcW w:w="3826" w:type="dxa"/>
          </w:tcPr>
          <w:p w14:paraId="477044B1">
            <w:pPr>
              <w:jc w:val="both"/>
              <w:rPr>
                <w:rFonts w:hint="eastAsia" w:ascii="宋体" w:hAnsi="宋体" w:eastAsia="宋体" w:cs="宋体"/>
                <w:color w:val="auto"/>
                <w:highlight w:val="none"/>
              </w:rPr>
            </w:pPr>
          </w:p>
        </w:tc>
        <w:tc>
          <w:tcPr>
            <w:tcW w:w="2408" w:type="dxa"/>
          </w:tcPr>
          <w:p w14:paraId="242F17EB">
            <w:pPr>
              <w:jc w:val="both"/>
              <w:rPr>
                <w:rFonts w:hint="eastAsia" w:ascii="宋体" w:hAnsi="宋体" w:eastAsia="宋体" w:cs="宋体"/>
                <w:color w:val="auto"/>
                <w:highlight w:val="none"/>
              </w:rPr>
            </w:pPr>
          </w:p>
        </w:tc>
        <w:tc>
          <w:tcPr>
            <w:tcW w:w="2130" w:type="dxa"/>
          </w:tcPr>
          <w:p w14:paraId="42CCD9F2">
            <w:pPr>
              <w:jc w:val="both"/>
              <w:rPr>
                <w:rFonts w:hint="eastAsia" w:ascii="宋体" w:hAnsi="宋体" w:eastAsia="宋体" w:cs="宋体"/>
                <w:color w:val="auto"/>
                <w:highlight w:val="none"/>
              </w:rPr>
            </w:pPr>
          </w:p>
        </w:tc>
      </w:tr>
      <w:tr w14:paraId="724FE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59F2D9F4">
            <w:pPr>
              <w:jc w:val="both"/>
              <w:rPr>
                <w:rFonts w:hint="eastAsia" w:ascii="宋体" w:hAnsi="宋体" w:eastAsia="宋体" w:cs="宋体"/>
                <w:color w:val="auto"/>
                <w:highlight w:val="none"/>
              </w:rPr>
            </w:pPr>
          </w:p>
        </w:tc>
        <w:tc>
          <w:tcPr>
            <w:tcW w:w="3826" w:type="dxa"/>
          </w:tcPr>
          <w:p w14:paraId="60AC6C4D">
            <w:pPr>
              <w:jc w:val="both"/>
              <w:rPr>
                <w:rFonts w:hint="eastAsia" w:ascii="宋体" w:hAnsi="宋体" w:eastAsia="宋体" w:cs="宋体"/>
                <w:color w:val="auto"/>
                <w:highlight w:val="none"/>
              </w:rPr>
            </w:pPr>
          </w:p>
        </w:tc>
        <w:tc>
          <w:tcPr>
            <w:tcW w:w="2408" w:type="dxa"/>
          </w:tcPr>
          <w:p w14:paraId="335A6CD7">
            <w:pPr>
              <w:jc w:val="both"/>
              <w:rPr>
                <w:rFonts w:hint="eastAsia" w:ascii="宋体" w:hAnsi="宋体" w:eastAsia="宋体" w:cs="宋体"/>
                <w:color w:val="auto"/>
                <w:highlight w:val="none"/>
              </w:rPr>
            </w:pPr>
          </w:p>
        </w:tc>
        <w:tc>
          <w:tcPr>
            <w:tcW w:w="2130" w:type="dxa"/>
          </w:tcPr>
          <w:p w14:paraId="19567AEC">
            <w:pPr>
              <w:jc w:val="both"/>
              <w:rPr>
                <w:rFonts w:hint="eastAsia" w:ascii="宋体" w:hAnsi="宋体" w:eastAsia="宋体" w:cs="宋体"/>
                <w:color w:val="auto"/>
                <w:highlight w:val="none"/>
              </w:rPr>
            </w:pPr>
          </w:p>
        </w:tc>
      </w:tr>
    </w:tbl>
    <w:p w14:paraId="510CC751">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488F7842">
      <w:pPr>
        <w:spacing w:line="281" w:lineRule="auto"/>
        <w:jc w:val="both"/>
        <w:rPr>
          <w:rFonts w:hint="eastAsia" w:ascii="宋体" w:hAnsi="宋体" w:eastAsia="宋体" w:cs="宋体"/>
          <w:color w:val="auto"/>
          <w:highlight w:val="none"/>
        </w:rPr>
      </w:pPr>
    </w:p>
    <w:p w14:paraId="65818EB1">
      <w:pPr>
        <w:spacing w:line="282" w:lineRule="auto"/>
        <w:jc w:val="both"/>
        <w:rPr>
          <w:rFonts w:hint="eastAsia" w:ascii="宋体" w:hAnsi="宋体" w:eastAsia="宋体" w:cs="宋体"/>
          <w:color w:val="auto"/>
          <w:highlight w:val="none"/>
        </w:rPr>
      </w:pPr>
    </w:p>
    <w:p w14:paraId="24D5AE7B">
      <w:pPr>
        <w:spacing w:line="282" w:lineRule="auto"/>
        <w:jc w:val="both"/>
        <w:rPr>
          <w:rFonts w:hint="eastAsia" w:ascii="宋体" w:hAnsi="宋体" w:eastAsia="宋体" w:cs="宋体"/>
          <w:color w:val="auto"/>
          <w:highlight w:val="none"/>
        </w:rPr>
      </w:pPr>
    </w:p>
    <w:p w14:paraId="4EE8D596">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61A196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667D021">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1D5496CA">
      <w:pPr>
        <w:spacing w:line="328" w:lineRule="auto"/>
        <w:jc w:val="both"/>
        <w:rPr>
          <w:rFonts w:hint="eastAsia" w:ascii="宋体" w:hAnsi="宋体" w:eastAsia="宋体" w:cs="宋体"/>
          <w:color w:val="auto"/>
          <w:highlight w:val="none"/>
        </w:rPr>
      </w:pPr>
    </w:p>
    <w:p w14:paraId="0FD53511">
      <w:pPr>
        <w:spacing w:line="328" w:lineRule="auto"/>
        <w:jc w:val="both"/>
        <w:rPr>
          <w:rFonts w:hint="eastAsia" w:ascii="宋体" w:hAnsi="宋体" w:eastAsia="宋体" w:cs="宋体"/>
          <w:color w:val="auto"/>
          <w:highlight w:val="none"/>
        </w:rPr>
      </w:pPr>
    </w:p>
    <w:p w14:paraId="5010EDC5">
      <w:pPr>
        <w:spacing w:before="91" w:line="221" w:lineRule="auto"/>
        <w:ind w:left="578"/>
        <w:jc w:val="both"/>
        <w:outlineLvl w:val="1"/>
        <w:rPr>
          <w:rFonts w:hint="eastAsia" w:ascii="宋体" w:hAnsi="宋体" w:eastAsia="宋体" w:cs="宋体"/>
          <w:color w:val="auto"/>
          <w:sz w:val="28"/>
          <w:szCs w:val="28"/>
          <w:highlight w:val="none"/>
        </w:rPr>
      </w:pPr>
      <w:bookmarkStart w:id="69" w:name="_bookmark20"/>
      <w:bookmarkEnd w:id="69"/>
      <w:r>
        <w:rPr>
          <w:rFonts w:hint="eastAsia" w:ascii="宋体" w:hAnsi="宋体" w:eastAsia="宋体" w:cs="宋体"/>
          <w:color w:val="auto"/>
          <w:sz w:val="28"/>
          <w:szCs w:val="28"/>
          <w:highlight w:val="none"/>
        </w:rPr>
        <w:t>格式六：打分资料一览表</w:t>
      </w:r>
    </w:p>
    <w:p w14:paraId="09B00CC5">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1BBF6FE9">
      <w:pPr>
        <w:jc w:val="both"/>
        <w:rPr>
          <w:rFonts w:hint="eastAsia" w:ascii="宋体" w:hAnsi="宋体" w:eastAsia="宋体" w:cs="宋体"/>
          <w:color w:val="auto"/>
          <w:highlight w:val="none"/>
        </w:rPr>
      </w:pPr>
    </w:p>
    <w:p w14:paraId="05DC9243">
      <w:pPr>
        <w:spacing w:line="210" w:lineRule="exact"/>
        <w:jc w:val="both"/>
        <w:rPr>
          <w:rFonts w:hint="eastAsia" w:ascii="宋体" w:hAnsi="宋体" w:eastAsia="宋体" w:cs="宋体"/>
          <w:color w:val="auto"/>
          <w:highlight w:val="none"/>
        </w:rPr>
      </w:pPr>
    </w:p>
    <w:tbl>
      <w:tblPr>
        <w:tblStyle w:val="49"/>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3CE53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58B9A3C0">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tcPr>
          <w:p w14:paraId="165C7C38">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tcPr>
          <w:p w14:paraId="1437F66C">
            <w:pPr>
              <w:spacing w:before="231"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在投标文件第x页</w:t>
            </w:r>
          </w:p>
        </w:tc>
        <w:tc>
          <w:tcPr>
            <w:tcW w:w="1705" w:type="dxa"/>
          </w:tcPr>
          <w:p w14:paraId="2595B5E9">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0AA84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7C0DEA97">
            <w:pPr>
              <w:jc w:val="both"/>
              <w:rPr>
                <w:rFonts w:hint="eastAsia" w:ascii="宋体" w:hAnsi="宋体" w:eastAsia="宋体" w:cs="宋体"/>
                <w:color w:val="auto"/>
                <w:highlight w:val="none"/>
              </w:rPr>
            </w:pPr>
          </w:p>
        </w:tc>
        <w:tc>
          <w:tcPr>
            <w:tcW w:w="4675" w:type="dxa"/>
          </w:tcPr>
          <w:p w14:paraId="7EE16772">
            <w:pPr>
              <w:jc w:val="both"/>
              <w:rPr>
                <w:rFonts w:hint="eastAsia" w:ascii="宋体" w:hAnsi="宋体" w:eastAsia="宋体" w:cs="宋体"/>
                <w:color w:val="auto"/>
                <w:highlight w:val="none"/>
              </w:rPr>
            </w:pPr>
          </w:p>
        </w:tc>
        <w:tc>
          <w:tcPr>
            <w:tcW w:w="1700" w:type="dxa"/>
          </w:tcPr>
          <w:p w14:paraId="39BECD28">
            <w:pPr>
              <w:jc w:val="both"/>
              <w:rPr>
                <w:rFonts w:hint="eastAsia" w:ascii="宋体" w:hAnsi="宋体" w:eastAsia="宋体" w:cs="宋体"/>
                <w:color w:val="auto"/>
                <w:highlight w:val="none"/>
              </w:rPr>
            </w:pPr>
          </w:p>
        </w:tc>
        <w:tc>
          <w:tcPr>
            <w:tcW w:w="1705" w:type="dxa"/>
          </w:tcPr>
          <w:p w14:paraId="72BAC2B3">
            <w:pPr>
              <w:jc w:val="both"/>
              <w:rPr>
                <w:rFonts w:hint="eastAsia" w:ascii="宋体" w:hAnsi="宋体" w:eastAsia="宋体" w:cs="宋体"/>
                <w:color w:val="auto"/>
                <w:highlight w:val="none"/>
              </w:rPr>
            </w:pPr>
          </w:p>
        </w:tc>
      </w:tr>
      <w:tr w14:paraId="7C2B1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4954D4A3">
            <w:pPr>
              <w:jc w:val="both"/>
              <w:rPr>
                <w:rFonts w:hint="eastAsia" w:ascii="宋体" w:hAnsi="宋体" w:eastAsia="宋体" w:cs="宋体"/>
                <w:color w:val="auto"/>
                <w:highlight w:val="none"/>
              </w:rPr>
            </w:pPr>
          </w:p>
        </w:tc>
        <w:tc>
          <w:tcPr>
            <w:tcW w:w="4675" w:type="dxa"/>
          </w:tcPr>
          <w:p w14:paraId="58654F1F">
            <w:pPr>
              <w:jc w:val="both"/>
              <w:rPr>
                <w:rFonts w:hint="eastAsia" w:ascii="宋体" w:hAnsi="宋体" w:eastAsia="宋体" w:cs="宋体"/>
                <w:color w:val="auto"/>
                <w:highlight w:val="none"/>
              </w:rPr>
            </w:pPr>
          </w:p>
        </w:tc>
        <w:tc>
          <w:tcPr>
            <w:tcW w:w="1700" w:type="dxa"/>
          </w:tcPr>
          <w:p w14:paraId="12A91800">
            <w:pPr>
              <w:jc w:val="both"/>
              <w:rPr>
                <w:rFonts w:hint="eastAsia" w:ascii="宋体" w:hAnsi="宋体" w:eastAsia="宋体" w:cs="宋体"/>
                <w:color w:val="auto"/>
                <w:highlight w:val="none"/>
              </w:rPr>
            </w:pPr>
          </w:p>
        </w:tc>
        <w:tc>
          <w:tcPr>
            <w:tcW w:w="1705" w:type="dxa"/>
          </w:tcPr>
          <w:p w14:paraId="3BABB609">
            <w:pPr>
              <w:jc w:val="both"/>
              <w:rPr>
                <w:rFonts w:hint="eastAsia" w:ascii="宋体" w:hAnsi="宋体" w:eastAsia="宋体" w:cs="宋体"/>
                <w:color w:val="auto"/>
                <w:highlight w:val="none"/>
              </w:rPr>
            </w:pPr>
          </w:p>
        </w:tc>
      </w:tr>
      <w:tr w14:paraId="34809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2EB9B11F">
            <w:pPr>
              <w:jc w:val="both"/>
              <w:rPr>
                <w:rFonts w:hint="eastAsia" w:ascii="宋体" w:hAnsi="宋体" w:eastAsia="宋体" w:cs="宋体"/>
                <w:color w:val="auto"/>
                <w:highlight w:val="none"/>
              </w:rPr>
            </w:pPr>
          </w:p>
        </w:tc>
        <w:tc>
          <w:tcPr>
            <w:tcW w:w="4675" w:type="dxa"/>
          </w:tcPr>
          <w:p w14:paraId="3B22AECE">
            <w:pPr>
              <w:jc w:val="both"/>
              <w:rPr>
                <w:rFonts w:hint="eastAsia" w:ascii="宋体" w:hAnsi="宋体" w:eastAsia="宋体" w:cs="宋体"/>
                <w:color w:val="auto"/>
                <w:highlight w:val="none"/>
              </w:rPr>
            </w:pPr>
          </w:p>
        </w:tc>
        <w:tc>
          <w:tcPr>
            <w:tcW w:w="1700" w:type="dxa"/>
          </w:tcPr>
          <w:p w14:paraId="4143867E">
            <w:pPr>
              <w:jc w:val="both"/>
              <w:rPr>
                <w:rFonts w:hint="eastAsia" w:ascii="宋体" w:hAnsi="宋体" w:eastAsia="宋体" w:cs="宋体"/>
                <w:color w:val="auto"/>
                <w:highlight w:val="none"/>
              </w:rPr>
            </w:pPr>
          </w:p>
        </w:tc>
        <w:tc>
          <w:tcPr>
            <w:tcW w:w="1705" w:type="dxa"/>
          </w:tcPr>
          <w:p w14:paraId="5C5AB085">
            <w:pPr>
              <w:jc w:val="both"/>
              <w:rPr>
                <w:rFonts w:hint="eastAsia" w:ascii="宋体" w:hAnsi="宋体" w:eastAsia="宋体" w:cs="宋体"/>
                <w:color w:val="auto"/>
                <w:highlight w:val="none"/>
              </w:rPr>
            </w:pPr>
          </w:p>
        </w:tc>
      </w:tr>
      <w:tr w14:paraId="7EF8C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301A0BCD">
            <w:pPr>
              <w:jc w:val="both"/>
              <w:rPr>
                <w:rFonts w:hint="eastAsia" w:ascii="宋体" w:hAnsi="宋体" w:eastAsia="宋体" w:cs="宋体"/>
                <w:color w:val="auto"/>
                <w:highlight w:val="none"/>
              </w:rPr>
            </w:pPr>
          </w:p>
        </w:tc>
        <w:tc>
          <w:tcPr>
            <w:tcW w:w="4675" w:type="dxa"/>
          </w:tcPr>
          <w:p w14:paraId="53F81D7E">
            <w:pPr>
              <w:jc w:val="both"/>
              <w:rPr>
                <w:rFonts w:hint="eastAsia" w:ascii="宋体" w:hAnsi="宋体" w:eastAsia="宋体" w:cs="宋体"/>
                <w:color w:val="auto"/>
                <w:highlight w:val="none"/>
              </w:rPr>
            </w:pPr>
          </w:p>
        </w:tc>
        <w:tc>
          <w:tcPr>
            <w:tcW w:w="1700" w:type="dxa"/>
          </w:tcPr>
          <w:p w14:paraId="4A244EDE">
            <w:pPr>
              <w:jc w:val="both"/>
              <w:rPr>
                <w:rFonts w:hint="eastAsia" w:ascii="宋体" w:hAnsi="宋体" w:eastAsia="宋体" w:cs="宋体"/>
                <w:color w:val="auto"/>
                <w:highlight w:val="none"/>
              </w:rPr>
            </w:pPr>
          </w:p>
        </w:tc>
        <w:tc>
          <w:tcPr>
            <w:tcW w:w="1705" w:type="dxa"/>
          </w:tcPr>
          <w:p w14:paraId="6875BF93">
            <w:pPr>
              <w:jc w:val="both"/>
              <w:rPr>
                <w:rFonts w:hint="eastAsia" w:ascii="宋体" w:hAnsi="宋体" w:eastAsia="宋体" w:cs="宋体"/>
                <w:color w:val="auto"/>
                <w:highlight w:val="none"/>
              </w:rPr>
            </w:pPr>
          </w:p>
        </w:tc>
      </w:tr>
      <w:tr w14:paraId="5F3C3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5519EB7F">
            <w:pPr>
              <w:jc w:val="both"/>
              <w:rPr>
                <w:rFonts w:hint="eastAsia" w:ascii="宋体" w:hAnsi="宋体" w:eastAsia="宋体" w:cs="宋体"/>
                <w:color w:val="auto"/>
                <w:highlight w:val="none"/>
              </w:rPr>
            </w:pPr>
          </w:p>
        </w:tc>
        <w:tc>
          <w:tcPr>
            <w:tcW w:w="4675" w:type="dxa"/>
          </w:tcPr>
          <w:p w14:paraId="0768C3AD">
            <w:pPr>
              <w:jc w:val="both"/>
              <w:rPr>
                <w:rFonts w:hint="eastAsia" w:ascii="宋体" w:hAnsi="宋体" w:eastAsia="宋体" w:cs="宋体"/>
                <w:color w:val="auto"/>
                <w:highlight w:val="none"/>
              </w:rPr>
            </w:pPr>
          </w:p>
        </w:tc>
        <w:tc>
          <w:tcPr>
            <w:tcW w:w="1700" w:type="dxa"/>
          </w:tcPr>
          <w:p w14:paraId="648FF96A">
            <w:pPr>
              <w:jc w:val="both"/>
              <w:rPr>
                <w:rFonts w:hint="eastAsia" w:ascii="宋体" w:hAnsi="宋体" w:eastAsia="宋体" w:cs="宋体"/>
                <w:color w:val="auto"/>
                <w:highlight w:val="none"/>
              </w:rPr>
            </w:pPr>
          </w:p>
        </w:tc>
        <w:tc>
          <w:tcPr>
            <w:tcW w:w="1705" w:type="dxa"/>
          </w:tcPr>
          <w:p w14:paraId="55C5C027">
            <w:pPr>
              <w:jc w:val="both"/>
              <w:rPr>
                <w:rFonts w:hint="eastAsia" w:ascii="宋体" w:hAnsi="宋体" w:eastAsia="宋体" w:cs="宋体"/>
                <w:color w:val="auto"/>
                <w:highlight w:val="none"/>
              </w:rPr>
            </w:pPr>
          </w:p>
        </w:tc>
      </w:tr>
      <w:tr w14:paraId="2B014A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6006C241">
            <w:pPr>
              <w:jc w:val="both"/>
              <w:rPr>
                <w:rFonts w:hint="eastAsia" w:ascii="宋体" w:hAnsi="宋体" w:eastAsia="宋体" w:cs="宋体"/>
                <w:color w:val="auto"/>
                <w:highlight w:val="none"/>
              </w:rPr>
            </w:pPr>
          </w:p>
        </w:tc>
        <w:tc>
          <w:tcPr>
            <w:tcW w:w="4675" w:type="dxa"/>
          </w:tcPr>
          <w:p w14:paraId="2858BED6">
            <w:pPr>
              <w:jc w:val="both"/>
              <w:rPr>
                <w:rFonts w:hint="eastAsia" w:ascii="宋体" w:hAnsi="宋体" w:eastAsia="宋体" w:cs="宋体"/>
                <w:color w:val="auto"/>
                <w:highlight w:val="none"/>
              </w:rPr>
            </w:pPr>
          </w:p>
        </w:tc>
        <w:tc>
          <w:tcPr>
            <w:tcW w:w="1700" w:type="dxa"/>
          </w:tcPr>
          <w:p w14:paraId="52701E54">
            <w:pPr>
              <w:jc w:val="both"/>
              <w:rPr>
                <w:rFonts w:hint="eastAsia" w:ascii="宋体" w:hAnsi="宋体" w:eastAsia="宋体" w:cs="宋体"/>
                <w:color w:val="auto"/>
                <w:highlight w:val="none"/>
              </w:rPr>
            </w:pPr>
          </w:p>
        </w:tc>
        <w:tc>
          <w:tcPr>
            <w:tcW w:w="1705" w:type="dxa"/>
          </w:tcPr>
          <w:p w14:paraId="07EACAAC">
            <w:pPr>
              <w:jc w:val="both"/>
              <w:rPr>
                <w:rFonts w:hint="eastAsia" w:ascii="宋体" w:hAnsi="宋体" w:eastAsia="宋体" w:cs="宋体"/>
                <w:color w:val="auto"/>
                <w:highlight w:val="none"/>
              </w:rPr>
            </w:pPr>
          </w:p>
        </w:tc>
      </w:tr>
      <w:tr w14:paraId="41AA2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2232647D">
            <w:pPr>
              <w:jc w:val="both"/>
              <w:rPr>
                <w:rFonts w:hint="eastAsia" w:ascii="宋体" w:hAnsi="宋体" w:eastAsia="宋体" w:cs="宋体"/>
                <w:color w:val="auto"/>
                <w:highlight w:val="none"/>
              </w:rPr>
            </w:pPr>
          </w:p>
        </w:tc>
        <w:tc>
          <w:tcPr>
            <w:tcW w:w="4675" w:type="dxa"/>
          </w:tcPr>
          <w:p w14:paraId="1ACE95F5">
            <w:pPr>
              <w:jc w:val="both"/>
              <w:rPr>
                <w:rFonts w:hint="eastAsia" w:ascii="宋体" w:hAnsi="宋体" w:eastAsia="宋体" w:cs="宋体"/>
                <w:color w:val="auto"/>
                <w:highlight w:val="none"/>
              </w:rPr>
            </w:pPr>
          </w:p>
        </w:tc>
        <w:tc>
          <w:tcPr>
            <w:tcW w:w="1700" w:type="dxa"/>
          </w:tcPr>
          <w:p w14:paraId="05A9418B">
            <w:pPr>
              <w:jc w:val="both"/>
              <w:rPr>
                <w:rFonts w:hint="eastAsia" w:ascii="宋体" w:hAnsi="宋体" w:eastAsia="宋体" w:cs="宋体"/>
                <w:color w:val="auto"/>
                <w:highlight w:val="none"/>
              </w:rPr>
            </w:pPr>
          </w:p>
        </w:tc>
        <w:tc>
          <w:tcPr>
            <w:tcW w:w="1705" w:type="dxa"/>
          </w:tcPr>
          <w:p w14:paraId="4165EA3D">
            <w:pPr>
              <w:jc w:val="both"/>
              <w:rPr>
                <w:rFonts w:hint="eastAsia" w:ascii="宋体" w:hAnsi="宋体" w:eastAsia="宋体" w:cs="宋体"/>
                <w:color w:val="auto"/>
                <w:highlight w:val="none"/>
              </w:rPr>
            </w:pPr>
          </w:p>
        </w:tc>
      </w:tr>
    </w:tbl>
    <w:p w14:paraId="6B54B4FF">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14:paraId="3A03F158">
      <w:pPr>
        <w:spacing w:line="255" w:lineRule="auto"/>
        <w:jc w:val="both"/>
        <w:rPr>
          <w:rFonts w:hint="eastAsia" w:ascii="宋体" w:hAnsi="宋体" w:eastAsia="宋体" w:cs="宋体"/>
          <w:color w:val="auto"/>
          <w:highlight w:val="none"/>
        </w:rPr>
      </w:pPr>
    </w:p>
    <w:p w14:paraId="6A0940DD">
      <w:pPr>
        <w:spacing w:line="255" w:lineRule="auto"/>
        <w:jc w:val="both"/>
        <w:rPr>
          <w:rFonts w:hint="eastAsia" w:ascii="宋体" w:hAnsi="宋体" w:eastAsia="宋体" w:cs="宋体"/>
          <w:color w:val="auto"/>
          <w:highlight w:val="none"/>
        </w:rPr>
      </w:pPr>
    </w:p>
    <w:p w14:paraId="54CECE87">
      <w:pPr>
        <w:spacing w:line="255" w:lineRule="auto"/>
        <w:jc w:val="both"/>
        <w:rPr>
          <w:rFonts w:hint="eastAsia" w:ascii="宋体" w:hAnsi="宋体" w:eastAsia="宋体" w:cs="宋体"/>
          <w:color w:val="auto"/>
          <w:highlight w:val="none"/>
        </w:rPr>
      </w:pPr>
    </w:p>
    <w:p w14:paraId="5D15B328">
      <w:pPr>
        <w:spacing w:line="255" w:lineRule="auto"/>
        <w:jc w:val="both"/>
        <w:rPr>
          <w:rFonts w:hint="eastAsia" w:ascii="宋体" w:hAnsi="宋体" w:eastAsia="宋体" w:cs="宋体"/>
          <w:color w:val="auto"/>
          <w:highlight w:val="none"/>
        </w:rPr>
      </w:pPr>
    </w:p>
    <w:p w14:paraId="735D44D8">
      <w:pPr>
        <w:spacing w:line="256" w:lineRule="auto"/>
        <w:jc w:val="both"/>
        <w:rPr>
          <w:rFonts w:hint="eastAsia" w:ascii="宋体" w:hAnsi="宋体" w:eastAsia="宋体" w:cs="宋体"/>
          <w:color w:val="auto"/>
          <w:highlight w:val="none"/>
        </w:rPr>
      </w:pPr>
    </w:p>
    <w:p w14:paraId="384D89A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8B0E15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DB06A1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2D301E0">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20E59CC">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95929A8">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BEFEF9A">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924572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F613E5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4012770">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14:paraId="61F1B45D">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363C8742">
      <w:pPr>
        <w:spacing w:line="360" w:lineRule="auto"/>
        <w:ind w:firstLine="316" w:firstLineChars="150"/>
        <w:jc w:val="center"/>
        <w:rPr>
          <w:rFonts w:hint="eastAsia" w:ascii="宋体" w:hAnsi="宋体" w:eastAsia="宋体" w:cs="宋体"/>
          <w:b/>
          <w:bCs/>
          <w:color w:val="auto"/>
          <w:highlight w:val="none"/>
        </w:rPr>
      </w:pPr>
    </w:p>
    <w:tbl>
      <w:tblPr>
        <w:tblStyle w:val="31"/>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29CD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3AEF22B">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57BEF7BD">
            <w:pPr>
              <w:rPr>
                <w:rFonts w:hint="eastAsia" w:ascii="宋体" w:hAnsi="宋体" w:eastAsia="宋体" w:cs="宋体"/>
                <w:color w:val="auto"/>
                <w:highlight w:val="none"/>
              </w:rPr>
            </w:pPr>
          </w:p>
        </w:tc>
      </w:tr>
      <w:tr w14:paraId="21FD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1DE137D">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4B9FE1A3">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0B42DEF9">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65700EEF">
            <w:pPr>
              <w:rPr>
                <w:rFonts w:hint="eastAsia" w:ascii="宋体" w:hAnsi="宋体" w:eastAsia="宋体" w:cs="宋体"/>
                <w:color w:val="auto"/>
                <w:highlight w:val="none"/>
              </w:rPr>
            </w:pPr>
          </w:p>
        </w:tc>
      </w:tr>
      <w:tr w14:paraId="6A3B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46379939">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6C1C2D06">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71D3CD7B">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0C7B95AE">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4169B3D8">
            <w:pPr>
              <w:rPr>
                <w:rFonts w:hint="eastAsia" w:ascii="宋体" w:hAnsi="宋体" w:eastAsia="宋体" w:cs="宋体"/>
                <w:color w:val="auto"/>
                <w:highlight w:val="none"/>
              </w:rPr>
            </w:pPr>
          </w:p>
        </w:tc>
      </w:tr>
      <w:tr w14:paraId="61F9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14:paraId="1891F9D8">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77DE6162">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008CAB01">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2588D10F">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004EA059">
            <w:pPr>
              <w:rPr>
                <w:rFonts w:hint="eastAsia" w:ascii="宋体" w:hAnsi="宋体" w:eastAsia="宋体" w:cs="宋体"/>
                <w:color w:val="auto"/>
                <w:highlight w:val="none"/>
              </w:rPr>
            </w:pPr>
          </w:p>
        </w:tc>
      </w:tr>
      <w:tr w14:paraId="4330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1840B48">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3BED5A8D">
            <w:pPr>
              <w:rPr>
                <w:rFonts w:hint="eastAsia" w:ascii="宋体" w:hAnsi="宋体" w:eastAsia="宋体" w:cs="宋体"/>
                <w:color w:val="auto"/>
                <w:highlight w:val="none"/>
              </w:rPr>
            </w:pPr>
          </w:p>
        </w:tc>
      </w:tr>
      <w:tr w14:paraId="3678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77BCAC0">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3A1FB3F6">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5DE4CD6">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4AC2F191">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3D572B89">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301C56C8">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26391DF1">
            <w:pPr>
              <w:rPr>
                <w:rFonts w:hint="eastAsia" w:ascii="宋体" w:hAnsi="宋体" w:eastAsia="宋体" w:cs="宋体"/>
                <w:color w:val="auto"/>
                <w:highlight w:val="none"/>
              </w:rPr>
            </w:pPr>
          </w:p>
        </w:tc>
      </w:tr>
      <w:tr w14:paraId="6ED9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352D136">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2DB0ACB5">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7E2929DC">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1ABA94F3">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2A38B835">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6F1CB075">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E5A59BC">
            <w:pPr>
              <w:rPr>
                <w:rFonts w:hint="eastAsia" w:ascii="宋体" w:hAnsi="宋体" w:eastAsia="宋体" w:cs="宋体"/>
                <w:color w:val="auto"/>
                <w:highlight w:val="none"/>
              </w:rPr>
            </w:pPr>
          </w:p>
        </w:tc>
      </w:tr>
      <w:tr w14:paraId="2855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DB3FCB1">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2885A9F4">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5CA1A3F8">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74844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6700F74">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6C855E89">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041F17A8">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2EB5E503">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6D173D36">
            <w:pPr>
              <w:rPr>
                <w:rFonts w:hint="eastAsia" w:ascii="宋体" w:hAnsi="宋体" w:eastAsia="宋体" w:cs="宋体"/>
                <w:color w:val="auto"/>
                <w:highlight w:val="none"/>
              </w:rPr>
            </w:pPr>
          </w:p>
        </w:tc>
      </w:tr>
      <w:tr w14:paraId="33E6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FD41603">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5B1ECDAE">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121074D8">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0BAC07D3">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BB3E2FC">
            <w:pPr>
              <w:rPr>
                <w:rFonts w:hint="eastAsia" w:ascii="宋体" w:hAnsi="宋体" w:eastAsia="宋体" w:cs="宋体"/>
                <w:color w:val="auto"/>
                <w:highlight w:val="none"/>
              </w:rPr>
            </w:pPr>
          </w:p>
        </w:tc>
      </w:tr>
      <w:tr w14:paraId="79F2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DC2937D">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7E2C3463">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041A678B">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E28FF47">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427905D2">
            <w:pPr>
              <w:rPr>
                <w:rFonts w:hint="eastAsia" w:ascii="宋体" w:hAnsi="宋体" w:eastAsia="宋体" w:cs="宋体"/>
                <w:color w:val="auto"/>
                <w:highlight w:val="none"/>
              </w:rPr>
            </w:pPr>
          </w:p>
        </w:tc>
      </w:tr>
      <w:tr w14:paraId="0885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5595DDE">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614A27D5">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6A1E4B37">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1AF78AB">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54B03B97">
            <w:pPr>
              <w:rPr>
                <w:rFonts w:hint="eastAsia" w:ascii="宋体" w:hAnsi="宋体" w:eastAsia="宋体" w:cs="宋体"/>
                <w:color w:val="auto"/>
                <w:highlight w:val="none"/>
              </w:rPr>
            </w:pPr>
          </w:p>
        </w:tc>
      </w:tr>
      <w:tr w14:paraId="31A9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2523230">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75A6EA5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3DEB04ED">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F0A5EFB">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1047C6B8">
            <w:pPr>
              <w:rPr>
                <w:rFonts w:hint="eastAsia" w:ascii="宋体" w:hAnsi="宋体" w:eastAsia="宋体" w:cs="宋体"/>
                <w:color w:val="auto"/>
                <w:highlight w:val="none"/>
              </w:rPr>
            </w:pPr>
          </w:p>
        </w:tc>
      </w:tr>
      <w:tr w14:paraId="5FA6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8CEA83C">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515388D2">
            <w:pPr>
              <w:ind w:firstLine="420" w:firstLineChars="200"/>
              <w:rPr>
                <w:rFonts w:hint="eastAsia" w:ascii="宋体" w:hAnsi="宋体" w:eastAsia="宋体" w:cs="宋体"/>
                <w:color w:val="auto"/>
                <w:highlight w:val="none"/>
              </w:rPr>
            </w:pPr>
          </w:p>
        </w:tc>
      </w:tr>
    </w:tbl>
    <w:p w14:paraId="7E8DDE6D">
      <w:pPr>
        <w:rPr>
          <w:rFonts w:hint="eastAsia" w:ascii="宋体" w:hAnsi="宋体" w:eastAsia="宋体" w:cs="宋体"/>
          <w:color w:val="auto"/>
          <w:highlight w:val="none"/>
        </w:rPr>
      </w:pPr>
    </w:p>
    <w:p w14:paraId="396C9988">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01D1242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FA7D550">
      <w:pPr>
        <w:rPr>
          <w:rFonts w:hint="eastAsia" w:ascii="宋体" w:hAnsi="宋体" w:eastAsia="宋体" w:cs="宋体"/>
          <w:color w:val="auto"/>
          <w:highlight w:val="none"/>
        </w:rPr>
      </w:pPr>
    </w:p>
    <w:p w14:paraId="271D5996">
      <w:pPr>
        <w:pStyle w:val="20"/>
        <w:rPr>
          <w:rFonts w:hint="eastAsia" w:ascii="宋体" w:hAnsi="宋体" w:cs="宋体"/>
          <w:color w:val="auto"/>
          <w:highlight w:val="none"/>
        </w:rPr>
      </w:pPr>
    </w:p>
    <w:p w14:paraId="1C063A81">
      <w:pPr>
        <w:rPr>
          <w:rFonts w:hint="eastAsia" w:ascii="宋体" w:hAnsi="宋体" w:eastAsia="宋体" w:cs="宋体"/>
          <w:color w:val="auto"/>
          <w:highlight w:val="none"/>
        </w:rPr>
      </w:pPr>
    </w:p>
    <w:p w14:paraId="72A9BDB4">
      <w:pPr>
        <w:pStyle w:val="20"/>
        <w:rPr>
          <w:rFonts w:hint="eastAsia" w:ascii="宋体" w:hAnsi="宋体" w:cs="宋体"/>
          <w:color w:val="auto"/>
          <w:highlight w:val="none"/>
        </w:rPr>
      </w:pPr>
    </w:p>
    <w:p w14:paraId="0D998A85">
      <w:pPr>
        <w:rPr>
          <w:rFonts w:hint="eastAsia" w:ascii="宋体" w:hAnsi="宋体" w:eastAsia="宋体" w:cs="宋体"/>
          <w:color w:val="auto"/>
          <w:highlight w:val="none"/>
        </w:rPr>
      </w:pPr>
    </w:p>
    <w:p w14:paraId="10B767B2">
      <w:pPr>
        <w:pStyle w:val="20"/>
        <w:rPr>
          <w:rFonts w:hint="eastAsia" w:ascii="宋体" w:hAnsi="宋体" w:cs="宋体"/>
          <w:color w:val="auto"/>
          <w:highlight w:val="none"/>
        </w:rPr>
      </w:pPr>
    </w:p>
    <w:p w14:paraId="48643346">
      <w:pPr>
        <w:rPr>
          <w:rFonts w:hint="eastAsia" w:ascii="宋体" w:hAnsi="宋体" w:eastAsia="宋体" w:cs="宋体"/>
          <w:color w:val="auto"/>
          <w:highlight w:val="none"/>
        </w:rPr>
      </w:pPr>
    </w:p>
    <w:p w14:paraId="78D92D40">
      <w:pPr>
        <w:widowControl w:val="0"/>
        <w:outlineLvl w:val="0"/>
        <w:rPr>
          <w:rFonts w:hint="eastAsia" w:ascii="宋体" w:hAnsi="宋体" w:eastAsia="宋体" w:cs="宋体"/>
          <w:strike/>
          <w:color w:val="auto"/>
          <w:sz w:val="28"/>
          <w:szCs w:val="28"/>
          <w:highlight w:val="none"/>
        </w:rPr>
      </w:pPr>
      <w:r>
        <w:rPr>
          <w:rFonts w:hint="eastAsia" w:ascii="宋体" w:hAnsi="宋体" w:eastAsia="宋体" w:cs="宋体"/>
          <w:strike/>
          <w:color w:val="auto"/>
          <w:sz w:val="28"/>
          <w:szCs w:val="28"/>
          <w:highlight w:val="none"/>
        </w:rPr>
        <w:t>格式八：中小企业声明函</w:t>
      </w:r>
    </w:p>
    <w:p w14:paraId="3F739FB0">
      <w:pPr>
        <w:widowControl w:val="0"/>
        <w:jc w:val="center"/>
        <w:rPr>
          <w:rFonts w:hint="eastAsia" w:ascii="宋体" w:hAnsi="宋体" w:eastAsia="宋体" w:cs="宋体"/>
          <w:b/>
          <w:strike/>
          <w:color w:val="auto"/>
          <w:kern w:val="2"/>
          <w:sz w:val="32"/>
          <w:szCs w:val="24"/>
          <w:highlight w:val="none"/>
        </w:rPr>
      </w:pPr>
    </w:p>
    <w:p w14:paraId="5B3DBF32">
      <w:pPr>
        <w:widowControl w:val="0"/>
        <w:jc w:val="center"/>
        <w:outlineLvl w:val="0"/>
        <w:rPr>
          <w:rFonts w:hint="eastAsia" w:ascii="宋体" w:hAnsi="宋体" w:eastAsia="宋体" w:cs="宋体"/>
          <w:b/>
          <w:strike/>
          <w:color w:val="auto"/>
          <w:kern w:val="2"/>
          <w:sz w:val="32"/>
          <w:szCs w:val="24"/>
          <w:highlight w:val="none"/>
        </w:rPr>
      </w:pPr>
      <w:r>
        <w:rPr>
          <w:rFonts w:hint="eastAsia" w:ascii="宋体" w:hAnsi="宋体" w:eastAsia="宋体" w:cs="宋体"/>
          <w:b/>
          <w:strike/>
          <w:color w:val="auto"/>
          <w:kern w:val="2"/>
          <w:sz w:val="32"/>
          <w:szCs w:val="24"/>
          <w:highlight w:val="none"/>
        </w:rPr>
        <w:t>中小企业声明函（货物）</w:t>
      </w:r>
    </w:p>
    <w:p w14:paraId="029EAF0B">
      <w:pPr>
        <w:pStyle w:val="20"/>
        <w:rPr>
          <w:rFonts w:hint="eastAsia" w:ascii="宋体" w:hAnsi="宋体" w:cs="宋体"/>
          <w:strike/>
          <w:color w:val="auto"/>
          <w:highlight w:val="none"/>
        </w:rPr>
      </w:pPr>
    </w:p>
    <w:p w14:paraId="29E008F6">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本公司（联合体）郑重声明，根据《政府采购促进中小企业发展管理办法》 （财库﹝2020﹞46号）的规定，本公司（联合体）参加</w:t>
      </w:r>
      <w:r>
        <w:rPr>
          <w:rFonts w:hint="eastAsia" w:ascii="宋体" w:hAnsi="宋体" w:eastAsia="宋体" w:cs="宋体"/>
          <w:strike/>
          <w:color w:val="auto"/>
          <w:kern w:val="2"/>
          <w:sz w:val="28"/>
          <w:szCs w:val="28"/>
          <w:highlight w:val="none"/>
          <w:u w:val="single"/>
        </w:rPr>
        <w:t xml:space="preserve"> （单位名称） </w:t>
      </w:r>
      <w:r>
        <w:rPr>
          <w:rFonts w:hint="eastAsia" w:ascii="宋体" w:hAnsi="宋体" w:eastAsia="宋体" w:cs="宋体"/>
          <w:strike/>
          <w:color w:val="auto"/>
          <w:kern w:val="2"/>
          <w:sz w:val="28"/>
          <w:szCs w:val="28"/>
          <w:highlight w:val="none"/>
        </w:rPr>
        <w:t>的（</w:t>
      </w:r>
      <w:r>
        <w:rPr>
          <w:rFonts w:hint="eastAsia" w:ascii="宋体" w:hAnsi="宋体" w:eastAsia="宋体" w:cs="宋体"/>
          <w:strike/>
          <w:color w:val="auto"/>
          <w:kern w:val="2"/>
          <w:sz w:val="28"/>
          <w:szCs w:val="28"/>
          <w:highlight w:val="none"/>
          <w:u w:val="single"/>
        </w:rPr>
        <w:t>项目名称</w:t>
      </w:r>
      <w:r>
        <w:rPr>
          <w:rFonts w:hint="eastAsia" w:ascii="宋体" w:hAnsi="宋体" w:eastAsia="宋体" w:cs="宋体"/>
          <w:strike/>
          <w:color w:val="auto"/>
          <w:kern w:val="2"/>
          <w:sz w:val="28"/>
          <w:szCs w:val="28"/>
          <w:highlight w:val="none"/>
        </w:rPr>
        <w:t>）采购活动，提供的货物全部由符合政策要求的中小企业制造。相关企业（含联合体中的中小企业、签订分包意向协议的中小企业）的具体情况如下：</w:t>
      </w:r>
    </w:p>
    <w:p w14:paraId="5C4669A1">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1.</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6031639A">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2.</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7CF03B59">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w:t>
      </w:r>
    </w:p>
    <w:p w14:paraId="328CA95C">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以上企业，不属于大企业的分支机构，不存在控股股东为大企业的情形，也不存在与大企业的负责人为同一人的情形。</w:t>
      </w:r>
    </w:p>
    <w:p w14:paraId="40D6D81B">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本企业对上述声明内容的真实性负责。如有虚假，将依法承担相应责任。</w:t>
      </w:r>
    </w:p>
    <w:p w14:paraId="0DF1A7A6">
      <w:pPr>
        <w:widowControl w:val="0"/>
        <w:spacing w:line="360" w:lineRule="auto"/>
        <w:ind w:right="420" w:firstLine="6860" w:firstLineChars="2450"/>
        <w:rPr>
          <w:rFonts w:hint="eastAsia" w:ascii="宋体" w:hAnsi="宋体" w:eastAsia="宋体" w:cs="宋体"/>
          <w:strike/>
          <w:color w:val="auto"/>
          <w:sz w:val="28"/>
          <w:szCs w:val="28"/>
          <w:highlight w:val="none"/>
        </w:rPr>
      </w:pPr>
    </w:p>
    <w:p w14:paraId="6B01A95F">
      <w:pPr>
        <w:widowControl w:val="0"/>
        <w:spacing w:line="360" w:lineRule="auto"/>
        <w:ind w:right="420"/>
        <w:jc w:val="right"/>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企业名称（盖章）：</w:t>
      </w:r>
    </w:p>
    <w:p w14:paraId="0B6C3290">
      <w:pPr>
        <w:widowControl w:val="0"/>
        <w:spacing w:line="360" w:lineRule="auto"/>
        <w:ind w:right="420"/>
        <w:jc w:val="right"/>
        <w:rPr>
          <w:rFonts w:hint="eastAsia" w:ascii="宋体" w:hAnsi="宋体" w:eastAsia="宋体" w:cs="宋体"/>
          <w:strike/>
          <w:color w:val="auto"/>
          <w:kern w:val="2"/>
          <w:sz w:val="28"/>
          <w:szCs w:val="28"/>
          <w:highlight w:val="none"/>
        </w:rPr>
      </w:pPr>
      <w:r>
        <w:rPr>
          <w:rFonts w:hint="eastAsia" w:ascii="宋体" w:hAnsi="宋体" w:eastAsia="宋体" w:cs="宋体"/>
          <w:strike/>
          <w:color w:val="auto"/>
          <w:kern w:val="2"/>
          <w:sz w:val="28"/>
          <w:szCs w:val="28"/>
          <w:highlight w:val="none"/>
        </w:rPr>
        <w:t>日期：   年   月   日</w:t>
      </w:r>
    </w:p>
    <w:p w14:paraId="4F1F7852">
      <w:pPr>
        <w:pStyle w:val="20"/>
        <w:rPr>
          <w:rFonts w:hint="eastAsia" w:ascii="宋体" w:hAnsi="宋体" w:cs="宋体"/>
          <w:strike/>
          <w:color w:val="auto"/>
          <w:sz w:val="20"/>
          <w:szCs w:val="20"/>
          <w:highlight w:val="none"/>
          <w:u w:val="single"/>
        </w:rPr>
      </w:pPr>
    </w:p>
    <w:p w14:paraId="7933A246">
      <w:pPr>
        <w:pStyle w:val="20"/>
        <w:rPr>
          <w:rFonts w:hint="eastAsia" w:ascii="宋体" w:hAnsi="宋体" w:cs="宋体"/>
          <w:strike/>
          <w:color w:val="auto"/>
          <w:sz w:val="20"/>
          <w:szCs w:val="20"/>
          <w:highlight w:val="none"/>
        </w:rPr>
      </w:pPr>
      <w:r>
        <w:rPr>
          <w:rFonts w:hint="eastAsia" w:ascii="宋体" w:hAnsi="宋体" w:cs="宋体"/>
          <w:strike/>
          <w:color w:val="auto"/>
          <w:sz w:val="20"/>
          <w:szCs w:val="20"/>
          <w:highlight w:val="none"/>
        </w:rPr>
        <w:t>从业人员、营业收入、资产总额填报上一年度数据，无上一年度数据的新成立企业可不填报。</w:t>
      </w:r>
    </w:p>
    <w:p w14:paraId="4A2B0961">
      <w:pPr>
        <w:rPr>
          <w:rFonts w:hint="eastAsia" w:ascii="宋体" w:hAnsi="宋体" w:eastAsia="宋体" w:cs="宋体"/>
          <w:color w:val="auto"/>
          <w:sz w:val="20"/>
          <w:szCs w:val="20"/>
          <w:highlight w:val="none"/>
        </w:rPr>
      </w:pPr>
    </w:p>
    <w:p w14:paraId="36337ED8">
      <w:pPr>
        <w:pStyle w:val="20"/>
        <w:rPr>
          <w:rFonts w:hint="eastAsia" w:ascii="宋体" w:hAnsi="宋体" w:cs="宋体"/>
          <w:color w:val="auto"/>
          <w:sz w:val="20"/>
          <w:szCs w:val="20"/>
          <w:highlight w:val="none"/>
        </w:rPr>
      </w:pPr>
    </w:p>
    <w:p w14:paraId="1A7D5294">
      <w:pPr>
        <w:rPr>
          <w:rFonts w:hint="eastAsia" w:ascii="宋体" w:hAnsi="宋体" w:eastAsia="宋体" w:cs="宋体"/>
          <w:color w:val="auto"/>
          <w:sz w:val="20"/>
          <w:szCs w:val="20"/>
          <w:highlight w:val="none"/>
        </w:rPr>
      </w:pPr>
    </w:p>
    <w:p w14:paraId="3F900ED3">
      <w:pPr>
        <w:pStyle w:val="20"/>
        <w:rPr>
          <w:rFonts w:hint="eastAsia" w:ascii="宋体" w:hAnsi="宋体" w:cs="宋体"/>
          <w:color w:val="auto"/>
          <w:sz w:val="20"/>
          <w:szCs w:val="20"/>
          <w:highlight w:val="none"/>
        </w:rPr>
      </w:pPr>
    </w:p>
    <w:p w14:paraId="07F3B62B">
      <w:pPr>
        <w:autoSpaceDE/>
        <w:autoSpaceDN/>
        <w:adjustRightInd/>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格式九：投标承诺书</w:t>
      </w:r>
    </w:p>
    <w:p w14:paraId="2627DFE7">
      <w:p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0F8EA142">
      <w:pPr>
        <w:pStyle w:val="14"/>
        <w:spacing w:line="44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（招标人名称）                    </w:t>
      </w:r>
      <w:r>
        <w:rPr>
          <w:rFonts w:hint="eastAsia" w:hAnsi="宋体" w:eastAsia="宋体" w:cs="宋体"/>
          <w:color w:val="auto"/>
          <w:sz w:val="24"/>
          <w:szCs w:val="24"/>
          <w:highlight w:val="none"/>
        </w:rPr>
        <w:t>：</w:t>
      </w:r>
    </w:p>
    <w:p w14:paraId="5104CB5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本公司已详细阅读</w:t>
      </w:r>
      <w:r>
        <w:rPr>
          <w:rFonts w:hint="eastAsia" w:hAnsi="宋体" w:eastAsia="宋体" w:cs="宋体"/>
          <w:color w:val="auto"/>
          <w:sz w:val="24"/>
          <w:szCs w:val="24"/>
          <w:highlight w:val="none"/>
          <w:u w:val="single"/>
        </w:rPr>
        <w:t xml:space="preserve">     （名称及招标编号）   </w:t>
      </w:r>
      <w:r>
        <w:rPr>
          <w:rFonts w:hint="eastAsia" w:hAnsi="宋体" w:eastAsia="宋体" w:cs="宋体"/>
          <w:color w:val="auto"/>
          <w:sz w:val="24"/>
          <w:szCs w:val="24"/>
          <w:highlight w:val="none"/>
        </w:rPr>
        <w:t>招标文件，自觉遵守中华人民共和国、浙江省及当地有关招标投标的法律法规规定，自觉维护建筑市场正常秩序，现自愿就参加本项目投标有关事项郑重承诺如下：</w:t>
      </w:r>
    </w:p>
    <w:p w14:paraId="681EFA62">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1.承诺投标文件无虚假、伪造的内容。若投标文件中存在虚假、伪造的内容，同意作无效投标处理。</w:t>
      </w:r>
    </w:p>
    <w:p w14:paraId="1550272C">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2.承诺我单位法定代表人、授权代表等主要责任人诚信投标。</w:t>
      </w:r>
    </w:p>
    <w:p w14:paraId="7B385E90">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3.承诺按照投标文件派驻管理人员及投入机械设备，</w:t>
      </w:r>
      <w:r>
        <w:rPr>
          <w:rFonts w:hint="eastAsia" w:hAnsi="宋体" w:eastAsia="宋体" w:cs="宋体"/>
          <w:color w:val="auto"/>
          <w:spacing w:val="-5"/>
          <w:sz w:val="24"/>
          <w:szCs w:val="24"/>
          <w:highlight w:val="none"/>
        </w:rPr>
        <w:t>若存在不到位的情况，同意接受合同约定的处罚。</w:t>
      </w:r>
    </w:p>
    <w:p w14:paraId="40ED601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4.承诺本招标文件要求的人员和我单位至投标截止时间三年内没有行贿犯罪记录。</w:t>
      </w:r>
    </w:p>
    <w:p w14:paraId="2B70843E">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5.承诺未被有关行政主管部门列入建筑市场严重失信名单（以全国建筑市场监管公共服务平台黑名单记录、失信联合惩戒记录和浙江省建筑市场监管公共服务系统严重失信名单）或限制参加投标。</w:t>
      </w:r>
    </w:p>
    <w:p w14:paraId="713C8418">
      <w:pPr>
        <w:pStyle w:val="25"/>
        <w:spacing w:line="440" w:lineRule="exact"/>
        <w:ind w:right="150" w:firstLine="480" w:firstLineChars="200"/>
        <w:rPr>
          <w:rFonts w:cs="宋体"/>
          <w:color w:val="auto"/>
          <w:highlight w:val="none"/>
        </w:rPr>
      </w:pPr>
      <w:r>
        <w:rPr>
          <w:rFonts w:cs="宋体"/>
          <w:color w:val="auto"/>
          <w:highlight w:val="none"/>
        </w:rPr>
        <w:t>6.</w:t>
      </w:r>
      <w:r>
        <w:rPr>
          <w:rFonts w:cs="宋体"/>
          <w:color w:val="auto"/>
          <w:highlight w:val="none"/>
          <w:shd w:val="clear" w:color="auto" w:fill="FFFFFF"/>
        </w:rPr>
        <w:t>我单位直接负责本项目投标的主管人</w:t>
      </w:r>
      <w:r>
        <w:rPr>
          <w:rFonts w:cs="宋体"/>
          <w:color w:val="auto"/>
          <w:highlight w:val="none"/>
        </w:rPr>
        <w:t>员为</w:t>
      </w:r>
      <w:r>
        <w:rPr>
          <w:rFonts w:cs="宋体"/>
          <w:color w:val="auto"/>
          <w:highlight w:val="none"/>
          <w:u w:val="single"/>
        </w:rPr>
        <w:t>法定代表人</w:t>
      </w:r>
      <w:r>
        <w:rPr>
          <w:rFonts w:cs="宋体"/>
          <w:color w:val="auto"/>
          <w:highlight w:val="none"/>
          <w:u w:val="single"/>
          <w:shd w:val="clear" w:color="auto" w:fill="FFFFFF"/>
        </w:rPr>
        <w:t xml:space="preserve">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  ，联系手机号码：</w:t>
      </w:r>
      <w:r>
        <w:rPr>
          <w:rFonts w:cs="宋体"/>
          <w:color w:val="auto"/>
          <w:highlight w:val="none"/>
          <w:u w:val="single"/>
          <w:shd w:val="clear" w:color="auto" w:fill="FFFFFF"/>
        </w:rPr>
        <w:t xml:space="preserve"> </w:t>
      </w:r>
      <w:r>
        <w:rPr>
          <w:rFonts w:cs="宋体"/>
          <w:i/>
          <w:iCs/>
          <w:color w:val="auto"/>
          <w:highlight w:val="none"/>
          <w:u w:val="single"/>
          <w:shd w:val="clear" w:color="auto" w:fill="FFFFFF"/>
        </w:rPr>
        <w:t xml:space="preserve">（必须为本人实名办理的手机号码） </w:t>
      </w:r>
      <w:r>
        <w:rPr>
          <w:rFonts w:cs="宋体"/>
          <w:color w:val="auto"/>
          <w:highlight w:val="none"/>
          <w:u w:val="single"/>
          <w:shd w:val="clear" w:color="auto" w:fill="FFFFFF"/>
        </w:rPr>
        <w:t xml:space="preserve">   </w:t>
      </w:r>
      <w:r>
        <w:rPr>
          <w:rFonts w:cs="宋体"/>
          <w:color w:val="auto"/>
          <w:highlight w:val="none"/>
          <w:shd w:val="clear" w:color="auto" w:fill="FFFFFF"/>
        </w:rPr>
        <w:t xml:space="preserve"> ）；我单位与本项目投标相关的直接责任人员为</w:t>
      </w:r>
      <w:r>
        <w:rPr>
          <w:rFonts w:cs="宋体"/>
          <w:color w:val="auto"/>
          <w:highlight w:val="none"/>
          <w:u w:val="single"/>
          <w:shd w:val="clear" w:color="auto" w:fill="FFFFFF"/>
        </w:rPr>
        <w:t xml:space="preserve">本次投标委托授权代表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联系手机号码： </w:t>
      </w:r>
      <w:r>
        <w:rPr>
          <w:rFonts w:cs="宋体"/>
          <w:i/>
          <w:iCs/>
          <w:color w:val="auto"/>
          <w:highlight w:val="none"/>
          <w:u w:val="single"/>
          <w:shd w:val="clear" w:color="auto" w:fill="FFFFFF"/>
        </w:rPr>
        <w:t>（必须为本人实名办理的手机号码）</w:t>
      </w:r>
      <w:r>
        <w:rPr>
          <w:rFonts w:cs="宋体"/>
          <w:color w:val="auto"/>
          <w:highlight w:val="none"/>
          <w:u w:val="single"/>
          <w:shd w:val="clear" w:color="auto" w:fill="FFFFFF"/>
        </w:rPr>
        <w:t xml:space="preserve">             </w:t>
      </w:r>
      <w:r>
        <w:rPr>
          <w:rFonts w:cs="宋体"/>
          <w:color w:val="auto"/>
          <w:highlight w:val="none"/>
          <w:shd w:val="clear" w:color="auto" w:fill="FFFFFF"/>
        </w:rPr>
        <w:t>）</w:t>
      </w:r>
      <w:r>
        <w:rPr>
          <w:rFonts w:cs="宋体"/>
          <w:color w:val="auto"/>
          <w:highlight w:val="none"/>
        </w:rPr>
        <w:t>，上述人员承诺承担相应的法律责任。</w:t>
      </w:r>
    </w:p>
    <w:p w14:paraId="2E9358C5">
      <w:pPr>
        <w:pStyle w:val="14"/>
        <w:spacing w:line="440" w:lineRule="exact"/>
        <w:ind w:firstLine="480" w:firstLineChars="200"/>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7.其他：</w:t>
      </w:r>
      <w:r>
        <w:rPr>
          <w:rFonts w:hint="eastAsia" w:hAnsi="宋体" w:eastAsia="宋体" w:cs="宋体"/>
          <w:color w:val="auto"/>
          <w:sz w:val="24"/>
          <w:szCs w:val="24"/>
          <w:highlight w:val="none"/>
          <w:u w:val="single"/>
        </w:rPr>
        <w:t xml:space="preserve">    </w:t>
      </w:r>
      <w:r>
        <w:rPr>
          <w:rFonts w:hint="eastAsia" w:hAnsi="宋体" w:eastAsia="宋体" w:cs="宋体"/>
          <w:i/>
          <w:iCs/>
          <w:color w:val="auto"/>
          <w:sz w:val="24"/>
          <w:szCs w:val="24"/>
          <w:highlight w:val="none"/>
          <w:u w:val="single"/>
        </w:rPr>
        <w:t>（招标人可根据实际情况增加相应的条款）</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w:t>
      </w:r>
    </w:p>
    <w:p w14:paraId="4C2C7493">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8.以上承诺如有虚假，</w:t>
      </w:r>
      <w:r>
        <w:rPr>
          <w:rFonts w:hint="eastAsia"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1D0759D2">
      <w:pPr>
        <w:pStyle w:val="14"/>
        <w:spacing w:line="440" w:lineRule="exact"/>
        <w:ind w:firstLine="460" w:firstLineChars="200"/>
        <w:rPr>
          <w:rFonts w:hint="eastAsia" w:hAnsi="宋体" w:eastAsia="宋体" w:cs="宋体"/>
          <w:color w:val="auto"/>
          <w:spacing w:val="-5"/>
          <w:sz w:val="24"/>
          <w:szCs w:val="24"/>
          <w:highlight w:val="none"/>
        </w:rPr>
      </w:pPr>
    </w:p>
    <w:p w14:paraId="3F923C6F">
      <w:pPr>
        <w:pStyle w:val="14"/>
        <w:spacing w:line="440" w:lineRule="exact"/>
        <w:ind w:firstLine="3120" w:firstLineChars="1300"/>
        <w:rPr>
          <w:rFonts w:hint="eastAsia" w:hAnsi="宋体" w:eastAsia="宋体" w:cs="宋体"/>
          <w:color w:val="auto"/>
          <w:sz w:val="24"/>
          <w:szCs w:val="24"/>
          <w:highlight w:val="none"/>
        </w:rPr>
      </w:pPr>
    </w:p>
    <w:p w14:paraId="0F1E3F69">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法定代表人（签字或盖章）：</w:t>
      </w:r>
    </w:p>
    <w:p w14:paraId="77A638B3">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投标人（单位盖章）：</w:t>
      </w:r>
    </w:p>
    <w:p w14:paraId="2C361286">
      <w:pPr>
        <w:autoSpaceDN/>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年    月    日</w:t>
      </w:r>
    </w:p>
    <w:p w14:paraId="4AE87A80">
      <w:pPr>
        <w:autoSpaceDN/>
        <w:rPr>
          <w:rFonts w:hint="eastAsia" w:ascii="宋体" w:hAnsi="宋体" w:eastAsia="宋体" w:cs="宋体"/>
          <w:color w:val="auto"/>
          <w:sz w:val="28"/>
          <w:szCs w:val="28"/>
          <w:highlight w:val="none"/>
        </w:rPr>
      </w:pPr>
    </w:p>
    <w:p w14:paraId="256D32BF">
      <w:pPr>
        <w:pStyle w:val="20"/>
        <w:rPr>
          <w:rFonts w:hint="eastAsia" w:ascii="宋体" w:hAnsi="宋体" w:cs="宋体"/>
          <w:color w:val="auto"/>
          <w:highlight w:val="none"/>
        </w:rPr>
      </w:pPr>
    </w:p>
    <w:bookmarkEnd w:id="70"/>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Helvetica">
    <w:altName w:val="Arial"/>
    <w:panose1 w:val="020B0504020202030204"/>
    <w:charset w:val="00"/>
    <w:family w:val="swiss"/>
    <w:pitch w:val="default"/>
    <w:sig w:usb0="00000000" w:usb1="00000000" w:usb2="00000000" w:usb3="00000000" w:csb0="00000093"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7BB38">
    <w:pPr>
      <w:pStyle w:val="1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27EAAA">
                          <w:pPr>
                            <w:pStyle w:val="18"/>
                          </w:pPr>
                          <w:r>
                            <w:fldChar w:fldCharType="begin"/>
                          </w:r>
                          <w:r>
                            <w:instrText xml:space="preserve"> PAGE  \* MERGEFORMAT </w:instrText>
                          </w:r>
                          <w:r>
                            <w:fldChar w:fldCharType="separate"/>
                          </w:r>
                          <w:r>
                            <w:t>5</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2627EAAA">
                    <w:pPr>
                      <w:pStyle w:val="18"/>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BEBE3">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C28EB">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52996">
    <w:pPr>
      <w:spacing w:line="187" w:lineRule="auto"/>
      <w:ind w:left="441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1E5F7B6">
                          <w:pPr>
                            <w:pStyle w:val="18"/>
                          </w:pPr>
                          <w:r>
                            <w:fldChar w:fldCharType="begin"/>
                          </w:r>
                          <w:r>
                            <w:instrText xml:space="preserve"> PAGE  \* MERGEFORMAT </w:instrText>
                          </w:r>
                          <w:r>
                            <w:fldChar w:fldCharType="separate"/>
                          </w:r>
                          <w:r>
                            <w:t>3</w:t>
                          </w:r>
                          <w: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01E5F7B6">
                    <w:pPr>
                      <w:pStyle w:val="18"/>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0BF4">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09C7062">
                          <w:pPr>
                            <w:pStyle w:val="18"/>
                          </w:pPr>
                          <w:r>
                            <w:fldChar w:fldCharType="begin"/>
                          </w:r>
                          <w:r>
                            <w:instrText xml:space="preserve"> PAGE  \* MERGEFORMAT </w:instrText>
                          </w:r>
                          <w:r>
                            <w:fldChar w:fldCharType="separate"/>
                          </w:r>
                          <w:r>
                            <w:t>10</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C8bAPKAQAAkgMAAA4AAABkcnMvZTJvRG9jLnhtbK1TS27bMBDdF+gd&#10;CO5ryW4R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yi8vOXPC0puffv86/fl3&#10;+vuTfUw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C8bAPKAQAAkgMAAA4AAAAAAAAAAQAgAAAAHwEAAGRycy9lMm9E&#10;b2MueG1sUEsFBgAAAAAGAAYAWQEAAFsFAAAAAA==&#10;">
              <v:fill on="f" focussize="0,0"/>
              <v:stroke on="f"/>
              <v:imagedata o:title=""/>
              <o:lock v:ext="edit" aspectratio="f"/>
              <v:textbox inset="0mm,0mm,0mm,0mm" style="mso-fit-shape-to-text:t;">
                <w:txbxContent>
                  <w:p w14:paraId="409C7062">
                    <w:pPr>
                      <w:pStyle w:val="18"/>
                    </w:pPr>
                    <w:r>
                      <w:fldChar w:fldCharType="begin"/>
                    </w:r>
                    <w:r>
                      <w:instrText xml:space="preserve"> PAGE  \* MERGEFORMAT </w:instrText>
                    </w:r>
                    <w:r>
                      <w:fldChar w:fldCharType="separate"/>
                    </w:r>
                    <w:r>
                      <w:t>10</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FA269">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F2377E">
                          <w:pPr>
                            <w:pStyle w:val="18"/>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2EopTyAEAAJIDAAAOAAAAAAAAAAEAIAAAAB8BAABkcnMvZTJvRG9j&#10;LnhtbFBLBQYAAAAABgAGAFkBAABZBQAAAAA=&#10;">
              <v:fill on="f" focussize="0,0"/>
              <v:stroke on="f"/>
              <v:imagedata o:title=""/>
              <o:lock v:ext="edit" aspectratio="f"/>
              <v:textbox inset="0mm,0mm,0mm,0mm" style="mso-fit-shape-to-text:t;">
                <w:txbxContent>
                  <w:p w14:paraId="2DF2377E">
                    <w:pPr>
                      <w:pStyle w:val="18"/>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68FAC">
    <w:pPr>
      <w:spacing w:line="188" w:lineRule="auto"/>
      <w:ind w:left="419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78C01E">
                          <w:pPr>
                            <w:pStyle w:val="18"/>
                          </w:pPr>
                          <w:r>
                            <w:fldChar w:fldCharType="begin"/>
                          </w:r>
                          <w:r>
                            <w:instrText xml:space="preserve"> PAGE  \* MERGEFORMAT </w:instrText>
                          </w:r>
                          <w:r>
                            <w:fldChar w:fldCharType="separate"/>
                          </w:r>
                          <w:r>
                            <w:t>28</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Bw3+qnKAQAAkgMAAA4AAAAAAAAAAQAgAAAAHwEAAGRycy9lMm9E&#10;b2MueG1sUEsFBgAAAAAGAAYAWQEAAFsFAAAAAA==&#10;">
              <v:fill on="f" focussize="0,0"/>
              <v:stroke on="f"/>
              <v:imagedata o:title=""/>
              <o:lock v:ext="edit" aspectratio="f"/>
              <v:textbox inset="0mm,0mm,0mm,0mm" style="mso-fit-shape-to-text:t;">
                <w:txbxContent>
                  <w:p w14:paraId="2D78C01E">
                    <w:pPr>
                      <w:pStyle w:val="18"/>
                    </w:pPr>
                    <w:r>
                      <w:fldChar w:fldCharType="begin"/>
                    </w:r>
                    <w:r>
                      <w:instrText xml:space="preserve"> PAGE  \* MERGEFORMAT </w:instrText>
                    </w:r>
                    <w:r>
                      <w:fldChar w:fldCharType="separate"/>
                    </w:r>
                    <w:r>
                      <w:t>28</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2C00B">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4CF4830">
                          <w:pPr>
                            <w:pStyle w:val="18"/>
                          </w:pPr>
                          <w:r>
                            <w:fldChar w:fldCharType="begin"/>
                          </w:r>
                          <w:r>
                            <w:instrText xml:space="preserve"> PAGE  \* MERGEFORMAT </w:instrText>
                          </w:r>
                          <w:r>
                            <w:fldChar w:fldCharType="separate"/>
                          </w:r>
                          <w:r>
                            <w:t>29</w:t>
                          </w:r>
                          <w:r>
                            <w:fldChar w:fldCharType="end"/>
                          </w:r>
                        </w:p>
                      </w:txbxContent>
                    </wps:txbx>
                    <wps:bodyPr vert="horz" wrap="none" lIns="0" tIns="0" rIns="0" bIns="0" anchor="t">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3SMoxckBAACSAwAADgAAAAAAAAABACAAAAAfAQAAZHJzL2Uyb0Rv&#10;Yy54bWxQSwUGAAAAAAYABgBZAQAAWgUAAAAA&#10;">
              <v:fill on="f" focussize="0,0"/>
              <v:stroke on="f"/>
              <v:imagedata o:title=""/>
              <o:lock v:ext="edit" aspectratio="f"/>
              <v:textbox inset="0mm,0mm,0mm,0mm" style="mso-fit-shape-to-text:t;">
                <w:txbxContent>
                  <w:p w14:paraId="64CF4830">
                    <w:pPr>
                      <w:pStyle w:val="18"/>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81FEA">
    <w:pPr>
      <w:spacing w:line="188" w:lineRule="auto"/>
      <w:ind w:left="482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60A468">
                          <w:pPr>
                            <w:pStyle w:val="18"/>
                          </w:pPr>
                          <w:r>
                            <w:fldChar w:fldCharType="begin"/>
                          </w:r>
                          <w:r>
                            <w:instrText xml:space="preserve"> PAGE  \* MERGEFORMAT </w:instrText>
                          </w:r>
                          <w:r>
                            <w:fldChar w:fldCharType="separate"/>
                          </w:r>
                          <w:r>
                            <w:t>30</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2AQVYckBAACSAwAADgAAAAAAAAABACAAAAAfAQAAZHJzL2Uyb0Rv&#10;Yy54bWxQSwUGAAAAAAYABgBZAQAAWgUAAAAA&#10;">
              <v:fill on="f" focussize="0,0"/>
              <v:stroke on="f"/>
              <v:imagedata o:title=""/>
              <o:lock v:ext="edit" aspectratio="f"/>
              <v:textbox inset="0mm,0mm,0mm,0mm" style="mso-fit-shape-to-text:t;">
                <w:txbxContent>
                  <w:p w14:paraId="1160A468">
                    <w:pPr>
                      <w:pStyle w:val="18"/>
                    </w:pPr>
                    <w:r>
                      <w:fldChar w:fldCharType="begin"/>
                    </w:r>
                    <w:r>
                      <w:instrText xml:space="preserve"> PAGE  \* MERGEFORMAT </w:instrText>
                    </w:r>
                    <w:r>
                      <w:fldChar w:fldCharType="separate"/>
                    </w:r>
                    <w:r>
                      <w:t>30</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A9704">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8389D2A">
                          <w:pPr>
                            <w:pStyle w:val="18"/>
                          </w:pPr>
                          <w:r>
                            <w:fldChar w:fldCharType="begin"/>
                          </w:r>
                          <w:r>
                            <w:instrText xml:space="preserve"> PAGE  \* MERGEFORMAT </w:instrText>
                          </w:r>
                          <w:r>
                            <w:fldChar w:fldCharType="separate"/>
                          </w:r>
                          <w:r>
                            <w:t>31</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tVvbHKAQAAkwMAAA4AAAAAAAAAAQAgAAAAHwEAAGRycy9lMm9E&#10;b2MueG1sUEsFBgAAAAAGAAYAWQEAAFsFAAAAAA==&#10;">
              <v:fill on="f" focussize="0,0"/>
              <v:stroke on="f"/>
              <v:imagedata o:title=""/>
              <o:lock v:ext="edit" aspectratio="f"/>
              <v:textbox inset="0mm,0mm,0mm,0mm" style="mso-fit-shape-to-text:t;">
                <w:txbxContent>
                  <w:p w14:paraId="58389D2A">
                    <w:pPr>
                      <w:pStyle w:val="18"/>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8FFBB">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E9F84F4">
                          <w:pPr>
                            <w:pStyle w:val="18"/>
                          </w:pPr>
                          <w:r>
                            <w:fldChar w:fldCharType="begin"/>
                          </w:r>
                          <w:r>
                            <w:instrText xml:space="preserve"> PAGE  \* MERGEFORMAT </w:instrText>
                          </w:r>
                          <w:r>
                            <w:fldChar w:fldCharType="separate"/>
                          </w:r>
                          <w:r>
                            <w:t>32</w:t>
                          </w:r>
                          <w: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fG/fjLAQAAkwMAAA4AAABkcnMvZTJvRG9jLnhtbK1TS27bMBDdF+gd&#10;CO5jSUZa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pfF/k7zpyw9Obn37/Of/6d&#10;//5kxT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Hxv34ywEAAJMDAAAOAAAAAAAAAAEAIAAAAB8BAABkcnMvZTJv&#10;RG9jLnhtbFBLBQYAAAAABgAGAFkBAABcBQAAAAA=&#10;">
              <v:fill on="f" focussize="0,0"/>
              <v:stroke on="f"/>
              <v:imagedata o:title=""/>
              <o:lock v:ext="edit" aspectratio="f"/>
              <v:textbox inset="0mm,0mm,0mm,0mm" style="mso-fit-shape-to-text:t;">
                <w:txbxContent>
                  <w:p w14:paraId="0E9F84F4">
                    <w:pPr>
                      <w:pStyle w:val="18"/>
                    </w:pPr>
                    <w:r>
                      <w:fldChar w:fldCharType="begin"/>
                    </w:r>
                    <w:r>
                      <w:instrText xml:space="preserve"> PAGE  \* MERGEFORMAT </w:instrText>
                    </w:r>
                    <w:r>
                      <w:fldChar w:fldCharType="separate"/>
                    </w:r>
                    <w:r>
                      <w:t>32</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2B0C">
    <w:pPr>
      <w:spacing w:line="188" w:lineRule="auto"/>
      <w:ind w:left="422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6E5C408">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aN+BbLAQAAkwMAAA4AAABkcnMvZTJvRG9jLnhtbK1TS27bMBDdF8gd&#10;CO5jSW4RGI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K/Ibzpyw9ObnH9/PP3+f&#10;f31jxd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mjfgWywEAAJMDAAAOAAAAAAAAAAEAIAAAAB8BAABkcnMvZTJv&#10;RG9jLnhtbFBLBQYAAAAABgAGAFkBAABcBQAAAAA=&#10;">
              <v:fill on="f" focussize="0,0"/>
              <v:stroke on="f"/>
              <v:imagedata o:title=""/>
              <o:lock v:ext="edit" aspectratio="f"/>
              <v:textbox inset="0mm,0mm,0mm,0mm" style="mso-fit-shape-to-text:t;">
                <w:txbxContent>
                  <w:p w14:paraId="76E5C408">
                    <w:pPr>
                      <w:pStyle w:val="18"/>
                    </w:pPr>
                    <w:r>
                      <w:fldChar w:fldCharType="begin"/>
                    </w:r>
                    <w:r>
                      <w:instrText xml:space="preserve"> PAGE  \* MERGEFORMAT </w:instrText>
                    </w:r>
                    <w:r>
                      <w:fldChar w:fldCharType="separate"/>
                    </w:r>
                    <w:r>
                      <w:t>33</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114C4">
    <w:pPr>
      <w:spacing w:line="188" w:lineRule="auto"/>
      <w:ind w:left="481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3C73BE">
                          <w:pPr>
                            <w:pStyle w:val="18"/>
                          </w:pPr>
                          <w:r>
                            <w:fldChar w:fldCharType="begin"/>
                          </w:r>
                          <w:r>
                            <w:instrText xml:space="preserve"> PAGE  \* MERGEFORMAT </w:instrText>
                          </w:r>
                          <w:r>
                            <w:fldChar w:fldCharType="separate"/>
                          </w:r>
                          <w:r>
                            <w:t>41</w:t>
                          </w:r>
                          <w:r>
                            <w:fldChar w:fldCharType="end"/>
                          </w: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12Sr/KAQAAkwMAAA4AAAAAAAAAAQAgAAAAHwEAAGRycy9lMm9E&#10;b2MueG1sUEsFBgAAAAAGAAYAWQEAAFsFAAAAAA==&#10;">
              <v:fill on="f" focussize="0,0"/>
              <v:stroke on="f"/>
              <v:imagedata o:title=""/>
              <o:lock v:ext="edit" aspectratio="f"/>
              <v:textbox inset="0mm,0mm,0mm,0mm" style="mso-fit-shape-to-text:t;">
                <w:txbxContent>
                  <w:p w14:paraId="263C73BE">
                    <w:pPr>
                      <w:pStyle w:val="18"/>
                    </w:pPr>
                    <w:r>
                      <w:fldChar w:fldCharType="begin"/>
                    </w:r>
                    <w:r>
                      <w:instrText xml:space="preserve"> PAGE  \* MERGEFORMAT </w:instrText>
                    </w:r>
                    <w:r>
                      <w:fldChar w:fldCharType="separate"/>
                    </w:r>
                    <w:r>
                      <w:t>41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2B0D1">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9"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D263679">
                          <w:pPr>
                            <w:pStyle w:val="18"/>
                          </w:pPr>
                          <w:r>
                            <w:fldChar w:fldCharType="begin"/>
                          </w:r>
                          <w:r>
                            <w:instrText xml:space="preserve"> PAGE  \* MERGEFORMAT </w:instrText>
                          </w:r>
                          <w:r>
                            <w:fldChar w:fldCharType="separate"/>
                          </w:r>
                          <w:r>
                            <w:t>59</w:t>
                          </w:r>
                          <w:r>
                            <w:fldChar w:fldCharType="end"/>
                          </w:r>
                        </w:p>
                      </w:txbxContent>
                    </wps:txbx>
                    <wps:bodyPr vert="horz" wrap="none" lIns="0" tIns="0" rIns="0" bIns="0" anchor="t">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m6eNywEAAJMDAAAOAAAAAAAAAAEAIAAAAB8BAABkcnMvZTJv&#10;RG9jLnhtbFBLBQYAAAAABgAGAFkBAABcBQAAAAA=&#10;">
              <v:fill on="f" focussize="0,0"/>
              <v:stroke on="f"/>
              <v:imagedata o:title=""/>
              <o:lock v:ext="edit" aspectratio="f"/>
              <v:textbox inset="0mm,0mm,0mm,0mm" style="mso-fit-shape-to-text:t;">
                <w:txbxContent>
                  <w:p w14:paraId="7D263679">
                    <w:pPr>
                      <w:pStyle w:val="18"/>
                    </w:pPr>
                    <w:r>
                      <w:fldChar w:fldCharType="begin"/>
                    </w:r>
                    <w:r>
                      <w:instrText xml:space="preserve"> PAGE  \* MERGEFORMAT </w:instrText>
                    </w:r>
                    <w:r>
                      <w:fldChar w:fldCharType="separate"/>
                    </w:r>
                    <w:r>
                      <w:t>59</w:t>
                    </w:r>
                    <w:r>
                      <w:fldChar w:fldCharType="end"/>
                    </w:r>
                  </w:p>
                </w:txbxContent>
              </v:textbox>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343F1">
    <w:pPr>
      <w:spacing w:line="186" w:lineRule="auto"/>
      <w:ind w:left="435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0"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F8CDBCF">
                          <w:pPr>
                            <w:pStyle w:val="18"/>
                          </w:pPr>
                          <w:r>
                            <w:fldChar w:fldCharType="begin"/>
                          </w:r>
                          <w:r>
                            <w:instrText xml:space="preserve"> PAGE  \* MERGEFORMAT </w:instrText>
                          </w:r>
                          <w:r>
                            <w:fldChar w:fldCharType="separate"/>
                          </w:r>
                          <w:r>
                            <w:t>60</w:t>
                          </w:r>
                          <w:r>
                            <w:fldChar w:fldCharType="end"/>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DN200skBAACTAwAADgAAAAAAAAABACAAAAAfAQAAZHJzL2Uyb0Rv&#10;Yy54bWxQSwUGAAAAAAYABgBZAQAAWgUAAAAA&#10;">
              <v:fill on="f" focussize="0,0"/>
              <v:stroke on="f"/>
              <v:imagedata o:title=""/>
              <o:lock v:ext="edit" aspectratio="f"/>
              <v:textbox inset="0mm,0mm,0mm,0mm" style="mso-fit-shape-to-text:t;">
                <w:txbxContent>
                  <w:p w14:paraId="0F8CDBCF">
                    <w:pPr>
                      <w:pStyle w:val="18"/>
                    </w:pPr>
                    <w:r>
                      <w:fldChar w:fldCharType="begin"/>
                    </w:r>
                    <w:r>
                      <w:instrText xml:space="preserve"> PAGE  \* MERGEFORMAT </w:instrText>
                    </w:r>
                    <w:r>
                      <w:fldChar w:fldCharType="separate"/>
                    </w:r>
                    <w:r>
                      <w:t>60</w:t>
                    </w:r>
                    <w:r>
                      <w:fldChar w:fldCharType="end"/>
                    </w:r>
                  </w:p>
                </w:txbxContent>
              </v:textbox>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C6DE">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1"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2900FE6">
                          <w:pPr>
                            <w:pStyle w:val="18"/>
                          </w:pPr>
                          <w:r>
                            <w:fldChar w:fldCharType="begin"/>
                          </w:r>
                          <w:r>
                            <w:instrText xml:space="preserve"> PAGE  \* MERGEFORMAT </w:instrText>
                          </w:r>
                          <w:r>
                            <w:fldChar w:fldCharType="separate"/>
                          </w:r>
                          <w:r>
                            <w:t>61</w:t>
                          </w:r>
                          <w:r>
                            <w:fldChar w:fldCharType="end"/>
                          </w:r>
                        </w:p>
                      </w:txbxContent>
                    </wps:txbx>
                    <wps:bodyPr vert="horz" wrap="none" lIns="0" tIns="0" rIns="0" bIns="0" anchor="t">
                      <a:spAutoFit/>
                    </wps:bodyPr>
                  </wps:wsp>
                </a:graphicData>
              </a:graphic>
            </wp:anchor>
          </w:drawing>
        </mc:Choice>
        <mc:Fallback>
          <w:pict>
            <v:rect id="文本框 1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sq5sywEAAJMDAAAOAAAAAAAAAAEAIAAAAB8BAABkcnMvZTJv&#10;RG9jLnhtbFBLBQYAAAAABgAGAFkBAABcBQAAAAA=&#10;">
              <v:fill on="f" focussize="0,0"/>
              <v:stroke on="f"/>
              <v:imagedata o:title=""/>
              <o:lock v:ext="edit" aspectratio="f"/>
              <v:textbox inset="0mm,0mm,0mm,0mm" style="mso-fit-shape-to-text:t;">
                <w:txbxContent>
                  <w:p w14:paraId="32900FE6">
                    <w:pPr>
                      <w:pStyle w:val="18"/>
                    </w:pPr>
                    <w:r>
                      <w:fldChar w:fldCharType="begin"/>
                    </w:r>
                    <w:r>
                      <w:instrText xml:space="preserve"> PAGE  \* MERGEFORMAT </w:instrText>
                    </w:r>
                    <w:r>
                      <w:fldChar w:fldCharType="separate"/>
                    </w:r>
                    <w:r>
                      <w:t>61</w:t>
                    </w:r>
                    <w:r>
                      <w:fldChar w:fldCharType="end"/>
                    </w:r>
                  </w:p>
                </w:txbxContent>
              </v:textbox>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660EA">
    <w:pPr>
      <w:spacing w:line="188" w:lineRule="auto"/>
      <w:ind w:left="446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2" name="文本框 2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ACB891A">
                          <w:pPr>
                            <w:pStyle w:val="18"/>
                          </w:pPr>
                          <w:r>
                            <w:fldChar w:fldCharType="begin"/>
                          </w:r>
                          <w:r>
                            <w:instrText xml:space="preserve"> PAGE  \* MERGEFORMAT </w:instrText>
                          </w:r>
                          <w:r>
                            <w:fldChar w:fldCharType="separate"/>
                          </w:r>
                          <w:r>
                            <w:t>62</w:t>
                          </w:r>
                          <w:r>
                            <w:fldChar w:fldCharType="end"/>
                          </w:r>
                        </w:p>
                      </w:txbxContent>
                    </wps:txbx>
                    <wps:bodyPr vert="horz" wrap="none" lIns="0" tIns="0" rIns="0" bIns="0" anchor="t">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zvLY8kBAACTAwAADgAAAAAAAAABACAAAAAfAQAAZHJzL2Uyb0Rv&#10;Yy54bWxQSwUGAAAAAAYABgBZAQAAWgUAAAAA&#10;">
              <v:fill on="f" focussize="0,0"/>
              <v:stroke on="f"/>
              <v:imagedata o:title=""/>
              <o:lock v:ext="edit" aspectratio="f"/>
              <v:textbox inset="0mm,0mm,0mm,0mm" style="mso-fit-shape-to-text:t;">
                <w:txbxContent>
                  <w:p w14:paraId="2ACB891A">
                    <w:pPr>
                      <w:pStyle w:val="18"/>
                    </w:pPr>
                    <w:r>
                      <w:fldChar w:fldCharType="begin"/>
                    </w:r>
                    <w:r>
                      <w:instrText xml:space="preserve"> PAGE  \* MERGEFORMAT </w:instrText>
                    </w:r>
                    <w:r>
                      <w:fldChar w:fldCharType="separate"/>
                    </w:r>
                    <w:r>
                      <w:t>62</w:t>
                    </w:r>
                    <w:r>
                      <w:fldChar w:fldCharType="end"/>
                    </w:r>
                  </w:p>
                </w:txbxContent>
              </v:textbox>
            </v:rect>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DA67">
    <w:pPr>
      <w:spacing w:line="188" w:lineRule="auto"/>
      <w:ind w:left="7337"/>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3"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5EF192">
                          <w:pPr>
                            <w:pStyle w:val="18"/>
                          </w:pPr>
                          <w:r>
                            <w:fldChar w:fldCharType="begin"/>
                          </w:r>
                          <w:r>
                            <w:instrText xml:space="preserve"> PAGE  \* MERGEFORMAT </w:instrText>
                          </w:r>
                          <w:r>
                            <w:fldChar w:fldCharType="separate"/>
                          </w:r>
                          <w:r>
                            <w:t>63</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lU0d3LAQAAkwMAAA4AAABkcnMvZTJvRG9jLnhtbK1TS27bMBDdF+gd&#10;CO5jSU5R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q/K4przpyw9Obn37/Of/6d&#10;//5kyy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JVNHdywEAAJMDAAAOAAAAAAAAAAEAIAAAAB8BAABkcnMvZTJv&#10;RG9jLnhtbFBLBQYAAAAABgAGAFkBAABcBQAAAAA=&#10;">
              <v:fill on="f" focussize="0,0"/>
              <v:stroke on="f"/>
              <v:imagedata o:title=""/>
              <o:lock v:ext="edit" aspectratio="f"/>
              <v:textbox inset="0mm,0mm,0mm,0mm" style="mso-fit-shape-to-text:t;">
                <w:txbxContent>
                  <w:p w14:paraId="115EF192">
                    <w:pPr>
                      <w:pStyle w:val="18"/>
                    </w:pPr>
                    <w:r>
                      <w:fldChar w:fldCharType="begin"/>
                    </w:r>
                    <w:r>
                      <w:instrText xml:space="preserve"> PAGE  \* MERGEFORMAT </w:instrText>
                    </w:r>
                    <w:r>
                      <w:fldChar w:fldCharType="separate"/>
                    </w:r>
                    <w:r>
                      <w:t>63</w:t>
                    </w:r>
                    <w:r>
                      <w:fldChar w:fldCharType="end"/>
                    </w:r>
                  </w:p>
                </w:txbxContent>
              </v:textbox>
            </v:rect>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9AD9F">
    <w:pPr>
      <w:spacing w:line="186" w:lineRule="auto"/>
      <w:ind w:left="480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4"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7BB93D">
                          <w:pPr>
                            <w:pStyle w:val="18"/>
                          </w:pPr>
                          <w:r>
                            <w:fldChar w:fldCharType="begin"/>
                          </w:r>
                          <w:r>
                            <w:instrText xml:space="preserve"> PAGE  \* MERGEFORMAT </w:instrText>
                          </w:r>
                          <w:r>
                            <w:fldChar w:fldCharType="separate"/>
                          </w:r>
                          <w:r>
                            <w:t>64</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KSqsGTKAQAAkwMAAA4AAAAAAAAAAQAgAAAAHwEAAGRycy9lMm9E&#10;b2MueG1sUEsFBgAAAAAGAAYAWQEAAFsFAAAAAA==&#10;">
              <v:fill on="f" focussize="0,0"/>
              <v:stroke on="f"/>
              <v:imagedata o:title=""/>
              <o:lock v:ext="edit" aspectratio="f"/>
              <v:textbox inset="0mm,0mm,0mm,0mm" style="mso-fit-shape-to-text:t;">
                <w:txbxContent>
                  <w:p w14:paraId="2D7BB93D">
                    <w:pPr>
                      <w:pStyle w:val="18"/>
                    </w:pPr>
                    <w:r>
                      <w:fldChar w:fldCharType="begin"/>
                    </w:r>
                    <w:r>
                      <w:instrText xml:space="preserve"> PAGE  \* MERGEFORMAT </w:instrText>
                    </w:r>
                    <w:r>
                      <w:fldChar w:fldCharType="separate"/>
                    </w:r>
                    <w:r>
                      <w:t>64</w:t>
                    </w:r>
                    <w:r>
                      <w:fldChar w:fldCharType="end"/>
                    </w:r>
                  </w:p>
                </w:txbxContent>
              </v:textbox>
            </v:rect>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63D0">
    <w:pPr>
      <w:spacing w:line="188" w:lineRule="auto"/>
      <w:ind w:left="4661"/>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5" name="文本框 2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DFCC072">
                          <w:pPr>
                            <w:pStyle w:val="18"/>
                          </w:pPr>
                          <w:r>
                            <w:fldChar w:fldCharType="begin"/>
                          </w:r>
                          <w:r>
                            <w:instrText xml:space="preserve"> PAGE  \* MERGEFORMAT </w:instrText>
                          </w:r>
                          <w:r>
                            <w:fldChar w:fldCharType="separate"/>
                          </w:r>
                          <w:r>
                            <w:t>67</w:t>
                          </w:r>
                          <w:r>
                            <w:fldChar w:fldCharType="end"/>
                          </w:r>
                        </w:p>
                      </w:txbxContent>
                    </wps:txbx>
                    <wps:bodyPr vert="horz" wrap="none" lIns="0" tIns="0" rIns="0" bIns="0" anchor="t">
                      <a:spAutoFit/>
                    </wps:bodyPr>
                  </wps:wsp>
                </a:graphicData>
              </a:graphic>
            </wp:anchor>
          </w:drawing>
        </mc:Choice>
        <mc:Fallback>
          <w:pict>
            <v:rect id="文本框 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3HNBjLAQAAkwMAAA4AAABkcnMvZTJvRG9jLnhtbK1TS27bMBDdF8gd&#10;CO5jSUZTG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V/WxQ3nDlh6c3PP76ff/4+&#10;//rGljfJoi5gSSefwiNMGVKY9PYN2PQlJawfbD1dbFV9ZJI2i9VytcrJcUm1OSGc7Pl6AIwflLcs&#10;BRUHerfBTnF8wDgenY+kbsal1fk7bcxYTTtZojkSS1Hsd/3EdufrE8mkqSfw1sNXzjp684o7GnHO&#10;zL0jS9N4zAHMwW4OhJN0seIjLwzvD5HaD9xSs7HDxIHealA3zVUahr/z4dTzv7T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9xzQYywEAAJMDAAAOAAAAAAAAAAEAIAAAAB8BAABkcnMvZTJv&#10;RG9jLnhtbFBLBQYAAAAABgAGAFkBAABcBQAAAAA=&#10;">
              <v:fill on="f" focussize="0,0"/>
              <v:stroke on="f"/>
              <v:imagedata o:title=""/>
              <o:lock v:ext="edit" aspectratio="f"/>
              <v:textbox inset="0mm,0mm,0mm,0mm" style="mso-fit-shape-to-text:t;">
                <w:txbxContent>
                  <w:p w14:paraId="5DFCC072">
                    <w:pPr>
                      <w:pStyle w:val="18"/>
                    </w:pPr>
                    <w:r>
                      <w:fldChar w:fldCharType="begin"/>
                    </w:r>
                    <w:r>
                      <w:instrText xml:space="preserve"> PAGE  \* MERGEFORMAT </w:instrText>
                    </w:r>
                    <w:r>
                      <w:fldChar w:fldCharType="separate"/>
                    </w:r>
                    <w:r>
                      <w:t>67</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9C096D"/>
    <w:multiLevelType w:val="singleLevel"/>
    <w:tmpl w:val="8C9C096D"/>
    <w:lvl w:ilvl="0" w:tentative="0">
      <w:start w:val="2"/>
      <w:numFmt w:val="decimal"/>
      <w:lvlText w:val="%1."/>
      <w:lvlJc w:val="left"/>
      <w:pPr>
        <w:tabs>
          <w:tab w:val="left" w:pos="312"/>
        </w:tabs>
      </w:pPr>
    </w:lvl>
  </w:abstractNum>
  <w:abstractNum w:abstractNumId="1">
    <w:nsid w:val="00000005"/>
    <w:multiLevelType w:val="multilevel"/>
    <w:tmpl w:val="00000005"/>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9"/>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2">
    <w:nsid w:val="00000007"/>
    <w:multiLevelType w:val="multilevel"/>
    <w:tmpl w:val="00000007"/>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5"/>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00000008"/>
    <w:multiLevelType w:val="singleLevel"/>
    <w:tmpl w:val="00000008"/>
    <w:lvl w:ilvl="0" w:tentative="0">
      <w:start w:val="4"/>
      <w:numFmt w:val="chineseCounting"/>
      <w:suff w:val="nothing"/>
      <w:lvlText w:val="%1、"/>
      <w:lvlJc w:val="left"/>
      <w:rPr>
        <w:rFonts w:hint="eastAsia"/>
      </w:rPr>
    </w:lvl>
  </w:abstractNum>
  <w:abstractNum w:abstractNumId="4">
    <w:nsid w:val="083EF057"/>
    <w:multiLevelType w:val="singleLevel"/>
    <w:tmpl w:val="083EF057"/>
    <w:lvl w:ilvl="0" w:tentative="0">
      <w:start w:val="3"/>
      <w:numFmt w:val="decimal"/>
      <w:suff w:val="nothing"/>
      <w:lvlText w:val="（%1）"/>
      <w:lvlJc w:val="left"/>
    </w:lvl>
  </w:abstractNum>
  <w:abstractNum w:abstractNumId="5">
    <w:nsid w:val="198AAB16"/>
    <w:multiLevelType w:val="singleLevel"/>
    <w:tmpl w:val="198AAB16"/>
    <w:lvl w:ilvl="0" w:tentative="0">
      <w:start w:val="1"/>
      <w:numFmt w:val="chineseCounting"/>
      <w:pStyle w:val="66"/>
      <w:suff w:val="nothing"/>
      <w:lvlText w:val="%1、"/>
      <w:lvlJc w:val="left"/>
      <w:pPr>
        <w:ind w:left="0" w:firstLine="420"/>
      </w:pPr>
      <w:rPr>
        <w:rFonts w:hint="eastAsia"/>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doNotDisplayPageBoundaries w:val="1"/>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0NGExZTIxOGQ5OWFlN2I2Y2MwZmJmZTJkYTIxMjQifQ=="/>
  </w:docVars>
  <w:rsids>
    <w:rsidRoot w:val="00000000"/>
    <w:rsid w:val="00207F35"/>
    <w:rsid w:val="003A6B66"/>
    <w:rsid w:val="004901D4"/>
    <w:rsid w:val="007C0F2D"/>
    <w:rsid w:val="009C337D"/>
    <w:rsid w:val="00AB35C0"/>
    <w:rsid w:val="00FE7BF9"/>
    <w:rsid w:val="0159301C"/>
    <w:rsid w:val="01AF70E0"/>
    <w:rsid w:val="02165344"/>
    <w:rsid w:val="02346455"/>
    <w:rsid w:val="0236335D"/>
    <w:rsid w:val="027E0C2A"/>
    <w:rsid w:val="02840270"/>
    <w:rsid w:val="028E4F47"/>
    <w:rsid w:val="029A1B3E"/>
    <w:rsid w:val="02B2505C"/>
    <w:rsid w:val="03B135A0"/>
    <w:rsid w:val="042C7B36"/>
    <w:rsid w:val="042F236B"/>
    <w:rsid w:val="04CB1E10"/>
    <w:rsid w:val="05340028"/>
    <w:rsid w:val="054B586B"/>
    <w:rsid w:val="059705B7"/>
    <w:rsid w:val="05FE61F2"/>
    <w:rsid w:val="066B167A"/>
    <w:rsid w:val="067A5F0E"/>
    <w:rsid w:val="07571DAC"/>
    <w:rsid w:val="0768220B"/>
    <w:rsid w:val="09191057"/>
    <w:rsid w:val="095A3DD5"/>
    <w:rsid w:val="098A290C"/>
    <w:rsid w:val="099E26EF"/>
    <w:rsid w:val="0AAA2B3A"/>
    <w:rsid w:val="0ADE3BB0"/>
    <w:rsid w:val="0B386398"/>
    <w:rsid w:val="0B3A406F"/>
    <w:rsid w:val="0B8B64C8"/>
    <w:rsid w:val="0C63281E"/>
    <w:rsid w:val="0CCC4FEA"/>
    <w:rsid w:val="0CE911C3"/>
    <w:rsid w:val="0D701E19"/>
    <w:rsid w:val="0DF5231E"/>
    <w:rsid w:val="0E770F85"/>
    <w:rsid w:val="0EC817E1"/>
    <w:rsid w:val="0EF95E3E"/>
    <w:rsid w:val="0F3F6D80"/>
    <w:rsid w:val="0F6634D4"/>
    <w:rsid w:val="0F9D4A1B"/>
    <w:rsid w:val="0FDD0E57"/>
    <w:rsid w:val="107D490A"/>
    <w:rsid w:val="11196324"/>
    <w:rsid w:val="116D721B"/>
    <w:rsid w:val="11E76422"/>
    <w:rsid w:val="12624A54"/>
    <w:rsid w:val="126D1CBF"/>
    <w:rsid w:val="129442FC"/>
    <w:rsid w:val="136715C8"/>
    <w:rsid w:val="13BD568C"/>
    <w:rsid w:val="13C36AF0"/>
    <w:rsid w:val="13DD7ADC"/>
    <w:rsid w:val="14B65D67"/>
    <w:rsid w:val="159A6830"/>
    <w:rsid w:val="161A7070"/>
    <w:rsid w:val="16E9271A"/>
    <w:rsid w:val="17125CEF"/>
    <w:rsid w:val="178169D1"/>
    <w:rsid w:val="17B56640"/>
    <w:rsid w:val="17C074F9"/>
    <w:rsid w:val="182E4DAB"/>
    <w:rsid w:val="188F2489"/>
    <w:rsid w:val="190B50EC"/>
    <w:rsid w:val="19120228"/>
    <w:rsid w:val="1A8C1DD9"/>
    <w:rsid w:val="1A950225"/>
    <w:rsid w:val="1AED589C"/>
    <w:rsid w:val="1B0011DE"/>
    <w:rsid w:val="1B0818E3"/>
    <w:rsid w:val="1B186FA4"/>
    <w:rsid w:val="1B5468D6"/>
    <w:rsid w:val="1B9273FE"/>
    <w:rsid w:val="1D0B56BA"/>
    <w:rsid w:val="1D2642A2"/>
    <w:rsid w:val="1D345DF0"/>
    <w:rsid w:val="1D383FD6"/>
    <w:rsid w:val="1D3D6A4B"/>
    <w:rsid w:val="1E236A34"/>
    <w:rsid w:val="1E426CF2"/>
    <w:rsid w:val="1F362BBF"/>
    <w:rsid w:val="1FA140B4"/>
    <w:rsid w:val="1FD471C5"/>
    <w:rsid w:val="20D83B05"/>
    <w:rsid w:val="212B00D9"/>
    <w:rsid w:val="2161214D"/>
    <w:rsid w:val="21DA38AD"/>
    <w:rsid w:val="21EA1D42"/>
    <w:rsid w:val="22B12860"/>
    <w:rsid w:val="233B037C"/>
    <w:rsid w:val="23BA6FBE"/>
    <w:rsid w:val="2471674B"/>
    <w:rsid w:val="2479432D"/>
    <w:rsid w:val="256516E0"/>
    <w:rsid w:val="25C1100C"/>
    <w:rsid w:val="26154EB4"/>
    <w:rsid w:val="27296555"/>
    <w:rsid w:val="273A72C8"/>
    <w:rsid w:val="2753036E"/>
    <w:rsid w:val="27606603"/>
    <w:rsid w:val="278F4A5D"/>
    <w:rsid w:val="27C60AB0"/>
    <w:rsid w:val="28012902"/>
    <w:rsid w:val="28757E8C"/>
    <w:rsid w:val="291A4CAD"/>
    <w:rsid w:val="292031BB"/>
    <w:rsid w:val="29211DC2"/>
    <w:rsid w:val="29357A83"/>
    <w:rsid w:val="29373007"/>
    <w:rsid w:val="29785E86"/>
    <w:rsid w:val="29E72BF1"/>
    <w:rsid w:val="2A1F3093"/>
    <w:rsid w:val="2AAB4039"/>
    <w:rsid w:val="2BF612E4"/>
    <w:rsid w:val="2C336F35"/>
    <w:rsid w:val="2D03015C"/>
    <w:rsid w:val="2D197980"/>
    <w:rsid w:val="2D510EC7"/>
    <w:rsid w:val="2D575863"/>
    <w:rsid w:val="2D9E60D7"/>
    <w:rsid w:val="2DE47F8D"/>
    <w:rsid w:val="2F1228D8"/>
    <w:rsid w:val="2F5C3B54"/>
    <w:rsid w:val="2FAF6379"/>
    <w:rsid w:val="2FCE1DB4"/>
    <w:rsid w:val="2FDE27BA"/>
    <w:rsid w:val="30D37E45"/>
    <w:rsid w:val="31046349"/>
    <w:rsid w:val="315C772F"/>
    <w:rsid w:val="318555E4"/>
    <w:rsid w:val="31FC33CC"/>
    <w:rsid w:val="324E3C27"/>
    <w:rsid w:val="327411B4"/>
    <w:rsid w:val="335C05C6"/>
    <w:rsid w:val="340A284A"/>
    <w:rsid w:val="3417273F"/>
    <w:rsid w:val="343D21A6"/>
    <w:rsid w:val="347D6A46"/>
    <w:rsid w:val="34B90A7B"/>
    <w:rsid w:val="35235501"/>
    <w:rsid w:val="35521C81"/>
    <w:rsid w:val="356C49DA"/>
    <w:rsid w:val="35E115C1"/>
    <w:rsid w:val="369D33CF"/>
    <w:rsid w:val="37615141"/>
    <w:rsid w:val="37651714"/>
    <w:rsid w:val="37767378"/>
    <w:rsid w:val="37AB38CA"/>
    <w:rsid w:val="37B30AEE"/>
    <w:rsid w:val="38185E2F"/>
    <w:rsid w:val="38675A43"/>
    <w:rsid w:val="38A722E3"/>
    <w:rsid w:val="38C83EBE"/>
    <w:rsid w:val="3A1F1CA4"/>
    <w:rsid w:val="3A43603C"/>
    <w:rsid w:val="3B387EFA"/>
    <w:rsid w:val="3B7A4FE6"/>
    <w:rsid w:val="3B9528C7"/>
    <w:rsid w:val="3BB74B6D"/>
    <w:rsid w:val="3BBD1E1E"/>
    <w:rsid w:val="3C2C331B"/>
    <w:rsid w:val="3C3025F0"/>
    <w:rsid w:val="3CDD4F1D"/>
    <w:rsid w:val="3D0238C1"/>
    <w:rsid w:val="3E0F3918"/>
    <w:rsid w:val="3E442382"/>
    <w:rsid w:val="3E4D1237"/>
    <w:rsid w:val="3E865CC0"/>
    <w:rsid w:val="3EFFA24C"/>
    <w:rsid w:val="3F1C374E"/>
    <w:rsid w:val="3FE756BB"/>
    <w:rsid w:val="3FEFA557"/>
    <w:rsid w:val="40387CC5"/>
    <w:rsid w:val="408F1FDB"/>
    <w:rsid w:val="40925627"/>
    <w:rsid w:val="40EB2F89"/>
    <w:rsid w:val="41AF2209"/>
    <w:rsid w:val="42130460"/>
    <w:rsid w:val="422F753F"/>
    <w:rsid w:val="425D2049"/>
    <w:rsid w:val="42E934F8"/>
    <w:rsid w:val="43340C18"/>
    <w:rsid w:val="43664B49"/>
    <w:rsid w:val="442F13DF"/>
    <w:rsid w:val="448766C3"/>
    <w:rsid w:val="45887465"/>
    <w:rsid w:val="4594599D"/>
    <w:rsid w:val="45B871E1"/>
    <w:rsid w:val="45C85647"/>
    <w:rsid w:val="4699195A"/>
    <w:rsid w:val="46A16181"/>
    <w:rsid w:val="46C068FD"/>
    <w:rsid w:val="46C978C9"/>
    <w:rsid w:val="473311E6"/>
    <w:rsid w:val="47A63E71"/>
    <w:rsid w:val="47C3256A"/>
    <w:rsid w:val="47DB78B4"/>
    <w:rsid w:val="47E013A1"/>
    <w:rsid w:val="4861761A"/>
    <w:rsid w:val="486D24D6"/>
    <w:rsid w:val="48E04A06"/>
    <w:rsid w:val="49E92301"/>
    <w:rsid w:val="4A1C2405"/>
    <w:rsid w:val="4A4A6F73"/>
    <w:rsid w:val="4A8D175A"/>
    <w:rsid w:val="4AB80380"/>
    <w:rsid w:val="4B2B56D6"/>
    <w:rsid w:val="4B67093E"/>
    <w:rsid w:val="4C0C0983"/>
    <w:rsid w:val="4E0A0EF3"/>
    <w:rsid w:val="4EC248E9"/>
    <w:rsid w:val="507B60D8"/>
    <w:rsid w:val="50B74C36"/>
    <w:rsid w:val="50F33EC0"/>
    <w:rsid w:val="51475FBA"/>
    <w:rsid w:val="52132340"/>
    <w:rsid w:val="52956C08"/>
    <w:rsid w:val="52A501FA"/>
    <w:rsid w:val="52CF3A41"/>
    <w:rsid w:val="53DA3115"/>
    <w:rsid w:val="546E5C98"/>
    <w:rsid w:val="5486504B"/>
    <w:rsid w:val="54F2623D"/>
    <w:rsid w:val="55344AA7"/>
    <w:rsid w:val="558902F7"/>
    <w:rsid w:val="55B92FF0"/>
    <w:rsid w:val="55D43B94"/>
    <w:rsid w:val="560B1CAC"/>
    <w:rsid w:val="561A1BD8"/>
    <w:rsid w:val="56AE0AF2"/>
    <w:rsid w:val="571628C8"/>
    <w:rsid w:val="57335A1F"/>
    <w:rsid w:val="57C31C00"/>
    <w:rsid w:val="584E76A7"/>
    <w:rsid w:val="58CB127E"/>
    <w:rsid w:val="58E30CBE"/>
    <w:rsid w:val="58F77B64"/>
    <w:rsid w:val="5A096502"/>
    <w:rsid w:val="5A3453DA"/>
    <w:rsid w:val="5ABC3575"/>
    <w:rsid w:val="5AC02939"/>
    <w:rsid w:val="5B13515F"/>
    <w:rsid w:val="5B4A5896"/>
    <w:rsid w:val="5B865931"/>
    <w:rsid w:val="5B8B1199"/>
    <w:rsid w:val="5BF40AEC"/>
    <w:rsid w:val="5CB14C2F"/>
    <w:rsid w:val="5D0C38DF"/>
    <w:rsid w:val="5E067761"/>
    <w:rsid w:val="5E37145B"/>
    <w:rsid w:val="5E4C7EA6"/>
    <w:rsid w:val="5E994821"/>
    <w:rsid w:val="5EBD78BB"/>
    <w:rsid w:val="5F7F1015"/>
    <w:rsid w:val="5FB25257"/>
    <w:rsid w:val="5FD30B8B"/>
    <w:rsid w:val="60BE791B"/>
    <w:rsid w:val="621C6FEF"/>
    <w:rsid w:val="62940A10"/>
    <w:rsid w:val="62AE006E"/>
    <w:rsid w:val="631A352E"/>
    <w:rsid w:val="63276573"/>
    <w:rsid w:val="634E3437"/>
    <w:rsid w:val="63555179"/>
    <w:rsid w:val="63C90AB0"/>
    <w:rsid w:val="63CD4FA9"/>
    <w:rsid w:val="64967A65"/>
    <w:rsid w:val="65FF25D9"/>
    <w:rsid w:val="66657707"/>
    <w:rsid w:val="66C905AC"/>
    <w:rsid w:val="66D6120F"/>
    <w:rsid w:val="67001E82"/>
    <w:rsid w:val="67C3769D"/>
    <w:rsid w:val="67D13202"/>
    <w:rsid w:val="68910714"/>
    <w:rsid w:val="68B1654A"/>
    <w:rsid w:val="690A7BA1"/>
    <w:rsid w:val="69F529EE"/>
    <w:rsid w:val="6A460108"/>
    <w:rsid w:val="6B7B1AB7"/>
    <w:rsid w:val="6C5C22D4"/>
    <w:rsid w:val="6D371181"/>
    <w:rsid w:val="6E522AE8"/>
    <w:rsid w:val="6EA14120"/>
    <w:rsid w:val="6EF90AB4"/>
    <w:rsid w:val="6F2579BF"/>
    <w:rsid w:val="6FEF3C1B"/>
    <w:rsid w:val="70512430"/>
    <w:rsid w:val="71871854"/>
    <w:rsid w:val="727D4545"/>
    <w:rsid w:val="72C2329A"/>
    <w:rsid w:val="72E03917"/>
    <w:rsid w:val="72F316A6"/>
    <w:rsid w:val="738E5CE6"/>
    <w:rsid w:val="73B513F3"/>
    <w:rsid w:val="73DB194D"/>
    <w:rsid w:val="74675EA7"/>
    <w:rsid w:val="74E74A45"/>
    <w:rsid w:val="75B43B85"/>
    <w:rsid w:val="76684159"/>
    <w:rsid w:val="76745EA9"/>
    <w:rsid w:val="76F854DD"/>
    <w:rsid w:val="779F004E"/>
    <w:rsid w:val="77CB1832"/>
    <w:rsid w:val="77E141C3"/>
    <w:rsid w:val="78232A2D"/>
    <w:rsid w:val="78C56889"/>
    <w:rsid w:val="78FA1C9A"/>
    <w:rsid w:val="79116D2A"/>
    <w:rsid w:val="79537342"/>
    <w:rsid w:val="7A796935"/>
    <w:rsid w:val="7AE55D78"/>
    <w:rsid w:val="7C9215A5"/>
    <w:rsid w:val="7D2854EC"/>
    <w:rsid w:val="7D976DE3"/>
    <w:rsid w:val="7DBD2FDC"/>
    <w:rsid w:val="7DC4436B"/>
    <w:rsid w:val="7DC73E5B"/>
    <w:rsid w:val="7E68119A"/>
    <w:rsid w:val="7F71187E"/>
    <w:rsid w:val="7F863192"/>
    <w:rsid w:val="7FB8169C"/>
    <w:rsid w:val="FDF617A8"/>
    <w:rsid w:val="FFBC9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1"/>
    <w:basedOn w:val="1"/>
    <w:next w:val="1"/>
    <w:link w:val="4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numPr>
        <w:ilvl w:val="1"/>
        <w:numId w:val="1"/>
      </w:numPr>
      <w:tabs>
        <w:tab w:val="left" w:pos="360"/>
        <w:tab w:val="left" w:pos="420"/>
      </w:tabs>
      <w:spacing w:line="360" w:lineRule="auto"/>
      <w:outlineLvl w:val="1"/>
    </w:pPr>
    <w:rPr>
      <w:rFonts w:eastAsia="宋体"/>
      <w:b/>
      <w:sz w:val="24"/>
      <w:szCs w:val="20"/>
    </w:rPr>
  </w:style>
  <w:style w:type="paragraph" w:styleId="6">
    <w:name w:val="heading 3"/>
    <w:basedOn w:val="1"/>
    <w:next w:val="7"/>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8">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9">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33">
    <w:name w:val="Default Paragraph Font"/>
    <w:qFormat/>
    <w:uiPriority w:val="1"/>
  </w:style>
  <w:style w:type="table" w:default="1" w:styleId="31">
    <w:name w:val="Normal Table"/>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 w:val="20"/>
    </w:rPr>
  </w:style>
  <w:style w:type="paragraph" w:styleId="3">
    <w:name w:val="toc 2"/>
    <w:basedOn w:val="1"/>
    <w:next w:val="1"/>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customStyle="1" w:styleId="7">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10">
    <w:name w:val="Normal Indent"/>
    <w:basedOn w:val="1"/>
    <w:next w:val="1"/>
    <w:qFormat/>
    <w:uiPriority w:val="0"/>
    <w:pPr>
      <w:ind w:firstLine="420" w:firstLineChars="200"/>
    </w:pPr>
  </w:style>
  <w:style w:type="paragraph" w:styleId="11">
    <w:name w:val="annotation text"/>
    <w:basedOn w:val="1"/>
    <w:link w:val="42"/>
    <w:qFormat/>
    <w:uiPriority w:val="0"/>
    <w:pPr>
      <w:widowControl w:val="0"/>
    </w:pPr>
    <w:rPr>
      <w:rFonts w:ascii="Times New Roman" w:hAnsi="Times New Roman" w:eastAsia="宋体" w:cs="Times New Roman"/>
      <w:kern w:val="2"/>
      <w:szCs w:val="24"/>
    </w:rPr>
  </w:style>
  <w:style w:type="paragraph" w:styleId="12">
    <w:name w:val="Body Text Indent"/>
    <w:basedOn w:val="1"/>
    <w:next w:val="1"/>
    <w:qFormat/>
    <w:uiPriority w:val="0"/>
    <w:pPr>
      <w:spacing w:line="500" w:lineRule="atLeast"/>
      <w:ind w:firstLine="510"/>
    </w:pPr>
    <w:rPr>
      <w:rFonts w:ascii="仿宋_GB2312" w:eastAsia="仿宋_GB2312"/>
      <w:sz w:val="24"/>
      <w:szCs w:val="20"/>
    </w:rPr>
  </w:style>
  <w:style w:type="paragraph" w:styleId="13">
    <w:name w:val="toc 3"/>
    <w:basedOn w:val="1"/>
    <w:next w:val="1"/>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4">
    <w:name w:val="Plain Text"/>
    <w:basedOn w:val="1"/>
    <w:qFormat/>
    <w:uiPriority w:val="99"/>
    <w:pPr>
      <w:autoSpaceDN/>
      <w:adjustRightInd/>
      <w:jc w:val="both"/>
    </w:pPr>
    <w:rPr>
      <w:rFonts w:ascii="宋体" w:hAnsi="Courier New"/>
      <w:sz w:val="20"/>
      <w:szCs w:val="20"/>
    </w:rPr>
  </w:style>
  <w:style w:type="paragraph" w:styleId="15">
    <w:name w:val="Date"/>
    <w:basedOn w:val="1"/>
    <w:next w:val="1"/>
    <w:qFormat/>
    <w:uiPriority w:val="0"/>
    <w:rPr>
      <w:rFonts w:ascii="宋体"/>
      <w:szCs w:val="20"/>
    </w:rPr>
  </w:style>
  <w:style w:type="paragraph" w:styleId="16">
    <w:name w:val="Body Text Indent 2"/>
    <w:basedOn w:val="1"/>
    <w:qFormat/>
    <w:uiPriority w:val="0"/>
    <w:pPr>
      <w:spacing w:line="360" w:lineRule="auto"/>
      <w:ind w:firstLine="601"/>
      <w:textAlignment w:val="baseline"/>
    </w:pPr>
    <w:rPr>
      <w:rFonts w:ascii="宋体"/>
      <w:kern w:val="0"/>
      <w:sz w:val="28"/>
      <w:szCs w:val="20"/>
    </w:rPr>
  </w:style>
  <w:style w:type="paragraph" w:styleId="17">
    <w:name w:val="Balloon Text"/>
    <w:basedOn w:val="1"/>
    <w:link w:val="43"/>
    <w:qFormat/>
    <w:uiPriority w:val="0"/>
    <w:rPr>
      <w:sz w:val="18"/>
      <w:szCs w:val="18"/>
    </w:rPr>
  </w:style>
  <w:style w:type="paragraph" w:styleId="18">
    <w:name w:val="footer"/>
    <w:basedOn w:val="1"/>
    <w:link w:val="44"/>
    <w:qFormat/>
    <w:uiPriority w:val="0"/>
    <w:pPr>
      <w:tabs>
        <w:tab w:val="center" w:pos="4153"/>
        <w:tab w:val="right" w:pos="8306"/>
      </w:tabs>
    </w:pPr>
    <w:rPr>
      <w:sz w:val="18"/>
      <w:szCs w:val="18"/>
    </w:rPr>
  </w:style>
  <w:style w:type="paragraph" w:styleId="19">
    <w:name w:val="header"/>
    <w:basedOn w:val="1"/>
    <w:link w:val="45"/>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toc 6"/>
    <w:basedOn w:val="1"/>
    <w:next w:val="1"/>
    <w:qFormat/>
    <w:uiPriority w:val="99"/>
    <w:pPr>
      <w:autoSpaceDN/>
      <w:adjustRightInd/>
      <w:spacing w:before="100" w:beforeAutospacing="1" w:after="100" w:afterAutospacing="1"/>
      <w:ind w:left="2100" w:leftChars="1000"/>
      <w:jc w:val="both"/>
    </w:pPr>
    <w:rPr>
      <w:kern w:val="2"/>
    </w:rPr>
  </w:style>
  <w:style w:type="paragraph" w:styleId="23">
    <w:name w:val="Body Text Indent 3"/>
    <w:basedOn w:val="1"/>
    <w:qFormat/>
    <w:uiPriority w:val="0"/>
    <w:pPr>
      <w:spacing w:after="120"/>
      <w:ind w:left="420" w:leftChars="200"/>
    </w:pPr>
    <w:rPr>
      <w:sz w:val="16"/>
      <w:szCs w:val="16"/>
    </w:rPr>
  </w:style>
  <w:style w:type="paragraph" w:styleId="24">
    <w:name w:val="Body Text 2"/>
    <w:basedOn w:val="1"/>
    <w:next w:val="2"/>
    <w:qFormat/>
    <w:uiPriority w:val="0"/>
    <w:pPr>
      <w:spacing w:line="480" w:lineRule="auto"/>
    </w:pPr>
  </w:style>
  <w:style w:type="paragraph" w:styleId="25">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26">
    <w:name w:val="Normal (Web)"/>
    <w:basedOn w:val="1"/>
    <w:qFormat/>
    <w:uiPriority w:val="0"/>
    <w:pPr>
      <w:spacing w:before="100" w:beforeAutospacing="1" w:after="100" w:afterAutospacing="1"/>
    </w:pPr>
    <w:rPr>
      <w:rFonts w:cs="Times New Roman"/>
      <w:sz w:val="24"/>
    </w:rPr>
  </w:style>
  <w:style w:type="paragraph" w:styleId="27">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8">
    <w:name w:val="annotation subject"/>
    <w:basedOn w:val="11"/>
    <w:next w:val="11"/>
    <w:link w:val="46"/>
    <w:qFormat/>
    <w:uiPriority w:val="0"/>
    <w:rPr>
      <w:b/>
      <w:bCs/>
    </w:rPr>
  </w:style>
  <w:style w:type="paragraph" w:styleId="29">
    <w:name w:val="Body Text First Indent"/>
    <w:basedOn w:val="2"/>
    <w:qFormat/>
    <w:uiPriority w:val="99"/>
    <w:pPr>
      <w:ind w:firstLine="420" w:firstLineChars="100"/>
    </w:pPr>
  </w:style>
  <w:style w:type="paragraph" w:styleId="30">
    <w:name w:val="Body Text First Indent 2"/>
    <w:basedOn w:val="12"/>
    <w:qFormat/>
    <w:uiPriority w:val="99"/>
    <w:pPr>
      <w:spacing w:line="200" w:lineRule="atLeast"/>
      <w:ind w:firstLine="420"/>
    </w:pPr>
    <w:rPr>
      <w:rFonts w:ascii="宋体" w:hAnsi="Courier New"/>
      <w:spacing w:val="-4"/>
      <w:sz w:val="18"/>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FollowedHyperlink"/>
    <w:basedOn w:val="33"/>
    <w:qFormat/>
    <w:uiPriority w:val="0"/>
    <w:rPr>
      <w:color w:val="800080"/>
      <w:u w:val="none"/>
    </w:rPr>
  </w:style>
  <w:style w:type="character" w:styleId="36">
    <w:name w:val="Hyperlink"/>
    <w:basedOn w:val="33"/>
    <w:qFormat/>
    <w:uiPriority w:val="0"/>
    <w:rPr>
      <w:color w:val="0000FF"/>
      <w:u w:val="single"/>
    </w:rPr>
  </w:style>
  <w:style w:type="character" w:styleId="37">
    <w:name w:val="annotation reference"/>
    <w:basedOn w:val="33"/>
    <w:qFormat/>
    <w:uiPriority w:val="0"/>
    <w:rPr>
      <w:sz w:val="21"/>
      <w:szCs w:val="21"/>
    </w:rPr>
  </w:style>
  <w:style w:type="paragraph" w:customStyle="1" w:styleId="38">
    <w:name w:val="明显引用1"/>
    <w:basedOn w:val="1"/>
    <w:next w:val="1"/>
    <w:qFormat/>
    <w:uiPriority w:val="0"/>
    <w:pPr>
      <w:spacing w:before="200" w:after="280"/>
      <w:ind w:left="936" w:right="936"/>
    </w:pPr>
    <w:rPr>
      <w:b/>
      <w:i/>
      <w:color w:val="4F81BD"/>
      <w:sz w:val="20"/>
    </w:rPr>
  </w:style>
  <w:style w:type="paragraph" w:customStyle="1" w:styleId="39">
    <w:name w:val="TOC1"/>
    <w:basedOn w:val="1"/>
    <w:next w:val="1"/>
    <w:qFormat/>
    <w:uiPriority w:val="0"/>
    <w:pPr>
      <w:tabs>
        <w:tab w:val="right" w:leader="dot" w:pos="9203"/>
      </w:tabs>
      <w:spacing w:before="120" w:after="120" w:line="360" w:lineRule="auto"/>
      <w:jc w:val="center"/>
      <w:textAlignment w:val="baseline"/>
    </w:pPr>
    <w:rPr>
      <w:rFonts w:ascii="宋体" w:hAnsi="宋体"/>
      <w:b/>
      <w:bCs/>
      <w:caps/>
      <w:sz w:val="20"/>
      <w:szCs w:val="20"/>
    </w:rPr>
  </w:style>
  <w:style w:type="paragraph" w:customStyle="1" w:styleId="4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1">
    <w:name w:val="标题 1 字符"/>
    <w:basedOn w:val="33"/>
    <w:link w:val="4"/>
    <w:qFormat/>
    <w:uiPriority w:val="0"/>
    <w:rPr>
      <w:rFonts w:ascii="Arial" w:hAnsi="Arial" w:eastAsia="Arial" w:cs="Arial"/>
      <w:b/>
      <w:bCs/>
      <w:snapToGrid w:val="0"/>
      <w:color w:val="000000"/>
      <w:kern w:val="44"/>
      <w:sz w:val="44"/>
      <w:szCs w:val="44"/>
    </w:rPr>
  </w:style>
  <w:style w:type="character" w:customStyle="1" w:styleId="42">
    <w:name w:val="批注文字 字符"/>
    <w:basedOn w:val="33"/>
    <w:link w:val="11"/>
    <w:qFormat/>
    <w:uiPriority w:val="0"/>
    <w:rPr>
      <w:kern w:val="2"/>
      <w:sz w:val="21"/>
      <w:szCs w:val="24"/>
    </w:rPr>
  </w:style>
  <w:style w:type="character" w:customStyle="1" w:styleId="43">
    <w:name w:val="批注框文本 字符"/>
    <w:basedOn w:val="33"/>
    <w:link w:val="17"/>
    <w:qFormat/>
    <w:uiPriority w:val="0"/>
    <w:rPr>
      <w:rFonts w:ascii="Arial" w:hAnsi="Arial" w:eastAsia="Arial" w:cs="Arial"/>
      <w:snapToGrid w:val="0"/>
      <w:color w:val="000000"/>
      <w:sz w:val="18"/>
      <w:szCs w:val="18"/>
    </w:rPr>
  </w:style>
  <w:style w:type="character" w:customStyle="1" w:styleId="44">
    <w:name w:val="页脚 字符"/>
    <w:basedOn w:val="33"/>
    <w:link w:val="18"/>
    <w:qFormat/>
    <w:uiPriority w:val="0"/>
    <w:rPr>
      <w:rFonts w:ascii="Arial" w:hAnsi="Arial" w:eastAsia="Arial" w:cs="Arial"/>
      <w:snapToGrid w:val="0"/>
      <w:color w:val="000000"/>
      <w:sz w:val="18"/>
      <w:szCs w:val="18"/>
    </w:rPr>
  </w:style>
  <w:style w:type="character" w:customStyle="1" w:styleId="45">
    <w:name w:val="页眉 字符"/>
    <w:basedOn w:val="33"/>
    <w:link w:val="19"/>
    <w:qFormat/>
    <w:uiPriority w:val="0"/>
    <w:rPr>
      <w:rFonts w:ascii="Arial" w:hAnsi="Arial" w:eastAsia="Arial" w:cs="Arial"/>
      <w:snapToGrid w:val="0"/>
      <w:color w:val="000000"/>
      <w:sz w:val="18"/>
      <w:szCs w:val="18"/>
    </w:rPr>
  </w:style>
  <w:style w:type="character" w:customStyle="1" w:styleId="46">
    <w:name w:val="批注主题 字符"/>
    <w:basedOn w:val="47"/>
    <w:link w:val="28"/>
    <w:qFormat/>
    <w:uiPriority w:val="0"/>
    <w:rPr>
      <w:rFonts w:ascii="Arial" w:hAnsi="Arial" w:eastAsia="Arial" w:cs="Arial"/>
      <w:b/>
      <w:bCs/>
      <w:snapToGrid w:val="0"/>
      <w:color w:val="000000"/>
      <w:sz w:val="21"/>
      <w:szCs w:val="21"/>
    </w:rPr>
  </w:style>
  <w:style w:type="character" w:customStyle="1" w:styleId="47">
    <w:name w:val="批注文字 Char"/>
    <w:basedOn w:val="33"/>
    <w:qFormat/>
    <w:uiPriority w:val="0"/>
    <w:rPr>
      <w:rFonts w:ascii="Arial" w:hAnsi="Arial" w:eastAsia="Arial" w:cs="Arial"/>
      <w:snapToGrid w:val="0"/>
      <w:color w:val="000000"/>
      <w:sz w:val="21"/>
      <w:szCs w:val="21"/>
    </w:rPr>
  </w:style>
  <w:style w:type="paragraph" w:customStyle="1" w:styleId="48">
    <w:name w:val="Heading1"/>
    <w:basedOn w:val="1"/>
    <w:next w:val="1"/>
    <w:qFormat/>
    <w:uiPriority w:val="0"/>
    <w:pPr>
      <w:keepNext/>
      <w:keepLines/>
      <w:spacing w:before="340" w:after="330" w:line="576" w:lineRule="auto"/>
    </w:pPr>
    <w:rPr>
      <w:b/>
      <w:bCs/>
      <w:kern w:val="44"/>
      <w:sz w:val="44"/>
      <w:szCs w:val="44"/>
    </w:rPr>
  </w:style>
  <w:style w:type="table" w:customStyle="1" w:styleId="49">
    <w:name w:val="Table Normal"/>
    <w:qFormat/>
    <w:uiPriority w:val="0"/>
    <w:tblPr>
      <w:tblCellMar>
        <w:top w:w="0" w:type="dxa"/>
        <w:left w:w="0" w:type="dxa"/>
        <w:bottom w:w="0" w:type="dxa"/>
        <w:right w:w="0" w:type="dxa"/>
      </w:tblCellMar>
    </w:tblPr>
  </w:style>
  <w:style w:type="paragraph" w:customStyle="1" w:styleId="50">
    <w:name w:val="TOC 标题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51">
    <w:name w:val="正文，首行缩进:"/>
    <w:basedOn w:val="1"/>
    <w:qFormat/>
    <w:uiPriority w:val="0"/>
    <w:pPr>
      <w:spacing w:line="460" w:lineRule="exact"/>
      <w:ind w:firstLine="480" w:firstLineChars="200"/>
    </w:pPr>
    <w:rPr>
      <w:rFonts w:ascii="宋体" w:hAnsi="宋体" w:cs="宋体"/>
    </w:rPr>
  </w:style>
  <w:style w:type="paragraph" w:customStyle="1" w:styleId="52">
    <w:name w:val="Table Paragraph"/>
    <w:basedOn w:val="1"/>
    <w:qFormat/>
    <w:uiPriority w:val="1"/>
    <w:pPr>
      <w:ind w:firstLine="126" w:firstLineChars="60"/>
    </w:pPr>
  </w:style>
  <w:style w:type="paragraph" w:styleId="53">
    <w:name w:val="List Paragraph"/>
    <w:basedOn w:val="1"/>
    <w:qFormat/>
    <w:uiPriority w:val="0"/>
    <w:pPr>
      <w:spacing w:line="440" w:lineRule="exact"/>
      <w:ind w:firstLine="420" w:firstLineChars="200"/>
    </w:pPr>
    <w:rPr>
      <w:szCs w:val="20"/>
    </w:rPr>
  </w:style>
  <w:style w:type="paragraph" w:customStyle="1" w:styleId="54">
    <w:name w:val="正文1"/>
    <w:qFormat/>
    <w:uiPriority w:val="0"/>
    <w:pPr>
      <w:jc w:val="both"/>
    </w:pPr>
    <w:rPr>
      <w:rFonts w:ascii="Calibri" w:hAnsi="Calibri" w:eastAsia="宋体" w:cs="Calibri"/>
      <w:kern w:val="2"/>
      <w:sz w:val="21"/>
      <w:szCs w:val="21"/>
      <w:lang w:val="en-US" w:eastAsia="zh-CN" w:bidi="ar-SA"/>
    </w:rPr>
  </w:style>
  <w:style w:type="paragraph" w:customStyle="1" w:styleId="55">
    <w:name w:val="修订1"/>
    <w:qFormat/>
    <w:uiPriority w:val="99"/>
    <w:rPr>
      <w:rFonts w:ascii="Arial" w:hAnsi="Arial" w:eastAsia="Arial" w:cs="Arial"/>
      <w:snapToGrid w:val="0"/>
      <w:color w:val="000000"/>
      <w:sz w:val="21"/>
      <w:szCs w:val="21"/>
      <w:lang w:val="en-US" w:eastAsia="zh-CN" w:bidi="ar-SA"/>
    </w:rPr>
  </w:style>
  <w:style w:type="character" w:customStyle="1" w:styleId="56">
    <w:name w:val="19"/>
    <w:qFormat/>
    <w:uiPriority w:val="0"/>
    <w:rPr>
      <w:rFonts w:hint="default" w:ascii="Times New Roman" w:hAnsi="Times New Roman" w:cs="Times New Roman"/>
      <w:sz w:val="21"/>
      <w:szCs w:val="21"/>
    </w:rPr>
  </w:style>
  <w:style w:type="paragraph" w:customStyle="1" w:styleId="57">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58">
    <w:name w:val="表格内容"/>
    <w:basedOn w:val="1"/>
    <w:qFormat/>
    <w:uiPriority w:val="0"/>
    <w:rPr>
      <w:rFonts w:hint="eastAsia"/>
    </w:rPr>
  </w:style>
  <w:style w:type="paragraph" w:customStyle="1" w:styleId="59">
    <w:name w:val="列表段落1"/>
    <w:basedOn w:val="1"/>
    <w:qFormat/>
    <w:uiPriority w:val="34"/>
    <w:pPr>
      <w:ind w:firstLine="420"/>
    </w:pPr>
  </w:style>
  <w:style w:type="character" w:customStyle="1" w:styleId="60">
    <w:name w:val="font31"/>
    <w:basedOn w:val="33"/>
    <w:qFormat/>
    <w:uiPriority w:val="0"/>
    <w:rPr>
      <w:rFonts w:hint="eastAsia" w:ascii="宋体" w:hAnsi="宋体" w:eastAsia="宋体" w:cs="宋体"/>
      <w:color w:val="000000"/>
      <w:sz w:val="24"/>
      <w:szCs w:val="24"/>
      <w:u w:val="none"/>
    </w:rPr>
  </w:style>
  <w:style w:type="character" w:customStyle="1" w:styleId="61">
    <w:name w:val="font41"/>
    <w:basedOn w:val="33"/>
    <w:qFormat/>
    <w:uiPriority w:val="0"/>
    <w:rPr>
      <w:rFonts w:hint="eastAsia" w:ascii="宋体" w:hAnsi="宋体" w:eastAsia="宋体" w:cs="宋体"/>
      <w:color w:val="00B050"/>
      <w:sz w:val="24"/>
      <w:szCs w:val="24"/>
      <w:u w:val="none"/>
    </w:rPr>
  </w:style>
  <w:style w:type="character" w:customStyle="1" w:styleId="62">
    <w:name w:val="font11"/>
    <w:basedOn w:val="33"/>
    <w:qFormat/>
    <w:uiPriority w:val="0"/>
    <w:rPr>
      <w:rFonts w:hint="eastAsia" w:ascii="宋体" w:hAnsi="宋体" w:eastAsia="宋体" w:cs="宋体"/>
      <w:color w:val="000000"/>
      <w:sz w:val="24"/>
      <w:szCs w:val="24"/>
      <w:u w:val="none"/>
    </w:rPr>
  </w:style>
  <w:style w:type="paragraph" w:customStyle="1" w:styleId="63">
    <w:name w:val="--排版样式--正文"/>
    <w:basedOn w:val="1"/>
    <w:qFormat/>
    <w:uiPriority w:val="0"/>
    <w:pPr>
      <w:tabs>
        <w:tab w:val="left" w:pos="600"/>
      </w:tabs>
      <w:spacing w:after="200" w:line="360" w:lineRule="auto"/>
      <w:ind w:firstLine="200" w:firstLineChars="200"/>
    </w:pPr>
    <w:rPr>
      <w:rFonts w:ascii="宋体"/>
    </w:rPr>
  </w:style>
  <w:style w:type="character" w:customStyle="1" w:styleId="64">
    <w:name w:val="样式 宋体 四号"/>
    <w:qFormat/>
    <w:uiPriority w:val="0"/>
    <w:rPr>
      <w:rFonts w:ascii="宋体" w:hAnsi="宋体" w:eastAsia="仿宋_GB2312"/>
      <w:sz w:val="28"/>
    </w:rPr>
  </w:style>
  <w:style w:type="paragraph" w:customStyle="1" w:styleId="65">
    <w:name w:val="标书_正文"/>
    <w:qFormat/>
    <w:uiPriority w:val="0"/>
    <w:pPr>
      <w:widowControl w:val="0"/>
      <w:adjustRightInd w:val="0"/>
      <w:snapToGrid w:val="0"/>
      <w:spacing w:line="400" w:lineRule="exact"/>
      <w:ind w:firstLine="560" w:firstLineChars="200"/>
      <w:jc w:val="both"/>
    </w:pPr>
    <w:rPr>
      <w:rFonts w:ascii="仿宋_GB2312" w:hAnsi="Times New Roman" w:eastAsia="仿宋_GB2312" w:cs="Times New Roman"/>
      <w:bCs/>
      <w:color w:val="000000"/>
      <w:sz w:val="28"/>
      <w:szCs w:val="28"/>
      <w:lang w:val="en-US" w:eastAsia="zh-CN" w:bidi="ar-SA"/>
    </w:rPr>
  </w:style>
  <w:style w:type="paragraph" w:customStyle="1" w:styleId="66">
    <w:name w:val="大标题"/>
    <w:basedOn w:val="1"/>
    <w:qFormat/>
    <w:uiPriority w:val="0"/>
    <w:pPr>
      <w:numPr>
        <w:ilvl w:val="0"/>
        <w:numId w:val="3"/>
      </w:numPr>
      <w:spacing w:line="440" w:lineRule="exact"/>
      <w:ind w:firstLine="482" w:firstLineChars="200"/>
      <w:outlineLvl w:val="0"/>
    </w:pPr>
    <w:rPr>
      <w:rFonts w:hint="eastAsia" w:ascii="宋体" w:hAnsi="宋体" w:eastAsia="宋体" w:cs="宋体"/>
      <w:b/>
      <w:bCs/>
      <w:color w:val="auto"/>
      <w:sz w:val="24"/>
    </w:rPr>
  </w:style>
  <w:style w:type="paragraph" w:customStyle="1" w:styleId="67">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
    <w:name w:val="Body text|1"/>
    <w:basedOn w:val="1"/>
    <w:qFormat/>
    <w:uiPriority w:val="0"/>
    <w:pPr>
      <w:autoSpaceDE/>
      <w:autoSpaceDN/>
      <w:spacing w:line="353" w:lineRule="auto"/>
      <w:ind w:firstLine="400"/>
    </w:pPr>
    <w:rPr>
      <w:rFonts w:ascii="宋体" w:hAnsi="宋体" w:eastAsia="宋体" w:cs="宋体"/>
      <w:lang w:val="zh-TW" w:eastAsia="zh-TW" w:bidi="zh-TW"/>
    </w:rPr>
  </w:style>
  <w:style w:type="paragraph" w:customStyle="1" w:styleId="69">
    <w:name w:val="Table Text"/>
    <w:basedOn w:val="1"/>
    <w:semiHidden/>
    <w:qFormat/>
    <w:uiPriority w:val="0"/>
    <w:rPr>
      <w:rFonts w:ascii="宋体" w:hAnsi="宋体" w:eastAsia="宋体" w:cs="宋体"/>
      <w:sz w:val="24"/>
      <w:szCs w:val="24"/>
    </w:rPr>
  </w:style>
  <w:style w:type="paragraph" w:customStyle="1" w:styleId="70">
    <w:name w:val="章正文"/>
    <w:basedOn w:val="1"/>
    <w:qFormat/>
    <w:locked/>
    <w:uiPriority w:val="0"/>
    <w:pPr>
      <w:spacing w:beforeLines="50" w:after="120" w:line="300" w:lineRule="auto"/>
      <w:ind w:firstLine="480"/>
    </w:pPr>
    <w:rPr>
      <w:rFonts w:ascii="Helvetica" w:hAnsi="Helvetica"/>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3.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mcd:customData xmlns:mcd="http://www.wps.cn/android/officeDocument/2013/mofficeCustomData" version="2">
  <mcd:comments xmlns:mcd="http://www.wps.cn/android/officeDocument/2013/mofficeCustomData"/>
</mcd:customData>
</file>

<file path=customXml/item3.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f8c475-3d80-4080-82bc-b2a01dfbee9c}">
  <ds:schemaRefs/>
</ds:datastoreItem>
</file>

<file path=customXml/itemProps3.xml><?xml version="1.0" encoding="utf-8"?>
<ds:datastoreItem xmlns:ds="http://schemas.openxmlformats.org/officeDocument/2006/customXml" ds:itemID="{26240CF8-7C2A-40A3-98AE-07BEE6F3A594}">
  <ds:schemaRefs/>
</ds:datastoreItem>
</file>

<file path=docProps/app.xml><?xml version="1.0" encoding="utf-8"?>
<Properties xmlns="http://schemas.openxmlformats.org/officeDocument/2006/extended-properties" xmlns:vt="http://schemas.openxmlformats.org/officeDocument/2006/docPropsVTypes">
  <Template>Normal</Template>
  <Pages>104</Pages>
  <Words>5864</Words>
  <Characters>6560</Characters>
  <Paragraphs>3407</Paragraphs>
  <TotalTime>1</TotalTime>
  <ScaleCrop>false</ScaleCrop>
  <LinksUpToDate>false</LinksUpToDate>
  <CharactersWithSpaces>6903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2025-12-06T14:50:00Z</dcterms:created>
  <dc:creator>微软系统</dc:creator>
  <cp:lastModifiedBy>Dr.</cp:lastModifiedBy>
  <cp:lastPrinted>2026-06-09T04:50:00Z</cp:lastPrinted>
  <dcterms:modified xsi:type="dcterms:W3CDTF">2026-06-26T06:32:34Z</dcterms:modified>
  <dc:title>（项目名称） 标段服务招标</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2052-12.1.0.25225</vt:lpwstr>
  </property>
  <property fmtid="{D5CDD505-2E9C-101B-9397-08002B2CF9AE}" pid="5" name="ICV">
    <vt:lpwstr>40773384F0434E0885BA51F4A5C2FD98_13</vt:lpwstr>
  </property>
  <property fmtid="{D5CDD505-2E9C-101B-9397-08002B2CF9AE}" pid="6" name="KSOTemplateDocerSaveRecord">
    <vt:lpwstr>eyJoZGlkIjoiNzc1MDgyNmViYWI1MWY4MTM0ODlhOTEyM2I3NGUyOWQiLCJ1c2VySWQiOiI0Nzk3MjExNTcifQ==</vt:lpwstr>
  </property>
</Properties>
</file>